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533" w:rsidRPr="004A3533" w:rsidRDefault="004A3533" w:rsidP="004A3533">
      <w:pPr>
        <w:pStyle w:val="NoSpacing"/>
        <w:rPr>
          <w:rFonts w:asciiTheme="minorHAnsi" w:hAnsiTheme="minorHAnsi" w:cs="Arial"/>
          <w:color w:val="auto"/>
        </w:rPr>
      </w:pPr>
      <w:r w:rsidRPr="004A3533">
        <w:rPr>
          <w:rFonts w:asciiTheme="minorHAnsi" w:hAnsiTheme="minorHAnsi" w:cs="Arial"/>
          <w:color w:val="auto"/>
        </w:rPr>
        <w:t>28 April 2015</w:t>
      </w:r>
    </w:p>
    <w:p w:rsidR="004A3533" w:rsidRDefault="004A3533" w:rsidP="00AD5BB7">
      <w:pPr>
        <w:pStyle w:val="NoSpacing"/>
        <w:jc w:val="center"/>
        <w:rPr>
          <w:rFonts w:asciiTheme="majorHAnsi" w:hAnsiTheme="majorHAnsi" w:cs="Arial"/>
          <w:b/>
          <w:color w:val="auto"/>
          <w:sz w:val="24"/>
          <w:szCs w:val="24"/>
        </w:rPr>
      </w:pPr>
    </w:p>
    <w:p w:rsidR="00AD5BB7" w:rsidRPr="004A3533" w:rsidRDefault="00173E29" w:rsidP="00AD5BB7">
      <w:pPr>
        <w:pStyle w:val="NoSpacing"/>
        <w:jc w:val="center"/>
        <w:rPr>
          <w:rFonts w:asciiTheme="majorHAnsi" w:hAnsiTheme="majorHAnsi" w:cs="Arial"/>
          <w:b/>
          <w:color w:val="auto"/>
          <w:sz w:val="24"/>
          <w:szCs w:val="24"/>
        </w:rPr>
      </w:pPr>
      <w:r w:rsidRPr="004A3533">
        <w:rPr>
          <w:rFonts w:asciiTheme="majorHAnsi" w:hAnsiTheme="majorHAnsi" w:cs="Arial"/>
          <w:b/>
          <w:color w:val="auto"/>
          <w:sz w:val="24"/>
          <w:szCs w:val="24"/>
        </w:rPr>
        <w:t xml:space="preserve">Submission re NDIS Quality and Safeguards </w:t>
      </w:r>
      <w:r w:rsidR="00CF7342" w:rsidRPr="004A3533">
        <w:rPr>
          <w:rFonts w:asciiTheme="majorHAnsi" w:hAnsiTheme="majorHAnsi" w:cs="Arial"/>
          <w:b/>
          <w:color w:val="auto"/>
          <w:sz w:val="24"/>
          <w:szCs w:val="24"/>
        </w:rPr>
        <w:t>Framework –</w:t>
      </w:r>
    </w:p>
    <w:p w:rsidR="00CF7342" w:rsidRPr="004A3533" w:rsidRDefault="00CF7342" w:rsidP="00AD5BB7">
      <w:pPr>
        <w:pStyle w:val="NoSpacing"/>
        <w:jc w:val="center"/>
        <w:rPr>
          <w:rFonts w:asciiTheme="majorHAnsi" w:hAnsiTheme="majorHAnsi" w:cs="Arial"/>
          <w:b/>
          <w:color w:val="auto"/>
          <w:sz w:val="24"/>
          <w:szCs w:val="24"/>
        </w:rPr>
      </w:pPr>
      <w:r w:rsidRPr="004A3533">
        <w:rPr>
          <w:rFonts w:asciiTheme="majorHAnsi" w:hAnsiTheme="majorHAnsi" w:cs="Arial"/>
          <w:b/>
          <w:color w:val="auto"/>
          <w:sz w:val="24"/>
          <w:szCs w:val="24"/>
        </w:rPr>
        <w:t>Specifically in relation to</w:t>
      </w:r>
      <w:r w:rsidR="002603D0">
        <w:rPr>
          <w:rFonts w:asciiTheme="majorHAnsi" w:hAnsiTheme="majorHAnsi" w:cs="Arial"/>
          <w:b/>
          <w:color w:val="auto"/>
          <w:sz w:val="24"/>
          <w:szCs w:val="24"/>
        </w:rPr>
        <w:t xml:space="preserve">: </w:t>
      </w:r>
      <w:r w:rsidRPr="004A3533">
        <w:rPr>
          <w:rFonts w:asciiTheme="majorHAnsi" w:hAnsiTheme="majorHAnsi" w:cs="Arial"/>
          <w:b/>
          <w:color w:val="auto"/>
          <w:sz w:val="24"/>
          <w:szCs w:val="24"/>
        </w:rPr>
        <w:t xml:space="preserve"> </w:t>
      </w:r>
      <w:r w:rsidRPr="002603D0">
        <w:rPr>
          <w:rFonts w:asciiTheme="majorHAnsi" w:hAnsiTheme="majorHAnsi" w:cs="Arial"/>
          <w:b/>
          <w:color w:val="002060"/>
          <w:sz w:val="24"/>
          <w:szCs w:val="24"/>
        </w:rPr>
        <w:t>“System for Handling Complaints”.</w:t>
      </w:r>
    </w:p>
    <w:p w:rsidR="004A3533" w:rsidRDefault="004A3533" w:rsidP="008F4CF3">
      <w:pPr>
        <w:pStyle w:val="NoSpacing"/>
        <w:rPr>
          <w:rFonts w:asciiTheme="majorHAnsi" w:hAnsiTheme="majorHAnsi" w:cs="Arial"/>
          <w:b/>
          <w:color w:val="auto"/>
        </w:rPr>
      </w:pPr>
    </w:p>
    <w:p w:rsidR="004A3533" w:rsidRDefault="004A3533" w:rsidP="008F4CF3">
      <w:pPr>
        <w:pStyle w:val="NoSpacing"/>
        <w:rPr>
          <w:rFonts w:asciiTheme="majorHAnsi" w:hAnsiTheme="majorHAnsi" w:cs="Arial"/>
          <w:b/>
          <w:color w:val="auto"/>
        </w:rPr>
      </w:pPr>
      <w:bookmarkStart w:id="0" w:name="_GoBack"/>
      <w:bookmarkEnd w:id="0"/>
    </w:p>
    <w:p w:rsidR="008F4CF3" w:rsidRPr="004A3533" w:rsidRDefault="00EB13B2" w:rsidP="008F4CF3">
      <w:pPr>
        <w:pStyle w:val="NoSpacing"/>
        <w:rPr>
          <w:rFonts w:asciiTheme="majorHAnsi" w:hAnsiTheme="majorHAnsi" w:cs="Arial"/>
          <w:b/>
          <w:color w:val="002060"/>
        </w:rPr>
      </w:pPr>
      <w:r w:rsidRPr="004A3533">
        <w:rPr>
          <w:rFonts w:asciiTheme="majorHAnsi" w:hAnsiTheme="majorHAnsi" w:cs="Arial"/>
          <w:b/>
          <w:color w:val="002060"/>
        </w:rPr>
        <w:t>Introduction</w:t>
      </w:r>
    </w:p>
    <w:p w:rsidR="00964D76" w:rsidRPr="004A3533" w:rsidRDefault="00CF7342" w:rsidP="008F4CF3">
      <w:pPr>
        <w:pStyle w:val="NoSpacing"/>
        <w:rPr>
          <w:rFonts w:asciiTheme="minorHAnsi" w:hAnsiTheme="minorHAnsi" w:cs="Arial"/>
          <w:color w:val="auto"/>
        </w:rPr>
      </w:pPr>
      <w:r w:rsidRPr="004A3533">
        <w:rPr>
          <w:rFonts w:asciiTheme="minorHAnsi" w:hAnsiTheme="minorHAnsi" w:cs="Arial"/>
          <w:color w:val="auto"/>
        </w:rPr>
        <w:t>In general our organisation supports option 3b</w:t>
      </w:r>
      <w:r w:rsidR="00964D76" w:rsidRPr="004A3533">
        <w:rPr>
          <w:rFonts w:asciiTheme="minorHAnsi" w:hAnsiTheme="minorHAnsi" w:cs="Arial"/>
          <w:color w:val="auto"/>
        </w:rPr>
        <w:t>: Disability Complaints Office</w:t>
      </w:r>
      <w:r w:rsidR="005B3F1F" w:rsidRPr="004A3533">
        <w:rPr>
          <w:rFonts w:asciiTheme="minorHAnsi" w:hAnsiTheme="minorHAnsi" w:cs="Arial"/>
          <w:color w:val="auto"/>
        </w:rPr>
        <w:t xml:space="preserve"> as the ultimate formal place for resolving</w:t>
      </w:r>
      <w:r w:rsidR="00B13B03" w:rsidRPr="004A3533">
        <w:rPr>
          <w:rFonts w:asciiTheme="minorHAnsi" w:hAnsiTheme="minorHAnsi" w:cs="Arial"/>
          <w:color w:val="auto"/>
        </w:rPr>
        <w:t xml:space="preserve"> complaints related to the NDIS</w:t>
      </w:r>
      <w:r w:rsidR="00964D76" w:rsidRPr="004A3533">
        <w:rPr>
          <w:rFonts w:asciiTheme="minorHAnsi" w:hAnsiTheme="minorHAnsi" w:cs="Arial"/>
          <w:color w:val="auto"/>
        </w:rPr>
        <w:t xml:space="preserve">. However we are vexed as to why there has been so little consideration of role and funding </w:t>
      </w:r>
      <w:r w:rsidR="005B3F1F" w:rsidRPr="004A3533">
        <w:rPr>
          <w:rFonts w:asciiTheme="minorHAnsi" w:hAnsiTheme="minorHAnsi" w:cs="Arial"/>
          <w:color w:val="auto"/>
        </w:rPr>
        <w:t xml:space="preserve">of </w:t>
      </w:r>
      <w:r w:rsidR="00964D76" w:rsidRPr="004A3533">
        <w:rPr>
          <w:rFonts w:asciiTheme="minorHAnsi" w:hAnsiTheme="minorHAnsi" w:cs="Arial"/>
          <w:color w:val="auto"/>
        </w:rPr>
        <w:t xml:space="preserve">independent disability advocacy anywhere in the consultation paper. </w:t>
      </w:r>
    </w:p>
    <w:p w:rsidR="00964D76" w:rsidRPr="004A3533" w:rsidRDefault="00964D76" w:rsidP="008F4CF3">
      <w:pPr>
        <w:pStyle w:val="NoSpacing"/>
        <w:rPr>
          <w:rFonts w:asciiTheme="minorHAnsi" w:hAnsiTheme="minorHAnsi" w:cs="Arial"/>
          <w:color w:val="auto"/>
        </w:rPr>
      </w:pPr>
    </w:p>
    <w:p w:rsidR="00FB078F" w:rsidRPr="004A3533" w:rsidRDefault="00964D76" w:rsidP="008F4CF3">
      <w:pPr>
        <w:pStyle w:val="NoSpacing"/>
        <w:rPr>
          <w:rFonts w:asciiTheme="minorHAnsi" w:hAnsiTheme="minorHAnsi" w:cs="Arial"/>
          <w:color w:val="auto"/>
        </w:rPr>
      </w:pPr>
      <w:r w:rsidRPr="004A3533">
        <w:rPr>
          <w:rFonts w:asciiTheme="minorHAnsi" w:hAnsiTheme="minorHAnsi" w:cs="Arial"/>
          <w:color w:val="auto"/>
        </w:rPr>
        <w:t xml:space="preserve">While a Disability Complaints Office </w:t>
      </w:r>
      <w:r w:rsidR="00FD7B78" w:rsidRPr="004A3533">
        <w:rPr>
          <w:rFonts w:asciiTheme="minorHAnsi" w:hAnsiTheme="minorHAnsi" w:cs="Arial"/>
          <w:color w:val="auto"/>
        </w:rPr>
        <w:t xml:space="preserve">proposal </w:t>
      </w:r>
      <w:r w:rsidRPr="004A3533">
        <w:rPr>
          <w:rFonts w:asciiTheme="minorHAnsi" w:hAnsiTheme="minorHAnsi" w:cs="Arial"/>
          <w:color w:val="auto"/>
        </w:rPr>
        <w:t>is important, without advocacy support for people with a disability it would seem akin to having a court system without lawyers.</w:t>
      </w:r>
      <w:r w:rsidR="009C72DC" w:rsidRPr="004A3533">
        <w:rPr>
          <w:rFonts w:asciiTheme="minorHAnsi" w:hAnsiTheme="minorHAnsi" w:cs="Arial"/>
          <w:color w:val="auto"/>
        </w:rPr>
        <w:t xml:space="preserve"> </w:t>
      </w:r>
    </w:p>
    <w:p w:rsidR="00FB078F" w:rsidRPr="004A3533" w:rsidRDefault="00FB078F" w:rsidP="008F4CF3">
      <w:pPr>
        <w:pStyle w:val="NoSpacing"/>
        <w:rPr>
          <w:rFonts w:asciiTheme="minorHAnsi" w:hAnsiTheme="minorHAnsi" w:cs="Arial"/>
          <w:color w:val="auto"/>
        </w:rPr>
      </w:pPr>
    </w:p>
    <w:p w:rsidR="008F4CF3" w:rsidRPr="004A3533" w:rsidRDefault="005B3F1F" w:rsidP="008F4CF3">
      <w:pPr>
        <w:pStyle w:val="NoSpacing"/>
        <w:rPr>
          <w:rFonts w:asciiTheme="minorHAnsi" w:hAnsiTheme="minorHAnsi" w:cs="Arial"/>
          <w:color w:val="auto"/>
        </w:rPr>
      </w:pPr>
      <w:r w:rsidRPr="004A3533">
        <w:rPr>
          <w:rFonts w:asciiTheme="minorHAnsi" w:hAnsiTheme="minorHAnsi" w:cs="Arial"/>
          <w:color w:val="auto"/>
        </w:rPr>
        <w:t xml:space="preserve">We also emphasise that there is </w:t>
      </w:r>
      <w:r w:rsidR="009C72DC" w:rsidRPr="004A3533">
        <w:rPr>
          <w:rFonts w:asciiTheme="minorHAnsi" w:hAnsiTheme="minorHAnsi" w:cs="Arial"/>
          <w:color w:val="auto"/>
        </w:rPr>
        <w:t>the issue of escalating matters to a formal complaint to</w:t>
      </w:r>
      <w:r w:rsidRPr="004A3533">
        <w:rPr>
          <w:rFonts w:asciiTheme="minorHAnsi" w:hAnsiTheme="minorHAnsi" w:cs="Arial"/>
          <w:color w:val="auto"/>
        </w:rPr>
        <w:t>o</w:t>
      </w:r>
      <w:r w:rsidR="009C72DC" w:rsidRPr="004A3533">
        <w:rPr>
          <w:rFonts w:asciiTheme="minorHAnsi" w:hAnsiTheme="minorHAnsi" w:cs="Arial"/>
          <w:color w:val="auto"/>
        </w:rPr>
        <w:t xml:space="preserve"> quickly as it is our experience that many people with a disability are reticent to go down this path and often prefer to investigate other alternative dispute resolution options first such as direct ne</w:t>
      </w:r>
      <w:r w:rsidR="00FD7B78" w:rsidRPr="004A3533">
        <w:rPr>
          <w:rFonts w:asciiTheme="minorHAnsi" w:hAnsiTheme="minorHAnsi" w:cs="Arial"/>
          <w:color w:val="auto"/>
        </w:rPr>
        <w:t>gotiation with the support of a</w:t>
      </w:r>
      <w:r w:rsidR="009C72DC" w:rsidRPr="004A3533">
        <w:rPr>
          <w:rFonts w:asciiTheme="minorHAnsi" w:hAnsiTheme="minorHAnsi" w:cs="Arial"/>
          <w:color w:val="auto"/>
        </w:rPr>
        <w:t xml:space="preserve"> </w:t>
      </w:r>
      <w:r w:rsidR="00EB13B2" w:rsidRPr="004A3533">
        <w:rPr>
          <w:rFonts w:asciiTheme="minorHAnsi" w:hAnsiTheme="minorHAnsi" w:cs="Arial"/>
          <w:color w:val="auto"/>
        </w:rPr>
        <w:t xml:space="preserve">professional </w:t>
      </w:r>
      <w:r w:rsidR="009C72DC" w:rsidRPr="004A3533">
        <w:rPr>
          <w:rFonts w:asciiTheme="minorHAnsi" w:hAnsiTheme="minorHAnsi" w:cs="Arial"/>
          <w:color w:val="auto"/>
        </w:rPr>
        <w:t>advocate.</w:t>
      </w:r>
    </w:p>
    <w:p w:rsidR="00964D76" w:rsidRPr="004A3533" w:rsidRDefault="00964D76" w:rsidP="008F4CF3">
      <w:pPr>
        <w:pStyle w:val="NoSpacing"/>
        <w:rPr>
          <w:rFonts w:asciiTheme="minorHAnsi" w:hAnsiTheme="minorHAnsi" w:cs="Arial"/>
          <w:color w:val="auto"/>
        </w:rPr>
      </w:pPr>
    </w:p>
    <w:p w:rsidR="00964D76" w:rsidRPr="004A3533" w:rsidRDefault="009C72DC" w:rsidP="008F4CF3">
      <w:pPr>
        <w:pStyle w:val="NoSpacing"/>
        <w:rPr>
          <w:rFonts w:asciiTheme="minorHAnsi" w:eastAsia="Times New Roman" w:hAnsiTheme="minorHAnsi" w:cs="Arial"/>
          <w:color w:val="auto"/>
        </w:rPr>
      </w:pPr>
      <w:r w:rsidRPr="004A3533">
        <w:rPr>
          <w:rFonts w:asciiTheme="minorHAnsi" w:hAnsiTheme="minorHAnsi" w:cs="Arial"/>
          <w:color w:val="auto"/>
        </w:rPr>
        <w:t>One view is</w:t>
      </w:r>
      <w:r w:rsidR="00964D76" w:rsidRPr="004A3533">
        <w:rPr>
          <w:rFonts w:asciiTheme="minorHAnsi" w:hAnsiTheme="minorHAnsi" w:cs="Arial"/>
          <w:color w:val="auto"/>
        </w:rPr>
        <w:t xml:space="preserve"> </w:t>
      </w:r>
      <w:r w:rsidR="00AE5129" w:rsidRPr="004A3533">
        <w:rPr>
          <w:rFonts w:asciiTheme="minorHAnsi" w:hAnsiTheme="minorHAnsi" w:cs="Arial"/>
          <w:color w:val="auto"/>
        </w:rPr>
        <w:t xml:space="preserve">that </w:t>
      </w:r>
      <w:r w:rsidR="00964D76" w:rsidRPr="004A3533">
        <w:rPr>
          <w:rFonts w:asciiTheme="minorHAnsi" w:hAnsiTheme="minorHAnsi" w:cs="Arial"/>
          <w:color w:val="auto"/>
        </w:rPr>
        <w:t xml:space="preserve">advocacy services have </w:t>
      </w:r>
      <w:r w:rsidR="00FD7B78" w:rsidRPr="004A3533">
        <w:rPr>
          <w:rFonts w:asciiTheme="minorHAnsi" w:hAnsiTheme="minorHAnsi" w:cs="Arial"/>
          <w:color w:val="auto"/>
        </w:rPr>
        <w:t xml:space="preserve">been </w:t>
      </w:r>
      <w:r w:rsidRPr="004A3533">
        <w:rPr>
          <w:rFonts w:asciiTheme="minorHAnsi" w:hAnsiTheme="minorHAnsi" w:cs="Arial"/>
          <w:color w:val="auto"/>
        </w:rPr>
        <w:t>little mentioned</w:t>
      </w:r>
      <w:r w:rsidR="00964D76" w:rsidRPr="004A3533">
        <w:rPr>
          <w:rFonts w:asciiTheme="minorHAnsi" w:hAnsiTheme="minorHAnsi" w:cs="Arial"/>
          <w:color w:val="auto"/>
        </w:rPr>
        <w:t xml:space="preserve"> in the Framework document as the Federal Government intends </w:t>
      </w:r>
      <w:r w:rsidR="00FD7B78" w:rsidRPr="004A3533">
        <w:rPr>
          <w:rFonts w:asciiTheme="minorHAnsi" w:hAnsiTheme="minorHAnsi" w:cs="Arial"/>
          <w:color w:val="auto"/>
        </w:rPr>
        <w:t xml:space="preserve">to </w:t>
      </w:r>
      <w:r w:rsidR="00964D76" w:rsidRPr="004A3533">
        <w:rPr>
          <w:rFonts w:asciiTheme="minorHAnsi" w:hAnsiTheme="minorHAnsi" w:cs="Arial"/>
          <w:color w:val="auto"/>
        </w:rPr>
        <w:t>continue to fund advocacy services through the National Disab</w:t>
      </w:r>
      <w:r w:rsidR="00FD7B78" w:rsidRPr="004A3533">
        <w:rPr>
          <w:rFonts w:asciiTheme="minorHAnsi" w:hAnsiTheme="minorHAnsi" w:cs="Arial"/>
          <w:color w:val="auto"/>
        </w:rPr>
        <w:t>ility Advocacy Program. However</w:t>
      </w:r>
      <w:r w:rsidR="002E4CD3" w:rsidRPr="004A3533">
        <w:rPr>
          <w:rFonts w:asciiTheme="minorHAnsi" w:hAnsiTheme="minorHAnsi" w:cs="Arial"/>
          <w:color w:val="auto"/>
        </w:rPr>
        <w:t xml:space="preserve">, even if this is so, it does not take into account </w:t>
      </w:r>
      <w:r w:rsidR="00964D76" w:rsidRPr="004A3533">
        <w:rPr>
          <w:rFonts w:asciiTheme="minorHAnsi" w:hAnsiTheme="minorHAnsi" w:cs="Arial"/>
          <w:color w:val="auto"/>
        </w:rPr>
        <w:t>the possibility of state governments such as that in NSW</w:t>
      </w:r>
      <w:r w:rsidR="00AD5BB7" w:rsidRPr="004A3533">
        <w:rPr>
          <w:rFonts w:asciiTheme="minorHAnsi" w:hAnsiTheme="minorHAnsi" w:cs="Arial"/>
          <w:color w:val="auto"/>
        </w:rPr>
        <w:t xml:space="preserve"> of diverting advocacy funding towards the NDIS. If this occurs the </w:t>
      </w:r>
      <w:r w:rsidR="00FD7B78" w:rsidRPr="004A3533">
        <w:rPr>
          <w:rFonts w:asciiTheme="minorHAnsi" w:hAnsiTheme="minorHAnsi" w:cs="Arial"/>
          <w:color w:val="auto"/>
        </w:rPr>
        <w:t xml:space="preserve">capacity </w:t>
      </w:r>
      <w:r w:rsidR="00AD5BB7" w:rsidRPr="004A3533">
        <w:rPr>
          <w:rFonts w:asciiTheme="minorHAnsi" w:hAnsiTheme="minorHAnsi" w:cs="Arial"/>
          <w:color w:val="auto"/>
        </w:rPr>
        <w:t xml:space="preserve">of many disability advocacy services will be significantly </w:t>
      </w:r>
      <w:r w:rsidR="00FD7B78" w:rsidRPr="004A3533">
        <w:rPr>
          <w:rFonts w:asciiTheme="minorHAnsi" w:hAnsiTheme="minorHAnsi" w:cs="Arial"/>
          <w:color w:val="auto"/>
        </w:rPr>
        <w:t>depleted or stopped</w:t>
      </w:r>
      <w:r w:rsidR="00AD5BB7" w:rsidRPr="004A3533">
        <w:rPr>
          <w:rFonts w:asciiTheme="minorHAnsi" w:hAnsiTheme="minorHAnsi" w:cs="Arial"/>
          <w:color w:val="auto"/>
        </w:rPr>
        <w:t>.</w:t>
      </w:r>
    </w:p>
    <w:p w:rsidR="008F4CF3" w:rsidRPr="004A3533" w:rsidRDefault="008F4CF3" w:rsidP="008F4CF3">
      <w:pPr>
        <w:pStyle w:val="NoSpacing"/>
        <w:rPr>
          <w:rFonts w:asciiTheme="minorHAnsi" w:hAnsiTheme="minorHAnsi" w:cs="Arial"/>
          <w:color w:val="auto"/>
        </w:rPr>
      </w:pPr>
    </w:p>
    <w:p w:rsidR="008F4CF3" w:rsidRPr="004A3533" w:rsidRDefault="004A3533" w:rsidP="008F4CF3">
      <w:pPr>
        <w:pStyle w:val="NoSpacing"/>
        <w:rPr>
          <w:rFonts w:asciiTheme="minorHAnsi" w:hAnsiTheme="minorHAnsi" w:cs="Arial"/>
          <w:color w:val="auto"/>
        </w:rPr>
      </w:pPr>
      <w:r w:rsidRPr="004A3533">
        <w:rPr>
          <w:rFonts w:asciiTheme="minorHAnsi" w:hAnsiTheme="minorHAnsi" w:cs="Arial"/>
          <w:color w:val="auto"/>
        </w:rPr>
        <w:t>It</w:t>
      </w:r>
      <w:r w:rsidR="009C72DC" w:rsidRPr="004A3533">
        <w:rPr>
          <w:rFonts w:asciiTheme="minorHAnsi" w:hAnsiTheme="minorHAnsi" w:cs="Arial"/>
          <w:color w:val="auto"/>
        </w:rPr>
        <w:t xml:space="preserve"> appears well accepted</w:t>
      </w:r>
      <w:r w:rsidR="00AD5BB7" w:rsidRPr="004A3533">
        <w:rPr>
          <w:rFonts w:asciiTheme="minorHAnsi" w:hAnsiTheme="minorHAnsi" w:cs="Arial"/>
          <w:color w:val="auto"/>
        </w:rPr>
        <w:t xml:space="preserve"> by the Productivity Commission and the NDIS Legislation </w:t>
      </w:r>
      <w:r w:rsidR="008F4CF3" w:rsidRPr="004A3533">
        <w:rPr>
          <w:rFonts w:asciiTheme="minorHAnsi" w:hAnsiTheme="minorHAnsi" w:cs="Arial"/>
          <w:color w:val="auto"/>
        </w:rPr>
        <w:t xml:space="preserve">that </w:t>
      </w:r>
      <w:r w:rsidR="00AE5129" w:rsidRPr="004A3533">
        <w:rPr>
          <w:rFonts w:asciiTheme="minorHAnsi" w:hAnsiTheme="minorHAnsi" w:cs="Arial"/>
          <w:color w:val="auto"/>
        </w:rPr>
        <w:t xml:space="preserve">individual </w:t>
      </w:r>
      <w:r w:rsidR="008F4CF3" w:rsidRPr="004A3533">
        <w:rPr>
          <w:rFonts w:asciiTheme="minorHAnsi" w:hAnsiTheme="minorHAnsi" w:cs="Arial"/>
          <w:color w:val="auto"/>
        </w:rPr>
        <w:t>advocacy</w:t>
      </w:r>
      <w:r w:rsidR="00AD5BB7" w:rsidRPr="004A3533">
        <w:rPr>
          <w:rFonts w:asciiTheme="minorHAnsi" w:hAnsiTheme="minorHAnsi" w:cs="Arial"/>
          <w:color w:val="auto"/>
        </w:rPr>
        <w:t xml:space="preserve"> support </w:t>
      </w:r>
      <w:r w:rsidR="008F4CF3" w:rsidRPr="004A3533">
        <w:rPr>
          <w:rFonts w:asciiTheme="minorHAnsi" w:hAnsiTheme="minorHAnsi" w:cs="Arial"/>
          <w:color w:val="auto"/>
        </w:rPr>
        <w:t xml:space="preserve">is needed for people with a disability inside and outside the NDIS </w:t>
      </w:r>
      <w:r w:rsidR="00AD5BB7" w:rsidRPr="004A3533">
        <w:rPr>
          <w:rFonts w:asciiTheme="minorHAnsi" w:hAnsiTheme="minorHAnsi" w:cs="Arial"/>
          <w:color w:val="auto"/>
        </w:rPr>
        <w:t>to ensure they are treated fairly and aid access to any complaints handling system.</w:t>
      </w:r>
      <w:r w:rsidR="00A24BBD" w:rsidRPr="004A3533">
        <w:rPr>
          <w:rFonts w:asciiTheme="minorHAnsi" w:hAnsiTheme="minorHAnsi" w:cs="Arial"/>
          <w:color w:val="auto"/>
        </w:rPr>
        <w:t xml:space="preserve"> Our advocates have many years of experience </w:t>
      </w:r>
      <w:r w:rsidR="005D1843" w:rsidRPr="004A3533">
        <w:rPr>
          <w:rFonts w:asciiTheme="minorHAnsi" w:hAnsiTheme="minorHAnsi" w:cs="Arial"/>
          <w:color w:val="auto"/>
        </w:rPr>
        <w:t>in supporting people with complaints and also experience in the NDIS Hunter Trial site.</w:t>
      </w:r>
    </w:p>
    <w:p w:rsidR="005D1843" w:rsidRPr="004A3533" w:rsidRDefault="005D1843" w:rsidP="008F4CF3">
      <w:pPr>
        <w:pStyle w:val="NoSpacing"/>
        <w:rPr>
          <w:rFonts w:asciiTheme="minorHAnsi" w:hAnsiTheme="minorHAnsi" w:cs="Arial"/>
          <w:color w:val="auto"/>
        </w:rPr>
      </w:pPr>
    </w:p>
    <w:p w:rsidR="00EB13B2" w:rsidRPr="004A3533" w:rsidRDefault="00EB13B2" w:rsidP="008F4CF3">
      <w:pPr>
        <w:pStyle w:val="NoSpacing"/>
        <w:rPr>
          <w:rFonts w:asciiTheme="majorHAnsi" w:hAnsiTheme="majorHAnsi" w:cs="Arial"/>
          <w:b/>
          <w:color w:val="002060"/>
        </w:rPr>
      </w:pPr>
      <w:r w:rsidRPr="004A3533">
        <w:rPr>
          <w:rFonts w:asciiTheme="majorHAnsi" w:hAnsiTheme="majorHAnsi" w:cs="Arial"/>
          <w:b/>
          <w:color w:val="002060"/>
        </w:rPr>
        <w:t>Background</w:t>
      </w:r>
    </w:p>
    <w:p w:rsidR="008F4CF3" w:rsidRPr="004A3533" w:rsidRDefault="008F4CF3" w:rsidP="008F4CF3">
      <w:pPr>
        <w:pStyle w:val="NoSpacing"/>
        <w:rPr>
          <w:rFonts w:asciiTheme="minorHAnsi" w:eastAsia="Times New Roman" w:hAnsiTheme="minorHAnsi" w:cs="Arial"/>
          <w:color w:val="auto"/>
        </w:rPr>
      </w:pPr>
      <w:r w:rsidRPr="004A3533">
        <w:rPr>
          <w:rFonts w:asciiTheme="minorHAnsi" w:hAnsiTheme="minorHAnsi" w:cs="Arial"/>
          <w:color w:val="auto"/>
        </w:rPr>
        <w:t xml:space="preserve">Disability Advocacy NSW is the main disability advocacy provider covering the Hunter NDIS trial site. Disability Advocacy NSW is not a peak group but focuses </w:t>
      </w:r>
      <w:r w:rsidR="00EB13B2" w:rsidRPr="004A3533">
        <w:rPr>
          <w:rFonts w:asciiTheme="minorHAnsi" w:hAnsiTheme="minorHAnsi" w:cs="Arial"/>
          <w:color w:val="auto"/>
        </w:rPr>
        <w:t xml:space="preserve">mainly </w:t>
      </w:r>
      <w:r w:rsidRPr="004A3533">
        <w:rPr>
          <w:rFonts w:asciiTheme="minorHAnsi" w:hAnsiTheme="minorHAnsi" w:cs="Arial"/>
          <w:color w:val="auto"/>
        </w:rPr>
        <w:t>on day to day individual advocacy</w:t>
      </w:r>
      <w:r w:rsidR="00EB13B2" w:rsidRPr="004A3533">
        <w:rPr>
          <w:rFonts w:asciiTheme="minorHAnsi" w:hAnsiTheme="minorHAnsi" w:cs="Arial"/>
          <w:color w:val="auto"/>
        </w:rPr>
        <w:t xml:space="preserve"> and systemic advocacy at a regional level</w:t>
      </w:r>
      <w:r w:rsidRPr="004A3533">
        <w:rPr>
          <w:rFonts w:asciiTheme="minorHAnsi" w:hAnsiTheme="minorHAnsi" w:cs="Arial"/>
          <w:color w:val="auto"/>
        </w:rPr>
        <w:t>. Our head office is in Newcastle. We receive a combination of funding from the NSW and the Federal Governments. Our service also covers other large rural and remote regions of NSW including the Mid North Coast and New England.  We have advocates in local offices in Tamworth, Armidale, Coffs Harbour, Taree and Port Macquarie and have also diversified by operating a community legal centre on the Mid North Coast.</w:t>
      </w:r>
    </w:p>
    <w:p w:rsidR="008F4CF3" w:rsidRPr="004A3533" w:rsidRDefault="008F4CF3" w:rsidP="008F4CF3">
      <w:pPr>
        <w:pStyle w:val="NoSpacing"/>
        <w:rPr>
          <w:rFonts w:asciiTheme="minorHAnsi" w:eastAsia="Times New Roman" w:hAnsiTheme="minorHAnsi" w:cs="Arial"/>
          <w:color w:val="auto"/>
        </w:rPr>
      </w:pPr>
    </w:p>
    <w:p w:rsidR="008F4CF3" w:rsidRPr="004A3533" w:rsidRDefault="008F4CF3" w:rsidP="008F4CF3">
      <w:pPr>
        <w:pStyle w:val="NoSpacing"/>
        <w:rPr>
          <w:rFonts w:asciiTheme="minorHAnsi" w:eastAsia="Times New Roman" w:hAnsiTheme="minorHAnsi" w:cs="Arial"/>
          <w:color w:val="auto"/>
        </w:rPr>
      </w:pPr>
      <w:r w:rsidRPr="004A3533">
        <w:rPr>
          <w:rFonts w:asciiTheme="minorHAnsi" w:hAnsiTheme="minorHAnsi" w:cs="Arial"/>
          <w:color w:val="auto"/>
        </w:rPr>
        <w:t xml:space="preserve">The NDIS has increased our advocacy workload.  Overall we have coped relatively well with this increase in workload for three reasons. </w:t>
      </w:r>
    </w:p>
    <w:p w:rsidR="008F4CF3" w:rsidRPr="004A3533" w:rsidRDefault="008F4CF3" w:rsidP="008F4CF3">
      <w:pPr>
        <w:pStyle w:val="NoSpacing"/>
        <w:rPr>
          <w:rFonts w:asciiTheme="minorHAnsi" w:eastAsia="Times New Roman" w:hAnsiTheme="minorHAnsi" w:cs="Arial"/>
          <w:color w:val="auto"/>
        </w:rPr>
      </w:pPr>
    </w:p>
    <w:p w:rsidR="008F4CF3" w:rsidRPr="004A3533" w:rsidRDefault="008F4CF3" w:rsidP="008F4CF3">
      <w:pPr>
        <w:pStyle w:val="NoSpacing"/>
        <w:rPr>
          <w:rFonts w:asciiTheme="minorHAnsi" w:eastAsia="Times New Roman" w:hAnsiTheme="minorHAnsi" w:cs="Arial"/>
          <w:color w:val="auto"/>
        </w:rPr>
      </w:pPr>
      <w:r w:rsidRPr="004A3533">
        <w:rPr>
          <w:rFonts w:asciiTheme="minorHAnsi" w:hAnsiTheme="minorHAnsi" w:cs="Arial"/>
          <w:color w:val="auto"/>
        </w:rPr>
        <w:lastRenderedPageBreak/>
        <w:t xml:space="preserve">Firstly, we have ensured we provide a modern and professional service to our clients. Our service was the first advocacy service in Australia to achieve both National and NSW independent accreditation. </w:t>
      </w:r>
    </w:p>
    <w:p w:rsidR="008F4CF3" w:rsidRPr="004A3533" w:rsidRDefault="008F4CF3" w:rsidP="008F4CF3">
      <w:pPr>
        <w:pStyle w:val="NoSpacing"/>
        <w:rPr>
          <w:rFonts w:asciiTheme="minorHAnsi" w:eastAsia="Times New Roman" w:hAnsiTheme="minorHAnsi" w:cs="Arial"/>
          <w:color w:val="auto"/>
        </w:rPr>
      </w:pPr>
    </w:p>
    <w:p w:rsidR="008F4CF3" w:rsidRPr="004A3533" w:rsidRDefault="008F4CF3" w:rsidP="008F4CF3">
      <w:pPr>
        <w:pStyle w:val="NoSpacing"/>
        <w:rPr>
          <w:rFonts w:asciiTheme="minorHAnsi" w:eastAsia="Times New Roman" w:hAnsiTheme="minorHAnsi" w:cs="Arial"/>
          <w:color w:val="auto"/>
        </w:rPr>
      </w:pPr>
      <w:r w:rsidRPr="004A3533">
        <w:rPr>
          <w:rFonts w:asciiTheme="minorHAnsi" w:hAnsiTheme="minorHAnsi" w:cs="Arial"/>
          <w:color w:val="auto"/>
        </w:rPr>
        <w:t>Secondly, we have prepared, diversified and cost-effectively amalgamated with other services and combined the funding support of the NSW and Federal Governments to provide quality individual advocacy. We use a modular regional model where financial and administrative tasks are done centrally but advocacy support is provided locally in rural areas by well-supported professional advocates.</w:t>
      </w:r>
    </w:p>
    <w:p w:rsidR="008F4CF3" w:rsidRPr="004A3533" w:rsidRDefault="008F4CF3" w:rsidP="008F4CF3">
      <w:pPr>
        <w:pStyle w:val="NoSpacing"/>
        <w:rPr>
          <w:rFonts w:asciiTheme="minorHAnsi" w:eastAsia="Times New Roman" w:hAnsiTheme="minorHAnsi" w:cs="Arial"/>
          <w:color w:val="auto"/>
        </w:rPr>
      </w:pPr>
    </w:p>
    <w:p w:rsidR="008F4CF3" w:rsidRPr="004A3533" w:rsidRDefault="008F4CF3" w:rsidP="008F4CF3">
      <w:pPr>
        <w:pStyle w:val="NoSpacing"/>
        <w:rPr>
          <w:rFonts w:asciiTheme="minorHAnsi" w:eastAsia="Times New Roman" w:hAnsiTheme="minorHAnsi" w:cs="Arial"/>
          <w:color w:val="auto"/>
        </w:rPr>
      </w:pPr>
      <w:r w:rsidRPr="004A3533">
        <w:rPr>
          <w:rFonts w:asciiTheme="minorHAnsi" w:hAnsiTheme="minorHAnsi" w:cs="Arial"/>
          <w:color w:val="auto"/>
        </w:rPr>
        <w:t>Thirdly, we have received extra funding from the Federal Government to provide External Merits Review Support for clients wishing to appeal National Disability Insurance Agency decisions at the Administrative Appeals Tribunal.</w:t>
      </w:r>
    </w:p>
    <w:p w:rsidR="008F4CF3" w:rsidRPr="004A3533" w:rsidRDefault="008F4CF3" w:rsidP="008F4CF3">
      <w:pPr>
        <w:pStyle w:val="NoSpacing"/>
        <w:rPr>
          <w:rFonts w:asciiTheme="minorHAnsi" w:eastAsia="Times New Roman" w:hAnsiTheme="minorHAnsi" w:cs="Arial"/>
          <w:color w:val="auto"/>
        </w:rPr>
      </w:pPr>
    </w:p>
    <w:p w:rsidR="008F4CF3" w:rsidRPr="004A3533" w:rsidRDefault="008F4CF3" w:rsidP="008F4CF3">
      <w:pPr>
        <w:pStyle w:val="NoSpacing"/>
        <w:rPr>
          <w:rFonts w:asciiTheme="minorHAnsi" w:eastAsia="Times New Roman" w:hAnsiTheme="minorHAnsi" w:cs="Arial"/>
          <w:color w:val="auto"/>
        </w:rPr>
      </w:pPr>
      <w:r w:rsidRPr="004A3533">
        <w:rPr>
          <w:rFonts w:asciiTheme="minorHAnsi" w:hAnsiTheme="minorHAnsi" w:cs="Arial"/>
          <w:color w:val="auto"/>
        </w:rPr>
        <w:t>Since the beginning of the NDIS we have dealt with over 1000 advocacy issues in the trial site. Of these issues, 13.5% relate directly to the NDIS. Currently, the NDIS is one of our top three advocacy issues. As the NDIS grows this proportion will increase, yet it is still only part of the work we do. Many clients seek individual advocacy to support them with problems they have with education,</w:t>
      </w:r>
      <w:r w:rsidR="004A3533" w:rsidRPr="004A3533">
        <w:rPr>
          <w:rFonts w:asciiTheme="minorHAnsi" w:hAnsiTheme="minorHAnsi" w:cs="Arial"/>
          <w:color w:val="auto"/>
        </w:rPr>
        <w:t xml:space="preserve"> service provision,</w:t>
      </w:r>
      <w:r w:rsidRPr="004A3533">
        <w:rPr>
          <w:rFonts w:asciiTheme="minorHAnsi" w:hAnsiTheme="minorHAnsi" w:cs="Arial"/>
          <w:color w:val="auto"/>
        </w:rPr>
        <w:t xml:space="preserve"> health, discrimination, abuse, transport, accommodation and legal areas. Most of these areas will remain outside the NDIS.</w:t>
      </w:r>
    </w:p>
    <w:p w:rsidR="008F4CF3" w:rsidRPr="004A3533" w:rsidRDefault="008F4CF3" w:rsidP="008F4CF3">
      <w:pPr>
        <w:pStyle w:val="NoSpacing"/>
        <w:rPr>
          <w:rFonts w:asciiTheme="minorHAnsi" w:eastAsia="Times New Roman" w:hAnsiTheme="minorHAnsi" w:cs="Arial"/>
          <w:color w:val="auto"/>
        </w:rPr>
      </w:pPr>
    </w:p>
    <w:p w:rsidR="00EB13B2" w:rsidRPr="004A3533" w:rsidRDefault="008F4CF3" w:rsidP="008F4CF3">
      <w:pPr>
        <w:pStyle w:val="NoSpacing"/>
        <w:rPr>
          <w:rFonts w:asciiTheme="minorHAnsi" w:hAnsiTheme="minorHAnsi" w:cs="Arial"/>
          <w:color w:val="auto"/>
        </w:rPr>
      </w:pPr>
      <w:r w:rsidRPr="004A3533">
        <w:rPr>
          <w:rFonts w:asciiTheme="minorHAnsi" w:hAnsiTheme="minorHAnsi" w:cs="Arial"/>
          <w:color w:val="auto"/>
        </w:rPr>
        <w:t xml:space="preserve">We understand and support the NDIS funding approach. However, we caution that a blanket approach to funding is not the best way to fund </w:t>
      </w:r>
      <w:r w:rsidR="00EB13B2" w:rsidRPr="004A3533">
        <w:rPr>
          <w:rFonts w:asciiTheme="minorHAnsi" w:hAnsiTheme="minorHAnsi" w:cs="Arial"/>
          <w:color w:val="auto"/>
        </w:rPr>
        <w:t xml:space="preserve">disability </w:t>
      </w:r>
      <w:r w:rsidRPr="004A3533">
        <w:rPr>
          <w:rFonts w:asciiTheme="minorHAnsi" w:hAnsiTheme="minorHAnsi" w:cs="Arial"/>
          <w:color w:val="auto"/>
        </w:rPr>
        <w:t xml:space="preserve">advocacy services that are aimed at </w:t>
      </w:r>
      <w:r w:rsidRPr="004A3533">
        <w:rPr>
          <w:rFonts w:asciiTheme="minorHAnsi" w:hAnsiTheme="minorHAnsi" w:cs="Arial"/>
          <w:i/>
          <w:iCs/>
          <w:color w:val="auto"/>
        </w:rPr>
        <w:t>independently</w:t>
      </w:r>
      <w:r w:rsidRPr="004A3533">
        <w:rPr>
          <w:rFonts w:asciiTheme="minorHAnsi" w:hAnsiTheme="minorHAnsi" w:cs="Arial"/>
          <w:color w:val="auto"/>
        </w:rPr>
        <w:t xml:space="preserve"> safeguarding rights </w:t>
      </w:r>
      <w:r w:rsidRPr="004A3533">
        <w:rPr>
          <w:rFonts w:asciiTheme="minorHAnsi" w:hAnsiTheme="minorHAnsi" w:cs="Arial"/>
          <w:i/>
          <w:color w:val="auto"/>
        </w:rPr>
        <w:t>and choices</w:t>
      </w:r>
      <w:r w:rsidRPr="004A3533">
        <w:rPr>
          <w:rFonts w:asciiTheme="minorHAnsi" w:hAnsiTheme="minorHAnsi" w:cs="Arial"/>
          <w:color w:val="auto"/>
        </w:rPr>
        <w:t xml:space="preserve"> of people with a disability. People with a disability most often come to us after they have encountered a problem with the system, whether it is inside or outside the NDIS. </w:t>
      </w:r>
    </w:p>
    <w:p w:rsidR="00EB13B2" w:rsidRPr="004A3533" w:rsidRDefault="00EB13B2" w:rsidP="008F4CF3">
      <w:pPr>
        <w:pStyle w:val="NoSpacing"/>
        <w:rPr>
          <w:rFonts w:asciiTheme="minorHAnsi" w:hAnsiTheme="minorHAnsi" w:cs="Arial"/>
          <w:color w:val="auto"/>
        </w:rPr>
      </w:pPr>
    </w:p>
    <w:p w:rsidR="008F4CF3" w:rsidRPr="004A3533" w:rsidRDefault="008F4CF3" w:rsidP="008F4CF3">
      <w:pPr>
        <w:pStyle w:val="NoSpacing"/>
        <w:rPr>
          <w:rFonts w:asciiTheme="minorHAnsi" w:eastAsia="Times New Roman" w:hAnsiTheme="minorHAnsi" w:cs="Arial"/>
          <w:i/>
          <w:color w:val="auto"/>
        </w:rPr>
      </w:pPr>
      <w:r w:rsidRPr="004A3533">
        <w:rPr>
          <w:rFonts w:asciiTheme="minorHAnsi" w:hAnsiTheme="minorHAnsi" w:cs="Arial"/>
          <w:i/>
          <w:color w:val="auto"/>
        </w:rPr>
        <w:t>The work we do often has the effect of stopping small issues becoming significant problems, preventing substantial damage to individuals and saving the Government time and money in the long run.</w:t>
      </w:r>
    </w:p>
    <w:p w:rsidR="008F4CF3" w:rsidRPr="004A3533" w:rsidRDefault="008F4CF3" w:rsidP="008F4CF3">
      <w:pPr>
        <w:pStyle w:val="NoSpacing"/>
        <w:rPr>
          <w:rFonts w:asciiTheme="minorHAnsi" w:eastAsia="Times New Roman" w:hAnsiTheme="minorHAnsi" w:cs="Arial"/>
          <w:color w:val="auto"/>
        </w:rPr>
      </w:pPr>
    </w:p>
    <w:p w:rsidR="008F4CF3" w:rsidRPr="004A3533" w:rsidRDefault="008F4CF3" w:rsidP="008F4CF3">
      <w:pPr>
        <w:pStyle w:val="Body"/>
        <w:rPr>
          <w:rFonts w:asciiTheme="minorHAnsi" w:hAnsiTheme="minorHAnsi" w:cs="Arial"/>
          <w:color w:val="auto"/>
          <w:sz w:val="22"/>
          <w:szCs w:val="22"/>
        </w:rPr>
      </w:pPr>
      <w:r w:rsidRPr="004A3533">
        <w:rPr>
          <w:rFonts w:asciiTheme="minorHAnsi" w:hAnsiTheme="minorHAnsi" w:cs="Arial"/>
          <w:color w:val="auto"/>
          <w:sz w:val="22"/>
          <w:szCs w:val="22"/>
        </w:rPr>
        <w:t>The 2011 Productivity Commission Inquiry Report into Disability Care and Support took many submissions that addressed the issue of advocacy support and made a number of statements in support of the role and value of advocacy in the context of the proposed NDIS. The Commission noted the important role that both independent advocacy and systemic advocacy would continue to play under the NDIS and how independence of services like ours would allow representation of the interests of the most vulnerable people in the disability system.</w:t>
      </w:r>
    </w:p>
    <w:p w:rsidR="008F4CF3" w:rsidRPr="004A3533" w:rsidRDefault="008F4CF3" w:rsidP="008F4CF3">
      <w:pPr>
        <w:pStyle w:val="Body"/>
        <w:rPr>
          <w:rFonts w:asciiTheme="minorHAnsi" w:hAnsiTheme="minorHAnsi" w:cs="Arial"/>
          <w:color w:val="auto"/>
          <w:sz w:val="22"/>
          <w:szCs w:val="22"/>
        </w:rPr>
      </w:pPr>
    </w:p>
    <w:p w:rsidR="008F4CF3" w:rsidRPr="004A3533" w:rsidRDefault="008F4CF3" w:rsidP="008F4CF3">
      <w:pPr>
        <w:pStyle w:val="Body"/>
        <w:rPr>
          <w:rFonts w:asciiTheme="minorHAnsi" w:hAnsiTheme="minorHAnsi" w:cs="Arial"/>
          <w:color w:val="auto"/>
          <w:sz w:val="22"/>
          <w:szCs w:val="22"/>
        </w:rPr>
      </w:pPr>
      <w:r w:rsidRPr="004A3533">
        <w:rPr>
          <w:rFonts w:asciiTheme="minorHAnsi" w:hAnsiTheme="minorHAnsi" w:cs="Arial"/>
          <w:color w:val="auto"/>
          <w:sz w:val="22"/>
          <w:szCs w:val="22"/>
        </w:rPr>
        <w:t>The Productivity Commission also noted that:</w:t>
      </w:r>
    </w:p>
    <w:p w:rsidR="008F4CF3" w:rsidRPr="004A3533" w:rsidRDefault="008F4CF3" w:rsidP="008F4CF3">
      <w:pPr>
        <w:pStyle w:val="ListParagraph"/>
        <w:numPr>
          <w:ilvl w:val="0"/>
          <w:numId w:val="1"/>
        </w:numPr>
        <w:rPr>
          <w:rFonts w:asciiTheme="minorHAnsi" w:eastAsia="Times New Roman" w:hAnsiTheme="minorHAnsi" w:cs="Arial"/>
          <w:color w:val="auto"/>
        </w:rPr>
      </w:pPr>
      <w:r w:rsidRPr="004A3533">
        <w:rPr>
          <w:rFonts w:asciiTheme="minorHAnsi" w:hAnsiTheme="minorHAnsi" w:cs="Arial"/>
          <w:color w:val="auto"/>
        </w:rPr>
        <w:t>neither systemic, nor individual advocacy are well suited to a user pays</w:t>
      </w:r>
      <w:r w:rsidR="00FD7B78" w:rsidRPr="004A3533">
        <w:rPr>
          <w:rFonts w:asciiTheme="minorHAnsi" w:hAnsiTheme="minorHAnsi" w:cs="Arial"/>
          <w:color w:val="auto"/>
        </w:rPr>
        <w:t xml:space="preserve"> system so independent advocacy </w:t>
      </w:r>
      <w:r w:rsidRPr="004A3533">
        <w:rPr>
          <w:rFonts w:asciiTheme="minorHAnsi" w:hAnsiTheme="minorHAnsi" w:cs="Arial"/>
          <w:color w:val="auto"/>
        </w:rPr>
        <w:t>should continue to be block funded</w:t>
      </w:r>
      <w:r w:rsidRPr="004A3533">
        <w:rPr>
          <w:rFonts w:asciiTheme="minorHAnsi" w:eastAsia="Times New Roman" w:hAnsiTheme="minorHAnsi" w:cs="Arial"/>
          <w:color w:val="auto"/>
          <w:vertAlign w:val="superscript"/>
        </w:rPr>
        <w:footnoteReference w:id="1"/>
      </w:r>
      <w:r w:rsidRPr="004A3533">
        <w:rPr>
          <w:rFonts w:asciiTheme="minorHAnsi" w:hAnsiTheme="minorHAnsi" w:cs="Arial"/>
          <w:color w:val="auto"/>
        </w:rPr>
        <w:t xml:space="preserve"> </w:t>
      </w:r>
    </w:p>
    <w:p w:rsidR="008F4CF3" w:rsidRPr="004A3533" w:rsidRDefault="008F4CF3" w:rsidP="008F4CF3">
      <w:pPr>
        <w:pStyle w:val="ListParagraph"/>
        <w:numPr>
          <w:ilvl w:val="0"/>
          <w:numId w:val="1"/>
        </w:numPr>
        <w:rPr>
          <w:rFonts w:asciiTheme="minorHAnsi" w:eastAsia="Times New Roman" w:hAnsiTheme="minorHAnsi" w:cs="Arial"/>
          <w:color w:val="auto"/>
        </w:rPr>
      </w:pPr>
      <w:r w:rsidRPr="004A3533">
        <w:rPr>
          <w:rFonts w:asciiTheme="minorHAnsi" w:hAnsiTheme="minorHAnsi" w:cs="Arial"/>
          <w:color w:val="auto"/>
        </w:rPr>
        <w:t>organisations funded to provide advocacy, in order to avoid any conflict of interest, should not also be funded through the NDIS, as with Disability Support Organisation’s or service providers, or directly by the NDIA at all</w:t>
      </w:r>
      <w:r w:rsidRPr="004A3533">
        <w:rPr>
          <w:rFonts w:asciiTheme="minorHAnsi" w:eastAsia="Times New Roman" w:hAnsiTheme="minorHAnsi" w:cs="Arial"/>
          <w:color w:val="auto"/>
          <w:vertAlign w:val="superscript"/>
        </w:rPr>
        <w:footnoteReference w:id="2"/>
      </w:r>
    </w:p>
    <w:p w:rsidR="008F4CF3" w:rsidRPr="004A3533" w:rsidRDefault="008F4CF3" w:rsidP="008F4CF3">
      <w:pPr>
        <w:pStyle w:val="ListParagraph"/>
        <w:numPr>
          <w:ilvl w:val="0"/>
          <w:numId w:val="1"/>
        </w:numPr>
        <w:rPr>
          <w:rFonts w:asciiTheme="minorHAnsi" w:eastAsia="Times New Roman" w:hAnsiTheme="minorHAnsi" w:cs="Arial"/>
          <w:color w:val="auto"/>
        </w:rPr>
      </w:pPr>
      <w:r w:rsidRPr="004A3533">
        <w:rPr>
          <w:rFonts w:asciiTheme="minorHAnsi" w:hAnsiTheme="minorHAnsi" w:cs="Arial"/>
          <w:color w:val="auto"/>
        </w:rPr>
        <w:lastRenderedPageBreak/>
        <w:t>that NDIA should not directly fund advocacy support however there may be merit in the NDIA contributing additional untied funds to the existing advocacy programs.</w:t>
      </w:r>
      <w:r w:rsidRPr="004A3533">
        <w:rPr>
          <w:rFonts w:asciiTheme="minorHAnsi" w:eastAsia="Times New Roman" w:hAnsiTheme="minorHAnsi" w:cs="Arial"/>
          <w:color w:val="auto"/>
          <w:vertAlign w:val="superscript"/>
        </w:rPr>
        <w:footnoteReference w:id="3"/>
      </w:r>
      <w:r w:rsidRPr="004A3533">
        <w:rPr>
          <w:rFonts w:asciiTheme="minorHAnsi" w:hAnsiTheme="minorHAnsi" w:cs="Arial"/>
          <w:color w:val="auto"/>
        </w:rPr>
        <w:t xml:space="preserve"> </w:t>
      </w:r>
    </w:p>
    <w:p w:rsidR="008F4CF3" w:rsidRPr="004A3533" w:rsidRDefault="008F4CF3" w:rsidP="008F4CF3">
      <w:pPr>
        <w:pStyle w:val="NoSpacing"/>
        <w:rPr>
          <w:rFonts w:asciiTheme="minorHAnsi" w:eastAsia="Times New Roman" w:hAnsiTheme="minorHAnsi" w:cs="Arial"/>
          <w:color w:val="auto"/>
        </w:rPr>
      </w:pPr>
    </w:p>
    <w:p w:rsidR="008F4CF3" w:rsidRPr="004A3533" w:rsidRDefault="008F4CF3" w:rsidP="008F4CF3">
      <w:pPr>
        <w:pStyle w:val="NoSpacing"/>
        <w:rPr>
          <w:rFonts w:asciiTheme="minorHAnsi" w:eastAsia="Times New Roman" w:hAnsiTheme="minorHAnsi" w:cs="Arial"/>
          <w:color w:val="auto"/>
        </w:rPr>
      </w:pPr>
      <w:r w:rsidRPr="004A3533">
        <w:rPr>
          <w:rFonts w:asciiTheme="minorHAnsi" w:hAnsiTheme="minorHAnsi" w:cs="Arial"/>
          <w:color w:val="auto"/>
        </w:rPr>
        <w:t>We agree with these recommendations but also reiterate the extra point that many</w:t>
      </w:r>
      <w:r w:rsidRPr="004A3533">
        <w:rPr>
          <w:rFonts w:asciiTheme="minorHAnsi" w:eastAsia="Times New Roman" w:hAnsiTheme="minorHAnsi" w:cs="Arial"/>
          <w:color w:val="auto"/>
        </w:rPr>
        <w:t xml:space="preserve"> </w:t>
      </w:r>
      <w:r w:rsidRPr="004A3533">
        <w:rPr>
          <w:rFonts w:asciiTheme="minorHAnsi" w:hAnsiTheme="minorHAnsi" w:cs="Arial"/>
          <w:color w:val="auto"/>
        </w:rPr>
        <w:t>advocacy issues are not NDIS related and this fact needs to be accounted for</w:t>
      </w:r>
      <w:r w:rsidR="00EB13B2" w:rsidRPr="004A3533">
        <w:rPr>
          <w:rFonts w:asciiTheme="minorHAnsi" w:hAnsiTheme="minorHAnsi" w:cs="Arial"/>
          <w:color w:val="auto"/>
        </w:rPr>
        <w:t>: even in this consultation which focuses on the NDIS</w:t>
      </w:r>
      <w:r w:rsidRPr="004A3533">
        <w:rPr>
          <w:rFonts w:asciiTheme="minorHAnsi" w:hAnsiTheme="minorHAnsi" w:cs="Arial"/>
          <w:color w:val="auto"/>
        </w:rPr>
        <w:t xml:space="preserve">. </w:t>
      </w:r>
    </w:p>
    <w:p w:rsidR="008F4CF3" w:rsidRPr="004A3533" w:rsidRDefault="008F4CF3" w:rsidP="008F4CF3">
      <w:pPr>
        <w:pStyle w:val="NoSpacing"/>
        <w:rPr>
          <w:rFonts w:asciiTheme="minorHAnsi" w:eastAsia="Times New Roman" w:hAnsiTheme="minorHAnsi" w:cs="Arial"/>
          <w:color w:val="auto"/>
        </w:rPr>
      </w:pPr>
    </w:p>
    <w:p w:rsidR="008F4CF3" w:rsidRPr="004A3533" w:rsidRDefault="008F4CF3" w:rsidP="008F4CF3">
      <w:pPr>
        <w:pStyle w:val="NoSpacing"/>
        <w:rPr>
          <w:rFonts w:asciiTheme="minorHAnsi" w:eastAsia="Times New Roman" w:hAnsiTheme="minorHAnsi" w:cs="Arial"/>
          <w:color w:val="auto"/>
        </w:rPr>
      </w:pPr>
      <w:r w:rsidRPr="004A3533">
        <w:rPr>
          <w:rFonts w:asciiTheme="minorHAnsi" w:hAnsiTheme="minorHAnsi" w:cs="Arial"/>
          <w:color w:val="auto"/>
        </w:rPr>
        <w:t xml:space="preserve">Good quality, professional and independent advocacy remains an important part of developing a well functioning and sustainable NDIS. </w:t>
      </w:r>
    </w:p>
    <w:p w:rsidR="008F4CF3" w:rsidRPr="004A3533" w:rsidRDefault="008F4CF3" w:rsidP="008F4CF3">
      <w:pPr>
        <w:pStyle w:val="NoSpacing"/>
        <w:rPr>
          <w:rFonts w:asciiTheme="minorHAnsi" w:eastAsia="Times New Roman" w:hAnsiTheme="minorHAnsi" w:cs="Arial"/>
          <w:color w:val="auto"/>
        </w:rPr>
      </w:pPr>
    </w:p>
    <w:p w:rsidR="008F4CF3" w:rsidRPr="004A3533" w:rsidRDefault="008F4CF3" w:rsidP="008F4CF3">
      <w:pPr>
        <w:pStyle w:val="NoSpacing"/>
        <w:rPr>
          <w:rFonts w:asciiTheme="minorHAnsi" w:eastAsia="Times New Roman" w:hAnsiTheme="minorHAnsi" w:cs="Arial"/>
          <w:color w:val="auto"/>
        </w:rPr>
      </w:pPr>
      <w:r w:rsidRPr="004A3533">
        <w:rPr>
          <w:rFonts w:asciiTheme="minorHAnsi" w:hAnsiTheme="minorHAnsi" w:cs="Arial"/>
          <w:color w:val="auto"/>
        </w:rPr>
        <w:t xml:space="preserve">Local advocacy services need resources to assist participants through the complaints and appeals processes and to negotiate continuous improvement of the NDIS, as well as assisting them with the myriad </w:t>
      </w:r>
      <w:r w:rsidR="00887502">
        <w:rPr>
          <w:rFonts w:asciiTheme="minorHAnsi" w:hAnsiTheme="minorHAnsi" w:cs="Arial"/>
          <w:color w:val="auto"/>
        </w:rPr>
        <w:t xml:space="preserve">of other issues that arise and </w:t>
      </w:r>
      <w:r w:rsidRPr="004A3533">
        <w:rPr>
          <w:rFonts w:asciiTheme="minorHAnsi" w:hAnsiTheme="minorHAnsi" w:cs="Arial"/>
          <w:color w:val="auto"/>
        </w:rPr>
        <w:t>are not related to the NDIS.</w:t>
      </w:r>
    </w:p>
    <w:p w:rsidR="008F4CF3" w:rsidRPr="004A3533" w:rsidRDefault="008F4CF3" w:rsidP="008F4CF3">
      <w:pPr>
        <w:pStyle w:val="NoSpacing"/>
        <w:rPr>
          <w:rFonts w:asciiTheme="minorHAnsi" w:eastAsia="Times New Roman" w:hAnsiTheme="minorHAnsi" w:cs="Arial"/>
          <w:color w:val="auto"/>
        </w:rPr>
      </w:pPr>
    </w:p>
    <w:p w:rsidR="00EB13B2" w:rsidRPr="004A3533" w:rsidRDefault="00EB13B2" w:rsidP="008F4CF3">
      <w:pPr>
        <w:pStyle w:val="NoSpacing"/>
        <w:rPr>
          <w:rFonts w:asciiTheme="majorHAnsi" w:eastAsia="Times New Roman" w:hAnsiTheme="majorHAnsi" w:cs="Arial"/>
          <w:b/>
          <w:color w:val="002060"/>
        </w:rPr>
      </w:pPr>
      <w:r w:rsidRPr="004A3533">
        <w:rPr>
          <w:rFonts w:asciiTheme="majorHAnsi" w:eastAsia="Times New Roman" w:hAnsiTheme="majorHAnsi" w:cs="Arial"/>
          <w:b/>
          <w:color w:val="002060"/>
        </w:rPr>
        <w:t>Conclusion</w:t>
      </w:r>
    </w:p>
    <w:p w:rsidR="008F4CF3" w:rsidRPr="004A3533" w:rsidRDefault="00EB13B2" w:rsidP="008F4CF3">
      <w:pPr>
        <w:pStyle w:val="NoSpacing"/>
        <w:rPr>
          <w:rFonts w:asciiTheme="minorHAnsi" w:hAnsiTheme="minorHAnsi" w:cs="Arial"/>
          <w:color w:val="auto"/>
        </w:rPr>
      </w:pPr>
      <w:r w:rsidRPr="004A3533">
        <w:rPr>
          <w:rFonts w:asciiTheme="minorHAnsi" w:hAnsiTheme="minorHAnsi" w:cs="Arial"/>
          <w:color w:val="auto"/>
        </w:rPr>
        <w:t xml:space="preserve">There appears to be growing indications that there is a move away from </w:t>
      </w:r>
      <w:r w:rsidR="00FF506E" w:rsidRPr="004A3533">
        <w:rPr>
          <w:rFonts w:asciiTheme="minorHAnsi" w:hAnsiTheme="minorHAnsi" w:cs="Arial"/>
          <w:color w:val="auto"/>
        </w:rPr>
        <w:t>funding disability advocacy indepen</w:t>
      </w:r>
      <w:r w:rsidR="00FD7B78" w:rsidRPr="004A3533">
        <w:rPr>
          <w:rFonts w:asciiTheme="minorHAnsi" w:hAnsiTheme="minorHAnsi" w:cs="Arial"/>
          <w:color w:val="auto"/>
        </w:rPr>
        <w:t>dently of the NDIS despite the Productivity C</w:t>
      </w:r>
      <w:r w:rsidR="00FF506E" w:rsidRPr="004A3533">
        <w:rPr>
          <w:rFonts w:asciiTheme="minorHAnsi" w:hAnsiTheme="minorHAnsi" w:cs="Arial"/>
          <w:color w:val="auto"/>
        </w:rPr>
        <w:t>ommission</w:t>
      </w:r>
      <w:r w:rsidR="00FD7B78" w:rsidRPr="004A3533">
        <w:rPr>
          <w:rFonts w:asciiTheme="minorHAnsi" w:hAnsiTheme="minorHAnsi" w:cs="Arial"/>
          <w:color w:val="auto"/>
        </w:rPr>
        <w:t>’</w:t>
      </w:r>
      <w:r w:rsidR="00FF506E" w:rsidRPr="004A3533">
        <w:rPr>
          <w:rFonts w:asciiTheme="minorHAnsi" w:hAnsiTheme="minorHAnsi" w:cs="Arial"/>
          <w:color w:val="auto"/>
        </w:rPr>
        <w:t>s recommendations.</w:t>
      </w:r>
    </w:p>
    <w:p w:rsidR="00FF506E" w:rsidRPr="004A3533" w:rsidRDefault="00FF506E" w:rsidP="008F4CF3">
      <w:pPr>
        <w:pStyle w:val="NoSpacing"/>
        <w:rPr>
          <w:rFonts w:asciiTheme="minorHAnsi" w:hAnsiTheme="minorHAnsi" w:cs="Arial"/>
          <w:color w:val="auto"/>
        </w:rPr>
      </w:pPr>
    </w:p>
    <w:p w:rsidR="00FF506E" w:rsidRPr="004A3533" w:rsidRDefault="00FF506E" w:rsidP="008F4CF3">
      <w:pPr>
        <w:pStyle w:val="NoSpacing"/>
        <w:rPr>
          <w:rFonts w:asciiTheme="minorHAnsi" w:hAnsiTheme="minorHAnsi" w:cs="Arial"/>
          <w:color w:val="auto"/>
        </w:rPr>
      </w:pPr>
      <w:r w:rsidRPr="004A3533">
        <w:rPr>
          <w:rFonts w:asciiTheme="minorHAnsi" w:hAnsiTheme="minorHAnsi" w:cs="Arial"/>
          <w:color w:val="auto"/>
        </w:rPr>
        <w:t xml:space="preserve">Our service supports the set up of a disability complaints office because there is a need for an ultimate body to deal with significant complaints. Yet the fact remains that many people with a disability prefer to have their complaints settled by alternative </w:t>
      </w:r>
      <w:r w:rsidR="00B13B03" w:rsidRPr="004A3533">
        <w:rPr>
          <w:rFonts w:asciiTheme="minorHAnsi" w:hAnsiTheme="minorHAnsi" w:cs="Arial"/>
          <w:color w:val="auto"/>
        </w:rPr>
        <w:t>less formal way</w:t>
      </w:r>
      <w:r w:rsidRPr="004A3533">
        <w:rPr>
          <w:rFonts w:asciiTheme="minorHAnsi" w:hAnsiTheme="minorHAnsi" w:cs="Arial"/>
          <w:color w:val="auto"/>
        </w:rPr>
        <w:t xml:space="preserve"> with </w:t>
      </w:r>
      <w:r w:rsidR="00B13B03" w:rsidRPr="004A3533">
        <w:rPr>
          <w:rFonts w:asciiTheme="minorHAnsi" w:hAnsiTheme="minorHAnsi" w:cs="Arial"/>
          <w:color w:val="auto"/>
        </w:rPr>
        <w:t>the assistance of an independent disability advocate.</w:t>
      </w:r>
    </w:p>
    <w:p w:rsidR="00B13B03" w:rsidRDefault="00B13B03" w:rsidP="008F4CF3">
      <w:pPr>
        <w:pStyle w:val="NoSpacing"/>
        <w:rPr>
          <w:rFonts w:asciiTheme="minorHAnsi" w:hAnsiTheme="minorHAnsi" w:cs="Arial"/>
          <w:color w:val="auto"/>
        </w:rPr>
      </w:pPr>
    </w:p>
    <w:p w:rsidR="004A3533" w:rsidRDefault="004A3533" w:rsidP="008F4CF3">
      <w:pPr>
        <w:pStyle w:val="NoSpacing"/>
        <w:rPr>
          <w:rFonts w:asciiTheme="minorHAnsi" w:hAnsiTheme="minorHAnsi" w:cs="Arial"/>
          <w:color w:val="auto"/>
        </w:rPr>
      </w:pPr>
    </w:p>
    <w:p w:rsidR="004A3533" w:rsidRPr="004A3533" w:rsidRDefault="004A3533" w:rsidP="008F4CF3">
      <w:pPr>
        <w:pStyle w:val="NoSpacing"/>
        <w:rPr>
          <w:rFonts w:asciiTheme="minorHAnsi" w:hAnsiTheme="minorHAnsi" w:cs="Arial"/>
          <w:color w:val="auto"/>
        </w:rPr>
      </w:pPr>
      <w:r>
        <w:rPr>
          <w:rFonts w:asciiTheme="minorHAnsi" w:hAnsiTheme="minorHAnsi" w:cs="Arial"/>
          <w:noProof/>
          <w:color w:val="auto"/>
          <w:lang w:val="en-AU"/>
        </w:rPr>
        <w:drawing>
          <wp:inline distT="0" distB="0" distL="0" distR="0">
            <wp:extent cx="2143424" cy="704948"/>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g signature.png"/>
                    <pic:cNvPicPr/>
                  </pic:nvPicPr>
                  <pic:blipFill>
                    <a:blip r:embed="rId9">
                      <a:extLst>
                        <a:ext uri="{28A0092B-C50C-407E-A947-70E740481C1C}">
                          <a14:useLocalDpi xmlns:a14="http://schemas.microsoft.com/office/drawing/2010/main" val="0"/>
                        </a:ext>
                      </a:extLst>
                    </a:blip>
                    <a:stretch>
                      <a:fillRect/>
                    </a:stretch>
                  </pic:blipFill>
                  <pic:spPr>
                    <a:xfrm>
                      <a:off x="0" y="0"/>
                      <a:ext cx="2143424" cy="704948"/>
                    </a:xfrm>
                    <a:prstGeom prst="rect">
                      <a:avLst/>
                    </a:prstGeom>
                  </pic:spPr>
                </pic:pic>
              </a:graphicData>
            </a:graphic>
          </wp:inline>
        </w:drawing>
      </w:r>
    </w:p>
    <w:p w:rsidR="008F4CF3" w:rsidRDefault="00887502" w:rsidP="008F4CF3">
      <w:pPr>
        <w:pStyle w:val="NoSpacing"/>
        <w:rPr>
          <w:rFonts w:asciiTheme="minorHAnsi" w:hAnsiTheme="minorHAnsi" w:cs="Arial"/>
          <w:color w:val="auto"/>
        </w:rPr>
      </w:pPr>
      <w:r>
        <w:rPr>
          <w:rFonts w:asciiTheme="minorHAnsi" w:hAnsiTheme="minorHAnsi" w:cs="Arial"/>
          <w:color w:val="auto"/>
        </w:rPr>
        <w:t>Mark Grierson</w:t>
      </w:r>
    </w:p>
    <w:p w:rsidR="00887502" w:rsidRPr="004A3533" w:rsidRDefault="00887502" w:rsidP="008F4CF3">
      <w:pPr>
        <w:pStyle w:val="NoSpacing"/>
        <w:rPr>
          <w:rFonts w:asciiTheme="minorHAnsi" w:hAnsiTheme="minorHAnsi" w:cs="Arial"/>
          <w:color w:val="auto"/>
        </w:rPr>
      </w:pPr>
      <w:r>
        <w:rPr>
          <w:rFonts w:asciiTheme="minorHAnsi" w:hAnsiTheme="minorHAnsi" w:cs="Arial"/>
          <w:color w:val="auto"/>
        </w:rPr>
        <w:t xml:space="preserve">Chief </w:t>
      </w:r>
      <w:r w:rsidR="00C13774">
        <w:rPr>
          <w:rFonts w:asciiTheme="minorHAnsi" w:hAnsiTheme="minorHAnsi" w:cs="Arial"/>
          <w:color w:val="auto"/>
        </w:rPr>
        <w:t>Executive</w:t>
      </w:r>
      <w:r>
        <w:rPr>
          <w:rFonts w:asciiTheme="minorHAnsi" w:hAnsiTheme="minorHAnsi" w:cs="Arial"/>
          <w:color w:val="auto"/>
        </w:rPr>
        <w:t xml:space="preserve"> </w:t>
      </w:r>
      <w:r w:rsidR="00C13774">
        <w:rPr>
          <w:rFonts w:asciiTheme="minorHAnsi" w:hAnsiTheme="minorHAnsi" w:cs="Arial"/>
          <w:color w:val="auto"/>
        </w:rPr>
        <w:t>O</w:t>
      </w:r>
      <w:r>
        <w:rPr>
          <w:rFonts w:asciiTheme="minorHAnsi" w:hAnsiTheme="minorHAnsi" w:cs="Arial"/>
          <w:color w:val="auto"/>
        </w:rPr>
        <w:t>fficer</w:t>
      </w:r>
    </w:p>
    <w:p w:rsidR="00D371BA" w:rsidRPr="004A3533" w:rsidRDefault="00D371BA" w:rsidP="00E44C31">
      <w:pPr>
        <w:rPr>
          <w:rFonts w:asciiTheme="minorHAnsi" w:hAnsiTheme="minorHAnsi" w:cs="Arial"/>
          <w:sz w:val="22"/>
          <w:szCs w:val="22"/>
        </w:rPr>
      </w:pPr>
    </w:p>
    <w:sectPr w:rsidR="00D371BA" w:rsidRPr="004A3533" w:rsidSect="00EA0C4A">
      <w:headerReference w:type="default" r:id="rId10"/>
      <w:footerReference w:type="default" r:id="rId11"/>
      <w:headerReference w:type="first" r:id="rId12"/>
      <w:footerReference w:type="first" r:id="rId13"/>
      <w:pgSz w:w="11906" w:h="16838" w:code="9"/>
      <w:pgMar w:top="1440" w:right="1797" w:bottom="1440" w:left="1797"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CF3" w:rsidRDefault="008F4CF3">
      <w:r>
        <w:separator/>
      </w:r>
    </w:p>
  </w:endnote>
  <w:endnote w:type="continuationSeparator" w:id="0">
    <w:p w:rsidR="008F4CF3" w:rsidRDefault="008F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EED" w:rsidRPr="00025EED" w:rsidRDefault="00025EED" w:rsidP="00025EED">
    <w:pPr>
      <w:tabs>
        <w:tab w:val="center" w:pos="4153"/>
        <w:tab w:val="right" w:pos="8306"/>
      </w:tabs>
      <w:jc w:val="center"/>
      <w:rPr>
        <w:rFonts w:ascii="Century Gothic" w:hAnsi="Century Gothic"/>
        <w:sz w:val="12"/>
        <w:szCs w:val="12"/>
      </w:rPr>
    </w:pPr>
    <w:r w:rsidRPr="00025EED">
      <w:rPr>
        <w:rFonts w:ascii="Century Gothic" w:hAnsi="Century Gothic"/>
        <w:sz w:val="12"/>
        <w:szCs w:val="12"/>
      </w:rPr>
      <w:t xml:space="preserve">Disability Advocacy NSW is a service provided by Advocacy Law Alliance Inc. </w:t>
    </w:r>
    <w:r w:rsidRPr="00025EED">
      <w:rPr>
        <w:rFonts w:ascii="Century Gothic" w:hAnsi="Century Gothic"/>
        <w:sz w:val="12"/>
        <w:szCs w:val="12"/>
      </w:rPr>
      <w:tab/>
      <w:t>Offices are located in Tamworth, Armidale, Coffs Harbour Port Macquarie and Newcastle ABN: 93 9843 83421</w:t>
    </w:r>
  </w:p>
  <w:p w:rsidR="00BE38FE" w:rsidRPr="00060ADB" w:rsidRDefault="004A3533" w:rsidP="00060ADB">
    <w:pPr>
      <w:pStyle w:val="Footer"/>
      <w:rPr>
        <w:szCs w:val="12"/>
      </w:rPr>
    </w:pPr>
    <w:r w:rsidRPr="004A3533">
      <w:rPr>
        <w:szCs w:val="12"/>
      </w:rPr>
      <w:t xml:space="preserve">Page | </w:t>
    </w:r>
    <w:r w:rsidRPr="004A3533">
      <w:rPr>
        <w:szCs w:val="12"/>
      </w:rPr>
      <w:fldChar w:fldCharType="begin"/>
    </w:r>
    <w:r w:rsidRPr="004A3533">
      <w:rPr>
        <w:szCs w:val="12"/>
      </w:rPr>
      <w:instrText xml:space="preserve"> PAGE   \* MERGEFORMAT </w:instrText>
    </w:r>
    <w:r w:rsidRPr="004A3533">
      <w:rPr>
        <w:szCs w:val="12"/>
      </w:rPr>
      <w:fldChar w:fldCharType="separate"/>
    </w:r>
    <w:r w:rsidR="002603D0">
      <w:rPr>
        <w:noProof/>
        <w:szCs w:val="12"/>
      </w:rPr>
      <w:t>1</w:t>
    </w:r>
    <w:r w:rsidRPr="004A3533">
      <w:rPr>
        <w:noProof/>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BE" w:rsidRDefault="00E45ACA" w:rsidP="00EF69BE">
    <w:pPr>
      <w:pStyle w:val="Footer"/>
      <w:jc w:val="center"/>
      <w:rPr>
        <w:rFonts w:ascii="Century Gothic" w:hAnsi="Century Gothic"/>
        <w:sz w:val="12"/>
        <w:szCs w:val="12"/>
      </w:rPr>
    </w:pPr>
    <w:r>
      <w:rPr>
        <w:rFonts w:ascii="Century Gothic" w:hAnsi="Century Gothic"/>
        <w:sz w:val="12"/>
        <w:szCs w:val="12"/>
      </w:rPr>
      <w:t xml:space="preserve">Advocacy Law Alliance Inc. </w:t>
    </w:r>
    <w:r w:rsidR="00EF69BE">
      <w:rPr>
        <w:rFonts w:ascii="Century Gothic" w:hAnsi="Century Gothic"/>
        <w:sz w:val="12"/>
        <w:szCs w:val="12"/>
      </w:rPr>
      <w:t>ABN 9</w:t>
    </w:r>
    <w:r>
      <w:rPr>
        <w:rFonts w:ascii="Century Gothic" w:hAnsi="Century Gothic"/>
        <w:sz w:val="12"/>
        <w:szCs w:val="12"/>
      </w:rPr>
      <w:t>3984383421</w:t>
    </w:r>
  </w:p>
  <w:p w:rsidR="00BE38FE" w:rsidRPr="00EF69BE" w:rsidRDefault="00BE38FE" w:rsidP="00EF69BE">
    <w:pPr>
      <w:pStyle w:val="Footer"/>
      <w:rPr>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CF3" w:rsidRDefault="008F4CF3">
      <w:r>
        <w:separator/>
      </w:r>
    </w:p>
  </w:footnote>
  <w:footnote w:type="continuationSeparator" w:id="0">
    <w:p w:rsidR="008F4CF3" w:rsidRDefault="008F4CF3">
      <w:r>
        <w:continuationSeparator/>
      </w:r>
    </w:p>
  </w:footnote>
  <w:footnote w:id="1">
    <w:p w:rsidR="008F4CF3" w:rsidRDefault="008F4CF3" w:rsidP="008F4CF3">
      <w:pPr>
        <w:pStyle w:val="FootnoteText"/>
      </w:pPr>
      <w:r>
        <w:rPr>
          <w:rFonts w:ascii="Times New Roman" w:eastAsia="Times New Roman" w:hAnsi="Times New Roman" w:cs="Times New Roman"/>
          <w:sz w:val="24"/>
          <w:szCs w:val="24"/>
          <w:vertAlign w:val="superscript"/>
        </w:rPr>
        <w:footnoteRef/>
      </w:r>
      <w:r>
        <w:t xml:space="preserve"> Productivity Commission 2011, p. 524</w:t>
      </w:r>
    </w:p>
  </w:footnote>
  <w:footnote w:id="2">
    <w:p w:rsidR="008F4CF3" w:rsidRDefault="008F4CF3" w:rsidP="008F4CF3">
      <w:pPr>
        <w:pStyle w:val="FootnoteText"/>
      </w:pPr>
      <w:r>
        <w:rPr>
          <w:rFonts w:ascii="Times New Roman" w:eastAsia="Times New Roman" w:hAnsi="Times New Roman" w:cs="Times New Roman"/>
          <w:sz w:val="24"/>
          <w:szCs w:val="24"/>
          <w:vertAlign w:val="superscript"/>
        </w:rPr>
        <w:footnoteRef/>
      </w:r>
      <w:r>
        <w:t xml:space="preserve"> Productivity Commission 2011, p. 525</w:t>
      </w:r>
    </w:p>
  </w:footnote>
  <w:footnote w:id="3">
    <w:p w:rsidR="008F4CF3" w:rsidRDefault="008F4CF3" w:rsidP="008F4CF3">
      <w:pPr>
        <w:pStyle w:val="FootnoteText"/>
      </w:pPr>
      <w:r>
        <w:rPr>
          <w:rFonts w:ascii="Times New Roman" w:eastAsia="Times New Roman" w:hAnsi="Times New Roman" w:cs="Times New Roman"/>
          <w:sz w:val="24"/>
          <w:szCs w:val="24"/>
          <w:vertAlign w:val="superscript"/>
        </w:rPr>
        <w:footnoteRef/>
      </w:r>
      <w:r>
        <w:t xml:space="preserve"> Productivity Commission 2011, p. 525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840"/>
      <w:gridCol w:w="2128"/>
      <w:gridCol w:w="3554"/>
    </w:tblGrid>
    <w:tr w:rsidR="00EA0C4A" w:rsidRPr="00B74B8A" w:rsidTr="00B74B8A">
      <w:tc>
        <w:tcPr>
          <w:tcW w:w="8522" w:type="dxa"/>
          <w:gridSpan w:val="3"/>
          <w:tcBorders>
            <w:bottom w:val="single" w:sz="4" w:space="0" w:color="auto"/>
          </w:tcBorders>
          <w:shd w:val="clear" w:color="auto" w:fill="auto"/>
        </w:tcPr>
        <w:p w:rsidR="00EA0C4A" w:rsidRPr="00B74B8A" w:rsidRDefault="00EA0C4A" w:rsidP="00B74B8A">
          <w:pPr>
            <w:pStyle w:val="Header"/>
            <w:tabs>
              <w:tab w:val="left" w:pos="5953"/>
            </w:tabs>
            <w:rPr>
              <w:rFonts w:ascii="Century Gothic" w:hAnsi="Century Gothic"/>
              <w:b/>
              <w:color w:val="333399"/>
              <w:sz w:val="16"/>
              <w:szCs w:val="16"/>
            </w:rPr>
          </w:pPr>
          <w:r w:rsidRPr="00B74B8A">
            <w:rPr>
              <w:rFonts w:ascii="Century Gothic" w:hAnsi="Century Gothic"/>
              <w:color w:val="333399"/>
              <w:sz w:val="16"/>
              <w:szCs w:val="16"/>
            </w:rPr>
            <w:t xml:space="preserve">                 www.da.org.au </w:t>
          </w:r>
          <w:r w:rsidRPr="00B74B8A">
            <w:rPr>
              <w:rFonts w:ascii="Century Gothic" w:hAnsi="Century Gothic"/>
              <w:b/>
              <w:color w:val="333399"/>
              <w:sz w:val="16"/>
              <w:szCs w:val="16"/>
            </w:rPr>
            <w:t xml:space="preserve">                                                                        </w:t>
          </w:r>
          <w:r w:rsidRPr="00B74B8A">
            <w:rPr>
              <w:rFonts w:ascii="Century Gothic" w:hAnsi="Century Gothic"/>
              <w:b/>
              <w:color w:val="333399"/>
              <w:sz w:val="18"/>
              <w:szCs w:val="18"/>
            </w:rPr>
            <w:t xml:space="preserve"> Disability Advocacy NSW</w:t>
          </w:r>
          <w:r w:rsidRPr="00B74B8A">
            <w:rPr>
              <w:rFonts w:ascii="Century Gothic" w:hAnsi="Century Gothic"/>
              <w:color w:val="333399"/>
              <w:sz w:val="18"/>
              <w:szCs w:val="18"/>
            </w:rPr>
            <w:t xml:space="preserve"> </w:t>
          </w:r>
          <w:r w:rsidRPr="00B74B8A">
            <w:rPr>
              <w:rFonts w:ascii="Century Gothic" w:hAnsi="Century Gothic"/>
              <w:color w:val="333399"/>
              <w:sz w:val="16"/>
              <w:szCs w:val="16"/>
            </w:rPr>
            <w:t xml:space="preserve">                                       </w:t>
          </w:r>
        </w:p>
      </w:tc>
    </w:tr>
    <w:tr w:rsidR="00EA0C4A" w:rsidTr="00B74B8A">
      <w:trPr>
        <w:trHeight w:val="555"/>
      </w:trPr>
      <w:tc>
        <w:tcPr>
          <w:tcW w:w="2840" w:type="dxa"/>
          <w:tcBorders>
            <w:top w:val="single" w:sz="4" w:space="0" w:color="auto"/>
          </w:tcBorders>
          <w:shd w:val="clear" w:color="auto" w:fill="auto"/>
        </w:tcPr>
        <w:p w:rsidR="00EA0C4A" w:rsidRPr="00B74B8A" w:rsidRDefault="00EA0C4A" w:rsidP="00B74B8A">
          <w:pPr>
            <w:pStyle w:val="Header"/>
            <w:jc w:val="center"/>
            <w:rPr>
              <w:color w:val="333399"/>
              <w:sz w:val="16"/>
              <w:szCs w:val="16"/>
            </w:rPr>
          </w:pPr>
        </w:p>
        <w:p w:rsidR="00EA0C4A" w:rsidRPr="00B74B8A" w:rsidRDefault="008F4CF3" w:rsidP="00B74B8A">
          <w:pPr>
            <w:pStyle w:val="Header"/>
            <w:jc w:val="center"/>
            <w:rPr>
              <w:rFonts w:ascii="Century Gothic" w:hAnsi="Century Gothic"/>
              <w:color w:val="333399"/>
              <w:sz w:val="16"/>
              <w:szCs w:val="16"/>
            </w:rPr>
          </w:pPr>
          <w:r>
            <w:rPr>
              <w:rFonts w:ascii="Century Gothic" w:hAnsi="Century Gothic"/>
              <w:noProof/>
              <w:color w:val="333399"/>
              <w:sz w:val="16"/>
              <w:szCs w:val="16"/>
            </w:rPr>
            <w:drawing>
              <wp:inline distT="0" distB="0" distL="0" distR="0">
                <wp:extent cx="824865" cy="667385"/>
                <wp:effectExtent l="0" t="0" r="0" b="0"/>
                <wp:docPr id="1" name="Picture 1" descr="Main DA NSW logo bl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DA NSW logo blu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667385"/>
                        </a:xfrm>
                        <a:prstGeom prst="rect">
                          <a:avLst/>
                        </a:prstGeom>
                        <a:noFill/>
                        <a:ln>
                          <a:noFill/>
                        </a:ln>
                      </pic:spPr>
                    </pic:pic>
                  </a:graphicData>
                </a:graphic>
              </wp:inline>
            </w:drawing>
          </w:r>
        </w:p>
      </w:tc>
      <w:tc>
        <w:tcPr>
          <w:tcW w:w="2128" w:type="dxa"/>
          <w:tcBorders>
            <w:top w:val="single" w:sz="4" w:space="0" w:color="auto"/>
          </w:tcBorders>
          <w:shd w:val="clear" w:color="auto" w:fill="auto"/>
        </w:tcPr>
        <w:p w:rsidR="00EA0C4A" w:rsidRPr="00B74B8A" w:rsidRDefault="00EA0C4A" w:rsidP="00DE2257">
          <w:pPr>
            <w:pStyle w:val="Header"/>
            <w:rPr>
              <w:rFonts w:ascii="Century Gothic" w:hAnsi="Century Gothic"/>
              <w:b/>
              <w:color w:val="333399"/>
              <w:sz w:val="16"/>
              <w:szCs w:val="16"/>
            </w:rPr>
          </w:pPr>
        </w:p>
        <w:p w:rsidR="00EA0C4A" w:rsidRPr="00B74B8A" w:rsidRDefault="00EA0C4A" w:rsidP="00DE2257">
          <w:pPr>
            <w:pStyle w:val="Header"/>
            <w:rPr>
              <w:rFonts w:ascii="Century Gothic" w:hAnsi="Century Gothic"/>
              <w:color w:val="333399"/>
              <w:sz w:val="16"/>
              <w:szCs w:val="16"/>
            </w:rPr>
          </w:pPr>
        </w:p>
      </w:tc>
      <w:tc>
        <w:tcPr>
          <w:tcW w:w="3554" w:type="dxa"/>
          <w:tcBorders>
            <w:top w:val="single" w:sz="4" w:space="0" w:color="auto"/>
          </w:tcBorders>
          <w:shd w:val="clear" w:color="auto" w:fill="auto"/>
        </w:tcPr>
        <w:p w:rsidR="00EA0C4A" w:rsidRPr="00B74B8A" w:rsidRDefault="00EA0C4A" w:rsidP="00DE2257">
          <w:pPr>
            <w:pStyle w:val="Header"/>
            <w:rPr>
              <w:rFonts w:ascii="Century Gothic" w:hAnsi="Century Gothic"/>
              <w:b/>
              <w:color w:val="333399"/>
              <w:sz w:val="16"/>
              <w:szCs w:val="16"/>
            </w:rPr>
          </w:pPr>
        </w:p>
        <w:p w:rsidR="00EA0C4A" w:rsidRPr="00B74B8A" w:rsidRDefault="00EA0C4A" w:rsidP="00B74B8A">
          <w:pPr>
            <w:pStyle w:val="Header"/>
            <w:jc w:val="both"/>
            <w:rPr>
              <w:rFonts w:ascii="Century Gothic" w:hAnsi="Century Gothic"/>
              <w:color w:val="333399"/>
              <w:sz w:val="16"/>
              <w:szCs w:val="16"/>
            </w:rPr>
          </w:pPr>
          <w:r w:rsidRPr="00B74B8A">
            <w:rPr>
              <w:rFonts w:ascii="Century Gothic" w:hAnsi="Century Gothic"/>
              <w:color w:val="333399"/>
              <w:sz w:val="16"/>
              <w:szCs w:val="16"/>
            </w:rPr>
            <w:t>Suite</w:t>
          </w:r>
          <w:r w:rsidR="002A4C02">
            <w:rPr>
              <w:rFonts w:ascii="Century Gothic" w:hAnsi="Century Gothic"/>
              <w:color w:val="333399"/>
              <w:sz w:val="16"/>
              <w:szCs w:val="16"/>
            </w:rPr>
            <w:t xml:space="preserve"> 1  Level 2</w:t>
          </w:r>
          <w:r w:rsidRPr="00B74B8A">
            <w:rPr>
              <w:rFonts w:ascii="Century Gothic" w:hAnsi="Century Gothic"/>
              <w:color w:val="333399"/>
              <w:sz w:val="16"/>
              <w:szCs w:val="16"/>
            </w:rPr>
            <w:t xml:space="preserve">, 408 King Street </w:t>
          </w:r>
        </w:p>
        <w:p w:rsidR="00EA0C4A" w:rsidRPr="00B74B8A" w:rsidRDefault="00EA0C4A" w:rsidP="00B74B8A">
          <w:pPr>
            <w:pStyle w:val="Header"/>
            <w:jc w:val="both"/>
            <w:rPr>
              <w:rFonts w:ascii="Century Gothic" w:hAnsi="Century Gothic"/>
              <w:color w:val="333399"/>
              <w:sz w:val="16"/>
              <w:szCs w:val="16"/>
            </w:rPr>
          </w:pPr>
          <w:r w:rsidRPr="00B74B8A">
            <w:rPr>
              <w:rFonts w:ascii="Century Gothic" w:hAnsi="Century Gothic"/>
              <w:color w:val="333399"/>
              <w:sz w:val="16"/>
              <w:szCs w:val="16"/>
            </w:rPr>
            <w:t>Newcastle West NSW 2302</w:t>
          </w:r>
        </w:p>
        <w:p w:rsidR="00EA0C4A" w:rsidRPr="00B74B8A" w:rsidRDefault="00EA0C4A" w:rsidP="00B74B8A">
          <w:pPr>
            <w:pStyle w:val="Header"/>
            <w:jc w:val="both"/>
            <w:rPr>
              <w:rFonts w:ascii="Century Gothic" w:hAnsi="Century Gothic"/>
              <w:color w:val="333399"/>
              <w:sz w:val="16"/>
              <w:szCs w:val="16"/>
            </w:rPr>
          </w:pPr>
          <w:proofErr w:type="spellStart"/>
          <w:r w:rsidRPr="00B74B8A">
            <w:rPr>
              <w:rFonts w:ascii="Century Gothic" w:hAnsi="Century Gothic"/>
              <w:color w:val="333399"/>
              <w:sz w:val="16"/>
              <w:szCs w:val="16"/>
            </w:rPr>
            <w:t>Ph</w:t>
          </w:r>
          <w:proofErr w:type="spellEnd"/>
          <w:r w:rsidRPr="00B74B8A">
            <w:rPr>
              <w:rFonts w:ascii="Century Gothic" w:hAnsi="Century Gothic"/>
              <w:color w:val="333399"/>
              <w:sz w:val="16"/>
              <w:szCs w:val="16"/>
            </w:rPr>
            <w:t>: 02 4927  0111 / 1300 365 085</w:t>
          </w:r>
        </w:p>
        <w:p w:rsidR="00EA0C4A" w:rsidRPr="00B74B8A" w:rsidRDefault="00EA0C4A" w:rsidP="00B74B8A">
          <w:pPr>
            <w:pStyle w:val="Header"/>
            <w:jc w:val="both"/>
            <w:rPr>
              <w:rFonts w:ascii="Century Gothic" w:hAnsi="Century Gothic"/>
              <w:color w:val="333399"/>
              <w:sz w:val="16"/>
              <w:szCs w:val="16"/>
            </w:rPr>
          </w:pPr>
          <w:r w:rsidRPr="00B74B8A">
            <w:rPr>
              <w:rFonts w:ascii="Century Gothic" w:hAnsi="Century Gothic"/>
              <w:color w:val="333399"/>
              <w:sz w:val="16"/>
              <w:szCs w:val="16"/>
            </w:rPr>
            <w:t>Fax:  02 4927  0114</w:t>
          </w:r>
        </w:p>
        <w:p w:rsidR="00EA0C4A" w:rsidRPr="00B74B8A" w:rsidRDefault="008F4CF3" w:rsidP="00B74B8A">
          <w:pPr>
            <w:pStyle w:val="Header"/>
            <w:jc w:val="both"/>
            <w:rPr>
              <w:color w:val="333399"/>
              <w:sz w:val="16"/>
              <w:szCs w:val="16"/>
            </w:rPr>
          </w:pPr>
          <w:r>
            <w:rPr>
              <w:rFonts w:ascii="Century Gothic" w:hAnsi="Century Gothic"/>
              <w:color w:val="333399"/>
              <w:sz w:val="16"/>
              <w:szCs w:val="16"/>
            </w:rPr>
            <w:t>e-mail: ceo</w:t>
          </w:r>
          <w:r w:rsidR="00EA0C4A" w:rsidRPr="00B74B8A">
            <w:rPr>
              <w:rFonts w:ascii="Century Gothic" w:hAnsi="Century Gothic"/>
              <w:color w:val="333399"/>
              <w:sz w:val="16"/>
              <w:szCs w:val="16"/>
            </w:rPr>
            <w:t>@da.org.au</w:t>
          </w:r>
        </w:p>
      </w:tc>
    </w:tr>
  </w:tbl>
  <w:p w:rsidR="00EA0C4A" w:rsidRDefault="00EA0C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840"/>
      <w:gridCol w:w="2128"/>
      <w:gridCol w:w="3554"/>
    </w:tblGrid>
    <w:tr w:rsidR="00BE38FE" w:rsidRPr="00B74B8A" w:rsidTr="00B74B8A">
      <w:tc>
        <w:tcPr>
          <w:tcW w:w="8522" w:type="dxa"/>
          <w:gridSpan w:val="3"/>
          <w:tcBorders>
            <w:bottom w:val="single" w:sz="4" w:space="0" w:color="auto"/>
          </w:tcBorders>
          <w:shd w:val="clear" w:color="auto" w:fill="auto"/>
        </w:tcPr>
        <w:p w:rsidR="00BE38FE" w:rsidRPr="00B74B8A" w:rsidRDefault="000B725B" w:rsidP="00B74B8A">
          <w:pPr>
            <w:pStyle w:val="Header"/>
            <w:tabs>
              <w:tab w:val="left" w:pos="5953"/>
            </w:tabs>
            <w:rPr>
              <w:rFonts w:ascii="Century Gothic" w:hAnsi="Century Gothic"/>
              <w:b/>
              <w:color w:val="333399"/>
              <w:sz w:val="16"/>
              <w:szCs w:val="16"/>
            </w:rPr>
          </w:pPr>
          <w:r w:rsidRPr="00B74B8A">
            <w:rPr>
              <w:rFonts w:ascii="Century Gothic" w:hAnsi="Century Gothic"/>
              <w:color w:val="333399"/>
              <w:sz w:val="16"/>
              <w:szCs w:val="16"/>
            </w:rPr>
            <w:t xml:space="preserve">                 www.da</w:t>
          </w:r>
          <w:r w:rsidR="009C30AA" w:rsidRPr="00B74B8A">
            <w:rPr>
              <w:rFonts w:ascii="Century Gothic" w:hAnsi="Century Gothic"/>
              <w:color w:val="333399"/>
              <w:sz w:val="16"/>
              <w:szCs w:val="16"/>
            </w:rPr>
            <w:t>.</w:t>
          </w:r>
          <w:r w:rsidR="00770F9A" w:rsidRPr="00B74B8A">
            <w:rPr>
              <w:rFonts w:ascii="Century Gothic" w:hAnsi="Century Gothic"/>
              <w:color w:val="333399"/>
              <w:sz w:val="16"/>
              <w:szCs w:val="16"/>
            </w:rPr>
            <w:t>org.</w:t>
          </w:r>
          <w:r w:rsidR="009C30AA" w:rsidRPr="00B74B8A">
            <w:rPr>
              <w:rFonts w:ascii="Century Gothic" w:hAnsi="Century Gothic"/>
              <w:color w:val="333399"/>
              <w:sz w:val="16"/>
              <w:szCs w:val="16"/>
            </w:rPr>
            <w:t xml:space="preserve">au </w:t>
          </w:r>
          <w:r w:rsidR="00112760" w:rsidRPr="00B74B8A">
            <w:rPr>
              <w:rFonts w:ascii="Century Gothic" w:hAnsi="Century Gothic"/>
              <w:b/>
              <w:color w:val="333399"/>
              <w:sz w:val="16"/>
              <w:szCs w:val="16"/>
            </w:rPr>
            <w:t xml:space="preserve">                                            </w:t>
          </w:r>
          <w:r w:rsidRPr="00B74B8A">
            <w:rPr>
              <w:rFonts w:ascii="Century Gothic" w:hAnsi="Century Gothic"/>
              <w:b/>
              <w:color w:val="333399"/>
              <w:sz w:val="16"/>
              <w:szCs w:val="16"/>
            </w:rPr>
            <w:t xml:space="preserve">                            </w:t>
          </w:r>
          <w:r w:rsidRPr="00B74B8A">
            <w:rPr>
              <w:rFonts w:ascii="Century Gothic" w:hAnsi="Century Gothic"/>
              <w:b/>
              <w:color w:val="333399"/>
              <w:sz w:val="18"/>
              <w:szCs w:val="18"/>
            </w:rPr>
            <w:t xml:space="preserve"> </w:t>
          </w:r>
          <w:r w:rsidR="00BE38FE" w:rsidRPr="00B74B8A">
            <w:rPr>
              <w:rFonts w:ascii="Century Gothic" w:hAnsi="Century Gothic"/>
              <w:b/>
              <w:color w:val="333399"/>
              <w:sz w:val="18"/>
              <w:szCs w:val="18"/>
            </w:rPr>
            <w:t>Disability Advocacy NSW</w:t>
          </w:r>
          <w:r w:rsidR="004A3700" w:rsidRPr="00B74B8A">
            <w:rPr>
              <w:rFonts w:ascii="Century Gothic" w:hAnsi="Century Gothic"/>
              <w:color w:val="333399"/>
              <w:sz w:val="18"/>
              <w:szCs w:val="18"/>
            </w:rPr>
            <w:t xml:space="preserve"> </w:t>
          </w:r>
          <w:r w:rsidR="004A3700" w:rsidRPr="00B74B8A">
            <w:rPr>
              <w:rFonts w:ascii="Century Gothic" w:hAnsi="Century Gothic"/>
              <w:color w:val="333399"/>
              <w:sz w:val="16"/>
              <w:szCs w:val="16"/>
            </w:rPr>
            <w:t xml:space="preserve">                </w:t>
          </w:r>
          <w:r w:rsidR="004F24D8" w:rsidRPr="00B74B8A">
            <w:rPr>
              <w:rFonts w:ascii="Century Gothic" w:hAnsi="Century Gothic"/>
              <w:color w:val="333399"/>
              <w:sz w:val="16"/>
              <w:szCs w:val="16"/>
            </w:rPr>
            <w:t xml:space="preserve">                      </w:t>
          </w:r>
          <w:r w:rsidR="00BE38FE" w:rsidRPr="00B74B8A">
            <w:rPr>
              <w:rFonts w:ascii="Century Gothic" w:hAnsi="Century Gothic"/>
              <w:color w:val="333399"/>
              <w:sz w:val="16"/>
              <w:szCs w:val="16"/>
            </w:rPr>
            <w:t xml:space="preserve"> </w:t>
          </w:r>
        </w:p>
      </w:tc>
    </w:tr>
    <w:tr w:rsidR="00BE38FE" w:rsidTr="00B74B8A">
      <w:trPr>
        <w:trHeight w:val="555"/>
      </w:trPr>
      <w:tc>
        <w:tcPr>
          <w:tcW w:w="2840" w:type="dxa"/>
          <w:tcBorders>
            <w:top w:val="single" w:sz="4" w:space="0" w:color="auto"/>
          </w:tcBorders>
          <w:shd w:val="clear" w:color="auto" w:fill="auto"/>
        </w:tcPr>
        <w:p w:rsidR="00BE38FE" w:rsidRPr="00B74B8A" w:rsidRDefault="00BE38FE" w:rsidP="00B74B8A">
          <w:pPr>
            <w:pStyle w:val="Header"/>
            <w:jc w:val="center"/>
            <w:rPr>
              <w:color w:val="333399"/>
              <w:sz w:val="16"/>
              <w:szCs w:val="16"/>
            </w:rPr>
          </w:pPr>
        </w:p>
        <w:p w:rsidR="00BE38FE" w:rsidRPr="00B74B8A" w:rsidRDefault="008F4CF3" w:rsidP="00B74B8A">
          <w:pPr>
            <w:pStyle w:val="Header"/>
            <w:jc w:val="center"/>
            <w:rPr>
              <w:rFonts w:ascii="Century Gothic" w:hAnsi="Century Gothic"/>
              <w:color w:val="333399"/>
              <w:sz w:val="16"/>
              <w:szCs w:val="16"/>
            </w:rPr>
          </w:pPr>
          <w:r>
            <w:rPr>
              <w:rFonts w:ascii="Century Gothic" w:hAnsi="Century Gothic"/>
              <w:noProof/>
              <w:color w:val="333399"/>
              <w:sz w:val="16"/>
              <w:szCs w:val="16"/>
            </w:rPr>
            <w:drawing>
              <wp:inline distT="0" distB="0" distL="0" distR="0">
                <wp:extent cx="824865" cy="667385"/>
                <wp:effectExtent l="0" t="0" r="0" b="0"/>
                <wp:docPr id="2" name="Picture 2" descr="Main DA NSW logo bl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DA NSW logo blu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667385"/>
                        </a:xfrm>
                        <a:prstGeom prst="rect">
                          <a:avLst/>
                        </a:prstGeom>
                        <a:noFill/>
                        <a:ln>
                          <a:noFill/>
                        </a:ln>
                      </pic:spPr>
                    </pic:pic>
                  </a:graphicData>
                </a:graphic>
              </wp:inline>
            </w:drawing>
          </w:r>
        </w:p>
      </w:tc>
      <w:tc>
        <w:tcPr>
          <w:tcW w:w="2128" w:type="dxa"/>
          <w:tcBorders>
            <w:top w:val="single" w:sz="4" w:space="0" w:color="auto"/>
          </w:tcBorders>
          <w:shd w:val="clear" w:color="auto" w:fill="auto"/>
        </w:tcPr>
        <w:p w:rsidR="00BE38FE" w:rsidRPr="00B74B8A" w:rsidRDefault="00BE38FE" w:rsidP="00A73E59">
          <w:pPr>
            <w:pStyle w:val="Header"/>
            <w:rPr>
              <w:rFonts w:ascii="Century Gothic" w:hAnsi="Century Gothic"/>
              <w:b/>
              <w:color w:val="333399"/>
              <w:sz w:val="16"/>
              <w:szCs w:val="16"/>
            </w:rPr>
          </w:pPr>
        </w:p>
        <w:p w:rsidR="00BE38FE" w:rsidRPr="00B74B8A" w:rsidRDefault="00BE38FE" w:rsidP="00A73E59">
          <w:pPr>
            <w:pStyle w:val="Header"/>
            <w:rPr>
              <w:rFonts w:ascii="Century Gothic" w:hAnsi="Century Gothic"/>
              <w:color w:val="333399"/>
              <w:sz w:val="16"/>
              <w:szCs w:val="16"/>
            </w:rPr>
          </w:pPr>
        </w:p>
      </w:tc>
      <w:tc>
        <w:tcPr>
          <w:tcW w:w="3554" w:type="dxa"/>
          <w:tcBorders>
            <w:top w:val="single" w:sz="4" w:space="0" w:color="auto"/>
          </w:tcBorders>
          <w:shd w:val="clear" w:color="auto" w:fill="auto"/>
        </w:tcPr>
        <w:p w:rsidR="00112760" w:rsidRPr="00B74B8A" w:rsidRDefault="00112760" w:rsidP="001F0311">
          <w:pPr>
            <w:pStyle w:val="Header"/>
            <w:rPr>
              <w:rFonts w:ascii="Century Gothic" w:hAnsi="Century Gothic"/>
              <w:b/>
              <w:color w:val="333399"/>
              <w:sz w:val="16"/>
              <w:szCs w:val="16"/>
            </w:rPr>
          </w:pPr>
        </w:p>
        <w:p w:rsidR="001F0311" w:rsidRPr="00B74B8A" w:rsidRDefault="00112760" w:rsidP="00B74B8A">
          <w:pPr>
            <w:pStyle w:val="Header"/>
            <w:jc w:val="both"/>
            <w:rPr>
              <w:rFonts w:ascii="Century Gothic" w:hAnsi="Century Gothic"/>
              <w:b/>
              <w:color w:val="333399"/>
              <w:sz w:val="16"/>
              <w:szCs w:val="16"/>
            </w:rPr>
          </w:pPr>
          <w:r w:rsidRPr="00B74B8A">
            <w:rPr>
              <w:rFonts w:ascii="Century Gothic" w:hAnsi="Century Gothic"/>
              <w:b/>
              <w:color w:val="333399"/>
              <w:sz w:val="16"/>
              <w:szCs w:val="16"/>
            </w:rPr>
            <w:t xml:space="preserve">Hunter </w:t>
          </w:r>
          <w:r w:rsidR="00E04F74" w:rsidRPr="00B74B8A">
            <w:rPr>
              <w:rFonts w:ascii="Century Gothic" w:hAnsi="Century Gothic"/>
              <w:b/>
              <w:color w:val="333399"/>
              <w:sz w:val="16"/>
              <w:szCs w:val="16"/>
            </w:rPr>
            <w:t>Region</w:t>
          </w:r>
        </w:p>
        <w:p w:rsidR="001F0311" w:rsidRPr="00B74B8A" w:rsidRDefault="001F0311" w:rsidP="00B74B8A">
          <w:pPr>
            <w:pStyle w:val="Header"/>
            <w:jc w:val="both"/>
            <w:rPr>
              <w:rFonts w:ascii="Century Gothic" w:hAnsi="Century Gothic"/>
              <w:color w:val="333399"/>
              <w:sz w:val="16"/>
              <w:szCs w:val="16"/>
            </w:rPr>
          </w:pPr>
          <w:r w:rsidRPr="00B74B8A">
            <w:rPr>
              <w:rFonts w:ascii="Century Gothic" w:hAnsi="Century Gothic"/>
              <w:color w:val="333399"/>
              <w:sz w:val="16"/>
              <w:szCs w:val="16"/>
            </w:rPr>
            <w:t>Suite 3</w:t>
          </w:r>
          <w:r w:rsidR="000B725B" w:rsidRPr="00B74B8A">
            <w:rPr>
              <w:rFonts w:ascii="Century Gothic" w:hAnsi="Century Gothic"/>
              <w:color w:val="333399"/>
              <w:sz w:val="16"/>
              <w:szCs w:val="16"/>
            </w:rPr>
            <w:t xml:space="preserve"> </w:t>
          </w:r>
          <w:r w:rsidRPr="00B74B8A">
            <w:rPr>
              <w:rFonts w:ascii="Century Gothic" w:hAnsi="Century Gothic"/>
              <w:color w:val="333399"/>
              <w:sz w:val="16"/>
              <w:szCs w:val="16"/>
            </w:rPr>
            <w:t xml:space="preserve"> Level 1</w:t>
          </w:r>
          <w:r w:rsidR="00307C64" w:rsidRPr="00B74B8A">
            <w:rPr>
              <w:rFonts w:ascii="Century Gothic" w:hAnsi="Century Gothic"/>
              <w:color w:val="333399"/>
              <w:sz w:val="16"/>
              <w:szCs w:val="16"/>
            </w:rPr>
            <w:t>,</w:t>
          </w:r>
          <w:r w:rsidR="00E04F74" w:rsidRPr="00B74B8A">
            <w:rPr>
              <w:rFonts w:ascii="Century Gothic" w:hAnsi="Century Gothic"/>
              <w:color w:val="333399"/>
              <w:sz w:val="16"/>
              <w:szCs w:val="16"/>
            </w:rPr>
            <w:t xml:space="preserve"> </w:t>
          </w:r>
          <w:r w:rsidRPr="00B74B8A">
            <w:rPr>
              <w:rFonts w:ascii="Century Gothic" w:hAnsi="Century Gothic"/>
              <w:color w:val="333399"/>
              <w:sz w:val="16"/>
              <w:szCs w:val="16"/>
            </w:rPr>
            <w:t>408 King St</w:t>
          </w:r>
          <w:r w:rsidR="000B725B" w:rsidRPr="00B74B8A">
            <w:rPr>
              <w:rFonts w:ascii="Century Gothic" w:hAnsi="Century Gothic"/>
              <w:color w:val="333399"/>
              <w:sz w:val="16"/>
              <w:szCs w:val="16"/>
            </w:rPr>
            <w:t>reet</w:t>
          </w:r>
          <w:r w:rsidRPr="00B74B8A">
            <w:rPr>
              <w:rFonts w:ascii="Century Gothic" w:hAnsi="Century Gothic"/>
              <w:color w:val="333399"/>
              <w:sz w:val="16"/>
              <w:szCs w:val="16"/>
            </w:rPr>
            <w:t xml:space="preserve"> </w:t>
          </w:r>
        </w:p>
        <w:p w:rsidR="001F0311" w:rsidRPr="00B74B8A" w:rsidRDefault="00307C64" w:rsidP="00B74B8A">
          <w:pPr>
            <w:pStyle w:val="Header"/>
            <w:jc w:val="both"/>
            <w:rPr>
              <w:rFonts w:ascii="Century Gothic" w:hAnsi="Century Gothic"/>
              <w:color w:val="333399"/>
              <w:sz w:val="16"/>
              <w:szCs w:val="16"/>
            </w:rPr>
          </w:pPr>
          <w:r w:rsidRPr="00B74B8A">
            <w:rPr>
              <w:rFonts w:ascii="Century Gothic" w:hAnsi="Century Gothic"/>
              <w:color w:val="333399"/>
              <w:sz w:val="16"/>
              <w:szCs w:val="16"/>
            </w:rPr>
            <w:t>Newcastle West NSW</w:t>
          </w:r>
          <w:r w:rsidR="00720B3D" w:rsidRPr="00B74B8A">
            <w:rPr>
              <w:rFonts w:ascii="Century Gothic" w:hAnsi="Century Gothic"/>
              <w:color w:val="333399"/>
              <w:sz w:val="16"/>
              <w:szCs w:val="16"/>
            </w:rPr>
            <w:t xml:space="preserve"> </w:t>
          </w:r>
          <w:r w:rsidR="001F0311" w:rsidRPr="00B74B8A">
            <w:rPr>
              <w:rFonts w:ascii="Century Gothic" w:hAnsi="Century Gothic"/>
              <w:color w:val="333399"/>
              <w:sz w:val="16"/>
              <w:szCs w:val="16"/>
            </w:rPr>
            <w:t>2302</w:t>
          </w:r>
        </w:p>
        <w:p w:rsidR="001F0311" w:rsidRPr="00B74B8A" w:rsidRDefault="001F0311" w:rsidP="00B74B8A">
          <w:pPr>
            <w:pStyle w:val="Header"/>
            <w:jc w:val="both"/>
            <w:rPr>
              <w:rFonts w:ascii="Century Gothic" w:hAnsi="Century Gothic"/>
              <w:color w:val="333399"/>
              <w:sz w:val="16"/>
              <w:szCs w:val="16"/>
            </w:rPr>
          </w:pPr>
          <w:proofErr w:type="spellStart"/>
          <w:r w:rsidRPr="00B74B8A">
            <w:rPr>
              <w:rFonts w:ascii="Century Gothic" w:hAnsi="Century Gothic"/>
              <w:color w:val="333399"/>
              <w:sz w:val="16"/>
              <w:szCs w:val="16"/>
            </w:rPr>
            <w:t>Ph</w:t>
          </w:r>
          <w:proofErr w:type="spellEnd"/>
          <w:r w:rsidRPr="00B74B8A">
            <w:rPr>
              <w:rFonts w:ascii="Century Gothic" w:hAnsi="Century Gothic"/>
              <w:color w:val="333399"/>
              <w:sz w:val="16"/>
              <w:szCs w:val="16"/>
            </w:rPr>
            <w:t>: 02 4927  0111</w:t>
          </w:r>
          <w:r w:rsidR="00B67748" w:rsidRPr="00B74B8A">
            <w:rPr>
              <w:rFonts w:ascii="Century Gothic" w:hAnsi="Century Gothic"/>
              <w:color w:val="333399"/>
              <w:sz w:val="16"/>
              <w:szCs w:val="16"/>
            </w:rPr>
            <w:t xml:space="preserve"> / 1300 365 085</w:t>
          </w:r>
        </w:p>
        <w:p w:rsidR="001F0311" w:rsidRPr="00B74B8A" w:rsidRDefault="001F0311" w:rsidP="00B74B8A">
          <w:pPr>
            <w:pStyle w:val="Header"/>
            <w:jc w:val="both"/>
            <w:rPr>
              <w:rFonts w:ascii="Century Gothic" w:hAnsi="Century Gothic"/>
              <w:color w:val="333399"/>
              <w:sz w:val="16"/>
              <w:szCs w:val="16"/>
            </w:rPr>
          </w:pPr>
          <w:r w:rsidRPr="00B74B8A">
            <w:rPr>
              <w:rFonts w:ascii="Century Gothic" w:hAnsi="Century Gothic"/>
              <w:color w:val="333399"/>
              <w:sz w:val="16"/>
              <w:szCs w:val="16"/>
            </w:rPr>
            <w:t>Fax:  02 4927  0114</w:t>
          </w:r>
        </w:p>
        <w:p w:rsidR="00BE38FE" w:rsidRPr="00B74B8A" w:rsidRDefault="000B725B" w:rsidP="00B74B8A">
          <w:pPr>
            <w:pStyle w:val="Header"/>
            <w:jc w:val="both"/>
            <w:rPr>
              <w:color w:val="333399"/>
              <w:sz w:val="16"/>
              <w:szCs w:val="16"/>
            </w:rPr>
          </w:pPr>
          <w:r w:rsidRPr="00B74B8A">
            <w:rPr>
              <w:rFonts w:ascii="Century Gothic" w:hAnsi="Century Gothic"/>
              <w:color w:val="333399"/>
              <w:sz w:val="16"/>
              <w:szCs w:val="16"/>
            </w:rPr>
            <w:t xml:space="preserve">e-mail: </w:t>
          </w:r>
          <w:r w:rsidR="001F0311" w:rsidRPr="00B74B8A">
            <w:rPr>
              <w:rFonts w:ascii="Century Gothic" w:hAnsi="Century Gothic"/>
              <w:color w:val="333399"/>
              <w:sz w:val="16"/>
              <w:szCs w:val="16"/>
            </w:rPr>
            <w:t>newcastle@da.org.au</w:t>
          </w:r>
        </w:p>
      </w:tc>
    </w:tr>
  </w:tbl>
  <w:p w:rsidR="00BE38FE" w:rsidRDefault="00BE3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72570"/>
    <w:multiLevelType w:val="hybridMultilevel"/>
    <w:tmpl w:val="F8A43D60"/>
    <w:lvl w:ilvl="0" w:tplc="0C09000F">
      <w:start w:val="1"/>
      <w:numFmt w:val="decimal"/>
      <w:lvlText w:val="%1."/>
      <w:lvlJc w:val="left"/>
      <w:pPr>
        <w:ind w:left="1128" w:hanging="360"/>
      </w:pPr>
    </w:lvl>
    <w:lvl w:ilvl="1" w:tplc="0C090019" w:tentative="1">
      <w:start w:val="1"/>
      <w:numFmt w:val="lowerLetter"/>
      <w:lvlText w:val="%2."/>
      <w:lvlJc w:val="left"/>
      <w:pPr>
        <w:ind w:left="1848" w:hanging="360"/>
      </w:pPr>
    </w:lvl>
    <w:lvl w:ilvl="2" w:tplc="0C09001B" w:tentative="1">
      <w:start w:val="1"/>
      <w:numFmt w:val="lowerRoman"/>
      <w:lvlText w:val="%3."/>
      <w:lvlJc w:val="right"/>
      <w:pPr>
        <w:ind w:left="2568" w:hanging="180"/>
      </w:pPr>
    </w:lvl>
    <w:lvl w:ilvl="3" w:tplc="0C09000F" w:tentative="1">
      <w:start w:val="1"/>
      <w:numFmt w:val="decimal"/>
      <w:lvlText w:val="%4."/>
      <w:lvlJc w:val="left"/>
      <w:pPr>
        <w:ind w:left="3288" w:hanging="360"/>
      </w:pPr>
    </w:lvl>
    <w:lvl w:ilvl="4" w:tplc="0C090019" w:tentative="1">
      <w:start w:val="1"/>
      <w:numFmt w:val="lowerLetter"/>
      <w:lvlText w:val="%5."/>
      <w:lvlJc w:val="left"/>
      <w:pPr>
        <w:ind w:left="4008" w:hanging="360"/>
      </w:pPr>
    </w:lvl>
    <w:lvl w:ilvl="5" w:tplc="0C09001B" w:tentative="1">
      <w:start w:val="1"/>
      <w:numFmt w:val="lowerRoman"/>
      <w:lvlText w:val="%6."/>
      <w:lvlJc w:val="right"/>
      <w:pPr>
        <w:ind w:left="4728" w:hanging="180"/>
      </w:pPr>
    </w:lvl>
    <w:lvl w:ilvl="6" w:tplc="0C09000F" w:tentative="1">
      <w:start w:val="1"/>
      <w:numFmt w:val="decimal"/>
      <w:lvlText w:val="%7."/>
      <w:lvlJc w:val="left"/>
      <w:pPr>
        <w:ind w:left="5448" w:hanging="360"/>
      </w:pPr>
    </w:lvl>
    <w:lvl w:ilvl="7" w:tplc="0C090019" w:tentative="1">
      <w:start w:val="1"/>
      <w:numFmt w:val="lowerLetter"/>
      <w:lvlText w:val="%8."/>
      <w:lvlJc w:val="left"/>
      <w:pPr>
        <w:ind w:left="6168" w:hanging="360"/>
      </w:pPr>
    </w:lvl>
    <w:lvl w:ilvl="8" w:tplc="0C09001B" w:tentative="1">
      <w:start w:val="1"/>
      <w:numFmt w:val="lowerRoman"/>
      <w:lvlText w:val="%9."/>
      <w:lvlJc w:val="right"/>
      <w:pPr>
        <w:ind w:left="68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E7C077-E036-428E-969F-F6E85C8A79E2}"/>
    <w:docVar w:name="dgnword-eventsink" w:val="11165960"/>
  </w:docVars>
  <w:rsids>
    <w:rsidRoot w:val="008F4CF3"/>
    <w:rsid w:val="00012063"/>
    <w:rsid w:val="00020377"/>
    <w:rsid w:val="00025EED"/>
    <w:rsid w:val="00057122"/>
    <w:rsid w:val="00060ADB"/>
    <w:rsid w:val="00075B6E"/>
    <w:rsid w:val="000A3581"/>
    <w:rsid w:val="000B725B"/>
    <w:rsid w:val="000F69AC"/>
    <w:rsid w:val="00104E29"/>
    <w:rsid w:val="00106A90"/>
    <w:rsid w:val="00112760"/>
    <w:rsid w:val="00112C23"/>
    <w:rsid w:val="00123DE9"/>
    <w:rsid w:val="00127811"/>
    <w:rsid w:val="00140A8F"/>
    <w:rsid w:val="00144117"/>
    <w:rsid w:val="001452D9"/>
    <w:rsid w:val="00146968"/>
    <w:rsid w:val="00154797"/>
    <w:rsid w:val="00166D80"/>
    <w:rsid w:val="00171D09"/>
    <w:rsid w:val="00173E29"/>
    <w:rsid w:val="00174CF2"/>
    <w:rsid w:val="001A3AFF"/>
    <w:rsid w:val="001A460B"/>
    <w:rsid w:val="001E78A1"/>
    <w:rsid w:val="001F0311"/>
    <w:rsid w:val="001F1F00"/>
    <w:rsid w:val="001F2990"/>
    <w:rsid w:val="00200D5A"/>
    <w:rsid w:val="00220EF0"/>
    <w:rsid w:val="00220FF4"/>
    <w:rsid w:val="0023331E"/>
    <w:rsid w:val="00245B72"/>
    <w:rsid w:val="002603D0"/>
    <w:rsid w:val="0026407F"/>
    <w:rsid w:val="00285F85"/>
    <w:rsid w:val="002A4A58"/>
    <w:rsid w:val="002A4C02"/>
    <w:rsid w:val="002A6DB5"/>
    <w:rsid w:val="002E374B"/>
    <w:rsid w:val="002E4CD3"/>
    <w:rsid w:val="002F33E3"/>
    <w:rsid w:val="00307C64"/>
    <w:rsid w:val="003128C5"/>
    <w:rsid w:val="00321F60"/>
    <w:rsid w:val="00345693"/>
    <w:rsid w:val="00377CD1"/>
    <w:rsid w:val="00380FD3"/>
    <w:rsid w:val="00383786"/>
    <w:rsid w:val="003870E3"/>
    <w:rsid w:val="003B123F"/>
    <w:rsid w:val="003B26DF"/>
    <w:rsid w:val="003C6D77"/>
    <w:rsid w:val="003D0948"/>
    <w:rsid w:val="003E028B"/>
    <w:rsid w:val="003E4A0E"/>
    <w:rsid w:val="003F09DE"/>
    <w:rsid w:val="003F5C2E"/>
    <w:rsid w:val="003F5E6E"/>
    <w:rsid w:val="00400F2A"/>
    <w:rsid w:val="00422674"/>
    <w:rsid w:val="00422C3A"/>
    <w:rsid w:val="00433B99"/>
    <w:rsid w:val="004427EA"/>
    <w:rsid w:val="0044405B"/>
    <w:rsid w:val="00452BEB"/>
    <w:rsid w:val="00481B61"/>
    <w:rsid w:val="004870CD"/>
    <w:rsid w:val="00494A10"/>
    <w:rsid w:val="004A3533"/>
    <w:rsid w:val="004A3700"/>
    <w:rsid w:val="004A7249"/>
    <w:rsid w:val="004D1E65"/>
    <w:rsid w:val="004E22A7"/>
    <w:rsid w:val="004E5F48"/>
    <w:rsid w:val="004F24D8"/>
    <w:rsid w:val="005163F7"/>
    <w:rsid w:val="0052051C"/>
    <w:rsid w:val="00522F00"/>
    <w:rsid w:val="00533855"/>
    <w:rsid w:val="0056038A"/>
    <w:rsid w:val="00566B6D"/>
    <w:rsid w:val="005966CD"/>
    <w:rsid w:val="005B3F1F"/>
    <w:rsid w:val="005B73E4"/>
    <w:rsid w:val="005C5326"/>
    <w:rsid w:val="005D1843"/>
    <w:rsid w:val="005F3528"/>
    <w:rsid w:val="0060254F"/>
    <w:rsid w:val="006077F2"/>
    <w:rsid w:val="00630DE2"/>
    <w:rsid w:val="00631E63"/>
    <w:rsid w:val="00653F5B"/>
    <w:rsid w:val="00667FC1"/>
    <w:rsid w:val="006908FA"/>
    <w:rsid w:val="00692218"/>
    <w:rsid w:val="006D00A5"/>
    <w:rsid w:val="006D2AB3"/>
    <w:rsid w:val="0070016F"/>
    <w:rsid w:val="00720B3D"/>
    <w:rsid w:val="007405D5"/>
    <w:rsid w:val="007416CF"/>
    <w:rsid w:val="00750A8D"/>
    <w:rsid w:val="00770F9A"/>
    <w:rsid w:val="00780797"/>
    <w:rsid w:val="00785077"/>
    <w:rsid w:val="0078794E"/>
    <w:rsid w:val="007B4625"/>
    <w:rsid w:val="007D0195"/>
    <w:rsid w:val="007D2F40"/>
    <w:rsid w:val="007D590B"/>
    <w:rsid w:val="007E2BD7"/>
    <w:rsid w:val="007F52FB"/>
    <w:rsid w:val="00825C89"/>
    <w:rsid w:val="00862138"/>
    <w:rsid w:val="008829B5"/>
    <w:rsid w:val="00884F46"/>
    <w:rsid w:val="00885555"/>
    <w:rsid w:val="00887502"/>
    <w:rsid w:val="008F16D1"/>
    <w:rsid w:val="008F4CF3"/>
    <w:rsid w:val="008F7AB8"/>
    <w:rsid w:val="0092482C"/>
    <w:rsid w:val="00953564"/>
    <w:rsid w:val="0095734E"/>
    <w:rsid w:val="00960BEB"/>
    <w:rsid w:val="00964D76"/>
    <w:rsid w:val="009C30AA"/>
    <w:rsid w:val="009C72DC"/>
    <w:rsid w:val="009D273A"/>
    <w:rsid w:val="009E1BA2"/>
    <w:rsid w:val="009F1952"/>
    <w:rsid w:val="00A06198"/>
    <w:rsid w:val="00A10AEC"/>
    <w:rsid w:val="00A214ED"/>
    <w:rsid w:val="00A24BBD"/>
    <w:rsid w:val="00A3233F"/>
    <w:rsid w:val="00A52268"/>
    <w:rsid w:val="00A73E59"/>
    <w:rsid w:val="00AA49C3"/>
    <w:rsid w:val="00AD3B12"/>
    <w:rsid w:val="00AD5BB7"/>
    <w:rsid w:val="00AE5129"/>
    <w:rsid w:val="00B13B03"/>
    <w:rsid w:val="00B20E92"/>
    <w:rsid w:val="00B332FB"/>
    <w:rsid w:val="00B51CC0"/>
    <w:rsid w:val="00B54F8F"/>
    <w:rsid w:val="00B6310F"/>
    <w:rsid w:val="00B67748"/>
    <w:rsid w:val="00B74B8A"/>
    <w:rsid w:val="00BA37B8"/>
    <w:rsid w:val="00BA70AB"/>
    <w:rsid w:val="00BA770D"/>
    <w:rsid w:val="00BB4836"/>
    <w:rsid w:val="00BC5E12"/>
    <w:rsid w:val="00BD3DDD"/>
    <w:rsid w:val="00BD7341"/>
    <w:rsid w:val="00BE38FE"/>
    <w:rsid w:val="00C13774"/>
    <w:rsid w:val="00C62417"/>
    <w:rsid w:val="00C66200"/>
    <w:rsid w:val="00C74290"/>
    <w:rsid w:val="00C967D8"/>
    <w:rsid w:val="00CA2A03"/>
    <w:rsid w:val="00CB5CC5"/>
    <w:rsid w:val="00CD2298"/>
    <w:rsid w:val="00CF54CF"/>
    <w:rsid w:val="00CF7342"/>
    <w:rsid w:val="00CF768C"/>
    <w:rsid w:val="00D006E1"/>
    <w:rsid w:val="00D251D9"/>
    <w:rsid w:val="00D261E6"/>
    <w:rsid w:val="00D371BA"/>
    <w:rsid w:val="00D56896"/>
    <w:rsid w:val="00D73BDC"/>
    <w:rsid w:val="00D82656"/>
    <w:rsid w:val="00D85EA7"/>
    <w:rsid w:val="00D9102B"/>
    <w:rsid w:val="00DD5D5B"/>
    <w:rsid w:val="00DE2257"/>
    <w:rsid w:val="00DE4BD6"/>
    <w:rsid w:val="00DF5D6E"/>
    <w:rsid w:val="00DF61C8"/>
    <w:rsid w:val="00E04F74"/>
    <w:rsid w:val="00E1626F"/>
    <w:rsid w:val="00E30C11"/>
    <w:rsid w:val="00E379BA"/>
    <w:rsid w:val="00E44C31"/>
    <w:rsid w:val="00E45ACA"/>
    <w:rsid w:val="00E577B8"/>
    <w:rsid w:val="00E95379"/>
    <w:rsid w:val="00EA0C4A"/>
    <w:rsid w:val="00EA48B3"/>
    <w:rsid w:val="00EB13B2"/>
    <w:rsid w:val="00EC666B"/>
    <w:rsid w:val="00ED64E1"/>
    <w:rsid w:val="00EF08EA"/>
    <w:rsid w:val="00EF4666"/>
    <w:rsid w:val="00EF69BE"/>
    <w:rsid w:val="00F01F70"/>
    <w:rsid w:val="00F16CB3"/>
    <w:rsid w:val="00F33F32"/>
    <w:rsid w:val="00FA3229"/>
    <w:rsid w:val="00FB078F"/>
    <w:rsid w:val="00FB6463"/>
    <w:rsid w:val="00FC5434"/>
    <w:rsid w:val="00FD7B78"/>
    <w:rsid w:val="00FE48DD"/>
    <w:rsid w:val="00FF2995"/>
    <w:rsid w:val="00FF506E"/>
    <w:rsid w:val="00FF54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7FC1"/>
    <w:pPr>
      <w:tabs>
        <w:tab w:val="center" w:pos="4153"/>
        <w:tab w:val="right" w:pos="8306"/>
      </w:tabs>
    </w:pPr>
  </w:style>
  <w:style w:type="paragraph" w:styleId="Footer">
    <w:name w:val="footer"/>
    <w:basedOn w:val="Normal"/>
    <w:link w:val="FooterChar"/>
    <w:uiPriority w:val="99"/>
    <w:rsid w:val="00667FC1"/>
    <w:pPr>
      <w:tabs>
        <w:tab w:val="center" w:pos="4153"/>
        <w:tab w:val="right" w:pos="8306"/>
      </w:tabs>
    </w:pPr>
  </w:style>
  <w:style w:type="table" w:styleId="TableGrid">
    <w:name w:val="Table Grid"/>
    <w:basedOn w:val="TableNormal"/>
    <w:rsid w:val="00667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A3581"/>
    <w:rPr>
      <w:color w:val="0000FF"/>
      <w:u w:val="single"/>
    </w:rPr>
  </w:style>
  <w:style w:type="paragraph" w:styleId="BalloonText">
    <w:name w:val="Balloon Text"/>
    <w:basedOn w:val="Normal"/>
    <w:semiHidden/>
    <w:rsid w:val="00EC666B"/>
    <w:rPr>
      <w:rFonts w:ascii="Tahoma" w:hAnsi="Tahoma" w:cs="Tahoma"/>
      <w:sz w:val="16"/>
      <w:szCs w:val="16"/>
    </w:rPr>
  </w:style>
  <w:style w:type="character" w:styleId="Strong">
    <w:name w:val="Strong"/>
    <w:qFormat/>
    <w:rsid w:val="00B6310F"/>
    <w:rPr>
      <w:b/>
      <w:bCs/>
    </w:rPr>
  </w:style>
  <w:style w:type="paragraph" w:styleId="NoSpacing">
    <w:name w:val="No Spacing"/>
    <w:rsid w:val="008F4CF3"/>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paragraph" w:customStyle="1" w:styleId="Body">
    <w:name w:val="Body"/>
    <w:rsid w:val="008F4CF3"/>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styleId="ListParagraph">
    <w:name w:val="List Paragraph"/>
    <w:rsid w:val="008F4CF3"/>
    <w:pPr>
      <w:pBdr>
        <w:top w:val="nil"/>
        <w:left w:val="nil"/>
        <w:bottom w:val="nil"/>
        <w:right w:val="nil"/>
        <w:between w:val="nil"/>
        <w:bar w:val="nil"/>
      </w:pBdr>
      <w:ind w:left="720"/>
    </w:pPr>
    <w:rPr>
      <w:rFonts w:ascii="Calibri" w:eastAsia="Calibri" w:hAnsi="Calibri" w:cs="Calibri"/>
      <w:color w:val="000000"/>
      <w:sz w:val="22"/>
      <w:szCs w:val="22"/>
      <w:u w:color="000000"/>
      <w:bdr w:val="nil"/>
      <w:lang w:val="en-US"/>
    </w:rPr>
  </w:style>
  <w:style w:type="paragraph" w:styleId="FootnoteText">
    <w:name w:val="footnote text"/>
    <w:link w:val="FootnoteTextChar"/>
    <w:rsid w:val="008F4CF3"/>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FootnoteTextChar">
    <w:name w:val="Footnote Text Char"/>
    <w:basedOn w:val="DefaultParagraphFont"/>
    <w:link w:val="FootnoteText"/>
    <w:rsid w:val="008F4CF3"/>
    <w:rPr>
      <w:rFonts w:ascii="Calibri" w:eastAsia="Calibri" w:hAnsi="Calibri" w:cs="Calibri"/>
      <w:color w:val="000000"/>
      <w:u w:color="000000"/>
      <w:bdr w:val="nil"/>
      <w:lang w:val="en-US"/>
    </w:rPr>
  </w:style>
  <w:style w:type="character" w:customStyle="1" w:styleId="FooterChar">
    <w:name w:val="Footer Char"/>
    <w:basedOn w:val="DefaultParagraphFont"/>
    <w:link w:val="Footer"/>
    <w:uiPriority w:val="99"/>
    <w:rsid w:val="004A3533"/>
    <w:rPr>
      <w:rFonts w:ascii="Verdana" w:hAnsi="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7FC1"/>
    <w:pPr>
      <w:tabs>
        <w:tab w:val="center" w:pos="4153"/>
        <w:tab w:val="right" w:pos="8306"/>
      </w:tabs>
    </w:pPr>
  </w:style>
  <w:style w:type="paragraph" w:styleId="Footer">
    <w:name w:val="footer"/>
    <w:basedOn w:val="Normal"/>
    <w:link w:val="FooterChar"/>
    <w:uiPriority w:val="99"/>
    <w:rsid w:val="00667FC1"/>
    <w:pPr>
      <w:tabs>
        <w:tab w:val="center" w:pos="4153"/>
        <w:tab w:val="right" w:pos="8306"/>
      </w:tabs>
    </w:pPr>
  </w:style>
  <w:style w:type="table" w:styleId="TableGrid">
    <w:name w:val="Table Grid"/>
    <w:basedOn w:val="TableNormal"/>
    <w:rsid w:val="00667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A3581"/>
    <w:rPr>
      <w:color w:val="0000FF"/>
      <w:u w:val="single"/>
    </w:rPr>
  </w:style>
  <w:style w:type="paragraph" w:styleId="BalloonText">
    <w:name w:val="Balloon Text"/>
    <w:basedOn w:val="Normal"/>
    <w:semiHidden/>
    <w:rsid w:val="00EC666B"/>
    <w:rPr>
      <w:rFonts w:ascii="Tahoma" w:hAnsi="Tahoma" w:cs="Tahoma"/>
      <w:sz w:val="16"/>
      <w:szCs w:val="16"/>
    </w:rPr>
  </w:style>
  <w:style w:type="character" w:styleId="Strong">
    <w:name w:val="Strong"/>
    <w:qFormat/>
    <w:rsid w:val="00B6310F"/>
    <w:rPr>
      <w:b/>
      <w:bCs/>
    </w:rPr>
  </w:style>
  <w:style w:type="paragraph" w:styleId="NoSpacing">
    <w:name w:val="No Spacing"/>
    <w:rsid w:val="008F4CF3"/>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paragraph" w:customStyle="1" w:styleId="Body">
    <w:name w:val="Body"/>
    <w:rsid w:val="008F4CF3"/>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styleId="ListParagraph">
    <w:name w:val="List Paragraph"/>
    <w:rsid w:val="008F4CF3"/>
    <w:pPr>
      <w:pBdr>
        <w:top w:val="nil"/>
        <w:left w:val="nil"/>
        <w:bottom w:val="nil"/>
        <w:right w:val="nil"/>
        <w:between w:val="nil"/>
        <w:bar w:val="nil"/>
      </w:pBdr>
      <w:ind w:left="720"/>
    </w:pPr>
    <w:rPr>
      <w:rFonts w:ascii="Calibri" w:eastAsia="Calibri" w:hAnsi="Calibri" w:cs="Calibri"/>
      <w:color w:val="000000"/>
      <w:sz w:val="22"/>
      <w:szCs w:val="22"/>
      <w:u w:color="000000"/>
      <w:bdr w:val="nil"/>
      <w:lang w:val="en-US"/>
    </w:rPr>
  </w:style>
  <w:style w:type="paragraph" w:styleId="FootnoteText">
    <w:name w:val="footnote text"/>
    <w:link w:val="FootnoteTextChar"/>
    <w:rsid w:val="008F4CF3"/>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FootnoteTextChar">
    <w:name w:val="Footnote Text Char"/>
    <w:basedOn w:val="DefaultParagraphFont"/>
    <w:link w:val="FootnoteText"/>
    <w:rsid w:val="008F4CF3"/>
    <w:rPr>
      <w:rFonts w:ascii="Calibri" w:eastAsia="Calibri" w:hAnsi="Calibri" w:cs="Calibri"/>
      <w:color w:val="000000"/>
      <w:u w:color="000000"/>
      <w:bdr w:val="nil"/>
      <w:lang w:val="en-US"/>
    </w:rPr>
  </w:style>
  <w:style w:type="character" w:customStyle="1" w:styleId="FooterChar">
    <w:name w:val="Footer Char"/>
    <w:basedOn w:val="DefaultParagraphFont"/>
    <w:link w:val="Footer"/>
    <w:uiPriority w:val="99"/>
    <w:rsid w:val="004A3533"/>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8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DA%20office%20Templates\Hunter%20Onl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1513D-BB04-4F72-A0E2-F27E6313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Hunter Only letterhead</Template>
  <TotalTime>331</TotalTime>
  <Pages>3</Pages>
  <Words>1082</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DASH</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Grierson</dc:creator>
  <cp:lastModifiedBy>Mark Grierson</cp:lastModifiedBy>
  <cp:revision>16</cp:revision>
  <cp:lastPrinted>2015-04-28T03:15:00Z</cp:lastPrinted>
  <dcterms:created xsi:type="dcterms:W3CDTF">2015-04-22T00:54:00Z</dcterms:created>
  <dcterms:modified xsi:type="dcterms:W3CDTF">2015-04-28T03:20:00Z</dcterms:modified>
</cp:coreProperties>
</file>