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AC" w:rsidRDefault="00666CAC" w:rsidP="00666CAC">
      <w:pPr>
        <w:pStyle w:val="Body"/>
        <w:spacing w:after="0" w:line="240" w:lineRule="auto"/>
        <w:jc w:val="center"/>
        <w:rPr>
          <w:b/>
          <w:bCs/>
          <w:sz w:val="24"/>
          <w:szCs w:val="24"/>
        </w:rPr>
      </w:pPr>
      <w:r>
        <w:rPr>
          <w:noProof/>
          <w:color w:val="1F497D"/>
          <w:sz w:val="24"/>
          <w:szCs w:val="24"/>
          <w:u w:color="1F497D"/>
          <w:lang w:val="en-AU"/>
        </w:rPr>
        <w:drawing>
          <wp:inline distT="0" distB="0" distL="0" distR="0" wp14:anchorId="1EB4D98A" wp14:editId="1B0A54E2">
            <wp:extent cx="1800225" cy="638377"/>
            <wp:effectExtent l="0" t="0" r="0" b="0"/>
            <wp:docPr id="1073741825" name="officeArt object" descr="ADBCLogo"/>
            <wp:cNvGraphicFramePr/>
            <a:graphic xmlns:a="http://schemas.openxmlformats.org/drawingml/2006/main">
              <a:graphicData uri="http://schemas.openxmlformats.org/drawingml/2006/picture">
                <pic:pic xmlns:pic="http://schemas.openxmlformats.org/drawingml/2006/picture">
                  <pic:nvPicPr>
                    <pic:cNvPr id="1073741825" name="image1.jpeg" descr="ADBCLogo"/>
                    <pic:cNvPicPr/>
                  </pic:nvPicPr>
                  <pic:blipFill>
                    <a:blip r:embed="rId8">
                      <a:extLst/>
                    </a:blip>
                    <a:stretch>
                      <a:fillRect/>
                    </a:stretch>
                  </pic:blipFill>
                  <pic:spPr>
                    <a:xfrm>
                      <a:off x="0" y="0"/>
                      <a:ext cx="1800225" cy="638377"/>
                    </a:xfrm>
                    <a:prstGeom prst="rect">
                      <a:avLst/>
                    </a:prstGeom>
                    <a:ln w="12700" cap="flat">
                      <a:noFill/>
                      <a:miter lim="400000"/>
                    </a:ln>
                    <a:effectLst/>
                  </pic:spPr>
                </pic:pic>
              </a:graphicData>
            </a:graphic>
          </wp:inline>
        </w:drawing>
      </w:r>
    </w:p>
    <w:p w:rsidR="00666CAC" w:rsidRDefault="00666CAC" w:rsidP="00666CAC">
      <w:pPr>
        <w:pStyle w:val="Body"/>
        <w:spacing w:after="0" w:line="240" w:lineRule="auto"/>
        <w:rPr>
          <w:b/>
          <w:bCs/>
          <w:sz w:val="24"/>
          <w:szCs w:val="24"/>
        </w:rPr>
      </w:pPr>
    </w:p>
    <w:p w:rsidR="00666CAC" w:rsidRDefault="00666CAC" w:rsidP="00666CAC">
      <w:pPr>
        <w:pStyle w:val="Body"/>
        <w:tabs>
          <w:tab w:val="center" w:pos="4513"/>
          <w:tab w:val="right" w:pos="9000"/>
        </w:tabs>
        <w:spacing w:after="0" w:line="240" w:lineRule="auto"/>
        <w:jc w:val="center"/>
        <w:rPr>
          <w:b/>
          <w:bCs/>
          <w:sz w:val="24"/>
          <w:szCs w:val="24"/>
        </w:rPr>
      </w:pPr>
      <w:r>
        <w:rPr>
          <w:b/>
          <w:bCs/>
          <w:sz w:val="24"/>
          <w:szCs w:val="24"/>
        </w:rPr>
        <w:t>Australian DeafBlind Council (ADBC)</w:t>
      </w:r>
    </w:p>
    <w:p w:rsidR="00666CAC" w:rsidRDefault="00666CAC" w:rsidP="00666CAC">
      <w:pPr>
        <w:pStyle w:val="Body"/>
        <w:tabs>
          <w:tab w:val="center" w:pos="4513"/>
          <w:tab w:val="right" w:pos="9000"/>
        </w:tabs>
        <w:spacing w:after="0" w:line="240" w:lineRule="auto"/>
        <w:jc w:val="center"/>
        <w:rPr>
          <w:sz w:val="24"/>
          <w:szCs w:val="24"/>
        </w:rPr>
      </w:pPr>
      <w:r>
        <w:rPr>
          <w:b/>
          <w:bCs/>
          <w:sz w:val="24"/>
          <w:szCs w:val="24"/>
        </w:rPr>
        <w:t>ADBC is affiliated with the following deafblind organisations</w:t>
      </w:r>
      <w:r>
        <w:rPr>
          <w:rFonts w:ascii="Trebuchet MS"/>
          <w:sz w:val="24"/>
          <w:szCs w:val="24"/>
        </w:rPr>
        <w:t>:</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Board member Deafblind International.</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World Federation of Deafblind,</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lang w:val="de-DE"/>
        </w:rPr>
        <w:t>Helen Keller National Centre (New York, USA),</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Norwegian Association of Deafblind,</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Danish Association of DeafBlind,</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Swedish Deafblind Association,</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lang w:val="de-DE"/>
        </w:rPr>
        <w:t>German Deafblind Consortium,</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Let</w:t>
      </w:r>
      <w:r>
        <w:rPr>
          <w:rFonts w:hAnsi="Arial Unicode MS"/>
          <w:sz w:val="24"/>
          <w:szCs w:val="24"/>
          <w:lang w:val="fr-FR"/>
        </w:rPr>
        <w:t>’</w:t>
      </w:r>
      <w:r>
        <w:rPr>
          <w:rFonts w:ascii="Trebuchet MS"/>
          <w:sz w:val="24"/>
          <w:szCs w:val="24"/>
        </w:rPr>
        <w:t>s Connect Project</w:t>
      </w:r>
      <w:r w:rsidR="00C22290">
        <w:rPr>
          <w:rFonts w:ascii="Trebuchet MS"/>
          <w:sz w:val="24"/>
          <w:szCs w:val="24"/>
        </w:rPr>
        <w:t>,</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Deafblind Association of New South Wales,</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 xml:space="preserve">Deafblind Association of South Australia, </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Able Australia,</w:t>
      </w:r>
    </w:p>
    <w:p w:rsidR="00666CAC" w:rsidRDefault="00666CAC" w:rsidP="00666CAC">
      <w:pPr>
        <w:pStyle w:val="Body"/>
        <w:tabs>
          <w:tab w:val="center" w:pos="4513"/>
          <w:tab w:val="right" w:pos="9000"/>
        </w:tabs>
        <w:spacing w:after="0" w:line="240" w:lineRule="auto"/>
        <w:jc w:val="center"/>
        <w:rPr>
          <w:sz w:val="24"/>
          <w:szCs w:val="24"/>
        </w:rPr>
      </w:pPr>
      <w:r>
        <w:rPr>
          <w:rFonts w:ascii="Trebuchet MS"/>
          <w:sz w:val="24"/>
          <w:szCs w:val="24"/>
        </w:rPr>
        <w:t>Senses Australia.</w:t>
      </w:r>
    </w:p>
    <w:p w:rsidR="00666CAC" w:rsidRDefault="00666CAC" w:rsidP="00666CAC">
      <w:pPr>
        <w:pStyle w:val="Body"/>
        <w:spacing w:after="0" w:line="240" w:lineRule="auto"/>
        <w:rPr>
          <w:b/>
          <w:bCs/>
          <w:sz w:val="24"/>
          <w:szCs w:val="24"/>
        </w:rPr>
      </w:pPr>
    </w:p>
    <w:p w:rsidR="00666CAC" w:rsidRPr="000851E2" w:rsidRDefault="00666CAC" w:rsidP="00666CAC">
      <w:pPr>
        <w:pStyle w:val="Body"/>
        <w:spacing w:after="0" w:line="240" w:lineRule="auto"/>
        <w:jc w:val="center"/>
        <w:rPr>
          <w:b/>
          <w:bCs/>
          <w:sz w:val="28"/>
          <w:szCs w:val="28"/>
        </w:rPr>
      </w:pPr>
      <w:r w:rsidRPr="000851E2">
        <w:rPr>
          <w:b/>
          <w:bCs/>
          <w:sz w:val="28"/>
          <w:szCs w:val="28"/>
        </w:rPr>
        <w:t>Submission for the review National Disability Advocacy framework</w:t>
      </w:r>
    </w:p>
    <w:p w:rsidR="00666CAC" w:rsidRDefault="00666CAC" w:rsidP="00666CAC">
      <w:pPr>
        <w:pStyle w:val="Body"/>
        <w:spacing w:after="0" w:line="240" w:lineRule="auto"/>
        <w:rPr>
          <w:b/>
          <w:bCs/>
          <w:sz w:val="24"/>
          <w:szCs w:val="24"/>
        </w:rPr>
      </w:pPr>
    </w:p>
    <w:p w:rsidR="00666CAC" w:rsidRDefault="00666CAC" w:rsidP="00666CAC">
      <w:pPr>
        <w:pStyle w:val="Body"/>
        <w:spacing w:after="0" w:line="240" w:lineRule="auto"/>
        <w:rPr>
          <w:sz w:val="24"/>
          <w:szCs w:val="24"/>
        </w:rPr>
      </w:pPr>
      <w:r>
        <w:rPr>
          <w:rFonts w:ascii="Trebuchet MS"/>
          <w:sz w:val="24"/>
          <w:szCs w:val="24"/>
        </w:rPr>
        <w:t xml:space="preserve">The Australian Deafblind Council (ADBC) is a peak national organisation for deafblind. ADBC welcomes the opportunity to comment on the policies to enable Government to engage with deafblind participants and their advocacy support services within the National Disability Insurance Scheme. </w:t>
      </w:r>
    </w:p>
    <w:p w:rsidR="00666CAC" w:rsidRDefault="00666CAC" w:rsidP="00666CAC">
      <w:pPr>
        <w:pStyle w:val="Body"/>
        <w:spacing w:after="0" w:line="240" w:lineRule="auto"/>
        <w:rPr>
          <w:sz w:val="24"/>
          <w:szCs w:val="24"/>
        </w:rPr>
      </w:pPr>
      <w:r>
        <w:rPr>
          <w:rFonts w:ascii="Trebuchet MS"/>
          <w:sz w:val="24"/>
          <w:szCs w:val="24"/>
        </w:rPr>
        <w:t xml:space="preserve"> </w:t>
      </w:r>
    </w:p>
    <w:p w:rsidR="00666CAC" w:rsidRDefault="00666CAC" w:rsidP="00666CAC">
      <w:pPr>
        <w:pStyle w:val="Body"/>
        <w:spacing w:after="0" w:line="240" w:lineRule="auto"/>
        <w:rPr>
          <w:b/>
          <w:bCs/>
          <w:sz w:val="24"/>
          <w:szCs w:val="24"/>
        </w:rPr>
      </w:pPr>
      <w:r>
        <w:rPr>
          <w:b/>
          <w:bCs/>
          <w:sz w:val="24"/>
          <w:szCs w:val="24"/>
        </w:rPr>
        <w:t>ABOUT THE AUSTRALIAN DEAFBLIND COUNCIL (ADBC)</w:t>
      </w:r>
      <w:r>
        <w:rPr>
          <w:b/>
          <w:bCs/>
          <w:sz w:val="24"/>
          <w:szCs w:val="24"/>
        </w:rPr>
        <w:br/>
      </w:r>
    </w:p>
    <w:p w:rsidR="00666CAC" w:rsidRDefault="00666CAC" w:rsidP="00666CAC">
      <w:pPr>
        <w:pStyle w:val="Body"/>
        <w:spacing w:after="0" w:line="240" w:lineRule="auto"/>
        <w:rPr>
          <w:sz w:val="24"/>
          <w:szCs w:val="24"/>
        </w:rPr>
      </w:pPr>
      <w:r>
        <w:rPr>
          <w:rFonts w:ascii="Trebuchet MS"/>
          <w:sz w:val="24"/>
          <w:szCs w:val="24"/>
        </w:rPr>
        <w:t>The ADBC was established in 1993 at the National Deafblind Conference in Melbourne, Victoria. This council was established to provide: security; sense of belonging; freedom of speech; and represent the Australian deafblind community and their supporting networks. At present, ADBC represents an estimated 300,000 deafblind people including those with multi disabilities, their families and organisations working the deafblind field.</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ADBC</w:t>
      </w:r>
      <w:r>
        <w:rPr>
          <w:rFonts w:hAnsi="Arial Unicode MS"/>
          <w:sz w:val="24"/>
          <w:szCs w:val="24"/>
          <w:lang w:val="fr-FR"/>
        </w:rPr>
        <w:t>’</w:t>
      </w:r>
      <w:r>
        <w:rPr>
          <w:rFonts w:ascii="Trebuchet MS"/>
          <w:sz w:val="24"/>
          <w:szCs w:val="24"/>
        </w:rPr>
        <w:t>s objectives:</w:t>
      </w:r>
    </w:p>
    <w:p w:rsidR="00666CAC" w:rsidRDefault="00666CAC" w:rsidP="00666CAC">
      <w:pPr>
        <w:pStyle w:val="Body"/>
        <w:numPr>
          <w:ilvl w:val="0"/>
          <w:numId w:val="1"/>
        </w:numPr>
        <w:spacing w:after="0" w:line="240" w:lineRule="auto"/>
        <w:ind w:left="690" w:hanging="330"/>
      </w:pPr>
      <w:r>
        <w:rPr>
          <w:rFonts w:ascii="Trebuchet MS"/>
          <w:sz w:val="24"/>
          <w:szCs w:val="24"/>
        </w:rPr>
        <w:t xml:space="preserve">Provide systemic and individual advocacy to the deafblind community, </w:t>
      </w:r>
    </w:p>
    <w:p w:rsidR="00666CAC" w:rsidRDefault="00666CAC" w:rsidP="00666CAC">
      <w:pPr>
        <w:pStyle w:val="Body"/>
        <w:numPr>
          <w:ilvl w:val="0"/>
          <w:numId w:val="2"/>
        </w:numPr>
        <w:spacing w:after="0" w:line="240" w:lineRule="auto"/>
        <w:ind w:left="690" w:hanging="330"/>
      </w:pPr>
      <w:r>
        <w:rPr>
          <w:rFonts w:ascii="Trebuchet MS"/>
          <w:sz w:val="24"/>
          <w:szCs w:val="24"/>
        </w:rPr>
        <w:t>Information services to break down the barriers of inequity and injustice that confront Australians who are deafblind,</w:t>
      </w:r>
    </w:p>
    <w:p w:rsidR="00666CAC" w:rsidRDefault="00666CAC" w:rsidP="00666CAC">
      <w:pPr>
        <w:pStyle w:val="Body"/>
        <w:numPr>
          <w:ilvl w:val="0"/>
          <w:numId w:val="3"/>
        </w:numPr>
        <w:spacing w:after="0" w:line="240" w:lineRule="auto"/>
        <w:ind w:left="690" w:hanging="330"/>
      </w:pPr>
      <w:r>
        <w:rPr>
          <w:rFonts w:ascii="Trebuchet MS"/>
          <w:sz w:val="24"/>
          <w:szCs w:val="24"/>
        </w:rPr>
        <w:t xml:space="preserve">Information and referral centre for families, supporters, deafblind service providers, government agencies and other organisations,  </w:t>
      </w:r>
    </w:p>
    <w:p w:rsidR="00666CAC" w:rsidRDefault="00666CAC" w:rsidP="00666CAC">
      <w:pPr>
        <w:pStyle w:val="Body"/>
        <w:numPr>
          <w:ilvl w:val="0"/>
          <w:numId w:val="4"/>
        </w:numPr>
        <w:spacing w:after="0" w:line="240" w:lineRule="auto"/>
        <w:ind w:left="690" w:hanging="330"/>
      </w:pPr>
      <w:r>
        <w:rPr>
          <w:rFonts w:ascii="Trebuchet MS"/>
          <w:sz w:val="24"/>
          <w:szCs w:val="24"/>
        </w:rPr>
        <w:t xml:space="preserve">Provide equal access for deafblind people to communication, employment, accommodation, transport, socialisation and community access. </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lastRenderedPageBreak/>
        <w:t xml:space="preserve">ADBC understands the importance of providing decision </w:t>
      </w:r>
      <w:r w:rsidR="00FC6914">
        <w:rPr>
          <w:rFonts w:ascii="Trebuchet MS"/>
          <w:sz w:val="24"/>
          <w:szCs w:val="24"/>
        </w:rPr>
        <w:t xml:space="preserve">making </w:t>
      </w:r>
      <w:r>
        <w:rPr>
          <w:rFonts w:ascii="Trebuchet MS"/>
          <w:sz w:val="24"/>
          <w:szCs w:val="24"/>
        </w:rPr>
        <w:t>support, safeguard supports and capacity building for individuals who are deafblind. ADBC works in conjunction with deafblind service providers to encourage and maintain quality and safe practices</w:t>
      </w:r>
      <w:r w:rsidR="00FC6914">
        <w:rPr>
          <w:rFonts w:ascii="Trebuchet MS"/>
          <w:sz w:val="24"/>
          <w:szCs w:val="24"/>
        </w:rPr>
        <w:t xml:space="preserve">, and </w:t>
      </w:r>
      <w:r>
        <w:rPr>
          <w:rFonts w:ascii="Trebuchet MS"/>
          <w:sz w:val="24"/>
          <w:szCs w:val="24"/>
        </w:rPr>
        <w:t xml:space="preserve">who specialise in providing support services to accommodate NDIS participants living with deafblindness. </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What is deafblindness?</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hAnsi="Arial Unicode MS"/>
          <w:sz w:val="24"/>
          <w:szCs w:val="24"/>
        </w:rPr>
        <w:t>“</w:t>
      </w:r>
      <w:r>
        <w:rPr>
          <w:rFonts w:ascii="Trebuchet MS"/>
          <w:sz w:val="24"/>
          <w:szCs w:val="24"/>
        </w:rPr>
        <w:t>Deafblindness is described as a unique and isolating sensory disability resulting from the combination of both a hearing and vision loss or impairment which significantly affects communication, socialisation mobility and daily living.</w:t>
      </w:r>
      <w:r>
        <w:rPr>
          <w:rFonts w:hAnsi="Arial Unicode MS"/>
          <w:sz w:val="24"/>
          <w:szCs w:val="24"/>
        </w:rPr>
        <w:t>”</w:t>
      </w:r>
      <w:r>
        <w:rPr>
          <w:rFonts w:hAnsi="Arial Unicode MS"/>
          <w:sz w:val="24"/>
          <w:szCs w:val="24"/>
        </w:rPr>
        <w:t xml:space="preserve"> </w:t>
      </w:r>
      <w:r>
        <w:rPr>
          <w:rFonts w:ascii="Trebuchet MS"/>
          <w:sz w:val="24"/>
          <w:szCs w:val="24"/>
        </w:rPr>
        <w:t>Australian Deafblind Council (2015)</w:t>
      </w:r>
    </w:p>
    <w:p w:rsidR="00666CAC" w:rsidRDefault="00666CAC" w:rsidP="00666CAC">
      <w:pPr>
        <w:pStyle w:val="Body"/>
        <w:spacing w:after="0" w:line="240" w:lineRule="auto"/>
        <w:rPr>
          <w:sz w:val="24"/>
          <w:szCs w:val="24"/>
        </w:rPr>
      </w:pPr>
    </w:p>
    <w:p w:rsidR="00666CAC" w:rsidRPr="00C60818" w:rsidRDefault="00666CAC">
      <w:pPr>
        <w:pStyle w:val="Body"/>
        <w:spacing w:after="0" w:line="240" w:lineRule="auto"/>
        <w:rPr>
          <w:b/>
          <w:sz w:val="24"/>
          <w:szCs w:val="24"/>
        </w:rPr>
      </w:pPr>
      <w:r>
        <w:rPr>
          <w:rFonts w:ascii="Trebuchet MS"/>
          <w:sz w:val="24"/>
          <w:szCs w:val="24"/>
        </w:rPr>
        <w:t xml:space="preserve">Overseas studies </w:t>
      </w:r>
      <w:r w:rsidR="00FC6914">
        <w:rPr>
          <w:rFonts w:ascii="Trebuchet MS"/>
          <w:sz w:val="24"/>
          <w:szCs w:val="24"/>
        </w:rPr>
        <w:t xml:space="preserve">indicate that people with deafblindness </w:t>
      </w:r>
      <w:r>
        <w:rPr>
          <w:rFonts w:ascii="Trebuchet MS"/>
          <w:sz w:val="24"/>
          <w:szCs w:val="24"/>
        </w:rPr>
        <w:t xml:space="preserve">have greater health concerns, </w:t>
      </w:r>
      <w:r w:rsidR="00FC6914">
        <w:rPr>
          <w:rFonts w:ascii="Trebuchet MS"/>
          <w:sz w:val="24"/>
          <w:szCs w:val="24"/>
        </w:rPr>
        <w:t xml:space="preserve">and </w:t>
      </w:r>
      <w:r>
        <w:rPr>
          <w:rFonts w:ascii="Trebuchet MS"/>
          <w:sz w:val="24"/>
          <w:szCs w:val="24"/>
        </w:rPr>
        <w:t xml:space="preserve">functional limitations than those with single sensory impairments, </w:t>
      </w:r>
    </w:p>
    <w:p w:rsidR="00666CAC" w:rsidRDefault="00666CAC" w:rsidP="00666CAC">
      <w:pPr>
        <w:pStyle w:val="Body"/>
        <w:spacing w:after="0" w:line="240" w:lineRule="auto"/>
        <w:rPr>
          <w:sz w:val="24"/>
          <w:szCs w:val="24"/>
        </w:rPr>
      </w:pPr>
      <w:r>
        <w:rPr>
          <w:rFonts w:ascii="Trebuchet MS"/>
          <w:sz w:val="24"/>
          <w:szCs w:val="24"/>
        </w:rPr>
        <w:t xml:space="preserve">The focus of this </w:t>
      </w:r>
      <w:r>
        <w:rPr>
          <w:rFonts w:ascii="Trebuchet MS"/>
          <w:sz w:val="24"/>
          <w:szCs w:val="24"/>
          <w:lang w:val="en-AU"/>
        </w:rPr>
        <w:t>submission</w:t>
      </w:r>
      <w:r>
        <w:rPr>
          <w:rFonts w:ascii="Trebuchet MS"/>
          <w:sz w:val="24"/>
          <w:szCs w:val="24"/>
        </w:rPr>
        <w:t xml:space="preserve"> is to </w:t>
      </w:r>
      <w:r w:rsidR="00FC6914">
        <w:rPr>
          <w:rFonts w:ascii="Trebuchet MS"/>
          <w:sz w:val="24"/>
          <w:szCs w:val="24"/>
        </w:rPr>
        <w:t>ensure</w:t>
      </w:r>
      <w:r>
        <w:rPr>
          <w:rFonts w:ascii="Trebuchet MS"/>
          <w:sz w:val="24"/>
          <w:szCs w:val="24"/>
        </w:rPr>
        <w:t xml:space="preserve"> the National Disability Advocacy Framework accommodates and recognises people with disability, particularly those who are deafblind.</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The ADBC is the only organisation in Australia that provides systemic advocacy and social change for people who are deafblind. The council is managed by a committee of volunteers and comprised of those with deafblindness and professionals working with those who are deafblind.  </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According to the National Disability Agreement, paragraph 8 states:</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hAnsi="Arial Unicode MS"/>
          <w:sz w:val="24"/>
          <w:szCs w:val="24"/>
        </w:rPr>
        <w:t>“</w:t>
      </w:r>
      <w:r>
        <w:rPr>
          <w:rFonts w:ascii="Trebuchet MS"/>
          <w:sz w:val="24"/>
          <w:szCs w:val="24"/>
        </w:rPr>
        <w:t>The Governments need to consider improvements in administration of advocacy services with the focus on improving service delivery and access to advocacy services for people with disability.</w:t>
      </w:r>
      <w:r>
        <w:rPr>
          <w:rFonts w:hAnsi="Arial Unicode MS"/>
          <w:sz w:val="24"/>
          <w:szCs w:val="24"/>
        </w:rPr>
        <w:t>”</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ADBC administration is significantly underfunded, lacks resources to provide advocacy services and support to the </w:t>
      </w:r>
      <w:r>
        <w:rPr>
          <w:rFonts w:ascii="Trebuchet MS"/>
          <w:sz w:val="24"/>
          <w:szCs w:val="24"/>
          <w:lang w:val="en-AU"/>
        </w:rPr>
        <w:t xml:space="preserve">Australian </w:t>
      </w:r>
      <w:r>
        <w:rPr>
          <w:rFonts w:ascii="Trebuchet MS"/>
          <w:sz w:val="24"/>
          <w:szCs w:val="24"/>
        </w:rPr>
        <w:t xml:space="preserve">deafblind community with high needs. This issue relates to the Framework Outcome </w:t>
      </w:r>
      <w:r w:rsidRPr="00C60818">
        <w:rPr>
          <w:rFonts w:ascii="Trebuchet MS" w:hAnsi="Trebuchet MS" w:cs="AngsanaUPC"/>
          <w:b/>
          <w:bCs/>
          <w:i/>
          <w:iCs/>
          <w:sz w:val="24"/>
          <w:szCs w:val="24"/>
        </w:rPr>
        <w:t>(e) people with disability receive independent advocacy support that is free from conflict of interest.</w:t>
      </w:r>
      <w:r>
        <w:rPr>
          <w:rFonts w:ascii="Trebuchet MS"/>
          <w:sz w:val="24"/>
          <w:szCs w:val="24"/>
        </w:rPr>
        <w:t xml:space="preserve">  Currently the administration of ADBC receives limited funding through Able Australia (not-for-profit deafblind service organisation).</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People who are deafblind require specialist advocacy support. </w:t>
      </w:r>
      <w:r w:rsidR="00FC6914">
        <w:rPr>
          <w:rFonts w:ascii="Trebuchet MS"/>
          <w:sz w:val="24"/>
          <w:szCs w:val="24"/>
        </w:rPr>
        <w:t xml:space="preserve">Neither </w:t>
      </w:r>
      <w:r w:rsidR="00C22290">
        <w:rPr>
          <w:rFonts w:ascii="Trebuchet MS"/>
          <w:sz w:val="24"/>
          <w:szCs w:val="24"/>
        </w:rPr>
        <w:t>v</w:t>
      </w:r>
      <w:r>
        <w:rPr>
          <w:rFonts w:ascii="Trebuchet MS"/>
          <w:sz w:val="24"/>
          <w:szCs w:val="24"/>
        </w:rPr>
        <w:t xml:space="preserve">ision nor hearing loss advocacy organisations are suitable or skilled in supporting people who are deafblind. This relates to the Framework Outcome </w:t>
      </w:r>
      <w:r>
        <w:rPr>
          <w:b/>
          <w:bCs/>
          <w:i/>
          <w:iCs/>
          <w:sz w:val="24"/>
          <w:szCs w:val="24"/>
        </w:rPr>
        <w:t>(</w:t>
      </w:r>
      <w:r w:rsidRPr="00C60818">
        <w:rPr>
          <w:rFonts w:ascii="Trebuchet MS" w:hAnsi="Trebuchet MS"/>
          <w:b/>
          <w:bCs/>
          <w:i/>
          <w:iCs/>
          <w:sz w:val="24"/>
          <w:szCs w:val="24"/>
        </w:rPr>
        <w:t>f) people with disability experiencing multiple disadvantage have their needs met.</w:t>
      </w:r>
      <w:r>
        <w:rPr>
          <w:rFonts w:ascii="Trebuchet MS"/>
          <w:sz w:val="24"/>
          <w:szCs w:val="24"/>
        </w:rPr>
        <w:t xml:space="preserve">  Without ADBC advocating for people who are deafblind, there are </w:t>
      </w:r>
      <w:r w:rsidR="00FC6914">
        <w:rPr>
          <w:rFonts w:ascii="Trebuchet MS"/>
          <w:sz w:val="24"/>
          <w:szCs w:val="24"/>
        </w:rPr>
        <w:t xml:space="preserve">currently </w:t>
      </w:r>
      <w:r>
        <w:rPr>
          <w:rFonts w:ascii="Trebuchet MS"/>
          <w:sz w:val="24"/>
          <w:szCs w:val="24"/>
        </w:rPr>
        <w:t xml:space="preserve">no </w:t>
      </w:r>
      <w:r w:rsidR="00FC6914">
        <w:rPr>
          <w:rFonts w:ascii="Trebuchet MS"/>
          <w:sz w:val="24"/>
          <w:szCs w:val="24"/>
        </w:rPr>
        <w:t xml:space="preserve">other </w:t>
      </w:r>
      <w:r>
        <w:rPr>
          <w:rFonts w:ascii="Trebuchet MS"/>
          <w:sz w:val="24"/>
          <w:szCs w:val="24"/>
        </w:rPr>
        <w:t>suitable organisations capable of doing so.</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The Australian Government has not engaged with ADBC and the deafblind community for their responsibility to have access to advocacy services and enable quality standards of service delivery within the NDIS.  ADBC is not recognised by the Australia</w:t>
      </w:r>
      <w:r w:rsidR="00FC6914">
        <w:rPr>
          <w:rFonts w:ascii="Trebuchet MS"/>
          <w:sz w:val="24"/>
          <w:szCs w:val="24"/>
        </w:rPr>
        <w:t>n</w:t>
      </w:r>
      <w:r>
        <w:rPr>
          <w:rFonts w:ascii="Trebuchet MS"/>
          <w:sz w:val="24"/>
          <w:szCs w:val="24"/>
        </w:rPr>
        <w:t xml:space="preserve"> Government for our key role in ensuring deafblind people are free from discrimination and inclu</w:t>
      </w:r>
      <w:r w:rsidR="00FC6914">
        <w:rPr>
          <w:rFonts w:ascii="Trebuchet MS"/>
          <w:sz w:val="24"/>
          <w:szCs w:val="24"/>
        </w:rPr>
        <w:t>ded</w:t>
      </w:r>
      <w:r>
        <w:rPr>
          <w:rFonts w:ascii="Trebuchet MS"/>
          <w:sz w:val="24"/>
          <w:szCs w:val="24"/>
        </w:rPr>
        <w:t xml:space="preserve"> </w:t>
      </w:r>
      <w:r w:rsidR="00FC6914">
        <w:rPr>
          <w:rFonts w:ascii="Trebuchet MS"/>
          <w:sz w:val="24"/>
          <w:szCs w:val="24"/>
        </w:rPr>
        <w:t>in</w:t>
      </w:r>
      <w:r>
        <w:rPr>
          <w:rFonts w:ascii="Trebuchet MS"/>
          <w:sz w:val="24"/>
          <w:szCs w:val="24"/>
        </w:rPr>
        <w:t xml:space="preserve"> society.  ADBC is challenging NDIS and the </w:t>
      </w:r>
      <w:r w:rsidR="00FC6914">
        <w:rPr>
          <w:rFonts w:ascii="Trebuchet MS"/>
          <w:sz w:val="24"/>
          <w:szCs w:val="24"/>
        </w:rPr>
        <w:t xml:space="preserve">Government </w:t>
      </w:r>
      <w:r>
        <w:rPr>
          <w:rFonts w:ascii="Trebuchet MS"/>
          <w:sz w:val="24"/>
          <w:szCs w:val="24"/>
        </w:rPr>
        <w:t>to consider their standards for</w:t>
      </w:r>
      <w:r w:rsidR="00FC6914">
        <w:rPr>
          <w:rFonts w:ascii="Trebuchet MS"/>
          <w:sz w:val="24"/>
          <w:szCs w:val="24"/>
        </w:rPr>
        <w:t xml:space="preserve"> people with </w:t>
      </w:r>
      <w:r>
        <w:rPr>
          <w:rFonts w:ascii="Trebuchet MS"/>
          <w:sz w:val="24"/>
          <w:szCs w:val="24"/>
        </w:rPr>
        <w:t>disability in compliance with the United Nations treaty:</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Convention on the Rights of People with Disabilities, article 4</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Under general obligations, this article confirms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organisations</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ADBC and the deafblind community would benefit </w:t>
      </w:r>
      <w:r w:rsidR="00C7015F">
        <w:rPr>
          <w:rFonts w:ascii="Trebuchet MS"/>
          <w:sz w:val="24"/>
          <w:szCs w:val="24"/>
        </w:rPr>
        <w:t xml:space="preserve">from </w:t>
      </w:r>
      <w:r>
        <w:rPr>
          <w:rFonts w:ascii="Trebuchet MS"/>
          <w:sz w:val="24"/>
          <w:szCs w:val="24"/>
        </w:rPr>
        <w:t>funded resource support from the Government to facilitate quality advocacy systems and high standards of support to address the issues and barriers that remain prevalent today.</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Deafblind participants on the NDIS program would not be able to make informed decisions about their supports with safeguarding rights without the ADBC and their supporters.</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ADBC investigated deafblind organisations in Scandinavia and found that their government provided support to develop structured advocacy systems that assisted and addressed the barriers affecting deafblind people and to enable community engagement. ADBC visited the Norwegian Deafblind Association and learnt that they are operated and employed by 10 deafblind people who provided advocacy support for political and welfare issues for deafblind people in all areas of Norway.</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ADBC </w:t>
      </w:r>
      <w:r w:rsidR="006E7C62">
        <w:rPr>
          <w:rFonts w:ascii="Trebuchet MS"/>
          <w:sz w:val="24"/>
          <w:szCs w:val="24"/>
        </w:rPr>
        <w:t>requires support</w:t>
      </w:r>
      <w:r>
        <w:rPr>
          <w:rFonts w:ascii="Trebuchet MS"/>
          <w:sz w:val="24"/>
          <w:szCs w:val="24"/>
        </w:rPr>
        <w:t xml:space="preserve"> for similar systems that presently support deafblind people in Scandanvia. This quote from the Disability Reform Council would make this possible:</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Disability Reform Council agreed that </w:t>
      </w:r>
      <w:r w:rsidRPr="002C041C">
        <w:rPr>
          <w:rFonts w:ascii="Trebuchet MS" w:hAnsi="Trebuchet MS"/>
          <w:b/>
          <w:bCs/>
          <w:sz w:val="24"/>
          <w:szCs w:val="24"/>
        </w:rPr>
        <w:t>systematic advocacy</w:t>
      </w:r>
      <w:r>
        <w:rPr>
          <w:rFonts w:ascii="Trebuchet MS"/>
          <w:sz w:val="24"/>
          <w:szCs w:val="24"/>
        </w:rPr>
        <w:t xml:space="preserve"> and legal review and representation </w:t>
      </w:r>
      <w:r w:rsidRPr="002C041C">
        <w:rPr>
          <w:rFonts w:ascii="Trebuchet MS" w:hAnsi="Trebuchet MS"/>
          <w:b/>
          <w:sz w:val="24"/>
          <w:szCs w:val="24"/>
        </w:rPr>
        <w:t>will be</w:t>
      </w:r>
      <w:r w:rsidRPr="002C041C">
        <w:rPr>
          <w:rFonts w:ascii="Trebuchet MS" w:hAnsi="Trebuchet MS"/>
          <w:b/>
          <w:bCs/>
          <w:sz w:val="24"/>
          <w:szCs w:val="24"/>
        </w:rPr>
        <w:t xml:space="preserve"> funded</w:t>
      </w:r>
      <w:r>
        <w:rPr>
          <w:rFonts w:ascii="Trebuchet MS"/>
          <w:sz w:val="24"/>
          <w:szCs w:val="24"/>
        </w:rPr>
        <w:t xml:space="preserve"> outside the NDIS. This line with the 2011 Productivity Commission Inquiry Report into Disability Care and Support, which recommends advocacy, be funded outside NDIS.</w:t>
      </w:r>
    </w:p>
    <w:p w:rsidR="00666CAC" w:rsidRDefault="00666CAC" w:rsidP="00666CAC">
      <w:pPr>
        <w:pStyle w:val="Body"/>
        <w:spacing w:after="0" w:line="240" w:lineRule="auto"/>
        <w:rPr>
          <w:sz w:val="24"/>
          <w:szCs w:val="24"/>
        </w:rPr>
      </w:pPr>
      <w:r>
        <w:rPr>
          <w:rFonts w:ascii="Trebuchet MS"/>
          <w:sz w:val="24"/>
          <w:szCs w:val="24"/>
        </w:rPr>
        <w:t xml:space="preserve"> </w:t>
      </w:r>
    </w:p>
    <w:p w:rsidR="00666CAC" w:rsidRDefault="00666CAC" w:rsidP="00666CAC">
      <w:pPr>
        <w:pStyle w:val="Body"/>
        <w:spacing w:after="0" w:line="240" w:lineRule="auto"/>
        <w:rPr>
          <w:sz w:val="24"/>
          <w:szCs w:val="24"/>
        </w:rPr>
      </w:pPr>
      <w:r>
        <w:rPr>
          <w:rFonts w:ascii="Trebuchet MS"/>
          <w:sz w:val="24"/>
          <w:szCs w:val="24"/>
        </w:rPr>
        <w:t xml:space="preserve"> </w:t>
      </w: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p>
    <w:p w:rsidR="00666CAC" w:rsidRDefault="00666CAC" w:rsidP="00666CAC">
      <w:pPr>
        <w:pStyle w:val="Body"/>
        <w:spacing w:after="0" w:line="240" w:lineRule="auto"/>
        <w:rPr>
          <w:sz w:val="24"/>
          <w:szCs w:val="24"/>
        </w:rPr>
      </w:pPr>
      <w:r>
        <w:rPr>
          <w:rFonts w:ascii="Trebuchet MS"/>
          <w:sz w:val="24"/>
          <w:szCs w:val="24"/>
        </w:rPr>
        <w:t xml:space="preserve">  </w:t>
      </w: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Does the Disability Advocacy Framework under Australian government legislations, United Nations treaties including UN Convention of Human Rights for people with disabilities support deafblind advocacy into </w:t>
      </w:r>
      <w:r w:rsidR="00C7015F">
        <w:rPr>
          <w:rFonts w:ascii="Trebuchet MS"/>
          <w:spacing w:val="4"/>
          <w:sz w:val="24"/>
          <w:szCs w:val="24"/>
        </w:rPr>
        <w:t xml:space="preserve">the </w:t>
      </w:r>
      <w:r>
        <w:rPr>
          <w:rFonts w:ascii="Trebuchet MS"/>
          <w:spacing w:val="4"/>
          <w:sz w:val="24"/>
          <w:szCs w:val="24"/>
        </w:rPr>
        <w:t>NDIS?</w:t>
      </w:r>
    </w:p>
    <w:p w:rsidR="00666CAC" w:rsidRDefault="00666CAC" w:rsidP="00666CAC">
      <w:pPr>
        <w:pStyle w:val="Body"/>
        <w:tabs>
          <w:tab w:val="left" w:pos="5245"/>
        </w:tabs>
        <w:spacing w:before="120" w:after="180" w:line="280" w:lineRule="atLeast"/>
        <w:rPr>
          <w:spacing w:val="4"/>
          <w:sz w:val="24"/>
          <w:szCs w:val="24"/>
        </w:rPr>
      </w:pP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According </w:t>
      </w:r>
      <w:r w:rsidR="00C7015F">
        <w:rPr>
          <w:rFonts w:ascii="Trebuchet MS"/>
          <w:spacing w:val="4"/>
          <w:sz w:val="24"/>
          <w:szCs w:val="24"/>
        </w:rPr>
        <w:t xml:space="preserve">to </w:t>
      </w:r>
      <w:r>
        <w:rPr>
          <w:rFonts w:ascii="Trebuchet MS"/>
          <w:spacing w:val="4"/>
          <w:sz w:val="24"/>
          <w:szCs w:val="24"/>
        </w:rPr>
        <w:t xml:space="preserve">the National Standards of Disabilities, NDIS is to enable people with disabilities to have more control over the support they receive, and able to access care that meets their needs </w:t>
      </w:r>
      <w:r>
        <w:rPr>
          <w:rFonts w:hAnsi="Arial Unicode MS"/>
          <w:spacing w:val="4"/>
          <w:sz w:val="24"/>
          <w:szCs w:val="24"/>
        </w:rPr>
        <w:t>–</w:t>
      </w:r>
      <w:r>
        <w:rPr>
          <w:rFonts w:hAnsi="Arial Unicode MS"/>
          <w:spacing w:val="4"/>
          <w:sz w:val="24"/>
          <w:szCs w:val="24"/>
        </w:rPr>
        <w:t xml:space="preserve"> </w:t>
      </w:r>
      <w:r>
        <w:rPr>
          <w:rFonts w:ascii="Trebuchet MS"/>
          <w:spacing w:val="4"/>
          <w:sz w:val="24"/>
          <w:szCs w:val="24"/>
        </w:rPr>
        <w:t>so they can participate in education, work and the community to their full potential. The ADBC and supporting deafblind specialist service providers ensure these standards are met for NDIS participants who are deafblind.</w:t>
      </w:r>
    </w:p>
    <w:p w:rsidR="00666CAC" w:rsidRDefault="00666CAC" w:rsidP="00666CAC">
      <w:pPr>
        <w:pStyle w:val="Body"/>
        <w:tabs>
          <w:tab w:val="left" w:pos="5245"/>
        </w:tabs>
        <w:spacing w:before="120" w:after="180" w:line="280" w:lineRule="atLeast"/>
        <w:rPr>
          <w:spacing w:val="4"/>
          <w:sz w:val="24"/>
          <w:szCs w:val="24"/>
        </w:rPr>
      </w:pPr>
    </w:p>
    <w:p w:rsidR="00666CAC" w:rsidRDefault="00C7015F" w:rsidP="00666CAC">
      <w:pPr>
        <w:pStyle w:val="Body"/>
        <w:spacing w:after="0" w:line="240" w:lineRule="auto"/>
        <w:rPr>
          <w:sz w:val="24"/>
          <w:szCs w:val="24"/>
        </w:rPr>
      </w:pPr>
      <w:r>
        <w:rPr>
          <w:rFonts w:ascii="Trebuchet MS"/>
          <w:sz w:val="24"/>
          <w:szCs w:val="24"/>
        </w:rPr>
        <w:t>T</w:t>
      </w:r>
      <w:r w:rsidR="00666CAC">
        <w:rPr>
          <w:rFonts w:ascii="Trebuchet MS"/>
          <w:sz w:val="24"/>
          <w:szCs w:val="24"/>
        </w:rPr>
        <w:t>he needs of people with deafblindness are poorly understood by generic disability services or even single sensory services, thus NDIA planners are unlikely to have the knowledge required.</w:t>
      </w:r>
      <w:r w:rsidR="00666CAC">
        <w:rPr>
          <w:rFonts w:hAnsi="Arial Unicode MS"/>
          <w:sz w:val="24"/>
          <w:szCs w:val="24"/>
        </w:rPr>
        <w:t> </w:t>
      </w:r>
      <w:r w:rsidR="00666CAC">
        <w:rPr>
          <w:rFonts w:hAnsi="Arial Unicode MS"/>
          <w:sz w:val="24"/>
          <w:szCs w:val="24"/>
        </w:rPr>
        <w:t xml:space="preserve"> </w:t>
      </w:r>
    </w:p>
    <w:p w:rsidR="00666CAC" w:rsidRDefault="00666CAC" w:rsidP="00666CAC">
      <w:pPr>
        <w:pStyle w:val="Body"/>
        <w:tabs>
          <w:tab w:val="left" w:pos="5245"/>
        </w:tabs>
        <w:spacing w:before="120" w:after="180" w:line="280" w:lineRule="atLeast"/>
        <w:rPr>
          <w:sz w:val="24"/>
          <w:szCs w:val="24"/>
        </w:rPr>
      </w:pP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A recent report from a specialist deafblind service provider had identified that funding bodies have failed to recognise the specific needs of deafblind communication to provide interpreters and communication guides. ADBC recognises the lack of knowledge that continues to marginalise deafblind people who are not being understood and respected.</w:t>
      </w:r>
    </w:p>
    <w:p w:rsidR="00666CAC" w:rsidRDefault="00666CAC" w:rsidP="00666CAC">
      <w:pPr>
        <w:pStyle w:val="Body"/>
        <w:tabs>
          <w:tab w:val="left" w:pos="5245"/>
        </w:tabs>
        <w:spacing w:before="120" w:after="180" w:line="280" w:lineRule="atLeast"/>
        <w:rPr>
          <w:spacing w:val="4"/>
          <w:sz w:val="24"/>
          <w:szCs w:val="24"/>
        </w:rPr>
      </w:pP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The current National Disability Advocacy Framework   </w:t>
      </w:r>
      <w:r w:rsidR="00C7015F">
        <w:rPr>
          <w:rFonts w:ascii="Trebuchet MS"/>
          <w:spacing w:val="4"/>
          <w:sz w:val="24"/>
          <w:szCs w:val="24"/>
        </w:rPr>
        <w:t xml:space="preserve">requires </w:t>
      </w:r>
      <w:r w:rsidR="00AE30AF">
        <w:rPr>
          <w:rFonts w:ascii="Trebuchet MS"/>
          <w:spacing w:val="4"/>
          <w:sz w:val="24"/>
          <w:szCs w:val="24"/>
        </w:rPr>
        <w:t>r</w:t>
      </w:r>
      <w:r>
        <w:rPr>
          <w:rFonts w:ascii="Trebuchet MS"/>
          <w:spacing w:val="4"/>
          <w:sz w:val="24"/>
          <w:szCs w:val="24"/>
        </w:rPr>
        <w:t>ecognition of people with deafblindness</w:t>
      </w:r>
      <w:r w:rsidR="00C7015F">
        <w:rPr>
          <w:rFonts w:ascii="Trebuchet MS"/>
          <w:spacing w:val="4"/>
          <w:sz w:val="24"/>
          <w:szCs w:val="24"/>
        </w:rPr>
        <w:t xml:space="preserve">. The framework states: </w:t>
      </w: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        </w:t>
      </w:r>
    </w:p>
    <w:p w:rsidR="00666CAC" w:rsidRDefault="00666CAC" w:rsidP="00666CAC">
      <w:pPr>
        <w:pStyle w:val="Body"/>
        <w:tabs>
          <w:tab w:val="left" w:pos="5245"/>
        </w:tabs>
        <w:spacing w:before="120" w:after="180" w:line="280" w:lineRule="atLeast"/>
        <w:rPr>
          <w:spacing w:val="4"/>
          <w:sz w:val="24"/>
          <w:szCs w:val="24"/>
        </w:rPr>
      </w:pPr>
      <w:r>
        <w:rPr>
          <w:rFonts w:hAnsi="Arial Unicode MS"/>
          <w:spacing w:val="4"/>
          <w:sz w:val="24"/>
          <w:szCs w:val="24"/>
        </w:rPr>
        <w:t>‘</w:t>
      </w:r>
      <w:r>
        <w:rPr>
          <w:rFonts w:ascii="Trebuchet MS"/>
          <w:spacing w:val="4"/>
          <w:sz w:val="24"/>
          <w:szCs w:val="24"/>
        </w:rPr>
        <w:t>People with disability have access to effective disability advocacy that promotes, protect and ensures full and equal enjoyment of all rights enabling full and equal participation</w:t>
      </w:r>
      <w:r>
        <w:rPr>
          <w:rFonts w:hAnsi="Arial Unicode MS"/>
          <w:spacing w:val="4"/>
          <w:sz w:val="24"/>
          <w:szCs w:val="24"/>
          <w:lang w:val="fr-FR"/>
        </w:rPr>
        <w:t>’</w:t>
      </w:r>
      <w:r>
        <w:rPr>
          <w:rFonts w:ascii="Trebuchet MS"/>
          <w:spacing w:val="4"/>
          <w:sz w:val="24"/>
          <w:szCs w:val="24"/>
        </w:rPr>
        <w:t>.</w:t>
      </w:r>
    </w:p>
    <w:p w:rsidR="00666CAC" w:rsidRDefault="00666CAC" w:rsidP="00666CAC">
      <w:pPr>
        <w:pStyle w:val="Body"/>
        <w:tabs>
          <w:tab w:val="left" w:pos="5245"/>
        </w:tabs>
        <w:spacing w:before="120" w:after="180" w:line="280" w:lineRule="atLeast"/>
        <w:rPr>
          <w:spacing w:val="4"/>
          <w:sz w:val="24"/>
          <w:szCs w:val="24"/>
        </w:rPr>
      </w:pP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ADBC and the committee have </w:t>
      </w:r>
      <w:r w:rsidR="00C7015F">
        <w:rPr>
          <w:rFonts w:ascii="Trebuchet MS"/>
          <w:spacing w:val="4"/>
          <w:sz w:val="24"/>
          <w:szCs w:val="24"/>
        </w:rPr>
        <w:t>met</w:t>
      </w:r>
      <w:r>
        <w:rPr>
          <w:rFonts w:ascii="Trebuchet MS"/>
          <w:spacing w:val="4"/>
          <w:sz w:val="24"/>
          <w:szCs w:val="24"/>
        </w:rPr>
        <w:t xml:space="preserve">continuous resistance from Governments and Disability Organisations with the attempt to provide deafblind people with the resources, funding, community awareness and advocacy support to meet these objectives.  </w:t>
      </w:r>
    </w:p>
    <w:p w:rsidR="00666CAC" w:rsidRDefault="00666CAC" w:rsidP="00666CAC">
      <w:pPr>
        <w:pStyle w:val="Body"/>
        <w:tabs>
          <w:tab w:val="left" w:pos="5245"/>
        </w:tabs>
        <w:spacing w:before="120" w:after="180" w:line="280" w:lineRule="atLeast"/>
        <w:rPr>
          <w:spacing w:val="4"/>
          <w:sz w:val="24"/>
          <w:szCs w:val="24"/>
        </w:rPr>
      </w:pP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The principles and the objectives of National Disability Advocacy Framework developed for the future of NDIS participants with disabilities including deafblindness can only be accomplished through the Council of Australian Governments</w:t>
      </w:r>
      <w:r>
        <w:rPr>
          <w:rFonts w:hAnsi="Arial Unicode MS"/>
          <w:spacing w:val="4"/>
          <w:sz w:val="24"/>
          <w:szCs w:val="24"/>
          <w:lang w:val="fr-FR"/>
        </w:rPr>
        <w:t>’</w:t>
      </w:r>
      <w:r>
        <w:rPr>
          <w:rFonts w:hAnsi="Arial Unicode MS"/>
          <w:spacing w:val="4"/>
          <w:sz w:val="24"/>
          <w:szCs w:val="24"/>
          <w:lang w:val="fr-FR"/>
        </w:rPr>
        <w:t xml:space="preserve"> </w:t>
      </w:r>
      <w:r>
        <w:rPr>
          <w:rFonts w:ascii="Trebuchet MS"/>
          <w:spacing w:val="4"/>
          <w:sz w:val="24"/>
          <w:szCs w:val="24"/>
        </w:rPr>
        <w:t xml:space="preserve">Disability Reform. This confirms that NDIS would fund decisions to supports, safeguard support, capacity building for participants, including specialised advocacy/service supports and access mainstream services. </w:t>
      </w: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 </w:t>
      </w: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In Australia, the deafblind community is not supported or recognised as members of the Australian society. The following countries have legislation that recognise </w:t>
      </w:r>
      <w:r>
        <w:rPr>
          <w:rFonts w:hAnsi="Arial Unicode MS"/>
          <w:spacing w:val="4"/>
          <w:sz w:val="24"/>
          <w:szCs w:val="24"/>
        </w:rPr>
        <w:t>‘</w:t>
      </w:r>
      <w:r>
        <w:rPr>
          <w:rFonts w:ascii="Trebuchet MS"/>
          <w:spacing w:val="4"/>
          <w:sz w:val="24"/>
          <w:szCs w:val="24"/>
        </w:rPr>
        <w:t>Deafblind</w:t>
      </w:r>
      <w:r>
        <w:rPr>
          <w:rFonts w:hAnsi="Arial Unicode MS"/>
          <w:spacing w:val="4"/>
          <w:sz w:val="24"/>
          <w:szCs w:val="24"/>
          <w:lang w:val="fr-FR"/>
        </w:rPr>
        <w:t>’</w:t>
      </w:r>
      <w:r>
        <w:rPr>
          <w:rFonts w:hAnsi="Arial Unicode MS"/>
          <w:spacing w:val="4"/>
          <w:sz w:val="24"/>
          <w:szCs w:val="24"/>
          <w:lang w:val="fr-FR"/>
        </w:rPr>
        <w:t xml:space="preserve"> </w:t>
      </w:r>
      <w:r>
        <w:rPr>
          <w:rFonts w:ascii="Trebuchet MS"/>
          <w:spacing w:val="4"/>
          <w:sz w:val="24"/>
          <w:szCs w:val="24"/>
        </w:rPr>
        <w:t>as a distinct disability in its own rights: Denmark, England, France, Sweden and Romania.</w:t>
      </w:r>
    </w:p>
    <w:p w:rsidR="00666CAC" w:rsidRDefault="00666CAC" w:rsidP="00666CAC">
      <w:pPr>
        <w:pStyle w:val="Body"/>
        <w:tabs>
          <w:tab w:val="left" w:pos="5245"/>
        </w:tabs>
        <w:spacing w:before="120" w:after="180" w:line="280" w:lineRule="atLeast"/>
        <w:rPr>
          <w:spacing w:val="4"/>
          <w:sz w:val="24"/>
          <w:szCs w:val="24"/>
        </w:rPr>
      </w:pP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In Sweden, there </w:t>
      </w:r>
      <w:r w:rsidR="00C7015F">
        <w:rPr>
          <w:rFonts w:ascii="Trebuchet MS"/>
          <w:spacing w:val="4"/>
          <w:sz w:val="24"/>
          <w:szCs w:val="24"/>
        </w:rPr>
        <w:t>is</w:t>
      </w:r>
      <w:r>
        <w:rPr>
          <w:rFonts w:ascii="Trebuchet MS"/>
          <w:spacing w:val="4"/>
          <w:sz w:val="24"/>
          <w:szCs w:val="24"/>
        </w:rPr>
        <w:t xml:space="preserve"> legislation developed where the Swedish deafblind communities have provided successful advocacy supports with the Swedish government on systems similar to the NDIS.  </w:t>
      </w:r>
    </w:p>
    <w:p w:rsidR="00666CAC" w:rsidRDefault="00666CAC" w:rsidP="00666CAC">
      <w:pPr>
        <w:pStyle w:val="Body"/>
        <w:tabs>
          <w:tab w:val="left" w:pos="5245"/>
        </w:tabs>
        <w:spacing w:before="120" w:after="180" w:line="280" w:lineRule="atLeast"/>
        <w:rPr>
          <w:spacing w:val="4"/>
          <w:sz w:val="24"/>
          <w:szCs w:val="24"/>
        </w:rPr>
      </w:pPr>
      <w:r>
        <w:rPr>
          <w:rFonts w:ascii="Trebuchet MS"/>
          <w:spacing w:val="4"/>
          <w:sz w:val="24"/>
          <w:szCs w:val="24"/>
        </w:rPr>
        <w:t xml:space="preserve">In </w:t>
      </w:r>
      <w:bookmarkStart w:id="0" w:name="_GoBack"/>
      <w:bookmarkEnd w:id="0"/>
      <w:r w:rsidR="006E7C62">
        <w:rPr>
          <w:rFonts w:ascii="Trebuchet MS"/>
          <w:spacing w:val="4"/>
          <w:sz w:val="24"/>
          <w:szCs w:val="24"/>
        </w:rPr>
        <w:t>some areas</w:t>
      </w:r>
      <w:r>
        <w:rPr>
          <w:rFonts w:ascii="Trebuchet MS"/>
          <w:spacing w:val="4"/>
          <w:sz w:val="24"/>
          <w:szCs w:val="24"/>
        </w:rPr>
        <w:t xml:space="preserve"> of Sweden there are laws for all disabilities that include deafblind people:</w:t>
      </w:r>
    </w:p>
    <w:p w:rsidR="00666CAC" w:rsidRPr="00E87123" w:rsidRDefault="00666CAC" w:rsidP="00666CAC">
      <w:pPr>
        <w:pStyle w:val="ListParagraph"/>
        <w:numPr>
          <w:ilvl w:val="0"/>
          <w:numId w:val="5"/>
        </w:numPr>
        <w:tabs>
          <w:tab w:val="left" w:pos="5245"/>
        </w:tabs>
        <w:ind w:hanging="360"/>
        <w:rPr>
          <w:rFonts w:ascii="Trebuchet MS" w:eastAsia="Trebuchet MS" w:hAnsi="Trebuchet MS" w:cs="Trebuchet MS"/>
        </w:rPr>
      </w:pPr>
      <w:r w:rsidRPr="00E87123">
        <w:rPr>
          <w:rFonts w:ascii="Trebuchet MS" w:eastAsia="Calibri" w:hAnsi="Trebuchet MS" w:cs="Calibri"/>
        </w:rPr>
        <w:t xml:space="preserve">Programme for identifying newly diagnosed deafblind people and Early Intervention Services;  </w:t>
      </w:r>
    </w:p>
    <w:p w:rsidR="00666CAC" w:rsidRPr="00E87123" w:rsidRDefault="00666CAC" w:rsidP="00666CAC">
      <w:pPr>
        <w:pStyle w:val="ListParagraph"/>
        <w:numPr>
          <w:ilvl w:val="0"/>
          <w:numId w:val="6"/>
        </w:numPr>
        <w:tabs>
          <w:tab w:val="left" w:pos="5245"/>
        </w:tabs>
        <w:ind w:hanging="360"/>
        <w:rPr>
          <w:rFonts w:ascii="Trebuchet MS" w:eastAsia="Trebuchet MS" w:hAnsi="Trebuchet MS" w:cs="Trebuchet MS"/>
        </w:rPr>
      </w:pPr>
      <w:r w:rsidRPr="00E87123">
        <w:rPr>
          <w:rFonts w:ascii="Trebuchet MS" w:eastAsia="Calibri" w:hAnsi="Trebuchet MS" w:cs="Calibri"/>
        </w:rPr>
        <w:t xml:space="preserve">Specialist Organisations provide training for professionals in assessing the needs of deafblind; </w:t>
      </w:r>
    </w:p>
    <w:p w:rsidR="00666CAC" w:rsidRPr="00E87123" w:rsidRDefault="00666CAC" w:rsidP="00666CAC">
      <w:pPr>
        <w:pStyle w:val="ListParagraph"/>
        <w:numPr>
          <w:ilvl w:val="0"/>
          <w:numId w:val="7"/>
        </w:numPr>
        <w:tabs>
          <w:tab w:val="left" w:pos="5245"/>
        </w:tabs>
        <w:ind w:hanging="360"/>
        <w:rPr>
          <w:rFonts w:ascii="Trebuchet MS" w:eastAsia="Trebuchet MS" w:hAnsi="Trebuchet MS" w:cs="Trebuchet MS"/>
        </w:rPr>
      </w:pPr>
      <w:r w:rsidRPr="00E87123">
        <w:rPr>
          <w:rFonts w:ascii="Trebuchet MS" w:eastAsia="Calibri" w:hAnsi="Trebuchet MS" w:cs="Calibri"/>
        </w:rPr>
        <w:t xml:space="preserve">Formal training qualifications available for interpreters and communicators;  </w:t>
      </w:r>
    </w:p>
    <w:p w:rsidR="00666CAC" w:rsidRPr="00E87123" w:rsidRDefault="00666CAC" w:rsidP="00666CAC">
      <w:pPr>
        <w:pStyle w:val="ListParagraph"/>
        <w:numPr>
          <w:ilvl w:val="0"/>
          <w:numId w:val="8"/>
        </w:numPr>
        <w:tabs>
          <w:tab w:val="num" w:pos="720"/>
          <w:tab w:val="left" w:pos="5245"/>
        </w:tabs>
        <w:ind w:hanging="360"/>
        <w:rPr>
          <w:rFonts w:ascii="Trebuchet MS" w:eastAsia="Trebuchet MS" w:hAnsi="Trebuchet MS" w:cs="Trebuchet MS"/>
        </w:rPr>
      </w:pPr>
      <w:r w:rsidRPr="00E87123">
        <w:rPr>
          <w:rFonts w:ascii="Trebuchet MS" w:eastAsia="Calibri" w:hAnsi="Trebuchet MS" w:cs="Calibri"/>
        </w:rPr>
        <w:t xml:space="preserve">Regional Swedish authorities are required to provide interpreter services for deafblind people;   </w:t>
      </w:r>
    </w:p>
    <w:p w:rsidR="00666CAC" w:rsidRPr="00E87123" w:rsidRDefault="00666CAC" w:rsidP="00666CAC">
      <w:pPr>
        <w:pStyle w:val="ListParagraph"/>
        <w:numPr>
          <w:ilvl w:val="0"/>
          <w:numId w:val="9"/>
        </w:numPr>
        <w:tabs>
          <w:tab w:val="num" w:pos="720"/>
          <w:tab w:val="left" w:pos="5245"/>
        </w:tabs>
        <w:ind w:hanging="360"/>
        <w:rPr>
          <w:rFonts w:ascii="Trebuchet MS" w:eastAsia="Trebuchet MS" w:hAnsi="Trebuchet MS" w:cs="Trebuchet MS"/>
        </w:rPr>
      </w:pPr>
      <w:r w:rsidRPr="00E87123">
        <w:rPr>
          <w:rFonts w:ascii="Trebuchet MS" w:eastAsia="Calibri" w:hAnsi="Trebuchet MS" w:cs="Calibri"/>
        </w:rPr>
        <w:t xml:space="preserve">Deafblind Information and services are available at rehabilitation centres based in the major regions of the Sweden;  </w:t>
      </w:r>
    </w:p>
    <w:p w:rsidR="00666CAC" w:rsidRPr="00E87123" w:rsidRDefault="00666CAC" w:rsidP="00666CAC">
      <w:pPr>
        <w:pStyle w:val="ListParagraph"/>
        <w:numPr>
          <w:ilvl w:val="0"/>
          <w:numId w:val="10"/>
        </w:numPr>
        <w:tabs>
          <w:tab w:val="num" w:pos="720"/>
          <w:tab w:val="left" w:pos="5245"/>
        </w:tabs>
        <w:ind w:hanging="360"/>
        <w:rPr>
          <w:rFonts w:ascii="Trebuchet MS" w:eastAsia="Trebuchet MS" w:hAnsi="Trebuchet MS" w:cs="Trebuchet MS"/>
        </w:rPr>
      </w:pPr>
      <w:r w:rsidRPr="00E87123">
        <w:rPr>
          <w:rFonts w:ascii="Trebuchet MS" w:eastAsia="Calibri" w:hAnsi="Trebuchet MS" w:cs="Calibri"/>
        </w:rPr>
        <w:t xml:space="preserve">Legislation for all disabilities gives deafblind people the right to the support they need to work and to receive specialist social care; and </w:t>
      </w:r>
    </w:p>
    <w:p w:rsidR="00C7015F" w:rsidRPr="00AE30AF" w:rsidRDefault="00666CAC" w:rsidP="00C7015F">
      <w:pPr>
        <w:pStyle w:val="ListParagraph"/>
        <w:numPr>
          <w:ilvl w:val="0"/>
          <w:numId w:val="11"/>
        </w:numPr>
        <w:tabs>
          <w:tab w:val="num" w:pos="720"/>
          <w:tab w:val="left" w:pos="5245"/>
        </w:tabs>
        <w:ind w:hanging="360"/>
        <w:rPr>
          <w:rFonts w:ascii="Trebuchet MS" w:eastAsia="Trebuchet MS" w:hAnsi="Trebuchet MS" w:cs="Trebuchet MS"/>
        </w:rPr>
      </w:pPr>
      <w:r w:rsidRPr="00E87123">
        <w:rPr>
          <w:rFonts w:ascii="Trebuchet MS" w:eastAsia="Calibri" w:hAnsi="Trebuchet MS" w:cs="Calibri"/>
        </w:rPr>
        <w:t>Deafblind children have a right to an education and there is a school for deaf children with additional disabilities.</w:t>
      </w:r>
    </w:p>
    <w:p w:rsidR="00C7015F" w:rsidRDefault="00C7015F" w:rsidP="00AE30AF">
      <w:pPr>
        <w:tabs>
          <w:tab w:val="left" w:pos="5245"/>
        </w:tabs>
        <w:ind w:left="360"/>
        <w:rPr>
          <w:rFonts w:ascii="Trebuchet MS" w:eastAsia="Trebuchet MS" w:hAnsi="Trebuchet MS" w:cs="Trebuchet MS"/>
        </w:rPr>
      </w:pPr>
    </w:p>
    <w:p w:rsidR="007A4513" w:rsidRDefault="00163982">
      <w:pPr>
        <w:rPr>
          <w:rFonts w:ascii="Trebuchet MS" w:hAnsi="Trebuchet MS"/>
          <w:sz w:val="24"/>
          <w:szCs w:val="24"/>
        </w:rPr>
      </w:pPr>
      <w:r w:rsidRPr="00AE30AF">
        <w:rPr>
          <w:rFonts w:ascii="Trebuchet MS" w:hAnsi="Trebuchet MS"/>
          <w:sz w:val="24"/>
          <w:szCs w:val="24"/>
        </w:rPr>
        <w:t xml:space="preserve">The Australian Deafblind Council welcomes a response from the Government as to how it will address the advocacy needs of Australian citizens with deafblindness in line with the National Disability Advocacy Framework. </w:t>
      </w:r>
    </w:p>
    <w:p w:rsidR="000851E2" w:rsidRDefault="000851E2">
      <w:pPr>
        <w:rPr>
          <w:rFonts w:ascii="Trebuchet MS" w:hAnsi="Trebuchet MS"/>
          <w:sz w:val="24"/>
          <w:szCs w:val="24"/>
        </w:rPr>
      </w:pPr>
    </w:p>
    <w:p w:rsidR="000851E2" w:rsidRDefault="000851E2">
      <w:pPr>
        <w:rPr>
          <w:rFonts w:ascii="Trebuchet MS" w:hAnsi="Trebuchet MS"/>
          <w:sz w:val="24"/>
          <w:szCs w:val="24"/>
        </w:rPr>
      </w:pPr>
    </w:p>
    <w:p w:rsidR="000851E2" w:rsidRDefault="000851E2">
      <w:pPr>
        <w:rPr>
          <w:rFonts w:ascii="Trebuchet MS" w:hAnsi="Trebuchet MS"/>
          <w:sz w:val="24"/>
          <w:szCs w:val="24"/>
        </w:rPr>
      </w:pPr>
    </w:p>
    <w:p w:rsidR="000851E2" w:rsidRDefault="000851E2">
      <w:pPr>
        <w:rPr>
          <w:rFonts w:ascii="Trebuchet MS" w:hAnsi="Trebuchet MS"/>
          <w:sz w:val="24"/>
          <w:szCs w:val="24"/>
        </w:rPr>
      </w:pPr>
    </w:p>
    <w:p w:rsidR="004F5734" w:rsidRPr="004F5734" w:rsidRDefault="004F5734" w:rsidP="004F5734">
      <w:pPr>
        <w:ind w:firstLine="720"/>
        <w:rPr>
          <w:rFonts w:ascii="Calibri" w:hAnsi="Calibri"/>
          <w:sz w:val="24"/>
          <w:szCs w:val="24"/>
        </w:rPr>
      </w:pPr>
      <w:r w:rsidRPr="004F5734">
        <w:rPr>
          <w:rFonts w:ascii="Calibri" w:hAnsi="Calibri"/>
          <w:sz w:val="24"/>
          <w:szCs w:val="24"/>
        </w:rPr>
        <w:t xml:space="preserve">Department of Social Services. (2015). </w:t>
      </w:r>
      <w:r w:rsidRPr="004F5734">
        <w:rPr>
          <w:rFonts w:ascii="Calibri" w:hAnsi="Calibri"/>
          <w:i/>
          <w:sz w:val="24"/>
          <w:szCs w:val="24"/>
        </w:rPr>
        <w:t>National Disability Insurance National Disability Advocacy Framework</w:t>
      </w:r>
      <w:r w:rsidRPr="004F5734">
        <w:rPr>
          <w:rFonts w:ascii="Calibri" w:hAnsi="Calibri"/>
          <w:sz w:val="24"/>
          <w:szCs w:val="24"/>
        </w:rPr>
        <w:t>. Retrieved from https://engage.dss.gov.au/ndaf-2/discussion-paper/</w:t>
      </w:r>
    </w:p>
    <w:p w:rsidR="004F5734" w:rsidRPr="004F5734" w:rsidRDefault="004F5734" w:rsidP="004F5734">
      <w:pPr>
        <w:ind w:firstLine="720"/>
        <w:rPr>
          <w:rFonts w:ascii="Calibri" w:hAnsi="Calibri"/>
          <w:sz w:val="24"/>
          <w:szCs w:val="24"/>
          <w:lang w:val="en-US"/>
        </w:rPr>
      </w:pPr>
      <w:r w:rsidRPr="004F5734">
        <w:rPr>
          <w:rFonts w:ascii="Calibri" w:hAnsi="Calibri"/>
          <w:sz w:val="24"/>
          <w:szCs w:val="24"/>
          <w:lang w:val="en-US"/>
        </w:rPr>
        <w:t xml:space="preserve">Drescher, L. (2006) Sense UK, </w:t>
      </w:r>
      <w:r w:rsidRPr="004F5734">
        <w:rPr>
          <w:rFonts w:ascii="Calibri" w:hAnsi="Calibri"/>
          <w:i/>
          <w:sz w:val="24"/>
          <w:szCs w:val="24"/>
          <w:lang w:val="en-US"/>
        </w:rPr>
        <w:t>Recognition of Deafblindness in the European Union.</w:t>
      </w:r>
      <w:r w:rsidRPr="004F5734">
        <w:rPr>
          <w:rFonts w:ascii="Calibri" w:hAnsi="Calibri"/>
          <w:sz w:val="24"/>
          <w:szCs w:val="24"/>
          <w:lang w:val="en-US"/>
        </w:rPr>
        <w:t xml:space="preserve"> Retreived from http://www.sense.org.uk/sites/default/files/EDbN_survey_report_english_0.pdf</w:t>
      </w:r>
    </w:p>
    <w:p w:rsidR="004F5734" w:rsidRPr="004F5734" w:rsidRDefault="004F5734" w:rsidP="004F5734">
      <w:pPr>
        <w:ind w:firstLine="720"/>
        <w:rPr>
          <w:rFonts w:ascii="Calibri" w:hAnsi="Calibri"/>
          <w:sz w:val="24"/>
          <w:szCs w:val="24"/>
          <w:lang w:val="en-US"/>
        </w:rPr>
      </w:pPr>
      <w:r w:rsidRPr="004F5734">
        <w:rPr>
          <w:rFonts w:ascii="Calibri" w:hAnsi="Calibri"/>
          <w:sz w:val="24"/>
          <w:szCs w:val="24"/>
          <w:lang w:val="en-US"/>
        </w:rPr>
        <w:t>Norwegian Association of Deafblind, retrieved from http://home.online.no/~fndbadm/nadbi.htm</w:t>
      </w:r>
    </w:p>
    <w:p w:rsidR="004F5734" w:rsidRPr="004F5734" w:rsidRDefault="004F5734" w:rsidP="004F5734">
      <w:pPr>
        <w:ind w:firstLine="720"/>
        <w:rPr>
          <w:rFonts w:ascii="Calibri" w:hAnsi="Calibri"/>
          <w:sz w:val="24"/>
          <w:szCs w:val="24"/>
          <w:lang w:val="en-US"/>
        </w:rPr>
      </w:pPr>
      <w:r w:rsidRPr="004F5734">
        <w:rPr>
          <w:rFonts w:ascii="Calibri" w:hAnsi="Calibri"/>
          <w:sz w:val="24"/>
          <w:szCs w:val="24"/>
          <w:lang w:val="en-US"/>
        </w:rPr>
        <w:t>United Nations. (2006). Convention on the Rights of People with Disabilities. Retrieved from http://www.un.org/disabilities/convention/conventionfull.shtml</w:t>
      </w:r>
    </w:p>
    <w:p w:rsidR="000851E2" w:rsidRPr="00AE30AF" w:rsidRDefault="000851E2">
      <w:pPr>
        <w:rPr>
          <w:rFonts w:ascii="Trebuchet MS" w:hAnsi="Trebuchet MS"/>
          <w:sz w:val="24"/>
          <w:szCs w:val="24"/>
        </w:rPr>
      </w:pPr>
    </w:p>
    <w:sectPr w:rsidR="000851E2" w:rsidRPr="00AE30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AF" w:rsidRDefault="00AE30AF" w:rsidP="00AE30AF">
      <w:pPr>
        <w:spacing w:after="0" w:line="240" w:lineRule="auto"/>
      </w:pPr>
      <w:r>
        <w:separator/>
      </w:r>
    </w:p>
  </w:endnote>
  <w:endnote w:type="continuationSeparator" w:id="0">
    <w:p w:rsidR="00AE30AF" w:rsidRDefault="00AE30AF" w:rsidP="00AE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AF" w:rsidRDefault="00AE30AF" w:rsidP="000851E2">
    <w:pPr>
      <w:pStyle w:val="Body"/>
      <w:spacing w:after="0" w:line="240" w:lineRule="auto"/>
      <w:jc w:val="center"/>
      <w:rPr>
        <w:rFonts w:ascii="Bell MT" w:eastAsia="Bell MT" w:hAnsi="Bell MT" w:cs="Bell MT"/>
        <w:b/>
        <w:bCs/>
      </w:rPr>
    </w:pPr>
    <w:r>
      <w:rPr>
        <w:rFonts w:ascii="Bell MT" w:eastAsia="Bell MT" w:hAnsi="Bell MT" w:cs="Bell MT"/>
        <w:b/>
        <w:bCs/>
      </w:rPr>
      <w:t>Australian DeafBlind Council</w:t>
    </w:r>
  </w:p>
  <w:p w:rsidR="00AE30AF" w:rsidRDefault="00AE30AF" w:rsidP="000851E2">
    <w:pPr>
      <w:pStyle w:val="Body"/>
      <w:spacing w:after="0" w:line="240" w:lineRule="auto"/>
      <w:ind w:left="720" w:firstLine="720"/>
      <w:jc w:val="center"/>
      <w:rPr>
        <w:rFonts w:ascii="Bell MT" w:eastAsia="Bell MT" w:hAnsi="Bell MT" w:cs="Bell MT"/>
        <w:b/>
        <w:bCs/>
      </w:rPr>
    </w:pPr>
    <w:r>
      <w:rPr>
        <w:rFonts w:ascii="Times New Roman"/>
        <w:sz w:val="20"/>
        <w:szCs w:val="20"/>
      </w:rPr>
      <w:t>PO Box 1213 Camberwell</w:t>
    </w:r>
    <w:r>
      <w:rPr>
        <w:rFonts w:hAnsi="Arial Unicode MS"/>
        <w:sz w:val="20"/>
        <w:szCs w:val="20"/>
      </w:rPr>
      <w:t> </w:t>
    </w:r>
    <w:r>
      <w:rPr>
        <w:rFonts w:hAnsi="Arial Unicode MS"/>
        <w:sz w:val="20"/>
        <w:szCs w:val="20"/>
      </w:rPr>
      <w:t xml:space="preserve"> </w:t>
    </w:r>
    <w:r>
      <w:rPr>
        <w:rFonts w:ascii="Times New Roman"/>
        <w:sz w:val="20"/>
        <w:szCs w:val="20"/>
      </w:rPr>
      <w:t>Victoria</w:t>
    </w:r>
    <w:r>
      <w:rPr>
        <w:rFonts w:hAnsi="Arial Unicode MS"/>
        <w:sz w:val="20"/>
        <w:szCs w:val="20"/>
      </w:rPr>
      <w:t> </w:t>
    </w:r>
    <w:r>
      <w:rPr>
        <w:rFonts w:hAnsi="Arial Unicode MS"/>
        <w:sz w:val="20"/>
        <w:szCs w:val="20"/>
      </w:rPr>
      <w:t xml:space="preserve"> </w:t>
    </w:r>
    <w:r>
      <w:rPr>
        <w:rFonts w:ascii="Times New Roman"/>
        <w:sz w:val="20"/>
        <w:szCs w:val="20"/>
      </w:rPr>
      <w:t>3124</w:t>
    </w:r>
    <w:r>
      <w:rPr>
        <w:rFonts w:ascii="Bell MT" w:eastAsia="Bell MT" w:hAnsi="Bell MT" w:cs="Bell MT"/>
        <w:b/>
        <w:bCs/>
      </w:rPr>
      <w:t xml:space="preserve">      </w:t>
    </w:r>
    <w:r>
      <w:rPr>
        <w:rFonts w:ascii="Times New Roman"/>
        <w:sz w:val="20"/>
        <w:szCs w:val="20"/>
      </w:rPr>
      <w:t>Contact: +61 427 006 890 (SMS and Voice)</w:t>
    </w:r>
  </w:p>
  <w:p w:rsidR="00AE30AF" w:rsidRDefault="00AE30AF" w:rsidP="000851E2">
    <w:pPr>
      <w:pStyle w:val="Footer"/>
      <w:jc w:val="center"/>
    </w:pPr>
    <w:hyperlink r:id="rId1" w:history="1">
      <w:r>
        <w:rPr>
          <w:rStyle w:val="Hyperlink0"/>
          <w:rFonts w:ascii="Times New Roman"/>
        </w:rPr>
        <w:t>www.deafblind.org.au</w:t>
      </w:r>
    </w:hyperlink>
    <w:r>
      <w:rPr>
        <w:rFonts w:ascii="Times New Roman"/>
        <w:sz w:val="20"/>
        <w:szCs w:val="20"/>
      </w:rPr>
      <w:t xml:space="preserve"> / </w:t>
    </w:r>
    <w:hyperlink r:id="rId2" w:history="1">
      <w:r>
        <w:rPr>
          <w:rStyle w:val="Hyperlink0"/>
          <w:rFonts w:ascii="Times New Roman"/>
        </w:rPr>
        <w:t>info@deafblind.org.au</w:t>
      </w:r>
    </w:hyperlink>
  </w:p>
  <w:p w:rsidR="00AE30AF" w:rsidRDefault="00AE30AF" w:rsidP="000851E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AF" w:rsidRDefault="00AE30AF" w:rsidP="00AE30AF">
      <w:pPr>
        <w:spacing w:after="0" w:line="240" w:lineRule="auto"/>
      </w:pPr>
      <w:r>
        <w:separator/>
      </w:r>
    </w:p>
  </w:footnote>
  <w:footnote w:type="continuationSeparator" w:id="0">
    <w:p w:rsidR="00AE30AF" w:rsidRDefault="00AE30AF" w:rsidP="00AE3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AF" w:rsidRPr="00AE30AF" w:rsidRDefault="00AE30AF" w:rsidP="00AE30AF">
    <w:pPr>
      <w:tabs>
        <w:tab w:val="center" w:pos="4513"/>
        <w:tab w:val="right" w:pos="9000"/>
      </w:tabs>
      <w:spacing w:after="0" w:line="240" w:lineRule="auto"/>
      <w:rPr>
        <w:rFonts w:ascii="Calibri" w:eastAsia="Times New Roman" w:hAnsi="Calibri" w:cs="Calibri"/>
        <w:color w:val="000000"/>
        <w:sz w:val="20"/>
        <w:szCs w:val="20"/>
        <w:u w:color="000000"/>
        <w:lang w:val="en-US" w:eastAsia="en-AU"/>
      </w:rPr>
    </w:pPr>
    <w:r w:rsidRPr="00AE30AF">
      <w:rPr>
        <w:rFonts w:ascii="Trebuchet MS" w:eastAsia="Times New Roman" w:hAnsi="Calibri" w:cs="Calibri"/>
        <w:color w:val="000000"/>
        <w:sz w:val="20"/>
        <w:szCs w:val="20"/>
        <w:u w:color="000000"/>
        <w:lang w:val="en-US" w:eastAsia="en-AU"/>
      </w:rPr>
      <w:t xml:space="preserve">Submission report: </w:t>
    </w:r>
    <w:r w:rsidRPr="00AE30AF">
      <w:rPr>
        <w:rFonts w:ascii="Trebuchet MS" w:eastAsia="Times New Roman" w:hAnsi="Calibri" w:cs="Calibri"/>
        <w:color w:val="000000"/>
        <w:sz w:val="20"/>
        <w:szCs w:val="20"/>
        <w:u w:color="000000"/>
        <w:lang w:val="en-US" w:eastAsia="en-AU"/>
      </w:rPr>
      <w:tab/>
    </w:r>
    <w:r w:rsidRPr="00AE30AF">
      <w:rPr>
        <w:rFonts w:ascii="Trebuchet MS" w:eastAsia="Times New Roman" w:hAnsi="Calibri" w:cs="Calibri"/>
        <w:color w:val="000000"/>
        <w:sz w:val="20"/>
        <w:szCs w:val="20"/>
        <w:u w:color="000000"/>
        <w:lang w:val="en-US" w:eastAsia="en-AU"/>
      </w:rPr>
      <w:tab/>
      <w:t>Australian DeafBlind Council, 2015</w:t>
    </w:r>
  </w:p>
  <w:p w:rsidR="00AE30AF" w:rsidRDefault="00AE30AF" w:rsidP="00AE30AF">
    <w:pPr>
      <w:pStyle w:val="Header"/>
    </w:pPr>
    <w:r w:rsidRPr="00AE30AF">
      <w:rPr>
        <w:rFonts w:ascii="Trebuchet MS" w:eastAsia="Arial Unicode MS" w:hAnsi="Times New Roman" w:cs="Times New Roman"/>
        <w:sz w:val="20"/>
        <w:szCs w:val="20"/>
        <w:lang w:val="en-US"/>
      </w:rPr>
      <w:t>Review of the National Disability Advocacy Framework</w:t>
    </w:r>
    <w:r w:rsidRPr="00AE30AF">
      <w:rPr>
        <w:rFonts w:ascii="Trebuchet MS" w:eastAsia="Arial Unicode MS" w:hAnsi="Times New Roman" w:cs="Times New Roman"/>
        <w:sz w:val="24"/>
        <w:szCs w:val="24"/>
        <w:lang w:val="en-US"/>
      </w:rPr>
      <w:t xml:space="preserve">    </w:t>
    </w:r>
    <w:r w:rsidRPr="00AE30AF">
      <w:rPr>
        <w:rFonts w:ascii="Trebuchet MS" w:eastAsia="Arial Unicode MS" w:hAnsi="Times New Roman" w:cs="Times New Roman"/>
        <w:sz w:val="24"/>
        <w:szCs w:val="2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08D9"/>
    <w:multiLevelType w:val="multilevel"/>
    <w:tmpl w:val="52C4A41C"/>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53C101E"/>
    <w:multiLevelType w:val="multilevel"/>
    <w:tmpl w:val="0E7C184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0E58056F"/>
    <w:multiLevelType w:val="multilevel"/>
    <w:tmpl w:val="6AC4479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nsid w:val="1F967E17"/>
    <w:multiLevelType w:val="multilevel"/>
    <w:tmpl w:val="FA1251F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nsid w:val="24075537"/>
    <w:multiLevelType w:val="multilevel"/>
    <w:tmpl w:val="DDC8C8CA"/>
    <w:lvl w:ilvl="0">
      <w:numFmt w:val="bullet"/>
      <w:lvlText w:val="•"/>
      <w:lvlJc w:val="left"/>
      <w:pPr>
        <w:tabs>
          <w:tab w:val="num" w:pos="720"/>
        </w:tabs>
        <w:ind w:left="720" w:hanging="360"/>
      </w:pPr>
      <w:rPr>
        <w:position w:val="0"/>
        <w:sz w:val="22"/>
        <w:szCs w:val="22"/>
        <w:rtl w:val="0"/>
        <w:lang w:val="en-US"/>
      </w:rPr>
    </w:lvl>
    <w:lvl w:ilvl="1">
      <w:start w:val="1"/>
      <w:numFmt w:val="bullet"/>
      <w:lvlText w:val="-"/>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5">
    <w:nsid w:val="25BF4B43"/>
    <w:multiLevelType w:val="multilevel"/>
    <w:tmpl w:val="FF1C67DA"/>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25BF4CE4"/>
    <w:multiLevelType w:val="multilevel"/>
    <w:tmpl w:val="33B033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46584FF3"/>
    <w:multiLevelType w:val="multilevel"/>
    <w:tmpl w:val="B032DB30"/>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4FB80545"/>
    <w:multiLevelType w:val="multilevel"/>
    <w:tmpl w:val="BAB674EE"/>
    <w:styleLink w:val="List0"/>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nsid w:val="55417815"/>
    <w:multiLevelType w:val="multilevel"/>
    <w:tmpl w:val="09C4DFA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691760ED"/>
    <w:multiLevelType w:val="multilevel"/>
    <w:tmpl w:val="6B4018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4"/>
  </w:num>
  <w:num w:numId="2">
    <w:abstractNumId w:val="7"/>
  </w:num>
  <w:num w:numId="3">
    <w:abstractNumId w:val="5"/>
  </w:num>
  <w:num w:numId="4">
    <w:abstractNumId w:val="8"/>
  </w:num>
  <w:num w:numId="5">
    <w:abstractNumId w:val="6"/>
  </w:num>
  <w:num w:numId="6">
    <w:abstractNumId w:val="9"/>
  </w:num>
  <w:num w:numId="7">
    <w:abstractNumId w:val="2"/>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AC"/>
    <w:rsid w:val="000851E2"/>
    <w:rsid w:val="00163982"/>
    <w:rsid w:val="004F5734"/>
    <w:rsid w:val="00666CAC"/>
    <w:rsid w:val="006E7C62"/>
    <w:rsid w:val="007A4513"/>
    <w:rsid w:val="00AE30AF"/>
    <w:rsid w:val="00C22290"/>
    <w:rsid w:val="00C7015F"/>
    <w:rsid w:val="00FC6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92134-FEE9-4F43-BB28-772515D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6CAC"/>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List0">
    <w:name w:val="List 0"/>
    <w:basedOn w:val="NoList"/>
    <w:rsid w:val="00666CAC"/>
    <w:pPr>
      <w:numPr>
        <w:numId w:val="4"/>
      </w:numPr>
    </w:pPr>
  </w:style>
  <w:style w:type="paragraph" w:styleId="ListParagraph">
    <w:name w:val="List Paragraph"/>
    <w:rsid w:val="00666CAC"/>
    <w:pPr>
      <w:pBdr>
        <w:top w:val="nil"/>
        <w:left w:val="nil"/>
        <w:bottom w:val="nil"/>
        <w:right w:val="nil"/>
        <w:between w:val="nil"/>
        <w:bar w:val="nil"/>
      </w:pBdr>
      <w:spacing w:before="120" w:after="180" w:line="280" w:lineRule="atLeast"/>
      <w:ind w:left="720"/>
    </w:pPr>
    <w:rPr>
      <w:rFonts w:ascii="Arial" w:eastAsia="Arial Unicode MS" w:hAnsi="Arial Unicode MS" w:cs="Arial Unicode MS"/>
      <w:color w:val="000000"/>
      <w:spacing w:val="4"/>
      <w:sz w:val="24"/>
      <w:szCs w:val="24"/>
      <w:u w:color="000000"/>
      <w:bdr w:val="nil"/>
      <w:lang w:val="en-US" w:eastAsia="en-AU"/>
    </w:rPr>
  </w:style>
  <w:style w:type="numbering" w:customStyle="1" w:styleId="List1">
    <w:name w:val="List 1"/>
    <w:basedOn w:val="NoList"/>
    <w:rsid w:val="00666CAC"/>
    <w:pPr>
      <w:numPr>
        <w:numId w:val="11"/>
      </w:numPr>
    </w:pPr>
  </w:style>
  <w:style w:type="paragraph" w:styleId="BalloonText">
    <w:name w:val="Balloon Text"/>
    <w:basedOn w:val="Normal"/>
    <w:link w:val="BalloonTextChar"/>
    <w:uiPriority w:val="99"/>
    <w:semiHidden/>
    <w:unhideWhenUsed/>
    <w:rsid w:val="00FC6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14"/>
    <w:rPr>
      <w:rFonts w:ascii="Segoe UI" w:hAnsi="Segoe UI" w:cs="Segoe UI"/>
      <w:sz w:val="18"/>
      <w:szCs w:val="18"/>
    </w:rPr>
  </w:style>
  <w:style w:type="character" w:styleId="CommentReference">
    <w:name w:val="annotation reference"/>
    <w:basedOn w:val="DefaultParagraphFont"/>
    <w:uiPriority w:val="99"/>
    <w:semiHidden/>
    <w:unhideWhenUsed/>
    <w:rsid w:val="00C22290"/>
    <w:rPr>
      <w:sz w:val="16"/>
      <w:szCs w:val="16"/>
    </w:rPr>
  </w:style>
  <w:style w:type="paragraph" w:styleId="CommentText">
    <w:name w:val="annotation text"/>
    <w:basedOn w:val="Normal"/>
    <w:link w:val="CommentTextChar"/>
    <w:uiPriority w:val="99"/>
    <w:semiHidden/>
    <w:unhideWhenUsed/>
    <w:rsid w:val="00C22290"/>
    <w:pPr>
      <w:spacing w:line="240" w:lineRule="auto"/>
    </w:pPr>
    <w:rPr>
      <w:sz w:val="20"/>
      <w:szCs w:val="20"/>
    </w:rPr>
  </w:style>
  <w:style w:type="character" w:customStyle="1" w:styleId="CommentTextChar">
    <w:name w:val="Comment Text Char"/>
    <w:basedOn w:val="DefaultParagraphFont"/>
    <w:link w:val="CommentText"/>
    <w:uiPriority w:val="99"/>
    <w:semiHidden/>
    <w:rsid w:val="00C22290"/>
    <w:rPr>
      <w:sz w:val="20"/>
      <w:szCs w:val="20"/>
    </w:rPr>
  </w:style>
  <w:style w:type="paragraph" w:styleId="CommentSubject">
    <w:name w:val="annotation subject"/>
    <w:basedOn w:val="CommentText"/>
    <w:next w:val="CommentText"/>
    <w:link w:val="CommentSubjectChar"/>
    <w:uiPriority w:val="99"/>
    <w:semiHidden/>
    <w:unhideWhenUsed/>
    <w:rsid w:val="00C22290"/>
    <w:rPr>
      <w:b/>
      <w:bCs/>
    </w:rPr>
  </w:style>
  <w:style w:type="character" w:customStyle="1" w:styleId="CommentSubjectChar">
    <w:name w:val="Comment Subject Char"/>
    <w:basedOn w:val="CommentTextChar"/>
    <w:link w:val="CommentSubject"/>
    <w:uiPriority w:val="99"/>
    <w:semiHidden/>
    <w:rsid w:val="00C22290"/>
    <w:rPr>
      <w:b/>
      <w:bCs/>
      <w:sz w:val="20"/>
      <w:szCs w:val="20"/>
    </w:rPr>
  </w:style>
  <w:style w:type="paragraph" w:styleId="Revision">
    <w:name w:val="Revision"/>
    <w:hidden/>
    <w:uiPriority w:val="99"/>
    <w:semiHidden/>
    <w:rsid w:val="00C22290"/>
    <w:pPr>
      <w:spacing w:after="0" w:line="240" w:lineRule="auto"/>
    </w:pPr>
  </w:style>
  <w:style w:type="paragraph" w:styleId="Header">
    <w:name w:val="header"/>
    <w:basedOn w:val="Normal"/>
    <w:link w:val="HeaderChar"/>
    <w:uiPriority w:val="99"/>
    <w:unhideWhenUsed/>
    <w:rsid w:val="00AE3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0AF"/>
  </w:style>
  <w:style w:type="paragraph" w:styleId="Footer">
    <w:name w:val="footer"/>
    <w:basedOn w:val="Normal"/>
    <w:link w:val="FooterChar"/>
    <w:uiPriority w:val="99"/>
    <w:unhideWhenUsed/>
    <w:rsid w:val="00AE3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0AF"/>
  </w:style>
  <w:style w:type="character" w:customStyle="1" w:styleId="Hyperlink0">
    <w:name w:val="Hyperlink.0"/>
    <w:basedOn w:val="DefaultParagraphFont"/>
    <w:rsid w:val="00AE30AF"/>
    <w:rPr>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deafblind.org.au" TargetMode="External"/><Relationship Id="rId1" Type="http://schemas.openxmlformats.org/officeDocument/2006/relationships/hyperlink" Target="http://www.deafbli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62AB-6CDF-4BF6-AF61-13AB16EA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Murray</dc:creator>
  <cp:keywords/>
  <dc:description/>
  <cp:lastModifiedBy>David Murray</cp:lastModifiedBy>
  <cp:revision>3</cp:revision>
  <dcterms:created xsi:type="dcterms:W3CDTF">2015-07-30T00:43:00Z</dcterms:created>
  <dcterms:modified xsi:type="dcterms:W3CDTF">2015-07-30T00:44:00Z</dcterms:modified>
</cp:coreProperties>
</file>