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5D" w:rsidRDefault="004A285D" w:rsidP="00287512">
      <w:pPr>
        <w:autoSpaceDE w:val="0"/>
        <w:autoSpaceDN w:val="0"/>
        <w:adjustRightInd w:val="0"/>
        <w:spacing w:line="360" w:lineRule="auto"/>
        <w:jc w:val="center"/>
        <w:rPr>
          <w:rFonts w:ascii="Calibri" w:hAnsi="Calibri" w:cs="Calibri"/>
          <w:color w:val="000000"/>
          <w:sz w:val="44"/>
          <w:szCs w:val="44"/>
        </w:rPr>
      </w:pPr>
    </w:p>
    <w:p w:rsidR="00291014" w:rsidRDefault="00291014" w:rsidP="00287512">
      <w:pPr>
        <w:autoSpaceDE w:val="0"/>
        <w:autoSpaceDN w:val="0"/>
        <w:adjustRightInd w:val="0"/>
        <w:spacing w:line="360" w:lineRule="auto"/>
        <w:jc w:val="center"/>
        <w:rPr>
          <w:rFonts w:ascii="Calibri" w:hAnsi="Calibri" w:cs="Calibri"/>
          <w:color w:val="000000"/>
          <w:sz w:val="44"/>
          <w:szCs w:val="44"/>
        </w:rPr>
      </w:pPr>
    </w:p>
    <w:p w:rsidR="004A285D" w:rsidRDefault="004A285D" w:rsidP="00287512">
      <w:pPr>
        <w:autoSpaceDE w:val="0"/>
        <w:autoSpaceDN w:val="0"/>
        <w:adjustRightInd w:val="0"/>
        <w:spacing w:line="360" w:lineRule="auto"/>
        <w:jc w:val="center"/>
        <w:rPr>
          <w:rFonts w:ascii="Calibri" w:hAnsi="Calibri" w:cs="Calibri"/>
          <w:color w:val="000000"/>
          <w:sz w:val="44"/>
          <w:szCs w:val="44"/>
        </w:rPr>
      </w:pPr>
      <w:r>
        <w:rPr>
          <w:rFonts w:ascii="Calibri" w:hAnsi="Calibri" w:cs="Calibri"/>
          <w:color w:val="000000"/>
          <w:sz w:val="44"/>
          <w:szCs w:val="44"/>
        </w:rPr>
        <w:t xml:space="preserve">Australian Government </w:t>
      </w:r>
    </w:p>
    <w:p w:rsidR="004A285D" w:rsidRDefault="004A285D" w:rsidP="00287512">
      <w:pPr>
        <w:autoSpaceDE w:val="0"/>
        <w:autoSpaceDN w:val="0"/>
        <w:adjustRightInd w:val="0"/>
        <w:spacing w:line="360" w:lineRule="auto"/>
        <w:jc w:val="center"/>
        <w:rPr>
          <w:rFonts w:ascii="Calibri" w:hAnsi="Calibri" w:cs="Calibri"/>
          <w:color w:val="000000"/>
          <w:sz w:val="44"/>
          <w:szCs w:val="44"/>
        </w:rPr>
      </w:pPr>
      <w:r>
        <w:rPr>
          <w:rFonts w:ascii="Calibri" w:hAnsi="Calibri" w:cs="Calibri"/>
          <w:color w:val="000000"/>
          <w:sz w:val="44"/>
          <w:szCs w:val="44"/>
        </w:rPr>
        <w:t>Department of Social Services</w:t>
      </w:r>
    </w:p>
    <w:p w:rsidR="004A285D" w:rsidRPr="00280B13" w:rsidRDefault="004A285D" w:rsidP="00287512">
      <w:pPr>
        <w:autoSpaceDE w:val="0"/>
        <w:autoSpaceDN w:val="0"/>
        <w:adjustRightInd w:val="0"/>
        <w:spacing w:line="360" w:lineRule="auto"/>
        <w:jc w:val="center"/>
        <w:rPr>
          <w:rFonts w:ascii="Calibri" w:hAnsi="Calibri" w:cs="Calibri"/>
          <w:color w:val="000000"/>
          <w:sz w:val="44"/>
          <w:szCs w:val="44"/>
        </w:rPr>
      </w:pPr>
    </w:p>
    <w:p w:rsidR="004A285D" w:rsidRPr="00280B13" w:rsidRDefault="004A285D" w:rsidP="00287512">
      <w:pPr>
        <w:autoSpaceDE w:val="0"/>
        <w:autoSpaceDN w:val="0"/>
        <w:adjustRightInd w:val="0"/>
        <w:spacing w:line="360" w:lineRule="auto"/>
        <w:jc w:val="center"/>
        <w:rPr>
          <w:rFonts w:ascii="Calibri" w:hAnsi="Calibri" w:cs="Calibri"/>
          <w:color w:val="000000"/>
          <w:sz w:val="44"/>
          <w:szCs w:val="44"/>
        </w:rPr>
      </w:pPr>
    </w:p>
    <w:p w:rsidR="00811E1A" w:rsidRDefault="00811E1A" w:rsidP="00287512">
      <w:pPr>
        <w:autoSpaceDE w:val="0"/>
        <w:autoSpaceDN w:val="0"/>
        <w:adjustRightInd w:val="0"/>
        <w:spacing w:line="360" w:lineRule="auto"/>
        <w:jc w:val="center"/>
        <w:rPr>
          <w:rFonts w:ascii="Calibri" w:hAnsi="Calibri" w:cs="Calibri"/>
          <w:color w:val="000000"/>
          <w:sz w:val="44"/>
          <w:szCs w:val="44"/>
        </w:rPr>
      </w:pPr>
      <w:r>
        <w:rPr>
          <w:rFonts w:ascii="Calibri" w:hAnsi="Calibri" w:cs="Calibri"/>
          <w:color w:val="000000"/>
          <w:sz w:val="44"/>
          <w:szCs w:val="44"/>
        </w:rPr>
        <w:t xml:space="preserve">Comcare submission to the </w:t>
      </w:r>
    </w:p>
    <w:p w:rsidR="004A285D" w:rsidRDefault="004A285D" w:rsidP="00287512">
      <w:pPr>
        <w:autoSpaceDE w:val="0"/>
        <w:autoSpaceDN w:val="0"/>
        <w:adjustRightInd w:val="0"/>
        <w:spacing w:line="360" w:lineRule="auto"/>
        <w:jc w:val="center"/>
        <w:rPr>
          <w:rFonts w:ascii="Calibri" w:hAnsi="Calibri" w:cs="Calibri"/>
          <w:color w:val="000000"/>
          <w:sz w:val="44"/>
          <w:szCs w:val="44"/>
        </w:rPr>
      </w:pPr>
      <w:r>
        <w:rPr>
          <w:rFonts w:ascii="Calibri" w:hAnsi="Calibri" w:cs="Calibri"/>
          <w:color w:val="000000"/>
          <w:sz w:val="44"/>
          <w:szCs w:val="44"/>
        </w:rPr>
        <w:t>National Disability Employment Framework – Issues Paper</w:t>
      </w:r>
    </w:p>
    <w:p w:rsidR="00811E1A" w:rsidRDefault="00811E1A" w:rsidP="00287512">
      <w:pPr>
        <w:autoSpaceDE w:val="0"/>
        <w:autoSpaceDN w:val="0"/>
        <w:adjustRightInd w:val="0"/>
        <w:spacing w:line="360" w:lineRule="auto"/>
        <w:jc w:val="center"/>
        <w:rPr>
          <w:rFonts w:ascii="Calibri" w:hAnsi="Calibri" w:cs="Calibri"/>
          <w:color w:val="000000"/>
          <w:sz w:val="44"/>
          <w:szCs w:val="44"/>
        </w:rPr>
      </w:pPr>
    </w:p>
    <w:p w:rsidR="004A285D" w:rsidRPr="00280B13" w:rsidRDefault="00811E1A" w:rsidP="00287512">
      <w:pPr>
        <w:autoSpaceDE w:val="0"/>
        <w:autoSpaceDN w:val="0"/>
        <w:adjustRightInd w:val="0"/>
        <w:spacing w:line="360" w:lineRule="auto"/>
        <w:jc w:val="center"/>
        <w:rPr>
          <w:rFonts w:ascii="Calibri" w:hAnsi="Calibri" w:cs="Calibri"/>
          <w:color w:val="000000"/>
          <w:sz w:val="44"/>
          <w:szCs w:val="44"/>
        </w:rPr>
      </w:pPr>
      <w:r>
        <w:rPr>
          <w:rFonts w:ascii="Calibri" w:hAnsi="Calibri" w:cs="Calibri"/>
          <w:color w:val="000000"/>
          <w:sz w:val="44"/>
          <w:szCs w:val="44"/>
        </w:rPr>
        <w:t xml:space="preserve"> </w:t>
      </w:r>
      <w:r w:rsidR="00B65379">
        <w:rPr>
          <w:rFonts w:ascii="Calibri" w:hAnsi="Calibri" w:cs="Calibri"/>
          <w:color w:val="000000"/>
          <w:sz w:val="44"/>
          <w:szCs w:val="44"/>
        </w:rPr>
        <w:t xml:space="preserve">8 </w:t>
      </w:r>
      <w:r w:rsidR="003B7BAF">
        <w:rPr>
          <w:rFonts w:ascii="Calibri" w:hAnsi="Calibri" w:cs="Calibri"/>
          <w:color w:val="000000"/>
          <w:sz w:val="44"/>
          <w:szCs w:val="44"/>
        </w:rPr>
        <w:t xml:space="preserve">July </w:t>
      </w:r>
      <w:r w:rsidR="007E2451">
        <w:rPr>
          <w:rFonts w:ascii="Calibri" w:hAnsi="Calibri" w:cs="Calibri"/>
          <w:color w:val="000000"/>
          <w:sz w:val="44"/>
          <w:szCs w:val="44"/>
        </w:rPr>
        <w:t>2015</w:t>
      </w:r>
    </w:p>
    <w:p w:rsidR="004A285D" w:rsidRPr="00280B13" w:rsidRDefault="004A285D" w:rsidP="00287512">
      <w:pPr>
        <w:autoSpaceDE w:val="0"/>
        <w:autoSpaceDN w:val="0"/>
        <w:adjustRightInd w:val="0"/>
        <w:spacing w:line="360" w:lineRule="auto"/>
        <w:jc w:val="center"/>
        <w:rPr>
          <w:rFonts w:ascii="Calibri" w:hAnsi="Calibri" w:cs="Calibri"/>
          <w:color w:val="000000"/>
          <w:sz w:val="44"/>
          <w:szCs w:val="44"/>
        </w:rPr>
      </w:pPr>
    </w:p>
    <w:p w:rsidR="004A285D" w:rsidRPr="00280B13" w:rsidRDefault="004A285D" w:rsidP="00287512">
      <w:pPr>
        <w:autoSpaceDE w:val="0"/>
        <w:autoSpaceDN w:val="0"/>
        <w:adjustRightInd w:val="0"/>
        <w:spacing w:line="360" w:lineRule="auto"/>
        <w:jc w:val="center"/>
        <w:rPr>
          <w:rFonts w:ascii="Calibri" w:hAnsi="Calibri" w:cs="Calibri"/>
          <w:color w:val="000000"/>
          <w:sz w:val="44"/>
          <w:szCs w:val="44"/>
        </w:rPr>
      </w:pPr>
    </w:p>
    <w:p w:rsidR="004A285D" w:rsidRPr="00280B13" w:rsidRDefault="004A285D" w:rsidP="00287512">
      <w:pPr>
        <w:autoSpaceDE w:val="0"/>
        <w:autoSpaceDN w:val="0"/>
        <w:adjustRightInd w:val="0"/>
        <w:spacing w:line="360" w:lineRule="auto"/>
        <w:rPr>
          <w:rFonts w:ascii="Calibri" w:hAnsi="Calibri" w:cs="Calibri"/>
          <w:color w:val="000000"/>
          <w:sz w:val="44"/>
          <w:szCs w:val="44"/>
        </w:rPr>
      </w:pPr>
    </w:p>
    <w:p w:rsidR="00A05F8F" w:rsidRDefault="004A285D" w:rsidP="00A05F8F">
      <w:pPr>
        <w:autoSpaceDE w:val="0"/>
        <w:autoSpaceDN w:val="0"/>
        <w:adjustRightInd w:val="0"/>
        <w:spacing w:line="360" w:lineRule="auto"/>
        <w:rPr>
          <w:rFonts w:ascii="Arial" w:hAnsi="Arial" w:cs="Arial"/>
          <w:color w:val="000000"/>
          <w:sz w:val="20"/>
          <w:szCs w:val="20"/>
        </w:rPr>
      </w:pPr>
      <w:r w:rsidRPr="00287512">
        <w:rPr>
          <w:rFonts w:cs="Calibri"/>
          <w:color w:val="000000"/>
          <w:sz w:val="20"/>
          <w:szCs w:val="20"/>
        </w:rPr>
        <w:br w:type="page"/>
      </w:r>
      <w:r w:rsidR="00A05F8F">
        <w:rPr>
          <w:b/>
          <w:sz w:val="28"/>
          <w:szCs w:val="28"/>
        </w:rPr>
        <w:lastRenderedPageBreak/>
        <w:t xml:space="preserve">Introduction </w:t>
      </w:r>
    </w:p>
    <w:p w:rsidR="00A05F8F" w:rsidRDefault="00A05F8F" w:rsidP="00A05F8F">
      <w:pPr>
        <w:spacing w:line="360" w:lineRule="auto"/>
        <w:rPr>
          <w:rFonts w:ascii="Calibri" w:hAnsi="Calibri" w:cs="Calibri"/>
          <w:color w:val="000000"/>
          <w:sz w:val="24"/>
          <w:szCs w:val="24"/>
        </w:rPr>
      </w:pPr>
      <w:r>
        <w:rPr>
          <w:sz w:val="24"/>
          <w:szCs w:val="24"/>
          <w:lang w:val="en-US"/>
        </w:rPr>
        <w:t>This is Comcare’s submission to the Australian Government Department of Social Services</w:t>
      </w:r>
      <w:r w:rsidR="00F751E4">
        <w:rPr>
          <w:sz w:val="24"/>
          <w:szCs w:val="24"/>
          <w:lang w:val="en-US"/>
        </w:rPr>
        <w:t xml:space="preserve"> (DSS)</w:t>
      </w:r>
      <w:r>
        <w:rPr>
          <w:sz w:val="24"/>
          <w:szCs w:val="24"/>
          <w:lang w:val="en-US"/>
        </w:rPr>
        <w:t xml:space="preserve"> </w:t>
      </w:r>
      <w:r>
        <w:rPr>
          <w:i/>
          <w:sz w:val="24"/>
          <w:szCs w:val="24"/>
          <w:lang w:val="en-US"/>
        </w:rPr>
        <w:t>National Disability Employment Framework – Issues paper</w:t>
      </w:r>
      <w:r>
        <w:rPr>
          <w:sz w:val="24"/>
          <w:szCs w:val="24"/>
          <w:lang w:val="en-US"/>
        </w:rPr>
        <w:t>.</w:t>
      </w:r>
      <w:r>
        <w:rPr>
          <w:rFonts w:ascii="Calibri" w:hAnsi="Calibri" w:cs="Calibri"/>
          <w:color w:val="000000"/>
          <w:sz w:val="24"/>
          <w:szCs w:val="24"/>
        </w:rPr>
        <w:t xml:space="preserve"> </w:t>
      </w:r>
      <w:r>
        <w:rPr>
          <w:rFonts w:ascii="Calibri" w:hAnsi="Calibri" w:cs="Calibri"/>
          <w:color w:val="000000"/>
          <w:sz w:val="24"/>
          <w:szCs w:val="24"/>
        </w:rPr>
        <w:br/>
      </w:r>
    </w:p>
    <w:p w:rsidR="00A05F8F" w:rsidRDefault="00A05F8F" w:rsidP="00A05F8F">
      <w:pPr>
        <w:spacing w:line="360" w:lineRule="auto"/>
        <w:rPr>
          <w:b/>
          <w:sz w:val="28"/>
          <w:szCs w:val="28"/>
        </w:rPr>
      </w:pPr>
      <w:r>
        <w:rPr>
          <w:b/>
          <w:sz w:val="28"/>
          <w:szCs w:val="28"/>
        </w:rPr>
        <w:t xml:space="preserve">Purpose of the submission </w:t>
      </w:r>
    </w:p>
    <w:p w:rsidR="00A05F8F" w:rsidRPr="00713CA7" w:rsidRDefault="00A05F8F" w:rsidP="00713CA7">
      <w:pPr>
        <w:spacing w:line="360" w:lineRule="auto"/>
        <w:rPr>
          <w:sz w:val="24"/>
          <w:szCs w:val="24"/>
          <w:lang w:val="en-US"/>
        </w:rPr>
      </w:pPr>
      <w:r>
        <w:rPr>
          <w:sz w:val="24"/>
          <w:szCs w:val="24"/>
          <w:lang w:val="en-US"/>
        </w:rPr>
        <w:t>This submission fo</w:t>
      </w:r>
      <w:r w:rsidR="00E700C0">
        <w:rPr>
          <w:sz w:val="24"/>
          <w:szCs w:val="24"/>
          <w:lang w:val="en-US"/>
        </w:rPr>
        <w:t>cuses on Comcare’s experience in</w:t>
      </w:r>
      <w:r>
        <w:rPr>
          <w:sz w:val="24"/>
          <w:szCs w:val="24"/>
          <w:lang w:val="en-US"/>
        </w:rPr>
        <w:t xml:space="preserve"> improving employment outcomes for people with injury, illness and disability in our workers’ compensation scheme. The paper addresses questions in the </w:t>
      </w:r>
      <w:r>
        <w:rPr>
          <w:i/>
          <w:sz w:val="24"/>
          <w:szCs w:val="24"/>
          <w:lang w:val="en-US"/>
        </w:rPr>
        <w:t>National Disability Employment Framework – Issues paper</w:t>
      </w:r>
      <w:r>
        <w:rPr>
          <w:sz w:val="24"/>
          <w:szCs w:val="24"/>
          <w:lang w:val="en-US"/>
        </w:rPr>
        <w:t xml:space="preserve"> that align with Comcare’s work.</w:t>
      </w:r>
    </w:p>
    <w:p w:rsidR="009A4E6B" w:rsidRPr="003B7BAF" w:rsidRDefault="009A4E6B" w:rsidP="00713CA7">
      <w:pPr>
        <w:autoSpaceDE w:val="0"/>
        <w:autoSpaceDN w:val="0"/>
        <w:adjustRightInd w:val="0"/>
        <w:spacing w:line="360" w:lineRule="auto"/>
        <w:rPr>
          <w:sz w:val="24"/>
          <w:szCs w:val="24"/>
          <w:lang w:val="en-US"/>
        </w:rPr>
      </w:pPr>
      <w:r w:rsidRPr="003B7BAF">
        <w:rPr>
          <w:sz w:val="24"/>
          <w:szCs w:val="24"/>
          <w:lang w:val="en-US"/>
        </w:rPr>
        <w:t xml:space="preserve"> </w:t>
      </w:r>
      <w:bookmarkStart w:id="0" w:name="_GoBack"/>
      <w:bookmarkEnd w:id="0"/>
    </w:p>
    <w:p w:rsidR="00247019" w:rsidRPr="00CC7192" w:rsidRDefault="00247019" w:rsidP="00247019">
      <w:pPr>
        <w:spacing w:line="360" w:lineRule="auto"/>
        <w:rPr>
          <w:b/>
          <w:sz w:val="28"/>
          <w:szCs w:val="28"/>
        </w:rPr>
      </w:pPr>
      <w:r w:rsidRPr="0045058A">
        <w:rPr>
          <w:b/>
          <w:sz w:val="28"/>
          <w:szCs w:val="28"/>
        </w:rPr>
        <w:t xml:space="preserve">The Comcare scheme </w:t>
      </w:r>
    </w:p>
    <w:p w:rsidR="00247019" w:rsidRDefault="00247019" w:rsidP="00A63D5A">
      <w:pPr>
        <w:rPr>
          <w:sz w:val="24"/>
          <w:szCs w:val="24"/>
          <w:lang w:val="en-US"/>
        </w:rPr>
      </w:pPr>
      <w:r w:rsidRPr="0062671F">
        <w:rPr>
          <w:sz w:val="24"/>
          <w:szCs w:val="24"/>
          <w:lang w:val="en-US"/>
        </w:rPr>
        <w:t xml:space="preserve">The Comcare scheme (the </w:t>
      </w:r>
      <w:r w:rsidR="00456A46">
        <w:rPr>
          <w:sz w:val="24"/>
          <w:szCs w:val="24"/>
          <w:lang w:val="en-US"/>
        </w:rPr>
        <w:t>S</w:t>
      </w:r>
      <w:r w:rsidR="00456A46" w:rsidRPr="0062671F">
        <w:rPr>
          <w:sz w:val="24"/>
          <w:szCs w:val="24"/>
          <w:lang w:val="en-US"/>
        </w:rPr>
        <w:t>cheme</w:t>
      </w:r>
      <w:r w:rsidRPr="0062671F">
        <w:rPr>
          <w:sz w:val="24"/>
          <w:szCs w:val="24"/>
          <w:lang w:val="en-US"/>
        </w:rPr>
        <w:t>) provides an integrated safety, rehabilitation and compensation system, no matter what Australian state or territory an employer operates in</w:t>
      </w:r>
      <w:r w:rsidR="00FB21E6">
        <w:rPr>
          <w:sz w:val="24"/>
          <w:szCs w:val="24"/>
          <w:lang w:val="en-US"/>
        </w:rPr>
        <w:t>,</w:t>
      </w:r>
      <w:r w:rsidRPr="0062671F">
        <w:rPr>
          <w:sz w:val="24"/>
          <w:szCs w:val="24"/>
          <w:lang w:val="en-US"/>
        </w:rPr>
        <w:t xml:space="preserve"> or where its employees are located.  </w:t>
      </w:r>
    </w:p>
    <w:p w:rsidR="007E2451" w:rsidRDefault="007E2451" w:rsidP="00A63D5A">
      <w:pPr>
        <w:rPr>
          <w:sz w:val="24"/>
          <w:szCs w:val="24"/>
          <w:lang w:val="en-US"/>
        </w:rPr>
      </w:pPr>
      <w:r>
        <w:rPr>
          <w:sz w:val="24"/>
          <w:szCs w:val="24"/>
          <w:lang w:val="en-US"/>
        </w:rPr>
        <w:t xml:space="preserve">Comcare is established under the </w:t>
      </w:r>
      <w:r w:rsidRPr="00064B72">
        <w:rPr>
          <w:i/>
          <w:sz w:val="24"/>
          <w:szCs w:val="24"/>
          <w:lang w:val="en-US"/>
        </w:rPr>
        <w:t>Safety, Rehabilitation and Compensation Act 1988</w:t>
      </w:r>
      <w:r w:rsidR="00FB21E6">
        <w:rPr>
          <w:sz w:val="24"/>
          <w:szCs w:val="24"/>
          <w:lang w:val="en-US"/>
        </w:rPr>
        <w:t xml:space="preserve"> (</w:t>
      </w:r>
      <w:r w:rsidRPr="0062671F">
        <w:rPr>
          <w:sz w:val="24"/>
          <w:szCs w:val="24"/>
          <w:lang w:val="en-US"/>
        </w:rPr>
        <w:t>SRC Act)</w:t>
      </w:r>
      <w:r w:rsidR="00DA13AC">
        <w:rPr>
          <w:sz w:val="24"/>
          <w:szCs w:val="24"/>
          <w:lang w:val="en-US"/>
        </w:rPr>
        <w:t xml:space="preserve"> </w:t>
      </w:r>
      <w:r>
        <w:rPr>
          <w:sz w:val="24"/>
          <w:szCs w:val="24"/>
          <w:lang w:val="en-US"/>
        </w:rPr>
        <w:t>and has a number of powers and function</w:t>
      </w:r>
      <w:r w:rsidR="00FB21E6">
        <w:rPr>
          <w:sz w:val="24"/>
          <w:szCs w:val="24"/>
          <w:lang w:val="en-US"/>
        </w:rPr>
        <w:t>s</w:t>
      </w:r>
      <w:r>
        <w:rPr>
          <w:sz w:val="24"/>
          <w:szCs w:val="24"/>
          <w:lang w:val="en-US"/>
        </w:rPr>
        <w:t xml:space="preserve"> that ensure that </w:t>
      </w:r>
      <w:r w:rsidR="006C0F52">
        <w:rPr>
          <w:sz w:val="24"/>
          <w:szCs w:val="24"/>
          <w:lang w:val="en-US"/>
        </w:rPr>
        <w:t>employees</w:t>
      </w:r>
      <w:r>
        <w:rPr>
          <w:sz w:val="24"/>
          <w:szCs w:val="24"/>
          <w:lang w:val="en-US"/>
        </w:rPr>
        <w:t xml:space="preserve"> have access to compensation and can return to work quickly and safely following work-related injury or illness. </w:t>
      </w:r>
    </w:p>
    <w:p w:rsidR="007E2451" w:rsidRPr="0062671F" w:rsidRDefault="007E2451" w:rsidP="00A63D5A">
      <w:pPr>
        <w:rPr>
          <w:sz w:val="24"/>
          <w:szCs w:val="24"/>
          <w:lang w:val="en-US"/>
        </w:rPr>
      </w:pPr>
      <w:r w:rsidRPr="0062671F">
        <w:rPr>
          <w:sz w:val="24"/>
          <w:szCs w:val="24"/>
          <w:lang w:val="en-US"/>
        </w:rPr>
        <w:t xml:space="preserve">The </w:t>
      </w:r>
      <w:r w:rsidRPr="00064B72">
        <w:rPr>
          <w:i/>
          <w:sz w:val="24"/>
          <w:szCs w:val="24"/>
          <w:lang w:val="en-US"/>
        </w:rPr>
        <w:t xml:space="preserve">Work Health and Safety Act </w:t>
      </w:r>
      <w:r w:rsidR="00456A46" w:rsidRPr="00064B72">
        <w:rPr>
          <w:i/>
          <w:sz w:val="24"/>
          <w:szCs w:val="24"/>
          <w:lang w:val="en-US"/>
        </w:rPr>
        <w:t>201</w:t>
      </w:r>
      <w:r w:rsidR="00456A46">
        <w:rPr>
          <w:i/>
          <w:sz w:val="24"/>
          <w:szCs w:val="24"/>
          <w:lang w:val="en-US"/>
        </w:rPr>
        <w:t>1</w:t>
      </w:r>
      <w:r w:rsidR="00456A46" w:rsidRPr="0062671F">
        <w:rPr>
          <w:sz w:val="24"/>
          <w:szCs w:val="24"/>
          <w:lang w:val="en-US"/>
        </w:rPr>
        <w:t xml:space="preserve"> </w:t>
      </w:r>
      <w:r w:rsidRPr="0062671F">
        <w:rPr>
          <w:sz w:val="24"/>
          <w:szCs w:val="24"/>
          <w:lang w:val="en-US"/>
        </w:rPr>
        <w:t>(the WHS Act) implements, in the federal jurisdiction, model work health and safety arrangements agreed by Australian Governments.</w:t>
      </w:r>
    </w:p>
    <w:p w:rsidR="00247019" w:rsidRPr="0062671F" w:rsidRDefault="00247019" w:rsidP="00A63D5A">
      <w:pPr>
        <w:rPr>
          <w:sz w:val="24"/>
          <w:szCs w:val="24"/>
          <w:lang w:val="en-US"/>
        </w:rPr>
      </w:pPr>
      <w:r w:rsidRPr="00DC32D4">
        <w:rPr>
          <w:sz w:val="24"/>
          <w:szCs w:val="24"/>
          <w:lang w:val="en-US"/>
        </w:rPr>
        <w:t>A key objective of the Comcare scheme is the early and safe return to work of in</w:t>
      </w:r>
      <w:r w:rsidR="00FB21E6">
        <w:rPr>
          <w:sz w:val="24"/>
          <w:szCs w:val="24"/>
          <w:lang w:val="en-US"/>
        </w:rPr>
        <w:t>jured employees covered by the S</w:t>
      </w:r>
      <w:r w:rsidRPr="00DC32D4">
        <w:rPr>
          <w:sz w:val="24"/>
          <w:szCs w:val="24"/>
          <w:lang w:val="en-US"/>
        </w:rPr>
        <w:t>cheme. While employers are responsible for managing the rehabilitation and return to work of their injured or ill employees, Comcare provides support and advice to employers on how to manage their responsibilities</w:t>
      </w:r>
      <w:r w:rsidR="00456A46">
        <w:rPr>
          <w:sz w:val="24"/>
          <w:szCs w:val="24"/>
          <w:lang w:val="en-US"/>
        </w:rPr>
        <w:t>.</w:t>
      </w:r>
      <w:r w:rsidRPr="00761215">
        <w:rPr>
          <w:vertAlign w:val="superscript"/>
        </w:rPr>
        <w:footnoteReference w:id="1"/>
      </w:r>
    </w:p>
    <w:p w:rsidR="00FB21E6" w:rsidRDefault="00FB21E6">
      <w:pPr>
        <w:rPr>
          <w:b/>
          <w:sz w:val="28"/>
          <w:szCs w:val="28"/>
        </w:rPr>
      </w:pPr>
      <w:r>
        <w:rPr>
          <w:b/>
          <w:sz w:val="28"/>
          <w:szCs w:val="28"/>
        </w:rPr>
        <w:br w:type="page"/>
      </w:r>
    </w:p>
    <w:p w:rsidR="00DA13AC" w:rsidRPr="00713CA7" w:rsidRDefault="00A05F8F" w:rsidP="00A05F8F">
      <w:pPr>
        <w:rPr>
          <w:b/>
          <w:sz w:val="28"/>
          <w:szCs w:val="28"/>
        </w:rPr>
      </w:pPr>
      <w:r>
        <w:rPr>
          <w:b/>
          <w:sz w:val="28"/>
          <w:szCs w:val="28"/>
        </w:rPr>
        <w:lastRenderedPageBreak/>
        <w:t>Workforce Particip</w:t>
      </w:r>
      <w:r w:rsidR="00DA13AC">
        <w:rPr>
          <w:b/>
          <w:sz w:val="28"/>
          <w:szCs w:val="28"/>
        </w:rPr>
        <w:t>ation of People with Disability</w:t>
      </w:r>
    </w:p>
    <w:p w:rsidR="00A05F8F" w:rsidRDefault="00CC18B8" w:rsidP="00A05F8F">
      <w:pPr>
        <w:rPr>
          <w:sz w:val="24"/>
          <w:szCs w:val="24"/>
          <w:lang w:val="en-US"/>
        </w:rPr>
      </w:pPr>
      <w:r>
        <w:rPr>
          <w:sz w:val="24"/>
          <w:szCs w:val="24"/>
          <w:lang w:val="en-US"/>
        </w:rPr>
        <w:t>Comcare shares DSS’ ob</w:t>
      </w:r>
      <w:r w:rsidR="00691574">
        <w:rPr>
          <w:sz w:val="24"/>
          <w:szCs w:val="24"/>
          <w:lang w:val="en-US"/>
        </w:rPr>
        <w:t xml:space="preserve">jective of improving workforce participation </w:t>
      </w:r>
      <w:r>
        <w:rPr>
          <w:sz w:val="24"/>
          <w:szCs w:val="24"/>
          <w:lang w:val="en-US"/>
        </w:rPr>
        <w:t>of people with disability. Comcare, like DSS, ha</w:t>
      </w:r>
      <w:r w:rsidR="00691574">
        <w:rPr>
          <w:sz w:val="24"/>
          <w:szCs w:val="24"/>
          <w:lang w:val="en-US"/>
        </w:rPr>
        <w:t>s</w:t>
      </w:r>
      <w:r>
        <w:rPr>
          <w:sz w:val="24"/>
          <w:szCs w:val="24"/>
          <w:lang w:val="en-US"/>
        </w:rPr>
        <w:t xml:space="preserve"> a high proportion of clients with musculoskeletal and connective tissue disorders and mental ill health. </w:t>
      </w:r>
    </w:p>
    <w:p w:rsidR="00CC18B8" w:rsidRDefault="00F751E4" w:rsidP="00A05F8F">
      <w:pPr>
        <w:rPr>
          <w:sz w:val="24"/>
          <w:szCs w:val="24"/>
          <w:lang w:val="en-US"/>
        </w:rPr>
      </w:pPr>
      <w:r>
        <w:rPr>
          <w:sz w:val="24"/>
          <w:szCs w:val="24"/>
          <w:lang w:val="en-US"/>
        </w:rPr>
        <w:t xml:space="preserve">Often, what starts as a temporary illness, including mental ill health, can lead to </w:t>
      </w:r>
      <w:r w:rsidR="00800D6B">
        <w:rPr>
          <w:sz w:val="24"/>
          <w:szCs w:val="24"/>
          <w:lang w:val="en-US"/>
        </w:rPr>
        <w:t xml:space="preserve">long term </w:t>
      </w:r>
      <w:r w:rsidR="00CC18B8">
        <w:rPr>
          <w:sz w:val="24"/>
          <w:szCs w:val="24"/>
          <w:lang w:val="en-US"/>
        </w:rPr>
        <w:t xml:space="preserve">disability. </w:t>
      </w:r>
      <w:r>
        <w:rPr>
          <w:sz w:val="24"/>
          <w:szCs w:val="24"/>
          <w:lang w:val="en-US"/>
        </w:rPr>
        <w:t>Mental ill health is often caused by, or significantly worsened when workplace risks are not managed.</w:t>
      </w:r>
      <w:r w:rsidR="00CC18B8">
        <w:rPr>
          <w:sz w:val="24"/>
          <w:szCs w:val="24"/>
          <w:lang w:val="en-US"/>
        </w:rPr>
        <w:t xml:space="preserve"> </w:t>
      </w:r>
    </w:p>
    <w:p w:rsidR="00A05F8F" w:rsidRPr="00713CA7" w:rsidRDefault="00A05F8F" w:rsidP="00A05F8F">
      <w:pPr>
        <w:rPr>
          <w:b/>
          <w:sz w:val="24"/>
          <w:szCs w:val="24"/>
          <w:lang w:val="en-US"/>
        </w:rPr>
      </w:pPr>
      <w:r w:rsidRPr="00713CA7">
        <w:rPr>
          <w:b/>
          <w:sz w:val="24"/>
          <w:szCs w:val="24"/>
          <w:lang w:val="en-US"/>
        </w:rPr>
        <w:t>What can improve employment outcomes for people with disability?</w:t>
      </w:r>
    </w:p>
    <w:p w:rsidR="00691574" w:rsidRDefault="00F751E4" w:rsidP="00A05F8F">
      <w:pPr>
        <w:rPr>
          <w:sz w:val="24"/>
          <w:szCs w:val="24"/>
          <w:lang w:val="en-US"/>
        </w:rPr>
      </w:pPr>
      <w:r>
        <w:rPr>
          <w:sz w:val="24"/>
          <w:szCs w:val="24"/>
          <w:lang w:val="en-US"/>
        </w:rPr>
        <w:t>There are numerous</w:t>
      </w:r>
      <w:r w:rsidR="00691574">
        <w:rPr>
          <w:sz w:val="24"/>
          <w:szCs w:val="24"/>
          <w:lang w:val="en-US"/>
        </w:rPr>
        <w:t xml:space="preserve"> barriers to</w:t>
      </w:r>
      <w:r w:rsidR="00D62609">
        <w:rPr>
          <w:sz w:val="24"/>
          <w:szCs w:val="24"/>
          <w:lang w:val="en-US"/>
        </w:rPr>
        <w:t xml:space="preserve"> participating in work for</w:t>
      </w:r>
      <w:r w:rsidR="00691574">
        <w:rPr>
          <w:sz w:val="24"/>
          <w:szCs w:val="24"/>
          <w:lang w:val="en-US"/>
        </w:rPr>
        <w:t xml:space="preserve"> employees </w:t>
      </w:r>
      <w:r w:rsidR="00230848">
        <w:rPr>
          <w:sz w:val="24"/>
          <w:szCs w:val="24"/>
          <w:lang w:val="en-US"/>
        </w:rPr>
        <w:t>in</w:t>
      </w:r>
      <w:r w:rsidR="00691574">
        <w:rPr>
          <w:sz w:val="24"/>
          <w:szCs w:val="24"/>
          <w:lang w:val="en-US"/>
        </w:rPr>
        <w:t xml:space="preserve"> the Comcare Schem</w:t>
      </w:r>
      <w:r w:rsidR="00D62609">
        <w:rPr>
          <w:sz w:val="24"/>
          <w:szCs w:val="24"/>
          <w:lang w:val="en-US"/>
        </w:rPr>
        <w:t>e</w:t>
      </w:r>
      <w:r w:rsidR="00AE1F1F">
        <w:rPr>
          <w:sz w:val="24"/>
          <w:szCs w:val="24"/>
          <w:lang w:val="en-US"/>
        </w:rPr>
        <w:t>,</w:t>
      </w:r>
      <w:r w:rsidR="00D62609">
        <w:rPr>
          <w:sz w:val="24"/>
          <w:szCs w:val="24"/>
          <w:lang w:val="en-US"/>
        </w:rPr>
        <w:t xml:space="preserve"> as well as</w:t>
      </w:r>
      <w:r w:rsidR="00AE1F1F">
        <w:rPr>
          <w:sz w:val="24"/>
          <w:szCs w:val="24"/>
          <w:lang w:val="en-US"/>
        </w:rPr>
        <w:t xml:space="preserve"> for</w:t>
      </w:r>
      <w:r w:rsidR="00D62609">
        <w:rPr>
          <w:sz w:val="24"/>
          <w:szCs w:val="24"/>
          <w:lang w:val="en-US"/>
        </w:rPr>
        <w:t xml:space="preserve"> people with disability more broadly. Addressing these barriers is critical to </w:t>
      </w:r>
      <w:r>
        <w:rPr>
          <w:sz w:val="24"/>
          <w:szCs w:val="24"/>
          <w:lang w:val="en-US"/>
        </w:rPr>
        <w:t>improving</w:t>
      </w:r>
      <w:r w:rsidR="00800D6B">
        <w:rPr>
          <w:sz w:val="24"/>
          <w:szCs w:val="24"/>
          <w:lang w:val="en-US"/>
        </w:rPr>
        <w:t xml:space="preserve"> employment outcomes for people with disability.</w:t>
      </w:r>
    </w:p>
    <w:p w:rsidR="007A220A" w:rsidRDefault="007A220A" w:rsidP="00A05F8F">
      <w:pPr>
        <w:rPr>
          <w:sz w:val="24"/>
          <w:szCs w:val="24"/>
          <w:lang w:val="en-US"/>
        </w:rPr>
      </w:pPr>
      <w:r>
        <w:rPr>
          <w:sz w:val="24"/>
          <w:szCs w:val="24"/>
          <w:lang w:val="en-US"/>
        </w:rPr>
        <w:t xml:space="preserve">A greater focus on preventing harm in the workplace by addressing risk factors is required. </w:t>
      </w:r>
      <w:r w:rsidRPr="00633D54">
        <w:rPr>
          <w:sz w:val="24"/>
          <w:szCs w:val="24"/>
          <w:lang w:val="en-US"/>
        </w:rPr>
        <w:t>In the workers’ compensation context, there is often a failure to address workplace risks that caused the harm in the first place, especially for mental ill health. This can lead to further harm and a ‘failed return to work’.</w:t>
      </w:r>
      <w:r>
        <w:rPr>
          <w:sz w:val="24"/>
          <w:szCs w:val="24"/>
          <w:lang w:val="en-US"/>
        </w:rPr>
        <w:t xml:space="preserve"> </w:t>
      </w:r>
    </w:p>
    <w:p w:rsidR="00F54AD2" w:rsidRDefault="00F54AD2" w:rsidP="00A05F8F">
      <w:pPr>
        <w:rPr>
          <w:sz w:val="24"/>
          <w:szCs w:val="24"/>
          <w:lang w:val="en-US"/>
        </w:rPr>
      </w:pPr>
      <w:r>
        <w:rPr>
          <w:sz w:val="24"/>
          <w:szCs w:val="24"/>
          <w:lang w:val="en-US"/>
        </w:rPr>
        <w:t>Early intervention and reasonable adjustments will improve employment outcomes for people with disability. This involves:</w:t>
      </w:r>
    </w:p>
    <w:p w:rsidR="007A220A" w:rsidRPr="007A220A" w:rsidRDefault="007A220A" w:rsidP="007A220A">
      <w:pPr>
        <w:pStyle w:val="ListParagraph"/>
        <w:numPr>
          <w:ilvl w:val="0"/>
          <w:numId w:val="33"/>
        </w:numPr>
        <w:rPr>
          <w:sz w:val="24"/>
          <w:szCs w:val="24"/>
          <w:lang w:val="en-US"/>
        </w:rPr>
      </w:pPr>
      <w:r w:rsidRPr="007A220A">
        <w:rPr>
          <w:sz w:val="24"/>
          <w:szCs w:val="24"/>
          <w:lang w:val="en-US"/>
        </w:rPr>
        <w:t>Collaboration between the employer and healthcare provider to determine capacity</w:t>
      </w:r>
    </w:p>
    <w:p w:rsidR="00F54AD2" w:rsidRDefault="00F54AD2" w:rsidP="00D62609">
      <w:pPr>
        <w:pStyle w:val="ListParagraph"/>
        <w:numPr>
          <w:ilvl w:val="0"/>
          <w:numId w:val="33"/>
        </w:numPr>
        <w:rPr>
          <w:sz w:val="24"/>
          <w:szCs w:val="24"/>
          <w:lang w:val="en-US"/>
        </w:rPr>
      </w:pPr>
      <w:r w:rsidRPr="00F54AD2">
        <w:rPr>
          <w:sz w:val="24"/>
          <w:szCs w:val="24"/>
          <w:lang w:val="en-US"/>
        </w:rPr>
        <w:t>Employer</w:t>
      </w:r>
      <w:r w:rsidR="00F751E4" w:rsidRPr="00F54AD2">
        <w:rPr>
          <w:sz w:val="24"/>
          <w:szCs w:val="24"/>
          <w:lang w:val="en-US"/>
        </w:rPr>
        <w:t xml:space="preserve"> engagement with services and supports to facilitate early intervention </w:t>
      </w:r>
    </w:p>
    <w:p w:rsidR="007A220A" w:rsidRDefault="00F54AD2" w:rsidP="007A220A">
      <w:pPr>
        <w:pStyle w:val="ListParagraph"/>
        <w:numPr>
          <w:ilvl w:val="0"/>
          <w:numId w:val="33"/>
        </w:numPr>
        <w:rPr>
          <w:sz w:val="24"/>
          <w:szCs w:val="24"/>
          <w:lang w:val="en-US"/>
        </w:rPr>
      </w:pPr>
      <w:r>
        <w:rPr>
          <w:sz w:val="24"/>
          <w:szCs w:val="24"/>
          <w:lang w:val="en-US"/>
        </w:rPr>
        <w:t>Supporting e</w:t>
      </w:r>
      <w:r w:rsidR="00691574" w:rsidRPr="00F54AD2">
        <w:rPr>
          <w:sz w:val="24"/>
          <w:szCs w:val="24"/>
          <w:lang w:val="en-US"/>
        </w:rPr>
        <w:t>mployers to provide suitable dut</w:t>
      </w:r>
      <w:r w:rsidR="00D62609" w:rsidRPr="00F54AD2">
        <w:rPr>
          <w:sz w:val="24"/>
          <w:szCs w:val="24"/>
          <w:lang w:val="en-US"/>
        </w:rPr>
        <w:t>ies and reasonable adjustments</w:t>
      </w:r>
      <w:r>
        <w:rPr>
          <w:sz w:val="24"/>
          <w:szCs w:val="24"/>
          <w:lang w:val="en-US"/>
        </w:rPr>
        <w:t xml:space="preserve"> including the </w:t>
      </w:r>
      <w:r w:rsidR="00D62609" w:rsidRPr="00F54AD2">
        <w:rPr>
          <w:sz w:val="24"/>
          <w:szCs w:val="24"/>
          <w:lang w:val="en-US"/>
        </w:rPr>
        <w:t>flexib</w:t>
      </w:r>
      <w:r w:rsidR="00633D54" w:rsidRPr="00F54AD2">
        <w:rPr>
          <w:sz w:val="24"/>
          <w:szCs w:val="24"/>
          <w:lang w:val="en-US"/>
        </w:rPr>
        <w:t>ility</w:t>
      </w:r>
      <w:r w:rsidR="00D62609" w:rsidRPr="00F54AD2">
        <w:rPr>
          <w:sz w:val="24"/>
          <w:szCs w:val="24"/>
          <w:lang w:val="en-US"/>
        </w:rPr>
        <w:t xml:space="preserve"> to adjust the work as </w:t>
      </w:r>
      <w:r w:rsidR="00633D54" w:rsidRPr="00F54AD2">
        <w:rPr>
          <w:sz w:val="24"/>
          <w:szCs w:val="24"/>
          <w:lang w:val="en-US"/>
        </w:rPr>
        <w:t>capacity to work change</w:t>
      </w:r>
      <w:r w:rsidR="007A220A">
        <w:rPr>
          <w:sz w:val="24"/>
          <w:szCs w:val="24"/>
          <w:lang w:val="en-US"/>
        </w:rPr>
        <w:t xml:space="preserve">s </w:t>
      </w:r>
    </w:p>
    <w:p w:rsidR="007A220A" w:rsidRPr="007A220A" w:rsidRDefault="007A220A" w:rsidP="007A220A">
      <w:pPr>
        <w:pStyle w:val="ListParagraph"/>
        <w:numPr>
          <w:ilvl w:val="0"/>
          <w:numId w:val="33"/>
        </w:numPr>
        <w:rPr>
          <w:sz w:val="24"/>
          <w:szCs w:val="24"/>
          <w:lang w:val="en-US"/>
        </w:rPr>
      </w:pPr>
      <w:r w:rsidRPr="00F54AD2">
        <w:rPr>
          <w:sz w:val="24"/>
          <w:szCs w:val="24"/>
          <w:lang w:val="en-US"/>
        </w:rPr>
        <w:t xml:space="preserve">Building the capacity of managers and human resource staff to </w:t>
      </w:r>
      <w:proofErr w:type="spellStart"/>
      <w:r w:rsidRPr="00F54AD2">
        <w:rPr>
          <w:sz w:val="24"/>
          <w:szCs w:val="24"/>
          <w:lang w:val="en-US"/>
        </w:rPr>
        <w:t>recognise</w:t>
      </w:r>
      <w:proofErr w:type="spellEnd"/>
      <w:r w:rsidRPr="00F54AD2">
        <w:rPr>
          <w:sz w:val="24"/>
          <w:szCs w:val="24"/>
          <w:lang w:val="en-US"/>
        </w:rPr>
        <w:t xml:space="preserve"> early warning signs and intervene early</w:t>
      </w:r>
      <w:r>
        <w:rPr>
          <w:sz w:val="24"/>
          <w:szCs w:val="24"/>
          <w:lang w:val="en-US"/>
        </w:rPr>
        <w:t>.</w:t>
      </w:r>
      <w:r w:rsidRPr="00F54AD2">
        <w:rPr>
          <w:sz w:val="24"/>
          <w:szCs w:val="24"/>
          <w:lang w:val="en-US"/>
        </w:rPr>
        <w:t xml:space="preserve"> </w:t>
      </w:r>
    </w:p>
    <w:p w:rsidR="00230848" w:rsidRPr="008C29B5" w:rsidRDefault="00F54AD2" w:rsidP="00A05F8F">
      <w:pPr>
        <w:rPr>
          <w:sz w:val="24"/>
          <w:szCs w:val="24"/>
          <w:lang w:val="en-US"/>
        </w:rPr>
      </w:pPr>
      <w:r>
        <w:rPr>
          <w:sz w:val="24"/>
          <w:szCs w:val="24"/>
          <w:lang w:val="en-US"/>
        </w:rPr>
        <w:t xml:space="preserve">Providing meaningful work can lead to employee engagement, improved health outcomes and a sustainable participation in work. As employers can have </w:t>
      </w:r>
      <w:r w:rsidR="00633D54">
        <w:rPr>
          <w:sz w:val="24"/>
          <w:szCs w:val="24"/>
          <w:lang w:val="en-US"/>
        </w:rPr>
        <w:t>a limited view of the work capacity of people with disability,</w:t>
      </w:r>
      <w:r w:rsidR="00F751E4">
        <w:rPr>
          <w:sz w:val="24"/>
          <w:szCs w:val="24"/>
          <w:lang w:val="en-US"/>
        </w:rPr>
        <w:t xml:space="preserve"> especially with</w:t>
      </w:r>
      <w:r w:rsidR="00633D54">
        <w:rPr>
          <w:sz w:val="24"/>
          <w:szCs w:val="24"/>
          <w:lang w:val="en-US"/>
        </w:rPr>
        <w:t xml:space="preserve"> mental </w:t>
      </w:r>
      <w:r w:rsidR="00F751E4">
        <w:rPr>
          <w:sz w:val="24"/>
          <w:szCs w:val="24"/>
          <w:lang w:val="en-US"/>
        </w:rPr>
        <w:t>illness</w:t>
      </w:r>
      <w:r>
        <w:rPr>
          <w:sz w:val="24"/>
          <w:szCs w:val="24"/>
          <w:lang w:val="en-US"/>
        </w:rPr>
        <w:t xml:space="preserve">, breaking down the myths and perceptions is essential to improving employment outcomes. </w:t>
      </w:r>
    </w:p>
    <w:p w:rsidR="00A05F8F" w:rsidRPr="00713CA7" w:rsidRDefault="00A05F8F" w:rsidP="00A05F8F">
      <w:pPr>
        <w:rPr>
          <w:b/>
          <w:sz w:val="24"/>
          <w:szCs w:val="24"/>
          <w:lang w:val="en-US"/>
        </w:rPr>
      </w:pPr>
      <w:r w:rsidRPr="00713CA7">
        <w:rPr>
          <w:b/>
          <w:sz w:val="24"/>
          <w:szCs w:val="24"/>
          <w:lang w:val="en-US"/>
        </w:rPr>
        <w:t>How can we promote the benefits of employing people with disability?</w:t>
      </w:r>
    </w:p>
    <w:p w:rsidR="00E700C0" w:rsidRDefault="007A220A" w:rsidP="00E700C0">
      <w:pPr>
        <w:rPr>
          <w:sz w:val="24"/>
          <w:szCs w:val="24"/>
          <w:lang w:val="en-US"/>
        </w:rPr>
      </w:pPr>
      <w:r>
        <w:rPr>
          <w:sz w:val="24"/>
          <w:szCs w:val="24"/>
          <w:lang w:val="en-US"/>
        </w:rPr>
        <w:t>Avenues to promote the benefits of employing people with disability include harnessing the role of the GP or other health provider to ‘prescribe’ work as part of recovery; and promoting messages on the health benefits of p</w:t>
      </w:r>
      <w:r w:rsidR="00E700C0">
        <w:rPr>
          <w:sz w:val="24"/>
          <w:szCs w:val="24"/>
          <w:lang w:val="en-US"/>
        </w:rPr>
        <w:t>articipating in meaningful work. These messages include:</w:t>
      </w:r>
    </w:p>
    <w:p w:rsidR="007A220A" w:rsidRPr="00E700C0" w:rsidRDefault="00E700C0" w:rsidP="00E700C0">
      <w:pPr>
        <w:pStyle w:val="ListParagraph"/>
        <w:numPr>
          <w:ilvl w:val="0"/>
          <w:numId w:val="35"/>
        </w:numPr>
        <w:rPr>
          <w:sz w:val="24"/>
          <w:szCs w:val="24"/>
          <w:lang w:val="en-US"/>
        </w:rPr>
      </w:pPr>
      <w:r w:rsidRPr="00E700C0">
        <w:rPr>
          <w:sz w:val="24"/>
          <w:szCs w:val="24"/>
          <w:lang w:val="en-US"/>
        </w:rPr>
        <w:t>H</w:t>
      </w:r>
      <w:r w:rsidR="00C72E14" w:rsidRPr="00E700C0">
        <w:rPr>
          <w:sz w:val="24"/>
          <w:szCs w:val="24"/>
          <w:lang w:val="en-US"/>
        </w:rPr>
        <w:t xml:space="preserve">ealth outcomes can improve through participation in good and meaningful </w:t>
      </w:r>
      <w:r w:rsidR="007A220A" w:rsidRPr="00E700C0">
        <w:rPr>
          <w:sz w:val="24"/>
          <w:szCs w:val="24"/>
          <w:lang w:val="en-US"/>
        </w:rPr>
        <w:t>work</w:t>
      </w:r>
      <w:r w:rsidRPr="00E700C0">
        <w:rPr>
          <w:sz w:val="24"/>
          <w:szCs w:val="24"/>
          <w:lang w:val="en-US"/>
        </w:rPr>
        <w:t>.</w:t>
      </w:r>
    </w:p>
    <w:p w:rsidR="007A220A" w:rsidRPr="00E700C0" w:rsidRDefault="00C72E14" w:rsidP="00E700C0">
      <w:pPr>
        <w:pStyle w:val="ListParagraph"/>
        <w:numPr>
          <w:ilvl w:val="0"/>
          <w:numId w:val="35"/>
        </w:numPr>
        <w:rPr>
          <w:sz w:val="24"/>
          <w:szCs w:val="24"/>
          <w:lang w:val="en-US"/>
        </w:rPr>
      </w:pPr>
      <w:r w:rsidRPr="00E700C0">
        <w:rPr>
          <w:sz w:val="24"/>
          <w:szCs w:val="24"/>
          <w:lang w:val="en-US"/>
        </w:rPr>
        <w:lastRenderedPageBreak/>
        <w:t>Work gives people a sense of purpose and fulfilment in addition to social connections and improved financial</w:t>
      </w:r>
      <w:r w:rsidR="007A220A" w:rsidRPr="00E700C0">
        <w:rPr>
          <w:sz w:val="24"/>
          <w:szCs w:val="24"/>
          <w:lang w:val="en-US"/>
        </w:rPr>
        <w:t xml:space="preserve"> security</w:t>
      </w:r>
    </w:p>
    <w:p w:rsidR="00C72E14" w:rsidRPr="00E700C0" w:rsidRDefault="00C72E14" w:rsidP="00E700C0">
      <w:pPr>
        <w:pStyle w:val="ListParagraph"/>
        <w:numPr>
          <w:ilvl w:val="0"/>
          <w:numId w:val="35"/>
        </w:numPr>
        <w:rPr>
          <w:sz w:val="24"/>
          <w:szCs w:val="24"/>
          <w:lang w:val="en-US"/>
        </w:rPr>
      </w:pPr>
      <w:r w:rsidRPr="00E700C0">
        <w:rPr>
          <w:sz w:val="24"/>
          <w:szCs w:val="24"/>
          <w:lang w:val="en-US"/>
        </w:rPr>
        <w:t>Workplaces that employ people with disability better reflect the community that they serve.</w:t>
      </w:r>
    </w:p>
    <w:p w:rsidR="00590FB9" w:rsidRDefault="00590FB9" w:rsidP="00A05F8F">
      <w:pPr>
        <w:rPr>
          <w:sz w:val="24"/>
          <w:szCs w:val="24"/>
          <w:lang w:val="en-US"/>
        </w:rPr>
      </w:pPr>
    </w:p>
    <w:p w:rsidR="00A05F8F" w:rsidRDefault="00A05F8F" w:rsidP="00A05F8F">
      <w:pPr>
        <w:rPr>
          <w:b/>
          <w:sz w:val="28"/>
          <w:szCs w:val="28"/>
        </w:rPr>
      </w:pPr>
      <w:r>
        <w:rPr>
          <w:b/>
          <w:sz w:val="28"/>
          <w:szCs w:val="28"/>
        </w:rPr>
        <w:t>Principles for Changes to Disability Employment Services</w:t>
      </w:r>
    </w:p>
    <w:p w:rsidR="003277C0" w:rsidRDefault="003277C0" w:rsidP="00FB21E6">
      <w:pPr>
        <w:rPr>
          <w:sz w:val="24"/>
          <w:szCs w:val="24"/>
          <w:lang w:val="en-US"/>
        </w:rPr>
      </w:pPr>
      <w:r>
        <w:rPr>
          <w:sz w:val="24"/>
          <w:szCs w:val="24"/>
          <w:lang w:val="en-US"/>
        </w:rPr>
        <w:t>Comcare’s experience is similar to the</w:t>
      </w:r>
      <w:r w:rsidR="00D45F9A">
        <w:rPr>
          <w:sz w:val="24"/>
          <w:szCs w:val="24"/>
          <w:lang w:val="en-US"/>
        </w:rPr>
        <w:t xml:space="preserve"> challenges identified in the</w:t>
      </w:r>
      <w:r>
        <w:rPr>
          <w:sz w:val="24"/>
          <w:szCs w:val="24"/>
          <w:lang w:val="en-US"/>
        </w:rPr>
        <w:t xml:space="preserve"> </w:t>
      </w:r>
      <w:r>
        <w:rPr>
          <w:i/>
          <w:sz w:val="24"/>
          <w:szCs w:val="24"/>
          <w:lang w:val="en-US"/>
        </w:rPr>
        <w:t>Issues Paper</w:t>
      </w:r>
      <w:r w:rsidR="00F82AD6">
        <w:rPr>
          <w:sz w:val="24"/>
          <w:szCs w:val="24"/>
          <w:lang w:val="en-US"/>
        </w:rPr>
        <w:t>:</w:t>
      </w:r>
    </w:p>
    <w:p w:rsidR="003277C0" w:rsidRPr="00D45F9A" w:rsidRDefault="003277C0" w:rsidP="00D45F9A">
      <w:pPr>
        <w:pStyle w:val="ListParagraph"/>
        <w:numPr>
          <w:ilvl w:val="0"/>
          <w:numId w:val="31"/>
        </w:numPr>
        <w:rPr>
          <w:sz w:val="24"/>
          <w:szCs w:val="24"/>
          <w:lang w:val="en-US"/>
        </w:rPr>
      </w:pPr>
      <w:r w:rsidRPr="00D45F9A">
        <w:rPr>
          <w:sz w:val="24"/>
          <w:szCs w:val="24"/>
          <w:u w:val="single"/>
          <w:lang w:val="en-US"/>
        </w:rPr>
        <w:t>A need for greater emphasis on training and job satisfaction and suitability, over job placement</w:t>
      </w:r>
      <w:r w:rsidR="00D45F9A" w:rsidRPr="00D45F9A">
        <w:rPr>
          <w:sz w:val="24"/>
          <w:szCs w:val="24"/>
          <w:u w:val="single"/>
          <w:lang w:val="en-US"/>
        </w:rPr>
        <w:t>.</w:t>
      </w:r>
      <w:r w:rsidR="00D45F9A">
        <w:rPr>
          <w:sz w:val="24"/>
          <w:szCs w:val="24"/>
          <w:lang w:val="en-US"/>
        </w:rPr>
        <w:t xml:space="preserve"> </w:t>
      </w:r>
      <w:r w:rsidR="00D45F9A" w:rsidRPr="00D45F9A">
        <w:rPr>
          <w:sz w:val="24"/>
          <w:szCs w:val="24"/>
          <w:lang w:val="en-US"/>
        </w:rPr>
        <w:t xml:space="preserve">Focusing on job satisfaction and suitability will help to </w:t>
      </w:r>
      <w:r w:rsidRPr="00D45F9A">
        <w:rPr>
          <w:sz w:val="24"/>
          <w:szCs w:val="24"/>
          <w:lang w:val="en-US"/>
        </w:rPr>
        <w:t xml:space="preserve">create meaningful work </w:t>
      </w:r>
      <w:r w:rsidR="00D45F9A" w:rsidRPr="00D45F9A">
        <w:rPr>
          <w:sz w:val="24"/>
          <w:szCs w:val="24"/>
          <w:lang w:val="en-US"/>
        </w:rPr>
        <w:t>which can lead to improved health and employment outcomes.</w:t>
      </w:r>
    </w:p>
    <w:p w:rsidR="003277C0" w:rsidRPr="003277C0" w:rsidRDefault="003277C0" w:rsidP="003277C0">
      <w:pPr>
        <w:pStyle w:val="ListParagraph"/>
        <w:numPr>
          <w:ilvl w:val="0"/>
          <w:numId w:val="31"/>
        </w:numPr>
        <w:rPr>
          <w:sz w:val="24"/>
          <w:szCs w:val="24"/>
          <w:lang w:val="en-US"/>
        </w:rPr>
      </w:pPr>
      <w:r w:rsidRPr="00D45F9A">
        <w:rPr>
          <w:sz w:val="24"/>
          <w:szCs w:val="24"/>
          <w:u w:val="single"/>
          <w:lang w:val="en-US"/>
        </w:rPr>
        <w:t>Inadequate ongoing support once employees are placed in a job.</w:t>
      </w:r>
      <w:r>
        <w:rPr>
          <w:sz w:val="24"/>
          <w:szCs w:val="24"/>
          <w:lang w:val="en-US"/>
        </w:rPr>
        <w:t xml:space="preserve"> This includes </w:t>
      </w:r>
      <w:proofErr w:type="spellStart"/>
      <w:r>
        <w:rPr>
          <w:sz w:val="24"/>
          <w:szCs w:val="24"/>
          <w:lang w:val="en-US"/>
        </w:rPr>
        <w:t>recognising</w:t>
      </w:r>
      <w:proofErr w:type="spellEnd"/>
      <w:r>
        <w:rPr>
          <w:sz w:val="24"/>
          <w:szCs w:val="24"/>
          <w:lang w:val="en-US"/>
        </w:rPr>
        <w:t xml:space="preserve"> that people’s health </w:t>
      </w:r>
      <w:r w:rsidR="007A220A">
        <w:rPr>
          <w:sz w:val="24"/>
          <w:szCs w:val="24"/>
          <w:lang w:val="en-US"/>
        </w:rPr>
        <w:t xml:space="preserve">and disability </w:t>
      </w:r>
      <w:r>
        <w:rPr>
          <w:sz w:val="24"/>
          <w:szCs w:val="24"/>
          <w:lang w:val="en-US"/>
        </w:rPr>
        <w:t>changes over time and</w:t>
      </w:r>
      <w:r w:rsidR="00D45F9A">
        <w:rPr>
          <w:sz w:val="24"/>
          <w:szCs w:val="24"/>
          <w:lang w:val="en-US"/>
        </w:rPr>
        <w:t xml:space="preserve"> that</w:t>
      </w:r>
      <w:r>
        <w:rPr>
          <w:sz w:val="24"/>
          <w:szCs w:val="24"/>
          <w:lang w:val="en-US"/>
        </w:rPr>
        <w:t xml:space="preserve"> they </w:t>
      </w:r>
      <w:r w:rsidR="00D45F9A">
        <w:rPr>
          <w:sz w:val="24"/>
          <w:szCs w:val="24"/>
          <w:lang w:val="en-US"/>
        </w:rPr>
        <w:t xml:space="preserve">may </w:t>
      </w:r>
      <w:r>
        <w:rPr>
          <w:sz w:val="24"/>
          <w:szCs w:val="24"/>
          <w:lang w:val="en-US"/>
        </w:rPr>
        <w:t xml:space="preserve">require different levels of support at different times. </w:t>
      </w:r>
    </w:p>
    <w:p w:rsidR="003277C0" w:rsidRPr="003277C0" w:rsidRDefault="003277C0" w:rsidP="003277C0">
      <w:pPr>
        <w:pStyle w:val="ListParagraph"/>
        <w:numPr>
          <w:ilvl w:val="0"/>
          <w:numId w:val="31"/>
        </w:numPr>
        <w:rPr>
          <w:sz w:val="24"/>
          <w:szCs w:val="24"/>
          <w:lang w:val="en-US"/>
        </w:rPr>
      </w:pPr>
      <w:r w:rsidRPr="00D45F9A">
        <w:rPr>
          <w:sz w:val="24"/>
          <w:szCs w:val="24"/>
          <w:u w:val="single"/>
          <w:lang w:val="en-US"/>
        </w:rPr>
        <w:t>Misconceptions about employing people with disability.</w:t>
      </w:r>
      <w:r>
        <w:rPr>
          <w:sz w:val="24"/>
          <w:szCs w:val="24"/>
          <w:lang w:val="en-US"/>
        </w:rPr>
        <w:t xml:space="preserve"> This includes the misconception that people must be 100 per cent well to </w:t>
      </w:r>
      <w:r w:rsidR="007A220A">
        <w:rPr>
          <w:sz w:val="24"/>
          <w:szCs w:val="24"/>
          <w:lang w:val="en-US"/>
        </w:rPr>
        <w:t>participate</w:t>
      </w:r>
      <w:r>
        <w:rPr>
          <w:sz w:val="24"/>
          <w:szCs w:val="24"/>
          <w:lang w:val="en-US"/>
        </w:rPr>
        <w:t xml:space="preserve"> </w:t>
      </w:r>
      <w:r w:rsidR="00D45F9A">
        <w:rPr>
          <w:sz w:val="24"/>
          <w:szCs w:val="24"/>
          <w:lang w:val="en-US"/>
        </w:rPr>
        <w:t xml:space="preserve">in work. Work is an important part of the </w:t>
      </w:r>
      <w:r>
        <w:rPr>
          <w:sz w:val="24"/>
          <w:szCs w:val="24"/>
          <w:lang w:val="en-US"/>
        </w:rPr>
        <w:t>recovery process.</w:t>
      </w:r>
    </w:p>
    <w:p w:rsidR="003277C0" w:rsidRPr="00D45F9A" w:rsidRDefault="003277C0" w:rsidP="003277C0">
      <w:pPr>
        <w:pStyle w:val="ListParagraph"/>
        <w:numPr>
          <w:ilvl w:val="0"/>
          <w:numId w:val="31"/>
        </w:numPr>
        <w:rPr>
          <w:sz w:val="24"/>
          <w:szCs w:val="24"/>
          <w:u w:val="single"/>
          <w:lang w:val="en-US"/>
        </w:rPr>
      </w:pPr>
      <w:r w:rsidRPr="00D45F9A">
        <w:rPr>
          <w:sz w:val="24"/>
          <w:szCs w:val="24"/>
          <w:u w:val="single"/>
          <w:lang w:val="en-US"/>
        </w:rPr>
        <w:t xml:space="preserve">A need for a holistic approach to service provision which works across people’s lives. </w:t>
      </w:r>
      <w:r w:rsidR="007A220A">
        <w:rPr>
          <w:sz w:val="24"/>
          <w:szCs w:val="24"/>
          <w:lang w:val="en-US"/>
        </w:rPr>
        <w:t>As circumstances change over time, services need to adapt to support work participation.</w:t>
      </w:r>
    </w:p>
    <w:p w:rsidR="00A05F8F" w:rsidRDefault="00FB6068" w:rsidP="00FB21E6">
      <w:pPr>
        <w:rPr>
          <w:b/>
          <w:sz w:val="24"/>
          <w:szCs w:val="24"/>
          <w:lang w:val="en-US"/>
        </w:rPr>
      </w:pPr>
      <w:r>
        <w:rPr>
          <w:b/>
          <w:sz w:val="24"/>
          <w:szCs w:val="24"/>
          <w:lang w:val="en-US"/>
        </w:rPr>
        <w:t>Do you agree with these as the underlying set of principles for change?</w:t>
      </w:r>
    </w:p>
    <w:p w:rsidR="00FB6068" w:rsidRPr="00FD18D2" w:rsidRDefault="00FB6068" w:rsidP="00F611B9">
      <w:pPr>
        <w:rPr>
          <w:rFonts w:cs="Calibri"/>
          <w:color w:val="000000"/>
          <w:sz w:val="24"/>
          <w:szCs w:val="24"/>
        </w:rPr>
      </w:pPr>
      <w:r w:rsidRPr="00FD18D2">
        <w:rPr>
          <w:rFonts w:cs="Calibri"/>
          <w:color w:val="000000"/>
          <w:sz w:val="24"/>
          <w:szCs w:val="24"/>
        </w:rPr>
        <w:t>Comcare agrees with the underlying principles for change</w:t>
      </w:r>
      <w:r w:rsidR="00F611B9" w:rsidRPr="00FD18D2">
        <w:rPr>
          <w:rFonts w:cs="Calibri"/>
          <w:color w:val="000000"/>
          <w:sz w:val="24"/>
          <w:szCs w:val="24"/>
        </w:rPr>
        <w:t>, with the recommendation that the principle ‘</w:t>
      </w:r>
      <w:r w:rsidR="003277C0" w:rsidRPr="00FD18D2">
        <w:rPr>
          <w:rFonts w:cs="Calibri"/>
          <w:color w:val="000000"/>
          <w:sz w:val="24"/>
          <w:szCs w:val="24"/>
        </w:rPr>
        <w:t>Understanding employer need</w:t>
      </w:r>
      <w:r w:rsidR="00F611B9" w:rsidRPr="00FD18D2">
        <w:rPr>
          <w:rFonts w:cs="Calibri"/>
          <w:color w:val="000000"/>
          <w:sz w:val="24"/>
          <w:szCs w:val="24"/>
        </w:rPr>
        <w:t>’</w:t>
      </w:r>
      <w:r w:rsidR="003277C0" w:rsidRPr="00FD18D2">
        <w:rPr>
          <w:rFonts w:cs="Calibri"/>
          <w:color w:val="000000"/>
          <w:sz w:val="24"/>
          <w:szCs w:val="24"/>
        </w:rPr>
        <w:t xml:space="preserve"> is amended to </w:t>
      </w:r>
      <w:r w:rsidR="00D45F9A" w:rsidRPr="00FD18D2">
        <w:rPr>
          <w:rFonts w:cs="Calibri"/>
          <w:color w:val="000000"/>
          <w:sz w:val="24"/>
          <w:szCs w:val="24"/>
        </w:rPr>
        <w:t>‘</w:t>
      </w:r>
      <w:r w:rsidR="00E700C0" w:rsidRPr="00FD18D2">
        <w:rPr>
          <w:rFonts w:cs="Calibri"/>
          <w:color w:val="000000"/>
          <w:sz w:val="24"/>
          <w:szCs w:val="24"/>
        </w:rPr>
        <w:t>U</w:t>
      </w:r>
      <w:r w:rsidR="003277C0" w:rsidRPr="00FD18D2">
        <w:rPr>
          <w:rFonts w:cs="Calibri"/>
          <w:color w:val="000000"/>
          <w:sz w:val="24"/>
          <w:szCs w:val="24"/>
        </w:rPr>
        <w:t xml:space="preserve">nderstanding </w:t>
      </w:r>
      <w:r w:rsidR="00DA13AC" w:rsidRPr="00FD18D2">
        <w:rPr>
          <w:rFonts w:cs="Calibri"/>
          <w:color w:val="000000"/>
          <w:sz w:val="24"/>
          <w:szCs w:val="24"/>
        </w:rPr>
        <w:t xml:space="preserve">the </w:t>
      </w:r>
      <w:r w:rsidR="00F611B9" w:rsidRPr="00FD18D2">
        <w:rPr>
          <w:rFonts w:cs="Calibri"/>
          <w:color w:val="000000"/>
          <w:sz w:val="24"/>
          <w:szCs w:val="24"/>
        </w:rPr>
        <w:t xml:space="preserve">employer and </w:t>
      </w:r>
      <w:r w:rsidR="001A68C5" w:rsidRPr="00FD18D2">
        <w:rPr>
          <w:rFonts w:cs="Calibri"/>
          <w:color w:val="000000"/>
          <w:sz w:val="24"/>
          <w:szCs w:val="24"/>
        </w:rPr>
        <w:t>employee</w:t>
      </w:r>
      <w:r w:rsidR="003277C0" w:rsidRPr="00FD18D2">
        <w:rPr>
          <w:rFonts w:cs="Calibri"/>
          <w:color w:val="000000"/>
          <w:sz w:val="24"/>
          <w:szCs w:val="24"/>
        </w:rPr>
        <w:t xml:space="preserve"> need</w:t>
      </w:r>
      <w:r w:rsidR="00D45F9A" w:rsidRPr="00FD18D2">
        <w:rPr>
          <w:rFonts w:cs="Calibri"/>
          <w:color w:val="000000"/>
          <w:sz w:val="24"/>
          <w:szCs w:val="24"/>
        </w:rPr>
        <w:t>’</w:t>
      </w:r>
      <w:r w:rsidR="003277C0" w:rsidRPr="00FD18D2">
        <w:rPr>
          <w:rFonts w:cs="Calibri"/>
          <w:color w:val="000000"/>
          <w:sz w:val="24"/>
          <w:szCs w:val="24"/>
        </w:rPr>
        <w:t xml:space="preserve">. </w:t>
      </w:r>
      <w:r w:rsidR="00F611B9" w:rsidRPr="00FD18D2">
        <w:rPr>
          <w:rFonts w:cs="Calibri"/>
          <w:color w:val="000000"/>
          <w:sz w:val="24"/>
          <w:szCs w:val="24"/>
        </w:rPr>
        <w:t>T</w:t>
      </w:r>
      <w:r w:rsidR="002973D6" w:rsidRPr="00FD18D2">
        <w:rPr>
          <w:rFonts w:cs="Calibri"/>
          <w:color w:val="000000"/>
          <w:sz w:val="24"/>
          <w:szCs w:val="24"/>
        </w:rPr>
        <w:t>he</w:t>
      </w:r>
      <w:r w:rsidR="00DD203A" w:rsidRPr="00FD18D2">
        <w:rPr>
          <w:rFonts w:cs="Calibri"/>
          <w:color w:val="000000"/>
          <w:sz w:val="24"/>
          <w:szCs w:val="24"/>
        </w:rPr>
        <w:t xml:space="preserve"> right job fit</w:t>
      </w:r>
      <w:r w:rsidR="00202B5A" w:rsidRPr="00FD18D2">
        <w:rPr>
          <w:rFonts w:cs="Calibri"/>
          <w:color w:val="000000"/>
          <w:sz w:val="24"/>
          <w:szCs w:val="24"/>
        </w:rPr>
        <w:t xml:space="preserve"> and meaningful work </w:t>
      </w:r>
      <w:r w:rsidR="00F611B9" w:rsidRPr="00FD18D2">
        <w:rPr>
          <w:rFonts w:cs="Calibri"/>
          <w:color w:val="000000"/>
          <w:sz w:val="24"/>
          <w:szCs w:val="24"/>
        </w:rPr>
        <w:t>improves</w:t>
      </w:r>
      <w:r w:rsidR="00867EDA" w:rsidRPr="00FD18D2">
        <w:rPr>
          <w:rFonts w:cs="Calibri"/>
          <w:color w:val="000000"/>
          <w:sz w:val="24"/>
          <w:szCs w:val="24"/>
        </w:rPr>
        <w:t xml:space="preserve"> </w:t>
      </w:r>
      <w:r w:rsidR="003277C0" w:rsidRPr="00FD18D2">
        <w:rPr>
          <w:rFonts w:cs="Calibri"/>
          <w:color w:val="000000"/>
          <w:sz w:val="24"/>
          <w:szCs w:val="24"/>
        </w:rPr>
        <w:t>health, engagement and productivity.</w:t>
      </w:r>
    </w:p>
    <w:p w:rsidR="00FB6068" w:rsidRPr="00713CA7" w:rsidRDefault="00FB6068" w:rsidP="00FB21E6">
      <w:pPr>
        <w:rPr>
          <w:b/>
          <w:sz w:val="24"/>
          <w:szCs w:val="24"/>
          <w:lang w:val="en-US"/>
        </w:rPr>
      </w:pPr>
      <w:r>
        <w:rPr>
          <w:b/>
          <w:sz w:val="24"/>
          <w:szCs w:val="24"/>
          <w:lang w:val="en-US"/>
        </w:rPr>
        <w:t>Are there any other principles that you would include?</w:t>
      </w:r>
    </w:p>
    <w:p w:rsidR="003D6D64" w:rsidRDefault="003D6D64" w:rsidP="003D6D64">
      <w:pPr>
        <w:pStyle w:val="Default"/>
        <w:spacing w:after="200" w:line="360" w:lineRule="auto"/>
        <w:rPr>
          <w:rFonts w:asciiTheme="minorHAnsi" w:hAnsiTheme="minorHAnsi"/>
        </w:rPr>
      </w:pPr>
      <w:r>
        <w:rPr>
          <w:rFonts w:asciiTheme="minorHAnsi" w:hAnsiTheme="minorHAnsi"/>
        </w:rPr>
        <w:t xml:space="preserve">Comcare recommends that the </w:t>
      </w:r>
      <w:r w:rsidR="00867EDA" w:rsidRPr="00713CA7">
        <w:rPr>
          <w:rFonts w:asciiTheme="minorHAnsi" w:hAnsiTheme="minorHAnsi"/>
          <w:i/>
        </w:rPr>
        <w:t>P</w:t>
      </w:r>
      <w:r w:rsidRPr="00713CA7">
        <w:rPr>
          <w:rFonts w:asciiTheme="minorHAnsi" w:hAnsiTheme="minorHAnsi"/>
          <w:i/>
        </w:rPr>
        <w:t xml:space="preserve">rinciples for </w:t>
      </w:r>
      <w:r w:rsidR="00867EDA" w:rsidRPr="00713CA7">
        <w:rPr>
          <w:rFonts w:asciiTheme="minorHAnsi" w:hAnsiTheme="minorHAnsi"/>
          <w:i/>
        </w:rPr>
        <w:t>C</w:t>
      </w:r>
      <w:r w:rsidRPr="00713CA7">
        <w:rPr>
          <w:rFonts w:asciiTheme="minorHAnsi" w:hAnsiTheme="minorHAnsi"/>
          <w:i/>
        </w:rPr>
        <w:t>hanges</w:t>
      </w:r>
      <w:r w:rsidR="00867EDA" w:rsidRPr="00713CA7">
        <w:rPr>
          <w:rFonts w:asciiTheme="minorHAnsi" w:hAnsiTheme="minorHAnsi"/>
          <w:i/>
        </w:rPr>
        <w:t xml:space="preserve"> to Disability Employment Services</w:t>
      </w:r>
      <w:r>
        <w:rPr>
          <w:rFonts w:asciiTheme="minorHAnsi" w:hAnsiTheme="minorHAnsi"/>
        </w:rPr>
        <w:t xml:space="preserve"> include a principle on the </w:t>
      </w:r>
      <w:r w:rsidR="00202B5A">
        <w:rPr>
          <w:rFonts w:asciiTheme="minorHAnsi" w:hAnsiTheme="minorHAnsi"/>
        </w:rPr>
        <w:t xml:space="preserve">health benefits of work and a principle on assisting people to participate in meaningful work. </w:t>
      </w:r>
    </w:p>
    <w:p w:rsidR="00F611B9" w:rsidRDefault="00F611B9" w:rsidP="00F611B9">
      <w:pPr>
        <w:pStyle w:val="Default"/>
        <w:spacing w:after="200" w:line="360" w:lineRule="auto"/>
        <w:rPr>
          <w:rFonts w:asciiTheme="minorHAnsi" w:hAnsiTheme="minorHAnsi"/>
        </w:rPr>
      </w:pPr>
      <w:r>
        <w:rPr>
          <w:rFonts w:asciiTheme="minorHAnsi" w:hAnsiTheme="minorHAnsi"/>
        </w:rPr>
        <w:t>There is compelling international and Australasian evidence that work is generally good for health and wellbeing, and that long-term absence, disability and unemployment generally have a negative impact on health and wellbeing.</w:t>
      </w:r>
      <w:r>
        <w:rPr>
          <w:rStyle w:val="FootnoteReference"/>
          <w:rFonts w:asciiTheme="minorHAnsi" w:hAnsiTheme="minorHAnsi"/>
        </w:rPr>
        <w:footnoteReference w:id="2"/>
      </w:r>
      <w:r>
        <w:rPr>
          <w:rFonts w:asciiTheme="minorHAnsi" w:hAnsiTheme="minorHAnsi"/>
          <w:vertAlign w:val="superscript"/>
        </w:rPr>
        <w:t>,</w:t>
      </w:r>
      <w:r>
        <w:rPr>
          <w:rStyle w:val="FootnoteReference"/>
          <w:rFonts w:asciiTheme="minorHAnsi" w:hAnsiTheme="minorHAnsi"/>
        </w:rPr>
        <w:footnoteReference w:id="3"/>
      </w:r>
    </w:p>
    <w:p w:rsidR="00F611B9" w:rsidRDefault="00F611B9" w:rsidP="003D6D64">
      <w:pPr>
        <w:pStyle w:val="Default"/>
        <w:spacing w:after="200" w:line="360" w:lineRule="auto"/>
        <w:rPr>
          <w:rFonts w:asciiTheme="minorHAnsi" w:hAnsiTheme="minorHAnsi"/>
        </w:rPr>
      </w:pPr>
      <w:r>
        <w:rPr>
          <w:rFonts w:asciiTheme="minorHAnsi" w:hAnsiTheme="minorHAnsi"/>
        </w:rPr>
        <w:lastRenderedPageBreak/>
        <w:t xml:space="preserve">The Royal Australasian College of Physicians (RACP) released </w:t>
      </w:r>
      <w:r w:rsidRPr="00867EDA">
        <w:rPr>
          <w:rFonts w:asciiTheme="minorHAnsi" w:hAnsiTheme="minorHAnsi"/>
        </w:rPr>
        <w:t xml:space="preserve">a </w:t>
      </w:r>
      <w:hyperlink r:id="rId9" w:history="1">
        <w:r w:rsidRPr="00713CA7">
          <w:rPr>
            <w:rFonts w:asciiTheme="minorHAnsi" w:hAnsiTheme="minorHAnsi"/>
          </w:rPr>
          <w:t>Consensus Statement on the Health Benefits of Work</w:t>
        </w:r>
      </w:hyperlink>
      <w:r>
        <w:rPr>
          <w:rStyle w:val="FootnoteReference"/>
        </w:rPr>
        <w:footnoteReference w:id="4"/>
      </w:r>
      <w:r>
        <w:rPr>
          <w:rFonts w:asciiTheme="minorHAnsi" w:hAnsiTheme="minorHAnsi"/>
        </w:rPr>
        <w:t xml:space="preserve"> in March 2011. It outlines the positive relationship between health and work and the negative consequences of long term work absence and unemployment. </w:t>
      </w:r>
    </w:p>
    <w:p w:rsidR="003D6D64" w:rsidRDefault="003D6D64" w:rsidP="002973D6">
      <w:pPr>
        <w:pStyle w:val="Default"/>
        <w:spacing w:after="200" w:line="360" w:lineRule="auto"/>
        <w:rPr>
          <w:rFonts w:asciiTheme="minorHAnsi" w:hAnsiTheme="minorHAnsi"/>
        </w:rPr>
      </w:pPr>
    </w:p>
    <w:p w:rsidR="002973D6" w:rsidRPr="00713CA7" w:rsidRDefault="00FE0630" w:rsidP="00713CA7">
      <w:pPr>
        <w:rPr>
          <w:b/>
          <w:sz w:val="28"/>
          <w:szCs w:val="28"/>
        </w:rPr>
      </w:pPr>
      <w:r w:rsidRPr="00713CA7">
        <w:rPr>
          <w:b/>
          <w:sz w:val="28"/>
          <w:szCs w:val="28"/>
        </w:rPr>
        <w:t>Employment Service in Context</w:t>
      </w:r>
    </w:p>
    <w:p w:rsidR="00FB6068" w:rsidRDefault="00FE0630" w:rsidP="00FB21E6">
      <w:pPr>
        <w:rPr>
          <w:sz w:val="24"/>
          <w:szCs w:val="24"/>
          <w:lang w:val="en-US"/>
        </w:rPr>
      </w:pPr>
      <w:r>
        <w:rPr>
          <w:sz w:val="24"/>
          <w:szCs w:val="24"/>
          <w:lang w:val="en-US"/>
        </w:rPr>
        <w:t>Comcar</w:t>
      </w:r>
      <w:r w:rsidR="00867EDA">
        <w:rPr>
          <w:sz w:val="24"/>
          <w:szCs w:val="24"/>
          <w:lang w:val="en-US"/>
        </w:rPr>
        <w:t xml:space="preserve">e’s focus </w:t>
      </w:r>
      <w:r w:rsidR="006B62A2">
        <w:rPr>
          <w:sz w:val="24"/>
          <w:szCs w:val="24"/>
          <w:lang w:val="en-US"/>
        </w:rPr>
        <w:t xml:space="preserve">is </w:t>
      </w:r>
      <w:r w:rsidR="00867EDA">
        <w:rPr>
          <w:sz w:val="24"/>
          <w:szCs w:val="24"/>
          <w:lang w:val="en-US"/>
        </w:rPr>
        <w:t>on return to and recovery at work in</w:t>
      </w:r>
      <w:r w:rsidR="00D45F9A">
        <w:rPr>
          <w:sz w:val="24"/>
          <w:szCs w:val="24"/>
          <w:lang w:val="en-US"/>
        </w:rPr>
        <w:t xml:space="preserve"> the</w:t>
      </w:r>
      <w:r w:rsidR="00867EDA">
        <w:rPr>
          <w:sz w:val="24"/>
          <w:szCs w:val="24"/>
          <w:lang w:val="en-US"/>
        </w:rPr>
        <w:t xml:space="preserve"> workers’ compensation</w:t>
      </w:r>
      <w:r w:rsidR="006B62A2">
        <w:rPr>
          <w:sz w:val="24"/>
          <w:szCs w:val="24"/>
          <w:lang w:val="en-US"/>
        </w:rPr>
        <w:t xml:space="preserve"> context. We work with the employer, employee and their health provider to support participation in work.</w:t>
      </w:r>
    </w:p>
    <w:p w:rsidR="00FE0630" w:rsidRDefault="00FE0630" w:rsidP="00FB21E6">
      <w:pPr>
        <w:rPr>
          <w:b/>
          <w:sz w:val="24"/>
          <w:szCs w:val="24"/>
          <w:lang w:val="en-US"/>
        </w:rPr>
      </w:pPr>
      <w:r>
        <w:rPr>
          <w:b/>
          <w:sz w:val="24"/>
          <w:szCs w:val="24"/>
          <w:lang w:val="en-US"/>
        </w:rPr>
        <w:t>Are there any other contextual factors of the jobseeker that should be considered?</w:t>
      </w:r>
    </w:p>
    <w:p w:rsidR="00CF3196" w:rsidRDefault="006B62A2" w:rsidP="00E700C0">
      <w:pPr>
        <w:rPr>
          <w:sz w:val="24"/>
          <w:szCs w:val="24"/>
          <w:lang w:val="en-US"/>
        </w:rPr>
      </w:pPr>
      <w:r>
        <w:rPr>
          <w:sz w:val="24"/>
          <w:szCs w:val="24"/>
          <w:lang w:val="en-US"/>
        </w:rPr>
        <w:t>In Comcare’s experience,</w:t>
      </w:r>
      <w:r w:rsidR="00CF3196">
        <w:rPr>
          <w:sz w:val="24"/>
          <w:szCs w:val="24"/>
          <w:lang w:val="en-US"/>
        </w:rPr>
        <w:t xml:space="preserve"> </w:t>
      </w:r>
      <w:proofErr w:type="spellStart"/>
      <w:r w:rsidR="00CF3196">
        <w:rPr>
          <w:sz w:val="24"/>
          <w:szCs w:val="24"/>
          <w:lang w:val="en-US"/>
        </w:rPr>
        <w:t>o</w:t>
      </w:r>
      <w:r>
        <w:rPr>
          <w:sz w:val="24"/>
          <w:szCs w:val="24"/>
          <w:lang w:val="en-US"/>
        </w:rPr>
        <w:t>ptimising</w:t>
      </w:r>
      <w:proofErr w:type="spellEnd"/>
      <w:r>
        <w:rPr>
          <w:sz w:val="24"/>
          <w:szCs w:val="24"/>
          <w:lang w:val="en-US"/>
        </w:rPr>
        <w:t xml:space="preserve"> participation in work needs to be a partnership</w:t>
      </w:r>
      <w:r w:rsidR="00CF3196">
        <w:rPr>
          <w:sz w:val="24"/>
          <w:szCs w:val="24"/>
          <w:lang w:val="en-US"/>
        </w:rPr>
        <w:t xml:space="preserve"> between the employee, their GP and the employer.</w:t>
      </w:r>
      <w:r>
        <w:rPr>
          <w:sz w:val="24"/>
          <w:szCs w:val="24"/>
          <w:lang w:val="en-US"/>
        </w:rPr>
        <w:t xml:space="preserve"> </w:t>
      </w:r>
      <w:r w:rsidR="00F611B9">
        <w:rPr>
          <w:sz w:val="24"/>
          <w:szCs w:val="24"/>
          <w:lang w:val="en-US"/>
        </w:rPr>
        <w:t>R</w:t>
      </w:r>
      <w:r w:rsidR="002E2A77">
        <w:rPr>
          <w:sz w:val="24"/>
          <w:szCs w:val="24"/>
          <w:lang w:val="en-US"/>
        </w:rPr>
        <w:t>emaining at work or e</w:t>
      </w:r>
      <w:r w:rsidR="002E2A77" w:rsidRPr="00E3484E">
        <w:rPr>
          <w:sz w:val="24"/>
          <w:szCs w:val="24"/>
          <w:lang w:val="en-US"/>
        </w:rPr>
        <w:t xml:space="preserve">arly return to work </w:t>
      </w:r>
      <w:r w:rsidR="002E2A77">
        <w:rPr>
          <w:sz w:val="24"/>
          <w:szCs w:val="24"/>
          <w:lang w:val="en-US"/>
        </w:rPr>
        <w:t>is essential for recovery and participation in work</w:t>
      </w:r>
      <w:r w:rsidR="002E2A77" w:rsidRPr="00F611B9">
        <w:rPr>
          <w:sz w:val="24"/>
          <w:szCs w:val="24"/>
          <w:lang w:val="en-US"/>
        </w:rPr>
        <w:t>.</w:t>
      </w:r>
      <w:r>
        <w:rPr>
          <w:sz w:val="24"/>
          <w:szCs w:val="24"/>
          <w:lang w:val="en-US"/>
        </w:rPr>
        <w:t xml:space="preserve"> </w:t>
      </w:r>
    </w:p>
    <w:p w:rsidR="006B62A2" w:rsidRPr="00F611B9" w:rsidRDefault="00CF3196" w:rsidP="00F611B9">
      <w:pPr>
        <w:pStyle w:val="Numberlistlevel1"/>
        <w:numPr>
          <w:ilvl w:val="0"/>
          <w:numId w:val="0"/>
        </w:numPr>
        <w:spacing w:after="200" w:line="360"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 xml:space="preserve">Comcare </w:t>
      </w:r>
      <w:r w:rsidR="00E700C0">
        <w:rPr>
          <w:rFonts w:asciiTheme="minorHAnsi" w:eastAsiaTheme="minorHAnsi" w:hAnsiTheme="minorHAnsi" w:cstheme="minorBidi"/>
          <w:sz w:val="24"/>
          <w:szCs w:val="24"/>
          <w:lang w:val="en-US"/>
        </w:rPr>
        <w:t>is working with</w:t>
      </w:r>
      <w:r w:rsidR="006B62A2" w:rsidRPr="00F611B9">
        <w:rPr>
          <w:rFonts w:asciiTheme="minorHAnsi" w:eastAsiaTheme="minorHAnsi" w:hAnsiTheme="minorHAnsi" w:cstheme="minorBidi"/>
          <w:sz w:val="24"/>
          <w:szCs w:val="24"/>
          <w:lang w:val="en-US"/>
        </w:rPr>
        <w:t xml:space="preserve"> </w:t>
      </w:r>
      <w:r w:rsidR="00D45F9A" w:rsidRPr="00F611B9">
        <w:rPr>
          <w:rFonts w:asciiTheme="minorHAnsi" w:eastAsiaTheme="minorHAnsi" w:hAnsiTheme="minorHAnsi" w:cstheme="minorBidi"/>
          <w:sz w:val="24"/>
          <w:szCs w:val="24"/>
          <w:lang w:val="en-US"/>
        </w:rPr>
        <w:t>GPs</w:t>
      </w:r>
      <w:r w:rsidR="006B62A2" w:rsidRPr="00F611B9">
        <w:rPr>
          <w:rFonts w:asciiTheme="minorHAnsi" w:eastAsiaTheme="minorHAnsi" w:hAnsiTheme="minorHAnsi" w:cstheme="minorBidi"/>
          <w:sz w:val="24"/>
          <w:szCs w:val="24"/>
          <w:lang w:val="en-US"/>
        </w:rPr>
        <w:t xml:space="preserve"> </w:t>
      </w:r>
      <w:r>
        <w:rPr>
          <w:rFonts w:asciiTheme="minorHAnsi" w:eastAsiaTheme="minorHAnsi" w:hAnsiTheme="minorHAnsi" w:cstheme="minorBidi"/>
          <w:sz w:val="24"/>
          <w:szCs w:val="24"/>
          <w:lang w:val="en-US"/>
        </w:rPr>
        <w:t>to use work as part of</w:t>
      </w:r>
      <w:r w:rsidR="006B62A2" w:rsidRPr="00F611B9">
        <w:rPr>
          <w:rFonts w:asciiTheme="minorHAnsi" w:eastAsiaTheme="minorHAnsi" w:hAnsiTheme="minorHAnsi" w:cstheme="minorBidi"/>
          <w:sz w:val="24"/>
          <w:szCs w:val="24"/>
          <w:lang w:val="en-US"/>
        </w:rPr>
        <w:t xml:space="preserve"> recovery</w:t>
      </w:r>
      <w:r w:rsidR="002E2A77" w:rsidRPr="00F611B9">
        <w:rPr>
          <w:rFonts w:asciiTheme="minorHAnsi" w:eastAsiaTheme="minorHAnsi" w:hAnsiTheme="minorHAnsi" w:cstheme="minorBidi"/>
          <w:sz w:val="24"/>
          <w:szCs w:val="24"/>
          <w:lang w:val="en-US"/>
        </w:rPr>
        <w:t xml:space="preserve"> and</w:t>
      </w:r>
      <w:r w:rsidR="006B62A2" w:rsidRPr="00F611B9">
        <w:rPr>
          <w:rFonts w:asciiTheme="minorHAnsi" w:eastAsiaTheme="minorHAnsi" w:hAnsiTheme="minorHAnsi" w:cstheme="minorBidi"/>
          <w:sz w:val="24"/>
          <w:szCs w:val="24"/>
          <w:lang w:val="en-US"/>
        </w:rPr>
        <w:t xml:space="preserve"> </w:t>
      </w:r>
      <w:proofErr w:type="spellStart"/>
      <w:r w:rsidR="006B62A2" w:rsidRPr="00F611B9">
        <w:rPr>
          <w:rFonts w:asciiTheme="minorHAnsi" w:eastAsiaTheme="minorHAnsi" w:hAnsiTheme="minorHAnsi" w:cstheme="minorBidi"/>
          <w:sz w:val="24"/>
          <w:szCs w:val="24"/>
          <w:lang w:val="en-US"/>
        </w:rPr>
        <w:t>minimise</w:t>
      </w:r>
      <w:proofErr w:type="spellEnd"/>
      <w:r w:rsidR="006B62A2" w:rsidRPr="00F611B9">
        <w:rPr>
          <w:rFonts w:asciiTheme="minorHAnsi" w:eastAsiaTheme="minorHAnsi" w:hAnsiTheme="minorHAnsi" w:cstheme="minorBidi"/>
          <w:sz w:val="24"/>
          <w:szCs w:val="24"/>
          <w:lang w:val="en-US"/>
        </w:rPr>
        <w:t xml:space="preserve"> the impact of ill health</w:t>
      </w:r>
      <w:r w:rsidR="002E2A77" w:rsidRPr="00F611B9">
        <w:rPr>
          <w:rFonts w:asciiTheme="minorHAnsi" w:eastAsiaTheme="minorHAnsi" w:hAnsiTheme="minorHAnsi" w:cstheme="minorBidi"/>
          <w:sz w:val="24"/>
          <w:szCs w:val="24"/>
          <w:lang w:val="en-US"/>
        </w:rPr>
        <w:t xml:space="preserve"> and disability</w:t>
      </w:r>
      <w:r w:rsidR="006B62A2" w:rsidRPr="00F611B9">
        <w:rPr>
          <w:rFonts w:asciiTheme="minorHAnsi" w:eastAsiaTheme="minorHAnsi" w:hAnsiTheme="minorHAnsi" w:cstheme="minorBidi"/>
          <w:sz w:val="24"/>
          <w:szCs w:val="24"/>
          <w:lang w:val="en-US"/>
        </w:rPr>
        <w:t>. Better support for GPs is needed to promote work resumption following an injury.</w:t>
      </w:r>
      <w:r w:rsidR="006B62A2">
        <w:rPr>
          <w:sz w:val="24"/>
          <w:szCs w:val="24"/>
          <w:lang w:val="en-US"/>
        </w:rPr>
        <w:t xml:space="preserve"> </w:t>
      </w:r>
    </w:p>
    <w:p w:rsidR="006B62A2" w:rsidRPr="00F82AD6" w:rsidRDefault="006B62A2" w:rsidP="006B62A2">
      <w:pPr>
        <w:pStyle w:val="Numberlistlevel1"/>
        <w:numPr>
          <w:ilvl w:val="0"/>
          <w:numId w:val="0"/>
        </w:numPr>
        <w:spacing w:after="200" w:line="360" w:lineRule="auto"/>
        <w:rPr>
          <w:rFonts w:asciiTheme="minorHAnsi" w:eastAsiaTheme="minorHAnsi" w:hAnsiTheme="minorHAnsi" w:cstheme="minorBidi"/>
          <w:sz w:val="24"/>
          <w:szCs w:val="24"/>
          <w:lang w:val="en-US"/>
        </w:rPr>
      </w:pPr>
      <w:r w:rsidRPr="00F82AD6">
        <w:rPr>
          <w:rFonts w:asciiTheme="minorHAnsi" w:eastAsiaTheme="minorHAnsi" w:hAnsiTheme="minorHAnsi" w:cstheme="minorBidi"/>
          <w:sz w:val="24"/>
          <w:szCs w:val="24"/>
          <w:lang w:val="en-US"/>
        </w:rPr>
        <w:t xml:space="preserve">In Australia many workers’ compensation </w:t>
      </w:r>
      <w:r w:rsidR="00CF3196" w:rsidRPr="00F82AD6">
        <w:rPr>
          <w:rFonts w:asciiTheme="minorHAnsi" w:eastAsiaTheme="minorHAnsi" w:hAnsiTheme="minorHAnsi" w:cstheme="minorBidi"/>
          <w:sz w:val="24"/>
          <w:szCs w:val="24"/>
          <w:lang w:val="en-US"/>
        </w:rPr>
        <w:t xml:space="preserve">and insurance </w:t>
      </w:r>
      <w:r w:rsidRPr="00F82AD6">
        <w:rPr>
          <w:rFonts w:asciiTheme="minorHAnsi" w:eastAsiaTheme="minorHAnsi" w:hAnsiTheme="minorHAnsi" w:cstheme="minorBidi"/>
          <w:sz w:val="24"/>
          <w:szCs w:val="24"/>
          <w:lang w:val="en-US"/>
        </w:rPr>
        <w:t xml:space="preserve">schemes </w:t>
      </w:r>
      <w:r w:rsidR="00CF3196" w:rsidRPr="00F82AD6">
        <w:rPr>
          <w:rFonts w:asciiTheme="minorHAnsi" w:eastAsiaTheme="minorHAnsi" w:hAnsiTheme="minorHAnsi" w:cstheme="minorBidi"/>
          <w:sz w:val="24"/>
          <w:szCs w:val="24"/>
          <w:lang w:val="en-US"/>
        </w:rPr>
        <w:t>are developing</w:t>
      </w:r>
      <w:r w:rsidRPr="00F82AD6">
        <w:rPr>
          <w:rFonts w:asciiTheme="minorHAnsi" w:eastAsiaTheme="minorHAnsi" w:hAnsiTheme="minorHAnsi" w:cstheme="minorBidi"/>
          <w:sz w:val="24"/>
          <w:szCs w:val="24"/>
          <w:lang w:val="en-US"/>
        </w:rPr>
        <w:t xml:space="preserve"> approaches to deliver on the health benefits of work, including revising medical certificates to increase the focus on what patients can do and providing guidance and advice to GPs to support their patients to return to work. </w:t>
      </w:r>
    </w:p>
    <w:p w:rsidR="00325046" w:rsidRDefault="00325046" w:rsidP="00325046">
      <w:pPr>
        <w:pStyle w:val="Numberlistlevel1"/>
        <w:numPr>
          <w:ilvl w:val="0"/>
          <w:numId w:val="0"/>
        </w:numPr>
        <w:spacing w:after="200"/>
        <w:rPr>
          <w:rFonts w:asciiTheme="minorHAnsi" w:eastAsiaTheme="minorHAnsi" w:hAnsiTheme="minorHAnsi" w:cstheme="minorBidi"/>
          <w:sz w:val="24"/>
          <w:szCs w:val="24"/>
          <w:lang w:val="en-US"/>
        </w:rPr>
      </w:pPr>
      <w:r w:rsidRPr="00F82AD6">
        <w:rPr>
          <w:rFonts w:asciiTheme="minorHAnsi" w:eastAsiaTheme="minorHAnsi" w:hAnsiTheme="minorHAnsi" w:cstheme="minorBidi"/>
          <w:sz w:val="24"/>
          <w:szCs w:val="24"/>
          <w:lang w:val="en-US"/>
        </w:rPr>
        <w:t xml:space="preserve">Comcare is trialing interventions to facilitate GP involvement in early return to work </w:t>
      </w:r>
      <w:r w:rsidR="00AE03C8" w:rsidRPr="00F82AD6">
        <w:rPr>
          <w:rFonts w:asciiTheme="minorHAnsi" w:eastAsiaTheme="minorHAnsi" w:hAnsiTheme="minorHAnsi" w:cstheme="minorBidi"/>
          <w:sz w:val="24"/>
          <w:szCs w:val="24"/>
          <w:lang w:val="en-US"/>
        </w:rPr>
        <w:t>programs</w:t>
      </w:r>
      <w:r w:rsidRPr="00F82AD6">
        <w:rPr>
          <w:rFonts w:asciiTheme="minorHAnsi" w:eastAsiaTheme="minorHAnsi" w:hAnsiTheme="minorHAnsi" w:cstheme="minorBidi"/>
          <w:sz w:val="24"/>
          <w:szCs w:val="24"/>
          <w:lang w:val="en-US"/>
        </w:rPr>
        <w:t xml:space="preserve"> for </w:t>
      </w:r>
      <w:r w:rsidR="00AE03C8" w:rsidRPr="00F82AD6">
        <w:rPr>
          <w:rFonts w:asciiTheme="minorHAnsi" w:eastAsiaTheme="minorHAnsi" w:hAnsiTheme="minorHAnsi" w:cstheme="minorBidi"/>
          <w:sz w:val="24"/>
          <w:szCs w:val="24"/>
          <w:lang w:val="en-US"/>
        </w:rPr>
        <w:t>employees</w:t>
      </w:r>
      <w:r w:rsidR="006B62A2" w:rsidRPr="00F82AD6">
        <w:rPr>
          <w:rFonts w:asciiTheme="minorHAnsi" w:eastAsiaTheme="minorHAnsi" w:hAnsiTheme="minorHAnsi" w:cstheme="minorBidi"/>
          <w:sz w:val="24"/>
          <w:szCs w:val="24"/>
          <w:lang w:val="en-US"/>
        </w:rPr>
        <w:t xml:space="preserve"> including implementing a </w:t>
      </w:r>
      <w:r w:rsidRPr="00F82AD6">
        <w:rPr>
          <w:rFonts w:asciiTheme="minorHAnsi" w:eastAsiaTheme="minorHAnsi" w:hAnsiTheme="minorHAnsi" w:cstheme="minorBidi"/>
          <w:sz w:val="24"/>
          <w:szCs w:val="24"/>
          <w:lang w:val="en-US"/>
        </w:rPr>
        <w:t>certificate of capacity</w:t>
      </w:r>
      <w:r w:rsidR="00AE03C8" w:rsidRPr="00F82AD6">
        <w:rPr>
          <w:rFonts w:asciiTheme="minorHAnsi" w:eastAsiaTheme="minorHAnsi" w:hAnsiTheme="minorHAnsi" w:cstheme="minorBidi"/>
          <w:sz w:val="24"/>
          <w:szCs w:val="24"/>
          <w:lang w:val="en-US"/>
        </w:rPr>
        <w:t xml:space="preserve"> in the ACT in 2015.</w:t>
      </w:r>
    </w:p>
    <w:p w:rsidR="00325046" w:rsidRDefault="00325046" w:rsidP="00FB21E6">
      <w:pPr>
        <w:rPr>
          <w:sz w:val="24"/>
          <w:szCs w:val="24"/>
          <w:lang w:val="en-US"/>
        </w:rPr>
      </w:pPr>
    </w:p>
    <w:p w:rsidR="00D541C3" w:rsidRPr="00713CA7" w:rsidRDefault="00D541C3" w:rsidP="00FB21E6">
      <w:pPr>
        <w:rPr>
          <w:b/>
          <w:sz w:val="28"/>
          <w:szCs w:val="28"/>
        </w:rPr>
      </w:pPr>
      <w:r w:rsidRPr="00713CA7">
        <w:rPr>
          <w:b/>
          <w:sz w:val="28"/>
          <w:szCs w:val="28"/>
        </w:rPr>
        <w:t>Support for Employers</w:t>
      </w:r>
    </w:p>
    <w:p w:rsidR="005C2B0D" w:rsidRDefault="007A2856" w:rsidP="00FB21E6">
      <w:pPr>
        <w:rPr>
          <w:sz w:val="24"/>
          <w:szCs w:val="24"/>
          <w:lang w:val="en-US"/>
        </w:rPr>
      </w:pPr>
      <w:r>
        <w:rPr>
          <w:sz w:val="24"/>
          <w:szCs w:val="24"/>
          <w:lang w:val="en-US"/>
        </w:rPr>
        <w:t>T</w:t>
      </w:r>
      <w:r w:rsidR="005C2B0D">
        <w:rPr>
          <w:sz w:val="24"/>
          <w:szCs w:val="24"/>
          <w:lang w:val="en-US"/>
        </w:rPr>
        <w:t>he Disability Employment Services offers employers several services to support them to employ people with a disability</w:t>
      </w:r>
      <w:r>
        <w:rPr>
          <w:sz w:val="24"/>
          <w:szCs w:val="24"/>
          <w:lang w:val="en-US"/>
        </w:rPr>
        <w:t xml:space="preserve"> including financial support and advice.</w:t>
      </w:r>
    </w:p>
    <w:p w:rsidR="00325046" w:rsidRPr="00713CA7" w:rsidRDefault="00D541C3" w:rsidP="00FB21E6">
      <w:pPr>
        <w:rPr>
          <w:b/>
          <w:sz w:val="24"/>
          <w:szCs w:val="24"/>
          <w:lang w:val="en-US"/>
        </w:rPr>
      </w:pPr>
      <w:r w:rsidRPr="00713CA7">
        <w:rPr>
          <w:b/>
          <w:sz w:val="24"/>
          <w:szCs w:val="24"/>
          <w:lang w:val="en-US"/>
        </w:rPr>
        <w:t>What other supports or approaches could increase employment participation of people with disability?</w:t>
      </w:r>
    </w:p>
    <w:p w:rsidR="005C2B0D" w:rsidRDefault="00CF3196" w:rsidP="005C2B0D">
      <w:pPr>
        <w:rPr>
          <w:sz w:val="24"/>
          <w:szCs w:val="24"/>
          <w:lang w:val="en-US"/>
        </w:rPr>
      </w:pPr>
      <w:r>
        <w:rPr>
          <w:sz w:val="24"/>
          <w:szCs w:val="24"/>
          <w:lang w:val="en-US"/>
        </w:rPr>
        <w:lastRenderedPageBreak/>
        <w:t>C</w:t>
      </w:r>
      <w:r w:rsidR="005C2B0D">
        <w:rPr>
          <w:sz w:val="24"/>
          <w:szCs w:val="24"/>
          <w:lang w:val="en-US"/>
        </w:rPr>
        <w:t xml:space="preserve">ollaboration between the employer, employee and their health provider is important. </w:t>
      </w:r>
      <w:r w:rsidR="00D45F9A">
        <w:rPr>
          <w:sz w:val="24"/>
          <w:szCs w:val="24"/>
          <w:lang w:val="en-US"/>
        </w:rPr>
        <w:t>GPs</w:t>
      </w:r>
      <w:r w:rsidR="005C2B0D">
        <w:rPr>
          <w:sz w:val="24"/>
          <w:szCs w:val="24"/>
          <w:lang w:val="en-US"/>
        </w:rPr>
        <w:t xml:space="preserve"> can help the employer to understand a person’s capacity to work, and collaboration can help to identify </w:t>
      </w:r>
      <w:r>
        <w:rPr>
          <w:sz w:val="24"/>
          <w:szCs w:val="24"/>
          <w:lang w:val="en-US"/>
        </w:rPr>
        <w:t>modifications to support work participation</w:t>
      </w:r>
      <w:r w:rsidR="005C2B0D">
        <w:rPr>
          <w:sz w:val="24"/>
          <w:szCs w:val="24"/>
          <w:lang w:val="en-US"/>
        </w:rPr>
        <w:t xml:space="preserve">. </w:t>
      </w:r>
    </w:p>
    <w:p w:rsidR="00E700C0" w:rsidRDefault="005C2B0D" w:rsidP="00FB21E6">
      <w:pPr>
        <w:rPr>
          <w:sz w:val="24"/>
          <w:szCs w:val="24"/>
          <w:lang w:val="en-US"/>
        </w:rPr>
      </w:pPr>
      <w:r>
        <w:rPr>
          <w:sz w:val="24"/>
          <w:szCs w:val="24"/>
          <w:lang w:val="en-US"/>
        </w:rPr>
        <w:t xml:space="preserve">Employers, however, often find it difficult to talk to the </w:t>
      </w:r>
      <w:r w:rsidR="00E700C0">
        <w:rPr>
          <w:sz w:val="24"/>
          <w:szCs w:val="24"/>
          <w:lang w:val="en-US"/>
        </w:rPr>
        <w:t>GP</w:t>
      </w:r>
      <w:r>
        <w:rPr>
          <w:sz w:val="24"/>
          <w:szCs w:val="24"/>
          <w:lang w:val="en-US"/>
        </w:rPr>
        <w:t xml:space="preserve">, while </w:t>
      </w:r>
      <w:r w:rsidR="00E700C0">
        <w:rPr>
          <w:sz w:val="24"/>
          <w:szCs w:val="24"/>
          <w:lang w:val="en-US"/>
        </w:rPr>
        <w:t>GPs</w:t>
      </w:r>
      <w:r>
        <w:rPr>
          <w:sz w:val="24"/>
          <w:szCs w:val="24"/>
          <w:lang w:val="en-US"/>
        </w:rPr>
        <w:t xml:space="preserve"> report that complex systems and a lack of remuneration for their time are barriers to engaging with the workplace.</w:t>
      </w:r>
      <w:r>
        <w:rPr>
          <w:rStyle w:val="FootnoteReference"/>
          <w:sz w:val="24"/>
          <w:szCs w:val="24"/>
          <w:lang w:val="en-US"/>
        </w:rPr>
        <w:footnoteReference w:id="5"/>
      </w:r>
      <w:r>
        <w:rPr>
          <w:sz w:val="24"/>
          <w:szCs w:val="24"/>
          <w:lang w:val="en-US"/>
        </w:rPr>
        <w:t xml:space="preserve"> </w:t>
      </w:r>
      <w:r w:rsidR="00CF3196">
        <w:rPr>
          <w:sz w:val="24"/>
          <w:szCs w:val="24"/>
          <w:lang w:val="en-US"/>
        </w:rPr>
        <w:t>A</w:t>
      </w:r>
      <w:r>
        <w:rPr>
          <w:sz w:val="24"/>
          <w:szCs w:val="24"/>
          <w:lang w:val="en-US"/>
        </w:rPr>
        <w:t>venues</w:t>
      </w:r>
      <w:r w:rsidR="00CF3196">
        <w:rPr>
          <w:sz w:val="24"/>
          <w:szCs w:val="24"/>
          <w:lang w:val="en-US"/>
        </w:rPr>
        <w:t xml:space="preserve"> </w:t>
      </w:r>
      <w:r>
        <w:rPr>
          <w:sz w:val="24"/>
          <w:szCs w:val="24"/>
          <w:lang w:val="en-US"/>
        </w:rPr>
        <w:t xml:space="preserve">to communicate </w:t>
      </w:r>
      <w:r w:rsidR="00CF3196">
        <w:rPr>
          <w:sz w:val="24"/>
          <w:szCs w:val="24"/>
          <w:lang w:val="en-US"/>
        </w:rPr>
        <w:t xml:space="preserve">with </w:t>
      </w:r>
      <w:r>
        <w:rPr>
          <w:sz w:val="24"/>
          <w:szCs w:val="24"/>
          <w:lang w:val="en-US"/>
        </w:rPr>
        <w:t>and</w:t>
      </w:r>
      <w:r w:rsidR="00CF3196">
        <w:rPr>
          <w:sz w:val="24"/>
          <w:szCs w:val="24"/>
          <w:lang w:val="en-US"/>
        </w:rPr>
        <w:t xml:space="preserve"> appropriately</w:t>
      </w:r>
      <w:r>
        <w:rPr>
          <w:sz w:val="24"/>
          <w:szCs w:val="24"/>
          <w:lang w:val="en-US"/>
        </w:rPr>
        <w:t xml:space="preserve"> remunerate </w:t>
      </w:r>
      <w:r w:rsidR="00E700C0">
        <w:rPr>
          <w:sz w:val="24"/>
          <w:szCs w:val="24"/>
          <w:lang w:val="en-US"/>
        </w:rPr>
        <w:t>GPs</w:t>
      </w:r>
      <w:r>
        <w:rPr>
          <w:sz w:val="24"/>
          <w:szCs w:val="24"/>
          <w:lang w:val="en-US"/>
        </w:rPr>
        <w:t xml:space="preserve"> may </w:t>
      </w:r>
      <w:r w:rsidR="00CF3196">
        <w:rPr>
          <w:sz w:val="24"/>
          <w:szCs w:val="24"/>
          <w:lang w:val="en-US"/>
        </w:rPr>
        <w:t>enable</w:t>
      </w:r>
      <w:r>
        <w:rPr>
          <w:sz w:val="24"/>
          <w:szCs w:val="24"/>
          <w:lang w:val="en-US"/>
        </w:rPr>
        <w:t xml:space="preserve"> employer</w:t>
      </w:r>
      <w:r w:rsidR="00CF3196">
        <w:rPr>
          <w:sz w:val="24"/>
          <w:szCs w:val="24"/>
          <w:lang w:val="en-US"/>
        </w:rPr>
        <w:t>s</w:t>
      </w:r>
      <w:r>
        <w:rPr>
          <w:sz w:val="24"/>
          <w:szCs w:val="24"/>
          <w:lang w:val="en-US"/>
        </w:rPr>
        <w:t xml:space="preserve"> to </w:t>
      </w:r>
      <w:r w:rsidR="00CF3196">
        <w:rPr>
          <w:sz w:val="24"/>
          <w:szCs w:val="24"/>
          <w:lang w:val="en-US"/>
        </w:rPr>
        <w:t>employ people with disability.</w:t>
      </w:r>
    </w:p>
    <w:p w:rsidR="005C2B0D" w:rsidRDefault="005C2B0D" w:rsidP="00FB21E6">
      <w:pPr>
        <w:rPr>
          <w:sz w:val="24"/>
          <w:szCs w:val="24"/>
          <w:lang w:val="en-US"/>
        </w:rPr>
      </w:pPr>
      <w:r>
        <w:rPr>
          <w:sz w:val="24"/>
          <w:szCs w:val="24"/>
          <w:lang w:val="en-US"/>
        </w:rPr>
        <w:t xml:space="preserve">Employers also require support to intervene early if someone is struggling in their role or their health is declining. </w:t>
      </w:r>
    </w:p>
    <w:p w:rsidR="005C2B0D" w:rsidRDefault="005C2B0D" w:rsidP="00FB21E6">
      <w:pPr>
        <w:rPr>
          <w:sz w:val="24"/>
          <w:szCs w:val="24"/>
          <w:lang w:val="en-US"/>
        </w:rPr>
      </w:pPr>
      <w:r>
        <w:rPr>
          <w:sz w:val="24"/>
          <w:szCs w:val="24"/>
          <w:lang w:val="en-US"/>
        </w:rPr>
        <w:t>Employers also need to</w:t>
      </w:r>
      <w:r w:rsidR="00E700C0">
        <w:rPr>
          <w:sz w:val="24"/>
          <w:szCs w:val="24"/>
          <w:lang w:val="en-US"/>
        </w:rPr>
        <w:t xml:space="preserve"> </w:t>
      </w:r>
      <w:proofErr w:type="spellStart"/>
      <w:r w:rsidR="00E700C0">
        <w:rPr>
          <w:sz w:val="24"/>
          <w:szCs w:val="24"/>
          <w:lang w:val="en-US"/>
        </w:rPr>
        <w:t>prioritise</w:t>
      </w:r>
      <w:proofErr w:type="spellEnd"/>
      <w:r>
        <w:rPr>
          <w:sz w:val="24"/>
          <w:szCs w:val="24"/>
          <w:lang w:val="en-US"/>
        </w:rPr>
        <w:t xml:space="preserve"> build</w:t>
      </w:r>
      <w:r w:rsidR="00CF3196">
        <w:rPr>
          <w:sz w:val="24"/>
          <w:szCs w:val="24"/>
          <w:lang w:val="en-US"/>
        </w:rPr>
        <w:t>ing</w:t>
      </w:r>
      <w:r>
        <w:rPr>
          <w:sz w:val="24"/>
          <w:szCs w:val="24"/>
          <w:lang w:val="en-US"/>
        </w:rPr>
        <w:t xml:space="preserve"> the capability of their managers and supervisors to design and provide good work, prevent r</w:t>
      </w:r>
      <w:r w:rsidR="00CF3196">
        <w:rPr>
          <w:sz w:val="24"/>
          <w:szCs w:val="24"/>
          <w:lang w:val="en-US"/>
        </w:rPr>
        <w:t>isks and intervene early to support participation.</w:t>
      </w:r>
    </w:p>
    <w:p w:rsidR="00325046" w:rsidRDefault="00325046" w:rsidP="00FB21E6">
      <w:pPr>
        <w:rPr>
          <w:sz w:val="24"/>
          <w:szCs w:val="24"/>
          <w:lang w:val="en-US"/>
        </w:rPr>
      </w:pPr>
    </w:p>
    <w:p w:rsidR="00123022" w:rsidRPr="00713CA7" w:rsidRDefault="00123022" w:rsidP="00FB21E6">
      <w:pPr>
        <w:rPr>
          <w:b/>
          <w:sz w:val="28"/>
          <w:szCs w:val="28"/>
        </w:rPr>
      </w:pPr>
      <w:r w:rsidRPr="00713CA7">
        <w:rPr>
          <w:b/>
          <w:sz w:val="28"/>
          <w:szCs w:val="28"/>
        </w:rPr>
        <w:t>Personal Helpers and Mentors (</w:t>
      </w:r>
      <w:proofErr w:type="spellStart"/>
      <w:r w:rsidRPr="00713CA7">
        <w:rPr>
          <w:b/>
          <w:sz w:val="28"/>
          <w:szCs w:val="28"/>
        </w:rPr>
        <w:t>PHaMs</w:t>
      </w:r>
      <w:proofErr w:type="spellEnd"/>
      <w:r w:rsidRPr="00713CA7">
        <w:rPr>
          <w:b/>
          <w:sz w:val="28"/>
          <w:szCs w:val="28"/>
        </w:rPr>
        <w:t>)</w:t>
      </w:r>
    </w:p>
    <w:p w:rsidR="00B65379" w:rsidRPr="007A2856" w:rsidRDefault="00532B12" w:rsidP="00B65379">
      <w:pPr>
        <w:rPr>
          <w:rFonts w:cs="Calibri"/>
          <w:color w:val="000000"/>
          <w:sz w:val="24"/>
          <w:szCs w:val="24"/>
        </w:rPr>
      </w:pPr>
      <w:r>
        <w:rPr>
          <w:sz w:val="24"/>
          <w:szCs w:val="24"/>
          <w:lang w:val="en-US"/>
        </w:rPr>
        <w:t>Psychological injury is on the rise</w:t>
      </w:r>
      <w:r w:rsidR="00B65379">
        <w:rPr>
          <w:sz w:val="24"/>
          <w:szCs w:val="24"/>
          <w:lang w:val="en-US"/>
        </w:rPr>
        <w:t xml:space="preserve"> in workers’ compensation schemes. </w:t>
      </w:r>
      <w:r w:rsidR="007A2856">
        <w:rPr>
          <w:rFonts w:cs="Calibri"/>
          <w:color w:val="000000"/>
          <w:sz w:val="24"/>
          <w:szCs w:val="24"/>
        </w:rPr>
        <w:t>O</w:t>
      </w:r>
      <w:r w:rsidR="00B65379" w:rsidRPr="00D864DD">
        <w:rPr>
          <w:sz w:val="24"/>
          <w:szCs w:val="24"/>
          <w:lang w:val="en-US"/>
        </w:rPr>
        <w:t>ur experience tells us that employers struggle to find suitable duties</w:t>
      </w:r>
      <w:r>
        <w:rPr>
          <w:sz w:val="24"/>
          <w:szCs w:val="24"/>
          <w:lang w:val="en-US"/>
        </w:rPr>
        <w:t xml:space="preserve"> </w:t>
      </w:r>
      <w:r w:rsidR="00B65379" w:rsidRPr="00D864DD">
        <w:rPr>
          <w:sz w:val="24"/>
          <w:szCs w:val="24"/>
          <w:lang w:val="en-US"/>
        </w:rPr>
        <w:t>for peop</w:t>
      </w:r>
      <w:r>
        <w:rPr>
          <w:sz w:val="24"/>
          <w:szCs w:val="24"/>
          <w:lang w:val="en-US"/>
        </w:rPr>
        <w:t>le with a psychological injury and their return to work is slower</w:t>
      </w:r>
      <w:r w:rsidR="00B65379" w:rsidRPr="00D864DD">
        <w:rPr>
          <w:sz w:val="24"/>
          <w:szCs w:val="24"/>
          <w:lang w:val="en-US"/>
        </w:rPr>
        <w:t>.</w:t>
      </w:r>
    </w:p>
    <w:p w:rsidR="00B65379" w:rsidRPr="00713CA7" w:rsidRDefault="00B65379" w:rsidP="00B65379">
      <w:pPr>
        <w:rPr>
          <w:b/>
          <w:sz w:val="24"/>
          <w:szCs w:val="24"/>
          <w:lang w:val="en-US"/>
        </w:rPr>
      </w:pPr>
      <w:r w:rsidRPr="00A1480F">
        <w:rPr>
          <w:b/>
          <w:sz w:val="24"/>
          <w:szCs w:val="24"/>
          <w:lang w:val="en-US"/>
        </w:rPr>
        <w:t>What more can be done to support people with mental illness in the workplace?</w:t>
      </w:r>
    </w:p>
    <w:p w:rsidR="00532B12" w:rsidRDefault="00B65379" w:rsidP="00B65379">
      <w:pPr>
        <w:rPr>
          <w:rFonts w:cs="Calibri"/>
          <w:color w:val="000000"/>
          <w:sz w:val="24"/>
          <w:szCs w:val="24"/>
        </w:rPr>
      </w:pPr>
      <w:r w:rsidRPr="00E12B45">
        <w:rPr>
          <w:rFonts w:cs="Calibri"/>
          <w:color w:val="000000"/>
          <w:sz w:val="24"/>
          <w:szCs w:val="24"/>
        </w:rPr>
        <w:t>Sickness absence and incapacity can be significantly reduced through the efforts of line managers who also recognise the influence of a worker’s family, community and social circumstances.</w:t>
      </w:r>
      <w:r w:rsidR="00532B12" w:rsidRPr="00532B12">
        <w:rPr>
          <w:rStyle w:val="FootnoteReference"/>
          <w:rFonts w:cs="Calibri"/>
          <w:color w:val="000000"/>
          <w:sz w:val="24"/>
          <w:szCs w:val="24"/>
        </w:rPr>
        <w:t xml:space="preserve"> </w:t>
      </w:r>
      <w:r w:rsidR="00532B12">
        <w:rPr>
          <w:rStyle w:val="FootnoteReference"/>
          <w:rFonts w:cs="Calibri"/>
          <w:color w:val="000000"/>
          <w:sz w:val="24"/>
          <w:szCs w:val="24"/>
        </w:rPr>
        <w:footnoteReference w:id="6"/>
      </w:r>
      <w:r w:rsidRPr="00E12B45">
        <w:rPr>
          <w:rFonts w:cs="Calibri"/>
          <w:color w:val="000000"/>
          <w:sz w:val="24"/>
          <w:szCs w:val="24"/>
        </w:rPr>
        <w:t xml:space="preserve"> </w:t>
      </w:r>
    </w:p>
    <w:p w:rsidR="00B65379" w:rsidRDefault="00B65379" w:rsidP="00B65379">
      <w:pPr>
        <w:rPr>
          <w:rFonts w:cs="Calibri"/>
          <w:color w:val="000000"/>
          <w:sz w:val="24"/>
          <w:szCs w:val="24"/>
        </w:rPr>
      </w:pPr>
      <w:r w:rsidRPr="00E12B45">
        <w:rPr>
          <w:rFonts w:cs="Calibri"/>
          <w:color w:val="000000"/>
          <w:sz w:val="24"/>
          <w:szCs w:val="24"/>
        </w:rPr>
        <w:t>Managers need to enable conversations to understand issues that impact on ability at work, and employ work arrangements to accommodate mental ill health at work. These skills need to be developed through training, supported by clear policy and coached by human resource personnel.</w:t>
      </w:r>
      <w:r>
        <w:rPr>
          <w:rStyle w:val="FootnoteReference"/>
          <w:rFonts w:cs="Calibri"/>
          <w:color w:val="000000"/>
          <w:sz w:val="24"/>
          <w:szCs w:val="24"/>
        </w:rPr>
        <w:footnoteReference w:id="7"/>
      </w:r>
      <w:r>
        <w:rPr>
          <w:rFonts w:cs="Calibri"/>
          <w:color w:val="000000"/>
          <w:sz w:val="24"/>
          <w:szCs w:val="24"/>
        </w:rPr>
        <w:t xml:space="preserve"> </w:t>
      </w:r>
    </w:p>
    <w:p w:rsidR="00B65379" w:rsidRDefault="00B65379" w:rsidP="00B65379">
      <w:pPr>
        <w:rPr>
          <w:rFonts w:cs="Calibri"/>
          <w:color w:val="000000"/>
          <w:sz w:val="24"/>
          <w:szCs w:val="24"/>
        </w:rPr>
      </w:pPr>
      <w:r>
        <w:rPr>
          <w:rFonts w:cs="Calibri"/>
          <w:color w:val="000000"/>
          <w:sz w:val="24"/>
          <w:szCs w:val="24"/>
        </w:rPr>
        <w:t xml:space="preserve">Comcare has collaborated with others to develop guidance </w:t>
      </w:r>
      <w:r w:rsidR="00532B12">
        <w:rPr>
          <w:rFonts w:cs="Calibri"/>
          <w:color w:val="000000"/>
          <w:sz w:val="24"/>
          <w:szCs w:val="24"/>
        </w:rPr>
        <w:t xml:space="preserve">for employers </w:t>
      </w:r>
      <w:r>
        <w:rPr>
          <w:rFonts w:cs="Calibri"/>
          <w:color w:val="000000"/>
          <w:sz w:val="24"/>
          <w:szCs w:val="24"/>
        </w:rPr>
        <w:t xml:space="preserve">to support employees with psychological injury to participate in work. The Guides </w:t>
      </w:r>
      <w:r>
        <w:rPr>
          <w:rFonts w:cs="Calibri"/>
          <w:i/>
          <w:color w:val="000000"/>
          <w:sz w:val="24"/>
          <w:szCs w:val="24"/>
        </w:rPr>
        <w:t>Working Together: Promoting Mental Health and Wellbeing at Work</w:t>
      </w:r>
      <w:r>
        <w:rPr>
          <w:rStyle w:val="FootnoteReference"/>
          <w:rFonts w:cs="Calibri"/>
          <w:i/>
          <w:color w:val="000000"/>
          <w:sz w:val="24"/>
          <w:szCs w:val="24"/>
        </w:rPr>
        <w:footnoteReference w:id="8"/>
      </w:r>
      <w:r>
        <w:rPr>
          <w:rFonts w:cs="Calibri"/>
          <w:color w:val="000000"/>
          <w:sz w:val="24"/>
          <w:szCs w:val="24"/>
        </w:rPr>
        <w:t xml:space="preserve"> and </w:t>
      </w:r>
      <w:r>
        <w:rPr>
          <w:rFonts w:cs="Calibri"/>
          <w:i/>
          <w:color w:val="000000"/>
          <w:sz w:val="24"/>
          <w:szCs w:val="24"/>
        </w:rPr>
        <w:t xml:space="preserve">Working for Recovery:  Suitable </w:t>
      </w:r>
      <w:r>
        <w:rPr>
          <w:rFonts w:cs="Calibri"/>
          <w:i/>
          <w:color w:val="000000"/>
          <w:sz w:val="24"/>
          <w:szCs w:val="24"/>
        </w:rPr>
        <w:lastRenderedPageBreak/>
        <w:t>employment for return to work following psychological injury</w:t>
      </w:r>
      <w:r>
        <w:rPr>
          <w:rStyle w:val="FootnoteReference"/>
          <w:rFonts w:cs="Calibri"/>
          <w:i/>
          <w:color w:val="000000"/>
          <w:sz w:val="24"/>
          <w:szCs w:val="24"/>
        </w:rPr>
        <w:footnoteReference w:id="9"/>
      </w:r>
      <w:r>
        <w:rPr>
          <w:rFonts w:cs="Calibri"/>
          <w:color w:val="000000"/>
          <w:sz w:val="24"/>
          <w:szCs w:val="24"/>
        </w:rPr>
        <w:t xml:space="preserve"> provide advice and strategies to managers, leaders and rehabilitation case managers to create mentally healthy workplaces and support workers’ recovery through good work. </w:t>
      </w:r>
    </w:p>
    <w:p w:rsidR="00B65379" w:rsidRPr="00DC11E5" w:rsidRDefault="00B65379" w:rsidP="00B65379">
      <w:pPr>
        <w:rPr>
          <w:rFonts w:cs="Calibri"/>
          <w:color w:val="000000"/>
          <w:sz w:val="24"/>
          <w:szCs w:val="24"/>
        </w:rPr>
      </w:pPr>
      <w:r>
        <w:rPr>
          <w:rFonts w:cs="Calibri"/>
          <w:color w:val="000000"/>
          <w:sz w:val="24"/>
          <w:szCs w:val="24"/>
        </w:rPr>
        <w:t>Comcare is part of the Mentally Healthy Workplace Alliance, which is the national approach by business, community and government to encourage Australian workplaces to become mentally healthy, for the benefit of the whole community and business, big and small.</w:t>
      </w:r>
      <w:r>
        <w:rPr>
          <w:rStyle w:val="FootnoteReference"/>
          <w:rFonts w:cs="Calibri"/>
          <w:color w:val="000000"/>
          <w:sz w:val="24"/>
          <w:szCs w:val="24"/>
        </w:rPr>
        <w:footnoteReference w:id="10"/>
      </w:r>
      <w:r>
        <w:rPr>
          <w:rFonts w:cs="Calibri"/>
          <w:color w:val="000000"/>
          <w:sz w:val="24"/>
          <w:szCs w:val="24"/>
        </w:rPr>
        <w:t xml:space="preserve"> The Mentally Healthy Workplace Alliance has partnered with beyondblue to deliver the national </w:t>
      </w:r>
      <w:r>
        <w:rPr>
          <w:rFonts w:cs="Calibri"/>
          <w:i/>
          <w:color w:val="000000"/>
          <w:sz w:val="24"/>
          <w:szCs w:val="24"/>
        </w:rPr>
        <w:t>Heads Up</w:t>
      </w:r>
      <w:r>
        <w:rPr>
          <w:rStyle w:val="FootnoteReference"/>
          <w:rFonts w:cs="Calibri"/>
          <w:i/>
          <w:color w:val="000000"/>
          <w:sz w:val="24"/>
          <w:szCs w:val="24"/>
        </w:rPr>
        <w:footnoteReference w:id="11"/>
      </w:r>
      <w:r>
        <w:rPr>
          <w:rFonts w:cs="Calibri"/>
          <w:color w:val="000000"/>
          <w:sz w:val="24"/>
          <w:szCs w:val="24"/>
        </w:rPr>
        <w:t xml:space="preserve"> campaign to support businesses to create mentally healthy workplaces.</w:t>
      </w:r>
    </w:p>
    <w:p w:rsidR="00B65379" w:rsidRDefault="00A16C59" w:rsidP="00A16C59">
      <w:pPr>
        <w:tabs>
          <w:tab w:val="left" w:pos="5565"/>
        </w:tabs>
        <w:rPr>
          <w:sz w:val="24"/>
          <w:szCs w:val="24"/>
          <w:lang w:val="en-US"/>
        </w:rPr>
      </w:pPr>
      <w:r>
        <w:rPr>
          <w:sz w:val="24"/>
          <w:szCs w:val="24"/>
          <w:lang w:val="en-US"/>
        </w:rPr>
        <w:tab/>
      </w:r>
    </w:p>
    <w:p w:rsidR="00EA333D" w:rsidRPr="00E700C0" w:rsidRDefault="00EA333D" w:rsidP="00B65379">
      <w:pPr>
        <w:rPr>
          <w:b/>
          <w:sz w:val="28"/>
          <w:szCs w:val="28"/>
        </w:rPr>
      </w:pPr>
      <w:r w:rsidRPr="00713CA7">
        <w:rPr>
          <w:b/>
          <w:sz w:val="28"/>
          <w:szCs w:val="28"/>
        </w:rPr>
        <w:t>Life-course and Diversity</w:t>
      </w:r>
    </w:p>
    <w:p w:rsidR="00EA333D" w:rsidRPr="00713CA7" w:rsidRDefault="00EA333D" w:rsidP="00B65379">
      <w:pPr>
        <w:rPr>
          <w:b/>
          <w:sz w:val="24"/>
          <w:szCs w:val="24"/>
          <w:lang w:val="en-US"/>
        </w:rPr>
      </w:pPr>
      <w:r w:rsidRPr="00713CA7">
        <w:rPr>
          <w:b/>
          <w:sz w:val="24"/>
          <w:szCs w:val="24"/>
          <w:lang w:val="en-US"/>
        </w:rPr>
        <w:t>Are there particular milestones which have a positive impact on employment prospects for people with disability?</w:t>
      </w:r>
    </w:p>
    <w:p w:rsidR="006818E4" w:rsidRDefault="006818E4" w:rsidP="007A2856">
      <w:pPr>
        <w:pStyle w:val="Default"/>
        <w:spacing w:after="200" w:line="276" w:lineRule="auto"/>
        <w:rPr>
          <w:rFonts w:asciiTheme="minorHAnsi" w:hAnsiTheme="minorHAnsi" w:cstheme="minorBidi"/>
          <w:lang w:val="en-US"/>
        </w:rPr>
      </w:pPr>
      <w:r w:rsidRPr="00C867EA">
        <w:rPr>
          <w:rFonts w:asciiTheme="minorHAnsi" w:hAnsiTheme="minorHAnsi"/>
        </w:rPr>
        <w:t>Comcare</w:t>
      </w:r>
      <w:r>
        <w:rPr>
          <w:rFonts w:asciiTheme="minorHAnsi" w:hAnsiTheme="minorHAnsi"/>
        </w:rPr>
        <w:t>’s</w:t>
      </w:r>
      <w:r w:rsidRPr="00C867EA">
        <w:rPr>
          <w:rFonts w:asciiTheme="minorHAnsi" w:hAnsiTheme="minorHAnsi"/>
        </w:rPr>
        <w:t xml:space="preserve"> experience suggests that early intervention </w:t>
      </w:r>
      <w:r>
        <w:rPr>
          <w:rFonts w:asciiTheme="minorHAnsi" w:hAnsiTheme="minorHAnsi"/>
        </w:rPr>
        <w:t>is critical</w:t>
      </w:r>
      <w:r w:rsidRPr="00C867EA">
        <w:rPr>
          <w:rFonts w:asciiTheme="minorHAnsi" w:hAnsiTheme="minorHAnsi"/>
        </w:rPr>
        <w:t xml:space="preserve"> </w:t>
      </w:r>
      <w:r w:rsidR="00532B12">
        <w:rPr>
          <w:rFonts w:asciiTheme="minorHAnsi" w:hAnsiTheme="minorHAnsi"/>
        </w:rPr>
        <w:t xml:space="preserve">and </w:t>
      </w:r>
      <w:r w:rsidR="00532B12">
        <w:rPr>
          <w:rFonts w:asciiTheme="minorHAnsi" w:hAnsiTheme="minorHAnsi" w:cstheme="minorBidi"/>
          <w:lang w:val="en-US"/>
        </w:rPr>
        <w:t>t</w:t>
      </w:r>
      <w:r w:rsidRPr="009D6DA5">
        <w:rPr>
          <w:rFonts w:asciiTheme="minorHAnsi" w:hAnsiTheme="minorHAnsi" w:cstheme="minorBidi"/>
          <w:lang w:val="en-US"/>
        </w:rPr>
        <w:t xml:space="preserve">he risks of poorer health and return to work outcomes increase with the length of time away from work. </w:t>
      </w:r>
    </w:p>
    <w:p w:rsidR="00532B12" w:rsidRDefault="007A2856" w:rsidP="006818E4">
      <w:pPr>
        <w:rPr>
          <w:sz w:val="24"/>
          <w:szCs w:val="24"/>
          <w:lang w:val="en-US"/>
        </w:rPr>
      </w:pPr>
      <w:r>
        <w:rPr>
          <w:sz w:val="24"/>
          <w:szCs w:val="24"/>
          <w:lang w:val="en-US"/>
        </w:rPr>
        <w:t xml:space="preserve">Sickness absence and incapacity can be significantly reduced through the efforts of the </w:t>
      </w:r>
      <w:r w:rsidR="00532B12">
        <w:rPr>
          <w:sz w:val="24"/>
          <w:szCs w:val="24"/>
          <w:lang w:val="en-US"/>
        </w:rPr>
        <w:t>employer</w:t>
      </w:r>
      <w:r>
        <w:rPr>
          <w:sz w:val="24"/>
          <w:szCs w:val="24"/>
          <w:lang w:val="en-US"/>
        </w:rPr>
        <w:t xml:space="preserve"> to intervene early and provide support to employees to stay in or return to work. </w:t>
      </w:r>
      <w:r w:rsidRPr="00A2639D">
        <w:rPr>
          <w:rFonts w:eastAsiaTheme="minorEastAsia" w:cstheme="minorHAnsi"/>
          <w:sz w:val="20"/>
          <w:szCs w:val="20"/>
          <w:lang w:eastAsia="en-AU"/>
        </w:rPr>
        <w:t xml:space="preserve"> </w:t>
      </w:r>
      <w:r w:rsidR="00532B12">
        <w:rPr>
          <w:sz w:val="24"/>
          <w:szCs w:val="24"/>
          <w:lang w:val="en-US"/>
        </w:rPr>
        <w:t>This includes e</w:t>
      </w:r>
      <w:r>
        <w:rPr>
          <w:sz w:val="24"/>
          <w:szCs w:val="24"/>
          <w:lang w:val="en-US"/>
        </w:rPr>
        <w:t xml:space="preserve">mpowering </w:t>
      </w:r>
      <w:r w:rsidR="00532B12">
        <w:rPr>
          <w:sz w:val="24"/>
          <w:szCs w:val="24"/>
          <w:lang w:val="en-US"/>
        </w:rPr>
        <w:t>employees</w:t>
      </w:r>
      <w:r w:rsidRPr="00C7190A">
        <w:rPr>
          <w:sz w:val="24"/>
          <w:szCs w:val="24"/>
          <w:lang w:val="en-US"/>
        </w:rPr>
        <w:t xml:space="preserve"> </w:t>
      </w:r>
      <w:r>
        <w:rPr>
          <w:sz w:val="24"/>
          <w:szCs w:val="24"/>
          <w:lang w:val="en-US"/>
        </w:rPr>
        <w:t xml:space="preserve">with knowledge </w:t>
      </w:r>
      <w:r w:rsidRPr="00C7190A">
        <w:rPr>
          <w:sz w:val="24"/>
          <w:szCs w:val="24"/>
          <w:lang w:val="en-US"/>
        </w:rPr>
        <w:t>that they can recover at work</w:t>
      </w:r>
      <w:r>
        <w:rPr>
          <w:sz w:val="24"/>
          <w:szCs w:val="24"/>
          <w:lang w:val="en-US"/>
        </w:rPr>
        <w:t>.</w:t>
      </w:r>
      <w:r w:rsidR="00532B12">
        <w:rPr>
          <w:sz w:val="24"/>
          <w:szCs w:val="24"/>
          <w:lang w:val="en-US"/>
        </w:rPr>
        <w:t xml:space="preserve"> </w:t>
      </w:r>
    </w:p>
    <w:p w:rsidR="00532B12" w:rsidRDefault="00532B12" w:rsidP="006818E4">
      <w:pPr>
        <w:rPr>
          <w:sz w:val="24"/>
          <w:szCs w:val="24"/>
          <w:lang w:val="en-US"/>
        </w:rPr>
      </w:pPr>
      <w:r>
        <w:rPr>
          <w:sz w:val="24"/>
          <w:szCs w:val="24"/>
          <w:lang w:val="en-US"/>
        </w:rPr>
        <w:t xml:space="preserve">Vocational rehabilitation that commences at the onset of illness, injury or disability, is an important milestone to prevent unnecessary incapacity and improve employment prospects.  </w:t>
      </w:r>
    </w:p>
    <w:p w:rsidR="006818E4" w:rsidRDefault="006818E4" w:rsidP="006818E4">
      <w:pPr>
        <w:rPr>
          <w:sz w:val="24"/>
          <w:szCs w:val="24"/>
          <w:lang w:val="en-US"/>
        </w:rPr>
      </w:pPr>
    </w:p>
    <w:p w:rsidR="006818E4" w:rsidRPr="003B7BAF" w:rsidRDefault="006818E4" w:rsidP="006818E4">
      <w:pPr>
        <w:rPr>
          <w:b/>
          <w:sz w:val="28"/>
          <w:szCs w:val="28"/>
        </w:rPr>
      </w:pPr>
      <w:r w:rsidRPr="003B7BAF">
        <w:rPr>
          <w:b/>
          <w:sz w:val="28"/>
          <w:szCs w:val="28"/>
        </w:rPr>
        <w:t>Summary</w:t>
      </w:r>
    </w:p>
    <w:p w:rsidR="006818E4" w:rsidRPr="00C867EA" w:rsidRDefault="006818E4" w:rsidP="006818E4">
      <w:pPr>
        <w:pStyle w:val="Default"/>
        <w:spacing w:after="200" w:line="276" w:lineRule="auto"/>
        <w:rPr>
          <w:rFonts w:asciiTheme="minorHAnsi" w:hAnsiTheme="minorHAnsi"/>
        </w:rPr>
      </w:pPr>
      <w:r>
        <w:rPr>
          <w:lang w:val="en-US"/>
        </w:rPr>
        <w:t xml:space="preserve">In Comcare’s experience, </w:t>
      </w:r>
      <w:r w:rsidR="00532B12">
        <w:rPr>
          <w:lang w:val="en-US"/>
        </w:rPr>
        <w:t xml:space="preserve">managing workplace risks, </w:t>
      </w:r>
      <w:r>
        <w:rPr>
          <w:lang w:val="en-US"/>
        </w:rPr>
        <w:t>early intervention</w:t>
      </w:r>
      <w:r w:rsidR="00532B12">
        <w:rPr>
          <w:lang w:val="en-US"/>
        </w:rPr>
        <w:t xml:space="preserve"> and vocational rehabilitation and</w:t>
      </w:r>
      <w:r>
        <w:rPr>
          <w:lang w:val="en-US"/>
        </w:rPr>
        <w:t xml:space="preserve"> </w:t>
      </w:r>
      <w:r w:rsidR="007A2856">
        <w:rPr>
          <w:lang w:val="en-US"/>
        </w:rPr>
        <w:t>collaboration</w:t>
      </w:r>
      <w:r>
        <w:rPr>
          <w:lang w:val="en-US"/>
        </w:rPr>
        <w:t xml:space="preserve"> between the employee, employer and </w:t>
      </w:r>
      <w:r w:rsidR="00532B12">
        <w:rPr>
          <w:lang w:val="en-US"/>
        </w:rPr>
        <w:t>GP</w:t>
      </w:r>
      <w:r>
        <w:rPr>
          <w:lang w:val="en-US"/>
        </w:rPr>
        <w:t xml:space="preserve"> </w:t>
      </w:r>
      <w:r w:rsidR="00532B12">
        <w:rPr>
          <w:lang w:val="en-US"/>
        </w:rPr>
        <w:t>critical</w:t>
      </w:r>
      <w:r>
        <w:rPr>
          <w:lang w:val="en-US"/>
        </w:rPr>
        <w:t xml:space="preserve">. Comcare looks forward to discussing this submission further. </w:t>
      </w:r>
    </w:p>
    <w:p w:rsidR="00E700C0" w:rsidRDefault="00E700C0">
      <w:pPr>
        <w:rPr>
          <w:b/>
          <w:sz w:val="28"/>
          <w:szCs w:val="28"/>
        </w:rPr>
      </w:pPr>
      <w:r>
        <w:rPr>
          <w:b/>
          <w:sz w:val="28"/>
          <w:szCs w:val="28"/>
        </w:rPr>
        <w:br w:type="page"/>
      </w:r>
    </w:p>
    <w:p w:rsidR="00330F04" w:rsidRPr="003B7BAF" w:rsidRDefault="0034403D" w:rsidP="00FB21E6">
      <w:pPr>
        <w:rPr>
          <w:b/>
          <w:sz w:val="28"/>
          <w:szCs w:val="28"/>
        </w:rPr>
      </w:pPr>
      <w:r w:rsidRPr="003B7BAF">
        <w:rPr>
          <w:b/>
          <w:sz w:val="28"/>
          <w:szCs w:val="28"/>
        </w:rPr>
        <w:lastRenderedPageBreak/>
        <w:t>Appendix</w:t>
      </w:r>
    </w:p>
    <w:p w:rsidR="000D69E8" w:rsidRPr="003B7BAF" w:rsidRDefault="000D69E8" w:rsidP="00FB21E6">
      <w:pPr>
        <w:rPr>
          <w:b/>
          <w:sz w:val="24"/>
          <w:szCs w:val="24"/>
          <w:lang w:val="en-US"/>
        </w:rPr>
      </w:pPr>
      <w:r w:rsidRPr="003B7BAF">
        <w:rPr>
          <w:b/>
          <w:sz w:val="24"/>
          <w:szCs w:val="24"/>
        </w:rPr>
        <w:t xml:space="preserve">Comcare functions </w:t>
      </w:r>
    </w:p>
    <w:p w:rsidR="000D69E8" w:rsidRPr="003B7BAF" w:rsidRDefault="000D69E8" w:rsidP="00FB21E6">
      <w:pPr>
        <w:rPr>
          <w:sz w:val="24"/>
          <w:szCs w:val="24"/>
          <w:lang w:val="en-US"/>
        </w:rPr>
      </w:pPr>
      <w:r w:rsidRPr="003B7BAF">
        <w:rPr>
          <w:sz w:val="24"/>
          <w:szCs w:val="24"/>
          <w:lang w:val="en-US"/>
        </w:rPr>
        <w:t>Comcare’s functions</w:t>
      </w:r>
      <w:r w:rsidRPr="003B7BAF">
        <w:rPr>
          <w:rStyle w:val="FootnoteReference"/>
          <w:sz w:val="24"/>
          <w:szCs w:val="24"/>
          <w:lang w:val="en-US"/>
        </w:rPr>
        <w:footnoteReference w:id="12"/>
      </w:r>
      <w:r w:rsidRPr="003B7BAF">
        <w:rPr>
          <w:sz w:val="24"/>
          <w:szCs w:val="24"/>
          <w:lang w:val="en-US"/>
        </w:rPr>
        <w:t xml:space="preserve"> under the SRC Act include: </w:t>
      </w:r>
    </w:p>
    <w:p w:rsidR="000D69E8" w:rsidRPr="003B7BAF" w:rsidRDefault="000D69E8" w:rsidP="00FB21E6">
      <w:pPr>
        <w:pStyle w:val="ListParagraph"/>
        <w:numPr>
          <w:ilvl w:val="0"/>
          <w:numId w:val="2"/>
        </w:numPr>
        <w:ind w:left="357" w:hanging="357"/>
        <w:rPr>
          <w:sz w:val="24"/>
          <w:szCs w:val="24"/>
          <w:lang w:val="en-US"/>
        </w:rPr>
      </w:pPr>
      <w:r w:rsidRPr="003B7BAF">
        <w:rPr>
          <w:sz w:val="24"/>
          <w:szCs w:val="24"/>
          <w:lang w:val="en-US"/>
        </w:rPr>
        <w:t>to make determinations accurately and quickly in relation to claims and requests to Comcare under this Act</w:t>
      </w:r>
    </w:p>
    <w:p w:rsidR="000D69E8" w:rsidRPr="003B7BAF" w:rsidRDefault="000D69E8" w:rsidP="00FB21E6">
      <w:pPr>
        <w:pStyle w:val="ListParagraph"/>
        <w:numPr>
          <w:ilvl w:val="0"/>
          <w:numId w:val="2"/>
        </w:numPr>
        <w:ind w:left="357" w:hanging="357"/>
        <w:rPr>
          <w:sz w:val="24"/>
          <w:szCs w:val="24"/>
          <w:lang w:val="en-US"/>
        </w:rPr>
      </w:pPr>
      <w:r w:rsidRPr="003B7BAF">
        <w:rPr>
          <w:sz w:val="24"/>
          <w:szCs w:val="24"/>
          <w:lang w:val="en-US"/>
        </w:rPr>
        <w:t xml:space="preserve">to </w:t>
      </w:r>
      <w:proofErr w:type="spellStart"/>
      <w:r w:rsidRPr="003B7BAF">
        <w:rPr>
          <w:sz w:val="24"/>
          <w:szCs w:val="24"/>
          <w:lang w:val="en-US"/>
        </w:rPr>
        <w:t>minimise</w:t>
      </w:r>
      <w:proofErr w:type="spellEnd"/>
      <w:r w:rsidRPr="003B7BAF">
        <w:rPr>
          <w:sz w:val="24"/>
          <w:szCs w:val="24"/>
          <w:lang w:val="en-US"/>
        </w:rPr>
        <w:t xml:space="preserve"> the duration and severity of injuries to its employees and employees of exempt authorities by arranging quickly for the rehabilitation of those employees under the Act</w:t>
      </w:r>
    </w:p>
    <w:p w:rsidR="000D69E8" w:rsidRPr="003B7BAF" w:rsidRDefault="000D69E8" w:rsidP="00FB21E6">
      <w:pPr>
        <w:pStyle w:val="ListParagraph"/>
        <w:numPr>
          <w:ilvl w:val="0"/>
          <w:numId w:val="2"/>
        </w:numPr>
        <w:ind w:left="357" w:hanging="357"/>
        <w:rPr>
          <w:sz w:val="24"/>
          <w:szCs w:val="24"/>
          <w:lang w:val="en-US"/>
        </w:rPr>
      </w:pPr>
      <w:r w:rsidRPr="003B7BAF">
        <w:rPr>
          <w:sz w:val="24"/>
          <w:szCs w:val="24"/>
          <w:lang w:val="en-US"/>
        </w:rPr>
        <w:t>to co-operate with other bodies or persons with the aim of reducing the incidence of injury to employees</w:t>
      </w:r>
    </w:p>
    <w:p w:rsidR="000D69E8" w:rsidRPr="003B7BAF" w:rsidRDefault="000D69E8" w:rsidP="00FB21E6">
      <w:pPr>
        <w:pStyle w:val="ListParagraph"/>
        <w:numPr>
          <w:ilvl w:val="0"/>
          <w:numId w:val="2"/>
        </w:numPr>
        <w:ind w:left="357" w:hanging="357"/>
        <w:rPr>
          <w:sz w:val="24"/>
          <w:szCs w:val="24"/>
          <w:lang w:val="en-US"/>
        </w:rPr>
      </w:pPr>
      <w:r w:rsidRPr="003B7BAF">
        <w:rPr>
          <w:sz w:val="24"/>
          <w:szCs w:val="24"/>
          <w:lang w:val="en-US"/>
        </w:rPr>
        <w:t>to conduct and promote research into the rehabilitation of employees and the incidence and prevention of injury to employees</w:t>
      </w:r>
    </w:p>
    <w:p w:rsidR="000D69E8" w:rsidRPr="003B7BAF" w:rsidRDefault="000D69E8" w:rsidP="00FB21E6">
      <w:pPr>
        <w:pStyle w:val="ListParagraph"/>
        <w:numPr>
          <w:ilvl w:val="0"/>
          <w:numId w:val="2"/>
        </w:numPr>
        <w:ind w:left="357" w:hanging="357"/>
        <w:rPr>
          <w:sz w:val="24"/>
          <w:szCs w:val="24"/>
          <w:lang w:val="en-US"/>
        </w:rPr>
      </w:pPr>
      <w:r w:rsidRPr="003B7BAF">
        <w:rPr>
          <w:sz w:val="24"/>
          <w:szCs w:val="24"/>
          <w:lang w:val="en-US"/>
        </w:rPr>
        <w:t>to promote the adoption in Australia and elsewhere of effective strategies and procedures for the rehabilitation of injured workers</w:t>
      </w:r>
    </w:p>
    <w:p w:rsidR="000D69E8" w:rsidRPr="003B7BAF" w:rsidRDefault="000D69E8" w:rsidP="00FB21E6">
      <w:pPr>
        <w:pStyle w:val="ListParagraph"/>
        <w:numPr>
          <w:ilvl w:val="0"/>
          <w:numId w:val="2"/>
        </w:numPr>
        <w:ind w:left="357" w:hanging="357"/>
        <w:rPr>
          <w:sz w:val="24"/>
          <w:szCs w:val="24"/>
          <w:lang w:val="en-US"/>
        </w:rPr>
      </w:pPr>
      <w:proofErr w:type="gramStart"/>
      <w:r w:rsidRPr="003B7BAF">
        <w:rPr>
          <w:sz w:val="24"/>
          <w:szCs w:val="24"/>
          <w:lang w:val="en-US"/>
        </w:rPr>
        <w:t>to</w:t>
      </w:r>
      <w:proofErr w:type="gramEnd"/>
      <w:r w:rsidRPr="003B7BAF">
        <w:rPr>
          <w:sz w:val="24"/>
          <w:szCs w:val="24"/>
          <w:lang w:val="en-US"/>
        </w:rPr>
        <w:t xml:space="preserve"> publish material relating to the  rehabilitation of employees under this Act.</w:t>
      </w:r>
    </w:p>
    <w:p w:rsidR="00C7190A" w:rsidRPr="003B7BAF" w:rsidRDefault="00C7190A" w:rsidP="00FB21E6">
      <w:pPr>
        <w:rPr>
          <w:b/>
          <w:sz w:val="24"/>
          <w:szCs w:val="24"/>
          <w:lang w:val="en-US"/>
        </w:rPr>
      </w:pPr>
      <w:r w:rsidRPr="003B7BAF">
        <w:rPr>
          <w:b/>
          <w:sz w:val="24"/>
          <w:szCs w:val="24"/>
          <w:lang w:val="en-US"/>
        </w:rPr>
        <w:t>Comcare scheme</w:t>
      </w:r>
      <w:r w:rsidR="00C75C13" w:rsidRPr="003B7BAF">
        <w:rPr>
          <w:b/>
          <w:sz w:val="24"/>
          <w:szCs w:val="24"/>
          <w:lang w:val="en-US"/>
        </w:rPr>
        <w:t xml:space="preserve"> data</w:t>
      </w:r>
    </w:p>
    <w:p w:rsidR="002B33E0" w:rsidRDefault="00150291" w:rsidP="00FB21E6">
      <w:pPr>
        <w:rPr>
          <w:sz w:val="24"/>
          <w:szCs w:val="24"/>
          <w:lang w:val="en-US"/>
        </w:rPr>
      </w:pPr>
      <w:r>
        <w:rPr>
          <w:sz w:val="24"/>
          <w:szCs w:val="24"/>
          <w:lang w:val="en-US"/>
        </w:rPr>
        <w:t>L</w:t>
      </w:r>
      <w:r w:rsidR="002B33E0">
        <w:rPr>
          <w:sz w:val="24"/>
          <w:szCs w:val="24"/>
          <w:lang w:val="en-US"/>
        </w:rPr>
        <w:t xml:space="preserve">ike DSS, </w:t>
      </w:r>
      <w:r>
        <w:rPr>
          <w:sz w:val="24"/>
          <w:szCs w:val="24"/>
          <w:lang w:val="en-US"/>
        </w:rPr>
        <w:t xml:space="preserve">the Comcare scheme </w:t>
      </w:r>
      <w:r w:rsidR="002B33E0">
        <w:rPr>
          <w:sz w:val="24"/>
          <w:szCs w:val="24"/>
          <w:lang w:val="en-US"/>
        </w:rPr>
        <w:t xml:space="preserve">has a high prevalence of musculoskeletal and connective tissue disorders and mental ill health.  </w:t>
      </w:r>
    </w:p>
    <w:p w:rsidR="002B33E0" w:rsidRPr="002103E9" w:rsidRDefault="002B33E0" w:rsidP="00FB21E6">
      <w:pPr>
        <w:pStyle w:val="ListParagraph"/>
        <w:numPr>
          <w:ilvl w:val="0"/>
          <w:numId w:val="14"/>
        </w:numPr>
        <w:rPr>
          <w:sz w:val="24"/>
          <w:szCs w:val="24"/>
          <w:lang w:val="en-US"/>
        </w:rPr>
      </w:pPr>
      <w:r w:rsidRPr="002103E9">
        <w:rPr>
          <w:sz w:val="24"/>
          <w:szCs w:val="24"/>
          <w:lang w:val="en-US"/>
        </w:rPr>
        <w:t>During 2013–14 body stressing injuries/diseases represented 45 per cent of claims and 38 per cent of total cost, with an average total cost per claim of approximately $129 000</w:t>
      </w:r>
      <w:r w:rsidRPr="007C06FE">
        <w:rPr>
          <w:rStyle w:val="FootnoteReference"/>
          <w:szCs w:val="24"/>
        </w:rPr>
        <w:footnoteReference w:id="13"/>
      </w:r>
      <w:r w:rsidR="00150291">
        <w:rPr>
          <w:sz w:val="24"/>
          <w:szCs w:val="24"/>
          <w:lang w:val="en-US"/>
        </w:rPr>
        <w:t>.</w:t>
      </w:r>
    </w:p>
    <w:p w:rsidR="002B33E0" w:rsidRDefault="002B33E0" w:rsidP="00FB21E6">
      <w:pPr>
        <w:pStyle w:val="Pa2"/>
        <w:numPr>
          <w:ilvl w:val="0"/>
          <w:numId w:val="14"/>
        </w:numPr>
        <w:spacing w:after="200" w:line="276" w:lineRule="auto"/>
        <w:rPr>
          <w:lang w:val="en-US"/>
        </w:rPr>
      </w:pPr>
      <w:r w:rsidRPr="007C06FE">
        <w:rPr>
          <w:rFonts w:asciiTheme="minorHAnsi" w:hAnsiTheme="minorHAnsi" w:cs="Calibri"/>
          <w:color w:val="000000"/>
        </w:rPr>
        <w:t>During 2013–14, mental stress claims accounted for 16 per cent of all claims and 37 per cent of total claim costs, with an average total cost per claim of $342 000</w:t>
      </w:r>
      <w:r w:rsidRPr="007C06FE">
        <w:rPr>
          <w:rFonts w:asciiTheme="minorHAnsi" w:hAnsiTheme="minorHAnsi"/>
          <w:lang w:val="en-US"/>
        </w:rPr>
        <w:t>. It should be noted that the average total cost per claim is an estimate which may change as the claims mature</w:t>
      </w:r>
      <w:r w:rsidRPr="007C06FE">
        <w:rPr>
          <w:rStyle w:val="FootnoteReference"/>
          <w:rFonts w:asciiTheme="minorHAnsi" w:hAnsiTheme="minorHAnsi"/>
          <w:sz w:val="22"/>
        </w:rPr>
        <w:footnoteReference w:id="14"/>
      </w:r>
      <w:r w:rsidRPr="00A015BB">
        <w:rPr>
          <w:lang w:val="en-US"/>
        </w:rPr>
        <w:t>.</w:t>
      </w:r>
    </w:p>
    <w:p w:rsidR="002B33E0" w:rsidRPr="00F40A31" w:rsidRDefault="002B33E0" w:rsidP="00FB21E6">
      <w:pPr>
        <w:rPr>
          <w:sz w:val="24"/>
          <w:szCs w:val="24"/>
          <w:lang w:val="en-US"/>
        </w:rPr>
      </w:pPr>
      <w:r>
        <w:rPr>
          <w:sz w:val="24"/>
          <w:szCs w:val="24"/>
          <w:lang w:val="en-US"/>
        </w:rPr>
        <w:t>Approximately</w:t>
      </w:r>
      <w:r w:rsidRPr="00DC32D4">
        <w:rPr>
          <w:sz w:val="24"/>
          <w:szCs w:val="24"/>
          <w:lang w:val="en-US"/>
        </w:rPr>
        <w:t xml:space="preserve"> 50 per cent of injury and physical disease claims hav</w:t>
      </w:r>
      <w:r>
        <w:rPr>
          <w:sz w:val="24"/>
          <w:szCs w:val="24"/>
          <w:lang w:val="en-US"/>
        </w:rPr>
        <w:t>e</w:t>
      </w:r>
      <w:r w:rsidRPr="00DC32D4">
        <w:rPr>
          <w:sz w:val="24"/>
          <w:szCs w:val="24"/>
          <w:lang w:val="en-US"/>
        </w:rPr>
        <w:t xml:space="preserve"> some lost time. For psychological claims the number is much higher with approximately 80 per cent having some lost time</w:t>
      </w:r>
      <w:r>
        <w:rPr>
          <w:rStyle w:val="FootnoteReference"/>
          <w:sz w:val="24"/>
          <w:szCs w:val="24"/>
          <w:lang w:val="en-US"/>
        </w:rPr>
        <w:footnoteReference w:id="15"/>
      </w:r>
      <w:r w:rsidRPr="00DC32D4">
        <w:rPr>
          <w:sz w:val="24"/>
          <w:szCs w:val="24"/>
          <w:lang w:val="en-US"/>
        </w:rPr>
        <w:t>.</w:t>
      </w:r>
      <w:r>
        <w:rPr>
          <w:sz w:val="24"/>
          <w:szCs w:val="24"/>
          <w:lang w:val="en-US"/>
        </w:rPr>
        <w:t xml:space="preserve"> </w:t>
      </w:r>
      <w:r w:rsidRPr="00751040">
        <w:rPr>
          <w:sz w:val="24"/>
          <w:szCs w:val="24"/>
          <w:lang w:val="en-US"/>
        </w:rPr>
        <w:t xml:space="preserve">Figure </w:t>
      </w:r>
      <w:r>
        <w:rPr>
          <w:sz w:val="24"/>
          <w:szCs w:val="24"/>
          <w:lang w:val="en-US"/>
        </w:rPr>
        <w:t>1</w:t>
      </w:r>
      <w:r w:rsidRPr="00751040">
        <w:rPr>
          <w:sz w:val="24"/>
          <w:szCs w:val="24"/>
          <w:lang w:val="en-US"/>
        </w:rPr>
        <w:t xml:space="preserve"> illustrates that psychological injury claims continue on incapacity for longer periods than claims for injury or physical disease</w:t>
      </w:r>
      <w:r>
        <w:rPr>
          <w:rStyle w:val="FootnoteReference"/>
          <w:sz w:val="24"/>
          <w:szCs w:val="24"/>
          <w:lang w:val="en-US"/>
        </w:rPr>
        <w:footnoteReference w:id="16"/>
      </w:r>
      <w:r w:rsidRPr="00751040">
        <w:rPr>
          <w:sz w:val="24"/>
          <w:szCs w:val="24"/>
          <w:lang w:val="en-US"/>
        </w:rPr>
        <w:t>.</w:t>
      </w:r>
    </w:p>
    <w:p w:rsidR="00CC0ADA" w:rsidRDefault="002B33E0" w:rsidP="00287512">
      <w:pPr>
        <w:spacing w:line="360" w:lineRule="auto"/>
      </w:pPr>
      <w:r>
        <w:rPr>
          <w:noProof/>
          <w:sz w:val="24"/>
          <w:szCs w:val="24"/>
          <w:lang w:eastAsia="en-AU"/>
        </w:rPr>
        <w:lastRenderedPageBreak/>
        <w:drawing>
          <wp:inline distT="0" distB="0" distL="0" distR="0" wp14:anchorId="23BBF786" wp14:editId="7D1397D5">
            <wp:extent cx="4647117" cy="2343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848" cy="2347048"/>
                    </a:xfrm>
                    <a:prstGeom prst="rect">
                      <a:avLst/>
                    </a:prstGeom>
                    <a:noFill/>
                    <a:ln>
                      <a:noFill/>
                    </a:ln>
                  </pic:spPr>
                </pic:pic>
              </a:graphicData>
            </a:graphic>
          </wp:inline>
        </w:drawing>
      </w:r>
    </w:p>
    <w:p w:rsidR="002F6C08" w:rsidRDefault="002F6C08">
      <w:pPr>
        <w:spacing w:line="360" w:lineRule="auto"/>
      </w:pPr>
    </w:p>
    <w:sectPr w:rsidR="002F6C08" w:rsidSect="004F0589">
      <w:headerReference w:type="default" r:id="rId11"/>
      <w:footerReference w:type="default" r:id="rId12"/>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4C382" w15:done="0"/>
  <w15:commentEx w15:paraId="78BD3940" w15:done="0"/>
  <w15:commentEx w15:paraId="0E4A4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F7" w:rsidRDefault="00F525F7" w:rsidP="004A285D">
      <w:pPr>
        <w:spacing w:after="0" w:line="240" w:lineRule="auto"/>
      </w:pPr>
      <w:r>
        <w:separator/>
      </w:r>
    </w:p>
  </w:endnote>
  <w:endnote w:type="continuationSeparator" w:id="0">
    <w:p w:rsidR="00F525F7" w:rsidRDefault="00F525F7" w:rsidP="004A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6572"/>
      <w:docPartObj>
        <w:docPartGallery w:val="Page Numbers (Bottom of Page)"/>
        <w:docPartUnique/>
      </w:docPartObj>
    </w:sdtPr>
    <w:sdtEndPr>
      <w:rPr>
        <w:noProof/>
      </w:rPr>
    </w:sdtEndPr>
    <w:sdtContent>
      <w:p w:rsidR="004F0589" w:rsidRDefault="004F0589">
        <w:pPr>
          <w:pStyle w:val="Footer"/>
          <w:jc w:val="right"/>
        </w:pPr>
        <w:r>
          <w:fldChar w:fldCharType="begin"/>
        </w:r>
        <w:r>
          <w:instrText xml:space="preserve"> PAGE   \* MERGEFORMAT </w:instrText>
        </w:r>
        <w:r>
          <w:fldChar w:fldCharType="separate"/>
        </w:r>
        <w:r w:rsidR="00053AF2">
          <w:rPr>
            <w:noProof/>
          </w:rPr>
          <w:t>9</w:t>
        </w:r>
        <w:r>
          <w:rPr>
            <w:noProof/>
          </w:rPr>
          <w:fldChar w:fldCharType="end"/>
        </w:r>
      </w:p>
    </w:sdtContent>
  </w:sdt>
  <w:p w:rsidR="004F0589" w:rsidRDefault="004F0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F7" w:rsidRDefault="00F525F7" w:rsidP="004A285D">
      <w:pPr>
        <w:spacing w:after="0" w:line="240" w:lineRule="auto"/>
      </w:pPr>
      <w:r>
        <w:separator/>
      </w:r>
    </w:p>
  </w:footnote>
  <w:footnote w:type="continuationSeparator" w:id="0">
    <w:p w:rsidR="00F525F7" w:rsidRDefault="00F525F7" w:rsidP="004A285D">
      <w:pPr>
        <w:spacing w:after="0" w:line="240" w:lineRule="auto"/>
      </w:pPr>
      <w:r>
        <w:continuationSeparator/>
      </w:r>
    </w:p>
  </w:footnote>
  <w:footnote w:id="1">
    <w:p w:rsidR="00247019" w:rsidRDefault="00247019" w:rsidP="00247019">
      <w:pPr>
        <w:pStyle w:val="FootnoteText"/>
      </w:pPr>
      <w:r>
        <w:rPr>
          <w:rStyle w:val="FootnoteReference"/>
        </w:rPr>
        <w:footnoteRef/>
      </w:r>
      <w:r>
        <w:t xml:space="preserve"> </w:t>
      </w:r>
      <w:r w:rsidRPr="003B7BAF">
        <w:rPr>
          <w:sz w:val="16"/>
          <w:szCs w:val="16"/>
        </w:rPr>
        <w:t xml:space="preserve">Comcare, </w:t>
      </w:r>
      <w:r w:rsidRPr="003B7BAF">
        <w:rPr>
          <w:i/>
          <w:sz w:val="16"/>
          <w:szCs w:val="16"/>
        </w:rPr>
        <w:t>Compendium for Workers’ Compensation Statistics 2015</w:t>
      </w:r>
      <w:r w:rsidRPr="003B7BAF">
        <w:rPr>
          <w:sz w:val="16"/>
          <w:szCs w:val="16"/>
        </w:rPr>
        <w:t xml:space="preserve">, </w:t>
      </w:r>
      <w:r w:rsidR="00456A46" w:rsidRPr="003B7BAF">
        <w:rPr>
          <w:sz w:val="16"/>
          <w:szCs w:val="16"/>
        </w:rPr>
        <w:t xml:space="preserve">Comcare, 2015, </w:t>
      </w:r>
      <w:r w:rsidRPr="003B7BAF">
        <w:rPr>
          <w:sz w:val="16"/>
          <w:szCs w:val="16"/>
        </w:rPr>
        <w:t>p42.</w:t>
      </w:r>
    </w:p>
  </w:footnote>
  <w:footnote w:id="2">
    <w:p w:rsidR="00F611B9" w:rsidRDefault="00F611B9" w:rsidP="00F611B9">
      <w:pPr>
        <w:pStyle w:val="FootnoteText"/>
      </w:pPr>
      <w:r>
        <w:rPr>
          <w:rStyle w:val="FootnoteReference"/>
        </w:rPr>
        <w:footnoteRef/>
      </w:r>
      <w:r>
        <w:t xml:space="preserve"> </w:t>
      </w:r>
      <w:proofErr w:type="gramStart"/>
      <w:r>
        <w:t>Marmot, M 2005, ‘Social determinants of health inequalities’</w:t>
      </w:r>
      <w:r>
        <w:rPr>
          <w:i/>
        </w:rPr>
        <w:t>, The Lancet</w:t>
      </w:r>
      <w:r>
        <w:t>, vol.365, pp.1099-104.</w:t>
      </w:r>
      <w:proofErr w:type="gramEnd"/>
    </w:p>
  </w:footnote>
  <w:footnote w:id="3">
    <w:p w:rsidR="00F611B9" w:rsidRDefault="00F611B9" w:rsidP="00F611B9">
      <w:pPr>
        <w:pStyle w:val="FootnoteText"/>
      </w:pPr>
      <w:r>
        <w:rPr>
          <w:rStyle w:val="FootnoteReference"/>
        </w:rPr>
        <w:footnoteRef/>
      </w:r>
      <w:r>
        <w:t xml:space="preserve"> Waddell, G and Burton A.K 2006, </w:t>
      </w:r>
      <w:r>
        <w:rPr>
          <w:i/>
        </w:rPr>
        <w:t>Is work good for your health and wellbeing</w:t>
      </w:r>
      <w:proofErr w:type="gramStart"/>
      <w:r>
        <w:rPr>
          <w:i/>
        </w:rPr>
        <w:t>?,</w:t>
      </w:r>
      <w:proofErr w:type="gramEnd"/>
      <w:r>
        <w:rPr>
          <w:i/>
        </w:rPr>
        <w:t xml:space="preserve"> </w:t>
      </w:r>
      <w:r>
        <w:t>London, UK: The Stationery Office.</w:t>
      </w:r>
    </w:p>
  </w:footnote>
  <w:footnote w:id="4">
    <w:p w:rsidR="00F611B9" w:rsidRDefault="00F611B9" w:rsidP="00F611B9">
      <w:pPr>
        <w:pStyle w:val="FootnoteText"/>
      </w:pPr>
      <w:r>
        <w:rPr>
          <w:rStyle w:val="FootnoteReference"/>
        </w:rPr>
        <w:footnoteRef/>
      </w:r>
      <w:r>
        <w:t xml:space="preserve"> Australasian Faculty of Occupational and Environmental Medicine, The Royal Australian College of Physicians http://www.racp.edu.au/index.cfm?objectid=57063EA7-0A13-1AB6-E0CA75D0CB353BA8</w:t>
      </w:r>
    </w:p>
  </w:footnote>
  <w:footnote w:id="5">
    <w:p w:rsidR="005C2B0D" w:rsidRDefault="005C2B0D" w:rsidP="005C2B0D">
      <w:pPr>
        <w:pStyle w:val="FootnoteText"/>
      </w:pPr>
      <w:r>
        <w:rPr>
          <w:rStyle w:val="FootnoteReference"/>
        </w:rPr>
        <w:footnoteRef/>
      </w:r>
      <w:r>
        <w:t xml:space="preserve"> </w:t>
      </w:r>
      <w:r>
        <w:rPr>
          <w:rFonts w:cs="ITC Avant Garde Std Bk Cn"/>
          <w:color w:val="000000"/>
          <w:sz w:val="16"/>
          <w:szCs w:val="16"/>
        </w:rPr>
        <w:t xml:space="preserve">H Britt, GC Miller, J Charles, C </w:t>
      </w:r>
      <w:proofErr w:type="spellStart"/>
      <w:r>
        <w:rPr>
          <w:rFonts w:cs="ITC Avant Garde Std Bk Cn"/>
          <w:color w:val="000000"/>
          <w:sz w:val="16"/>
          <w:szCs w:val="16"/>
        </w:rPr>
        <w:t>Bayram</w:t>
      </w:r>
      <w:proofErr w:type="spellEnd"/>
      <w:r>
        <w:rPr>
          <w:rFonts w:cs="ITC Avant Garde Std Bk Cn"/>
          <w:color w:val="000000"/>
          <w:sz w:val="16"/>
          <w:szCs w:val="16"/>
        </w:rPr>
        <w:t xml:space="preserve">, Y Pan, J Henderson, L </w:t>
      </w:r>
      <w:proofErr w:type="spellStart"/>
      <w:r>
        <w:rPr>
          <w:rFonts w:cs="ITC Avant Garde Std Bk Cn"/>
          <w:color w:val="000000"/>
          <w:sz w:val="16"/>
          <w:szCs w:val="16"/>
        </w:rPr>
        <w:t>Valenti</w:t>
      </w:r>
      <w:proofErr w:type="spellEnd"/>
      <w:r>
        <w:rPr>
          <w:rFonts w:cs="ITC Avant Garde Std Bk Cn"/>
          <w:color w:val="000000"/>
          <w:sz w:val="16"/>
          <w:szCs w:val="16"/>
        </w:rPr>
        <w:t xml:space="preserve">, J O’Halloran, C Harrison &amp; S </w:t>
      </w:r>
      <w:proofErr w:type="spellStart"/>
      <w:r>
        <w:rPr>
          <w:rFonts w:cs="ITC Avant Garde Std Bk Cn"/>
          <w:color w:val="000000"/>
          <w:sz w:val="16"/>
          <w:szCs w:val="16"/>
        </w:rPr>
        <w:t>Fahridin</w:t>
      </w:r>
      <w:proofErr w:type="spellEnd"/>
      <w:r>
        <w:rPr>
          <w:rFonts w:cs="ITC Avant Garde Std Bk Cn"/>
          <w:color w:val="000000"/>
          <w:sz w:val="16"/>
          <w:szCs w:val="16"/>
        </w:rPr>
        <w:t xml:space="preserve">, </w:t>
      </w:r>
      <w:r>
        <w:rPr>
          <w:rFonts w:cs="ITC Avant Garde Std Bk Cn"/>
          <w:i/>
          <w:iCs/>
          <w:color w:val="000000"/>
          <w:sz w:val="16"/>
          <w:szCs w:val="16"/>
        </w:rPr>
        <w:t>General practice activity in Australia 2006–07</w:t>
      </w:r>
      <w:r>
        <w:rPr>
          <w:rFonts w:cs="AvantGarde CondBook"/>
          <w:color w:val="000000"/>
          <w:sz w:val="16"/>
          <w:szCs w:val="16"/>
        </w:rPr>
        <w:t xml:space="preserve">, General practice series no. 21. Cat. No. </w:t>
      </w:r>
      <w:proofErr w:type="gramStart"/>
      <w:r>
        <w:rPr>
          <w:rFonts w:cs="AvantGarde CondBook"/>
          <w:color w:val="000000"/>
          <w:sz w:val="16"/>
          <w:szCs w:val="16"/>
        </w:rPr>
        <w:t>GEP 21.</w:t>
      </w:r>
      <w:proofErr w:type="gramEnd"/>
      <w:r>
        <w:rPr>
          <w:rFonts w:cs="AvantGarde CondBook"/>
          <w:color w:val="000000"/>
          <w:sz w:val="16"/>
          <w:szCs w:val="16"/>
        </w:rPr>
        <w:t xml:space="preserve"> Australian Institute of Health and Welfare, Canberra, 2008, viewed on 5 September 2014, &lt;</w:t>
      </w:r>
      <w:r>
        <w:rPr>
          <w:rStyle w:val="A7"/>
        </w:rPr>
        <w:t>http://www.aihw.gov.au/</w:t>
      </w:r>
      <w:r>
        <w:rPr>
          <w:rFonts w:cs="AvantGarde CondBook"/>
          <w:color w:val="000000"/>
          <w:sz w:val="16"/>
          <w:szCs w:val="16"/>
        </w:rPr>
        <w:t xml:space="preserve">&gt;. </w:t>
      </w:r>
      <w:proofErr w:type="gramStart"/>
      <w:r>
        <w:rPr>
          <w:rFonts w:cs="AvantGarde CondBook"/>
          <w:color w:val="000000"/>
          <w:sz w:val="16"/>
          <w:szCs w:val="16"/>
        </w:rPr>
        <w:t>AIHW cat.</w:t>
      </w:r>
      <w:proofErr w:type="gramEnd"/>
      <w:r>
        <w:rPr>
          <w:rFonts w:cs="AvantGarde CondBook"/>
          <w:color w:val="000000"/>
          <w:sz w:val="16"/>
          <w:szCs w:val="16"/>
        </w:rPr>
        <w:t xml:space="preserve"> </w:t>
      </w:r>
      <w:proofErr w:type="gramStart"/>
      <w:r>
        <w:rPr>
          <w:rFonts w:cs="AvantGarde CondBook"/>
          <w:color w:val="000000"/>
          <w:sz w:val="16"/>
          <w:szCs w:val="16"/>
        </w:rPr>
        <w:t>no</w:t>
      </w:r>
      <w:proofErr w:type="gramEnd"/>
      <w:r>
        <w:rPr>
          <w:rFonts w:cs="AvantGarde CondBook"/>
          <w:color w:val="000000"/>
          <w:sz w:val="16"/>
          <w:szCs w:val="16"/>
        </w:rPr>
        <w:t xml:space="preserve">. </w:t>
      </w:r>
      <w:proofErr w:type="gramStart"/>
      <w:r>
        <w:rPr>
          <w:rFonts w:cs="AvantGarde CondBook"/>
          <w:color w:val="000000"/>
          <w:sz w:val="16"/>
          <w:szCs w:val="16"/>
        </w:rPr>
        <w:t>GEP 21.</w:t>
      </w:r>
      <w:proofErr w:type="gramEnd"/>
      <w:r>
        <w:rPr>
          <w:rFonts w:cs="AvantGarde CondBook"/>
          <w:color w:val="000000"/>
          <w:sz w:val="16"/>
          <w:szCs w:val="16"/>
        </w:rPr>
        <w:t xml:space="preserve"> Canberra: Australian Institute of Health and Welfare, 2008.</w:t>
      </w:r>
    </w:p>
  </w:footnote>
  <w:footnote w:id="6">
    <w:p w:rsidR="00532B12" w:rsidRDefault="00532B12" w:rsidP="00532B12">
      <w:pPr>
        <w:pStyle w:val="FootnoteText"/>
      </w:pPr>
      <w:r>
        <w:rPr>
          <w:rStyle w:val="FootnoteReference"/>
        </w:rPr>
        <w:footnoteRef/>
      </w:r>
      <w:r>
        <w:t xml:space="preserve"> </w:t>
      </w:r>
      <w:r w:rsidRPr="003B7BAF">
        <w:rPr>
          <w:sz w:val="16"/>
          <w:szCs w:val="16"/>
        </w:rPr>
        <w:t xml:space="preserve">Comcare, </w:t>
      </w:r>
      <w:r w:rsidRPr="003B7BAF">
        <w:rPr>
          <w:i/>
          <w:sz w:val="16"/>
          <w:szCs w:val="16"/>
        </w:rPr>
        <w:t>Submission to the House Standing Committee on Education and Employment Inquiry into Mental Health and Workforce Participation</w:t>
      </w:r>
      <w:r w:rsidRPr="003B7BAF">
        <w:rPr>
          <w:sz w:val="16"/>
          <w:szCs w:val="16"/>
        </w:rPr>
        <w:t>, Comcare, 2011, p4.</w:t>
      </w:r>
    </w:p>
  </w:footnote>
  <w:footnote w:id="7">
    <w:p w:rsidR="00B65379" w:rsidRDefault="00B65379" w:rsidP="00B65379">
      <w:pPr>
        <w:pStyle w:val="FootnoteText"/>
      </w:pPr>
      <w:r>
        <w:rPr>
          <w:rStyle w:val="FootnoteReference"/>
        </w:rPr>
        <w:footnoteRef/>
      </w:r>
      <w:r>
        <w:t xml:space="preserve"> </w:t>
      </w:r>
      <w:r w:rsidRPr="003B7BAF">
        <w:rPr>
          <w:sz w:val="16"/>
          <w:szCs w:val="16"/>
        </w:rPr>
        <w:t xml:space="preserve">Comcare, </w:t>
      </w:r>
      <w:r w:rsidRPr="003B7BAF">
        <w:rPr>
          <w:i/>
          <w:sz w:val="16"/>
          <w:szCs w:val="16"/>
        </w:rPr>
        <w:t>Submission to the House Standing Committee on Education and Employment Inquiry into Mental Health and Workforce Participation</w:t>
      </w:r>
      <w:r w:rsidRPr="003B7BAF">
        <w:rPr>
          <w:sz w:val="16"/>
          <w:szCs w:val="16"/>
        </w:rPr>
        <w:t>, Comcare, 2011, p4.</w:t>
      </w:r>
    </w:p>
  </w:footnote>
  <w:footnote w:id="8">
    <w:p w:rsidR="00B65379" w:rsidRPr="002440E0" w:rsidRDefault="00B65379" w:rsidP="00B65379">
      <w:pPr>
        <w:pStyle w:val="FootnoteText"/>
      </w:pPr>
      <w:r>
        <w:rPr>
          <w:rStyle w:val="FootnoteReference"/>
        </w:rPr>
        <w:footnoteRef/>
      </w:r>
      <w:r>
        <w:t xml:space="preserve"> </w:t>
      </w:r>
      <w:r w:rsidRPr="003B7BAF">
        <w:rPr>
          <w:sz w:val="16"/>
          <w:szCs w:val="16"/>
        </w:rPr>
        <w:t xml:space="preserve">Comcare and the Australian Public Service Commission, </w:t>
      </w:r>
      <w:r w:rsidRPr="003B7BAF">
        <w:rPr>
          <w:i/>
          <w:sz w:val="16"/>
          <w:szCs w:val="16"/>
        </w:rPr>
        <w:t xml:space="preserve">Working together: Promoting mental health and wellbeing at work, </w:t>
      </w:r>
      <w:r w:rsidRPr="003B7BAF">
        <w:rPr>
          <w:sz w:val="16"/>
          <w:szCs w:val="16"/>
        </w:rPr>
        <w:t xml:space="preserve">2013. </w:t>
      </w:r>
      <w:hyperlink r:id="rId1" w:history="1">
        <w:r w:rsidRPr="003B7BAF">
          <w:rPr>
            <w:rStyle w:val="Hyperlink"/>
            <w:sz w:val="16"/>
            <w:szCs w:val="16"/>
          </w:rPr>
          <w:t>http://www.comcare.gov.au/promoting/Creating_mentally_healthy_workplaces/mental_health_and_wellbeing</w:t>
        </w:r>
      </w:hyperlink>
      <w:r>
        <w:t xml:space="preserve"> </w:t>
      </w:r>
    </w:p>
  </w:footnote>
  <w:footnote w:id="9">
    <w:p w:rsidR="00B65379" w:rsidRPr="002440E0" w:rsidRDefault="00B65379" w:rsidP="00B65379">
      <w:pPr>
        <w:pStyle w:val="FootnoteText"/>
        <w:rPr>
          <w:i/>
        </w:rPr>
      </w:pPr>
      <w:r>
        <w:rPr>
          <w:rStyle w:val="FootnoteReference"/>
        </w:rPr>
        <w:footnoteRef/>
      </w:r>
      <w:r>
        <w:t xml:space="preserve"> </w:t>
      </w:r>
      <w:r w:rsidRPr="003B7BAF">
        <w:rPr>
          <w:sz w:val="16"/>
          <w:szCs w:val="16"/>
        </w:rPr>
        <w:t xml:space="preserve">Comcare, </w:t>
      </w:r>
      <w:r w:rsidRPr="003B7BAF">
        <w:rPr>
          <w:i/>
          <w:sz w:val="16"/>
          <w:szCs w:val="16"/>
        </w:rPr>
        <w:t>Working for Recovery: Suitable employment for return to work following psychological injury</w:t>
      </w:r>
      <w:r w:rsidRPr="003B7BAF">
        <w:rPr>
          <w:sz w:val="16"/>
          <w:szCs w:val="16"/>
        </w:rPr>
        <w:t>, Comcare, 2014.</w:t>
      </w:r>
      <w:r w:rsidRPr="003B7BAF">
        <w:rPr>
          <w:i/>
          <w:sz w:val="16"/>
          <w:szCs w:val="16"/>
        </w:rPr>
        <w:t xml:space="preserve"> </w:t>
      </w:r>
      <w:hyperlink r:id="rId2" w:history="1">
        <w:r w:rsidRPr="003B7BAF">
          <w:rPr>
            <w:rStyle w:val="Hyperlink"/>
            <w:i/>
            <w:sz w:val="16"/>
            <w:szCs w:val="16"/>
          </w:rPr>
          <w:t>http://www.comcare.gov.au/Forms_and_Publications/publications/services/injury_management/injury_management/working_for_recovery</w:t>
        </w:r>
      </w:hyperlink>
      <w:r>
        <w:rPr>
          <w:i/>
        </w:rPr>
        <w:t xml:space="preserve"> </w:t>
      </w:r>
    </w:p>
  </w:footnote>
  <w:footnote w:id="10">
    <w:p w:rsidR="00B65379" w:rsidRDefault="00B65379" w:rsidP="00B65379">
      <w:pPr>
        <w:pStyle w:val="FootnoteText"/>
      </w:pPr>
      <w:r>
        <w:rPr>
          <w:rStyle w:val="FootnoteReference"/>
        </w:rPr>
        <w:footnoteRef/>
      </w:r>
      <w:r>
        <w:t xml:space="preserve"> </w:t>
      </w:r>
      <w:r w:rsidRPr="003B7BAF">
        <w:rPr>
          <w:sz w:val="16"/>
          <w:szCs w:val="16"/>
        </w:rPr>
        <w:t xml:space="preserve">Mentally Healthy Workplace Alliance </w:t>
      </w:r>
      <w:hyperlink r:id="rId3" w:history="1">
        <w:r w:rsidRPr="003B7BAF">
          <w:rPr>
            <w:rStyle w:val="Hyperlink"/>
            <w:sz w:val="16"/>
            <w:szCs w:val="16"/>
          </w:rPr>
          <w:t>http://www.mentalhealthcommission.gov.au/our-work/mentally-healthy-workplace-alliance.aspx</w:t>
        </w:r>
      </w:hyperlink>
      <w:r w:rsidRPr="003B7BAF">
        <w:rPr>
          <w:sz w:val="16"/>
          <w:szCs w:val="16"/>
        </w:rPr>
        <w:t xml:space="preserve"> </w:t>
      </w:r>
    </w:p>
  </w:footnote>
  <w:footnote w:id="11">
    <w:p w:rsidR="00B65379" w:rsidRDefault="00B65379" w:rsidP="00B65379">
      <w:pPr>
        <w:pStyle w:val="FootnoteText"/>
      </w:pPr>
      <w:r>
        <w:rPr>
          <w:rStyle w:val="FootnoteReference"/>
        </w:rPr>
        <w:footnoteRef/>
      </w:r>
      <w:r>
        <w:t xml:space="preserve"> </w:t>
      </w:r>
      <w:r w:rsidRPr="003B7BAF">
        <w:rPr>
          <w:sz w:val="16"/>
          <w:szCs w:val="16"/>
        </w:rPr>
        <w:t xml:space="preserve">Heads Up </w:t>
      </w:r>
      <w:hyperlink r:id="rId4" w:history="1">
        <w:r w:rsidRPr="003B7BAF">
          <w:rPr>
            <w:rStyle w:val="Hyperlink"/>
            <w:sz w:val="16"/>
            <w:szCs w:val="16"/>
          </w:rPr>
          <w:t>http://www.headsup.org.au/</w:t>
        </w:r>
      </w:hyperlink>
      <w:r>
        <w:t xml:space="preserve"> </w:t>
      </w:r>
    </w:p>
  </w:footnote>
  <w:footnote w:id="12">
    <w:p w:rsidR="000D69E8" w:rsidRDefault="000D69E8" w:rsidP="000D69E8">
      <w:pPr>
        <w:pStyle w:val="FootnoteText"/>
      </w:pPr>
      <w:r>
        <w:rPr>
          <w:rStyle w:val="FootnoteReference"/>
        </w:rPr>
        <w:footnoteRef/>
      </w:r>
      <w:r>
        <w:t xml:space="preserve"> </w:t>
      </w:r>
      <w:r w:rsidRPr="003B7BAF">
        <w:rPr>
          <w:sz w:val="16"/>
          <w:szCs w:val="16"/>
        </w:rPr>
        <w:t>Refer section 69 of the SRC Act.</w:t>
      </w:r>
    </w:p>
  </w:footnote>
  <w:footnote w:id="13">
    <w:p w:rsidR="002B33E0" w:rsidRDefault="002B33E0" w:rsidP="002B33E0">
      <w:pPr>
        <w:pStyle w:val="FootnoteText"/>
      </w:pPr>
      <w:r>
        <w:rPr>
          <w:rStyle w:val="FootnoteReference"/>
        </w:rPr>
        <w:footnoteRef/>
      </w:r>
      <w:r>
        <w:t xml:space="preserve"> </w:t>
      </w:r>
      <w:r w:rsidRPr="003B7BAF">
        <w:rPr>
          <w:sz w:val="16"/>
          <w:szCs w:val="16"/>
        </w:rPr>
        <w:t xml:space="preserve">Comcare, </w:t>
      </w:r>
      <w:r w:rsidRPr="003B7BAF">
        <w:rPr>
          <w:i/>
          <w:sz w:val="16"/>
          <w:szCs w:val="16"/>
        </w:rPr>
        <w:t>Compendium for Workers’ Compensation Statistics</w:t>
      </w:r>
      <w:r w:rsidR="00CA515E" w:rsidRPr="003B7BAF">
        <w:rPr>
          <w:i/>
          <w:sz w:val="16"/>
          <w:szCs w:val="16"/>
        </w:rPr>
        <w:t xml:space="preserve"> </w:t>
      </w:r>
      <w:r w:rsidRPr="003B7BAF">
        <w:rPr>
          <w:i/>
          <w:sz w:val="16"/>
          <w:szCs w:val="16"/>
        </w:rPr>
        <w:t>2015</w:t>
      </w:r>
      <w:r w:rsidRPr="003B7BAF">
        <w:rPr>
          <w:sz w:val="16"/>
          <w:szCs w:val="16"/>
        </w:rPr>
        <w:t xml:space="preserve">, </w:t>
      </w:r>
      <w:r w:rsidR="00CA515E" w:rsidRPr="003B7BAF">
        <w:rPr>
          <w:sz w:val="16"/>
          <w:szCs w:val="16"/>
        </w:rPr>
        <w:t xml:space="preserve">Comcare, 2015 </w:t>
      </w:r>
      <w:r w:rsidRPr="003B7BAF">
        <w:rPr>
          <w:sz w:val="16"/>
          <w:szCs w:val="16"/>
        </w:rPr>
        <w:t>p17.</w:t>
      </w:r>
    </w:p>
  </w:footnote>
  <w:footnote w:id="14">
    <w:p w:rsidR="002B33E0" w:rsidRDefault="002B33E0" w:rsidP="002B33E0">
      <w:pPr>
        <w:pStyle w:val="FootnoteText"/>
      </w:pPr>
      <w:r>
        <w:rPr>
          <w:rStyle w:val="FootnoteReference"/>
        </w:rPr>
        <w:footnoteRef/>
      </w:r>
      <w:r>
        <w:t xml:space="preserve"> </w:t>
      </w:r>
      <w:r w:rsidRPr="003B7BAF">
        <w:rPr>
          <w:sz w:val="16"/>
          <w:szCs w:val="16"/>
        </w:rPr>
        <w:t xml:space="preserve">Comcare, </w:t>
      </w:r>
      <w:r w:rsidRPr="003B7BAF">
        <w:rPr>
          <w:i/>
          <w:sz w:val="16"/>
          <w:szCs w:val="16"/>
        </w:rPr>
        <w:t>Compendium for Workers’ Compensation Statistics 2015</w:t>
      </w:r>
      <w:r w:rsidRPr="003B7BAF">
        <w:rPr>
          <w:sz w:val="16"/>
          <w:szCs w:val="16"/>
        </w:rPr>
        <w:t xml:space="preserve">, </w:t>
      </w:r>
      <w:r w:rsidR="00CA515E" w:rsidRPr="003B7BAF">
        <w:rPr>
          <w:sz w:val="16"/>
          <w:szCs w:val="16"/>
        </w:rPr>
        <w:t xml:space="preserve">Comcare, 2015, </w:t>
      </w:r>
      <w:r w:rsidRPr="003B7BAF">
        <w:rPr>
          <w:sz w:val="16"/>
          <w:szCs w:val="16"/>
        </w:rPr>
        <w:t>p17.</w:t>
      </w:r>
    </w:p>
  </w:footnote>
  <w:footnote w:id="15">
    <w:p w:rsidR="002B33E0" w:rsidRPr="00DC32D4" w:rsidRDefault="002B33E0" w:rsidP="002B33E0">
      <w:pPr>
        <w:pStyle w:val="FootnoteText"/>
      </w:pPr>
      <w:r>
        <w:rPr>
          <w:rStyle w:val="FootnoteReference"/>
        </w:rPr>
        <w:footnoteRef/>
      </w:r>
      <w:r>
        <w:t xml:space="preserve"> </w:t>
      </w:r>
      <w:r w:rsidRPr="003B7BAF">
        <w:rPr>
          <w:sz w:val="16"/>
          <w:szCs w:val="16"/>
        </w:rPr>
        <w:t xml:space="preserve">Comcare, </w:t>
      </w:r>
      <w:r w:rsidRPr="003B7BAF">
        <w:rPr>
          <w:i/>
          <w:sz w:val="16"/>
          <w:szCs w:val="16"/>
        </w:rPr>
        <w:t>Compendium for Workers’ Compensation Statistics 2015</w:t>
      </w:r>
      <w:r w:rsidRPr="003B7BAF">
        <w:rPr>
          <w:sz w:val="16"/>
          <w:szCs w:val="16"/>
        </w:rPr>
        <w:t xml:space="preserve">, </w:t>
      </w:r>
      <w:r w:rsidR="003605A2" w:rsidRPr="003B7BAF">
        <w:rPr>
          <w:sz w:val="16"/>
          <w:szCs w:val="16"/>
        </w:rPr>
        <w:t xml:space="preserve">Comcare, 2015, </w:t>
      </w:r>
      <w:r w:rsidRPr="003B7BAF">
        <w:rPr>
          <w:sz w:val="16"/>
          <w:szCs w:val="16"/>
        </w:rPr>
        <w:t>p43.</w:t>
      </w:r>
    </w:p>
  </w:footnote>
  <w:footnote w:id="16">
    <w:p w:rsidR="002B33E0" w:rsidRDefault="002B33E0" w:rsidP="002B33E0">
      <w:pPr>
        <w:pStyle w:val="FootnoteText"/>
      </w:pPr>
      <w:r>
        <w:rPr>
          <w:rStyle w:val="FootnoteReference"/>
        </w:rPr>
        <w:footnoteRef/>
      </w:r>
      <w:r>
        <w:t xml:space="preserve"> </w:t>
      </w:r>
      <w:r w:rsidRPr="003B7BAF">
        <w:rPr>
          <w:sz w:val="16"/>
          <w:szCs w:val="16"/>
        </w:rPr>
        <w:t xml:space="preserve">Comcare, </w:t>
      </w:r>
      <w:r w:rsidRPr="003B7BAF">
        <w:rPr>
          <w:i/>
          <w:sz w:val="16"/>
          <w:szCs w:val="16"/>
        </w:rPr>
        <w:t>Compendium for Workers’ Compensation Statistics 2015</w:t>
      </w:r>
      <w:r w:rsidRPr="003B7BAF">
        <w:rPr>
          <w:sz w:val="16"/>
          <w:szCs w:val="16"/>
        </w:rPr>
        <w:t>,</w:t>
      </w:r>
      <w:r w:rsidR="003605A2" w:rsidRPr="003B7BAF">
        <w:rPr>
          <w:sz w:val="16"/>
          <w:szCs w:val="16"/>
        </w:rPr>
        <w:t xml:space="preserve"> Comcare, 2015</w:t>
      </w:r>
      <w:r w:rsidRPr="003B7BAF">
        <w:rPr>
          <w:sz w:val="16"/>
          <w:szCs w:val="16"/>
        </w:rPr>
        <w:t xml:space="preserve"> p43.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1A" w:rsidRDefault="00811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724"/>
    <w:multiLevelType w:val="hybridMultilevel"/>
    <w:tmpl w:val="2F600392"/>
    <w:lvl w:ilvl="0" w:tplc="D06EB5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81E2F"/>
    <w:multiLevelType w:val="hybridMultilevel"/>
    <w:tmpl w:val="3510F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F31252"/>
    <w:multiLevelType w:val="hybridMultilevel"/>
    <w:tmpl w:val="E8AEE5B4"/>
    <w:lvl w:ilvl="0" w:tplc="D06EB52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77F91"/>
    <w:multiLevelType w:val="hybridMultilevel"/>
    <w:tmpl w:val="6396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133EB8"/>
    <w:multiLevelType w:val="hybridMultilevel"/>
    <w:tmpl w:val="AB9E5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16D0A"/>
    <w:multiLevelType w:val="hybridMultilevel"/>
    <w:tmpl w:val="D8F0083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8C5363"/>
    <w:multiLevelType w:val="hybridMultilevel"/>
    <w:tmpl w:val="25963F9E"/>
    <w:lvl w:ilvl="0" w:tplc="88D01A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E55075"/>
    <w:multiLevelType w:val="hybridMultilevel"/>
    <w:tmpl w:val="0FC09F50"/>
    <w:lvl w:ilvl="0" w:tplc="276CCC3A">
      <w:start w:val="1"/>
      <w:numFmt w:val="lowerLetter"/>
      <w:lvlText w:val="%1)"/>
      <w:lvlJc w:val="left"/>
      <w:pPr>
        <w:ind w:left="1287" w:hanging="360"/>
      </w:pPr>
      <w:rPr>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2F8706BE"/>
    <w:multiLevelType w:val="hybridMultilevel"/>
    <w:tmpl w:val="92B80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CC0D3C"/>
    <w:multiLevelType w:val="hybridMultilevel"/>
    <w:tmpl w:val="D8304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70B660D"/>
    <w:multiLevelType w:val="hybridMultilevel"/>
    <w:tmpl w:val="BF3A9B56"/>
    <w:lvl w:ilvl="0" w:tplc="D06EB5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2D7679"/>
    <w:multiLevelType w:val="hybridMultilevel"/>
    <w:tmpl w:val="80B8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44409B"/>
    <w:multiLevelType w:val="hybridMultilevel"/>
    <w:tmpl w:val="54D4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17524D"/>
    <w:multiLevelType w:val="hybridMultilevel"/>
    <w:tmpl w:val="27729D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313799"/>
    <w:multiLevelType w:val="hybridMultilevel"/>
    <w:tmpl w:val="7304DEF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122B46"/>
    <w:multiLevelType w:val="hybridMultilevel"/>
    <w:tmpl w:val="CFAEDD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E14B68"/>
    <w:multiLevelType w:val="hybridMultilevel"/>
    <w:tmpl w:val="89C025F4"/>
    <w:lvl w:ilvl="0" w:tplc="FF6C65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432475C9"/>
    <w:multiLevelType w:val="hybridMultilevel"/>
    <w:tmpl w:val="6390F8AC"/>
    <w:lvl w:ilvl="0" w:tplc="0C09000B">
      <w:start w:val="1"/>
      <w:numFmt w:val="bullet"/>
      <w:lvlText w:val=""/>
      <w:lvlJc w:val="left"/>
      <w:pPr>
        <w:ind w:left="420" w:hanging="360"/>
      </w:pPr>
      <w:rPr>
        <w:rFonts w:ascii="Wingdings" w:hAnsi="Wingdings"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nsid w:val="4AC64EBF"/>
    <w:multiLevelType w:val="hybridMultilevel"/>
    <w:tmpl w:val="F7E475BA"/>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221887"/>
    <w:multiLevelType w:val="multilevel"/>
    <w:tmpl w:val="BBEE3E40"/>
    <w:lvl w:ilvl="0">
      <w:start w:val="1"/>
      <w:numFmt w:val="decimal"/>
      <w:pStyle w:val="Numberlistlevel1"/>
      <w:lvlText w:val="%1."/>
      <w:lvlJc w:val="left"/>
      <w:pPr>
        <w:ind w:left="720" w:hanging="360"/>
      </w:pPr>
    </w:lvl>
    <w:lvl w:ilvl="1">
      <w:start w:val="1"/>
      <w:numFmt w:val="lowerLetter"/>
      <w:lvlText w:val="%2)"/>
      <w:lvlJc w:val="left"/>
      <w:pPr>
        <w:ind w:left="1152" w:hanging="432"/>
      </w:pPr>
      <w:rPr>
        <w:rFonts w:hint="default"/>
      </w:rPr>
    </w:lvl>
    <w:lvl w:ilvl="2">
      <w:start w:val="1"/>
      <w:numFmt w:val="lowerRoman"/>
      <w:lvlText w:val="%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3B50F04"/>
    <w:multiLevelType w:val="hybridMultilevel"/>
    <w:tmpl w:val="3510F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147103"/>
    <w:multiLevelType w:val="hybridMultilevel"/>
    <w:tmpl w:val="B6B0F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3E6EBB"/>
    <w:multiLevelType w:val="hybridMultilevel"/>
    <w:tmpl w:val="8608783A"/>
    <w:lvl w:ilvl="0" w:tplc="F87C39D2">
      <w:start w:val="1"/>
      <w:numFmt w:val="lowerRoman"/>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3">
    <w:nsid w:val="607C3C67"/>
    <w:multiLevelType w:val="hybridMultilevel"/>
    <w:tmpl w:val="0E029DD6"/>
    <w:lvl w:ilvl="0" w:tplc="A62EB4A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2C6412"/>
    <w:multiLevelType w:val="hybridMultilevel"/>
    <w:tmpl w:val="C1CAFA76"/>
    <w:lvl w:ilvl="0" w:tplc="F87C39D2">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nsid w:val="655A73E9"/>
    <w:multiLevelType w:val="hybridMultilevel"/>
    <w:tmpl w:val="F7ECA43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530F07"/>
    <w:multiLevelType w:val="hybridMultilevel"/>
    <w:tmpl w:val="6402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145BAC"/>
    <w:multiLevelType w:val="hybridMultilevel"/>
    <w:tmpl w:val="1CA67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A266BD"/>
    <w:multiLevelType w:val="hybridMultilevel"/>
    <w:tmpl w:val="B7AE22F0"/>
    <w:lvl w:ilvl="0" w:tplc="732CED14">
      <w:start w:val="1"/>
      <w:numFmt w:val="decimal"/>
      <w:lvlText w:val="%1."/>
      <w:lvlJc w:val="left"/>
      <w:pPr>
        <w:ind w:left="360" w:hanging="360"/>
      </w:pPr>
      <w:rPr>
        <w:rFonts w:asciiTheme="minorHAnsi" w:hAnsi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77F15E7"/>
    <w:multiLevelType w:val="hybridMultilevel"/>
    <w:tmpl w:val="C5307C12"/>
    <w:lvl w:ilvl="0" w:tplc="D06EB524">
      <w:numFmt w:val="bullet"/>
      <w:lvlText w:val="-"/>
      <w:lvlJc w:val="left"/>
      <w:pPr>
        <w:ind w:left="420" w:hanging="360"/>
      </w:pPr>
      <w:rPr>
        <w:rFonts w:ascii="Calibri" w:eastAsiaTheme="minorHAnsi" w:hAnsi="Calibri" w:cstheme="minorBidi"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1"/>
  </w:num>
  <w:num w:numId="2">
    <w:abstractNumId w:val="11"/>
  </w:num>
  <w:num w:numId="3">
    <w:abstractNumId w:val="19"/>
  </w:num>
  <w:num w:numId="4">
    <w:abstractNumId w:val="6"/>
  </w:num>
  <w:num w:numId="5">
    <w:abstractNumId w:val="23"/>
  </w:num>
  <w:num w:numId="6">
    <w:abstractNumId w:val="9"/>
  </w:num>
  <w:num w:numId="7">
    <w:abstractNumId w:val="24"/>
  </w:num>
  <w:num w:numId="8">
    <w:abstractNumId w:val="7"/>
  </w:num>
  <w:num w:numId="9">
    <w:abstractNumId w:val="22"/>
  </w:num>
  <w:num w:numId="10">
    <w:abstractNumId w:val="16"/>
  </w:num>
  <w:num w:numId="11">
    <w:abstractNumId w:val="19"/>
  </w:num>
  <w:num w:numId="12">
    <w:abstractNumId w:val="5"/>
  </w:num>
  <w:num w:numId="13">
    <w:abstractNumId w:val="29"/>
  </w:num>
  <w:num w:numId="14">
    <w:abstractNumId w:val="15"/>
  </w:num>
  <w:num w:numId="15">
    <w:abstractNumId w:val="13"/>
  </w:num>
  <w:num w:numId="16">
    <w:abstractNumId w:val="10"/>
  </w:num>
  <w:num w:numId="17">
    <w:abstractNumId w:val="0"/>
  </w:num>
  <w:num w:numId="18">
    <w:abstractNumId w:val="25"/>
  </w:num>
  <w:num w:numId="19">
    <w:abstractNumId w:val="14"/>
  </w:num>
  <w:num w:numId="20">
    <w:abstractNumId w:val="2"/>
  </w:num>
  <w:num w:numId="21">
    <w:abstractNumId w:val="18"/>
  </w:num>
  <w:num w:numId="22">
    <w:abstractNumId w:val="28"/>
  </w:num>
  <w:num w:numId="23">
    <w:abstractNumId w:val="17"/>
  </w:num>
  <w:num w:numId="24">
    <w:abstractNumId w:val="19"/>
  </w:num>
  <w:num w:numId="25">
    <w:abstractNumId w:val="19"/>
  </w:num>
  <w:num w:numId="26">
    <w:abstractNumId w:val="19"/>
  </w:num>
  <w:num w:numId="27">
    <w:abstractNumId w:val="1"/>
  </w:num>
  <w:num w:numId="28">
    <w:abstractNumId w:val="20"/>
  </w:num>
  <w:num w:numId="29">
    <w:abstractNumId w:val="4"/>
  </w:num>
  <w:num w:numId="30">
    <w:abstractNumId w:val="12"/>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ie">
    <w15:presenceInfo w15:providerId="None" w15:userId="nik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5D"/>
    <w:rsid w:val="00013E04"/>
    <w:rsid w:val="0001524E"/>
    <w:rsid w:val="00023D00"/>
    <w:rsid w:val="00053AF2"/>
    <w:rsid w:val="00064B72"/>
    <w:rsid w:val="00067B21"/>
    <w:rsid w:val="000732C5"/>
    <w:rsid w:val="00074CB3"/>
    <w:rsid w:val="000A0DE9"/>
    <w:rsid w:val="000A4738"/>
    <w:rsid w:val="000C23D1"/>
    <w:rsid w:val="000D69E8"/>
    <w:rsid w:val="000D71DE"/>
    <w:rsid w:val="000E7C37"/>
    <w:rsid w:val="0011452C"/>
    <w:rsid w:val="00123022"/>
    <w:rsid w:val="00143AFB"/>
    <w:rsid w:val="00150291"/>
    <w:rsid w:val="00185CFC"/>
    <w:rsid w:val="00195C9D"/>
    <w:rsid w:val="001A68C5"/>
    <w:rsid w:val="001C300B"/>
    <w:rsid w:val="001F1711"/>
    <w:rsid w:val="00202B5A"/>
    <w:rsid w:val="00205E44"/>
    <w:rsid w:val="00230848"/>
    <w:rsid w:val="002440E0"/>
    <w:rsid w:val="00247019"/>
    <w:rsid w:val="00275DDB"/>
    <w:rsid w:val="002821E2"/>
    <w:rsid w:val="00287512"/>
    <w:rsid w:val="00291014"/>
    <w:rsid w:val="002973D6"/>
    <w:rsid w:val="002A10F3"/>
    <w:rsid w:val="002A3259"/>
    <w:rsid w:val="002B33E0"/>
    <w:rsid w:val="002B6AF6"/>
    <w:rsid w:val="002D0D4D"/>
    <w:rsid w:val="002E2A77"/>
    <w:rsid w:val="002F6C08"/>
    <w:rsid w:val="00311DCE"/>
    <w:rsid w:val="00320ADA"/>
    <w:rsid w:val="00325046"/>
    <w:rsid w:val="003277C0"/>
    <w:rsid w:val="00330F04"/>
    <w:rsid w:val="0034403D"/>
    <w:rsid w:val="003605A2"/>
    <w:rsid w:val="003660E0"/>
    <w:rsid w:val="003A3E0F"/>
    <w:rsid w:val="003A48EB"/>
    <w:rsid w:val="003B46F3"/>
    <w:rsid w:val="003B4D5E"/>
    <w:rsid w:val="003B7BAF"/>
    <w:rsid w:val="003C61AE"/>
    <w:rsid w:val="003D20AD"/>
    <w:rsid w:val="003D6D64"/>
    <w:rsid w:val="003E0DEC"/>
    <w:rsid w:val="003F3E89"/>
    <w:rsid w:val="00411D81"/>
    <w:rsid w:val="004472D9"/>
    <w:rsid w:val="00456A46"/>
    <w:rsid w:val="00457340"/>
    <w:rsid w:val="004A285D"/>
    <w:rsid w:val="004C1FE7"/>
    <w:rsid w:val="004E1846"/>
    <w:rsid w:val="004F0589"/>
    <w:rsid w:val="00511A7B"/>
    <w:rsid w:val="005245B3"/>
    <w:rsid w:val="00532B12"/>
    <w:rsid w:val="00545E4A"/>
    <w:rsid w:val="005654FD"/>
    <w:rsid w:val="00590FB9"/>
    <w:rsid w:val="005C2B0D"/>
    <w:rsid w:val="005C6B97"/>
    <w:rsid w:val="005F747B"/>
    <w:rsid w:val="006148B3"/>
    <w:rsid w:val="0062671F"/>
    <w:rsid w:val="00633D54"/>
    <w:rsid w:val="00670CE1"/>
    <w:rsid w:val="0067716E"/>
    <w:rsid w:val="006818E4"/>
    <w:rsid w:val="006907AE"/>
    <w:rsid w:val="00691574"/>
    <w:rsid w:val="006B62A2"/>
    <w:rsid w:val="006B6550"/>
    <w:rsid w:val="006C0F52"/>
    <w:rsid w:val="006D3E50"/>
    <w:rsid w:val="006E413C"/>
    <w:rsid w:val="006F1520"/>
    <w:rsid w:val="006F6C50"/>
    <w:rsid w:val="00712DBB"/>
    <w:rsid w:val="00713CA7"/>
    <w:rsid w:val="00717067"/>
    <w:rsid w:val="007328D1"/>
    <w:rsid w:val="00751040"/>
    <w:rsid w:val="00761215"/>
    <w:rsid w:val="00765722"/>
    <w:rsid w:val="007759B5"/>
    <w:rsid w:val="007A1A6F"/>
    <w:rsid w:val="007A220A"/>
    <w:rsid w:val="007A2856"/>
    <w:rsid w:val="007C06FE"/>
    <w:rsid w:val="007E2451"/>
    <w:rsid w:val="00800D6B"/>
    <w:rsid w:val="00811E1A"/>
    <w:rsid w:val="00817DBB"/>
    <w:rsid w:val="00824C94"/>
    <w:rsid w:val="00832E43"/>
    <w:rsid w:val="008365B1"/>
    <w:rsid w:val="00844C7A"/>
    <w:rsid w:val="00850B0E"/>
    <w:rsid w:val="0086227F"/>
    <w:rsid w:val="00865397"/>
    <w:rsid w:val="00867EDA"/>
    <w:rsid w:val="00890FC2"/>
    <w:rsid w:val="008C29B5"/>
    <w:rsid w:val="008F028D"/>
    <w:rsid w:val="008F5946"/>
    <w:rsid w:val="008F5BBE"/>
    <w:rsid w:val="00900C2D"/>
    <w:rsid w:val="0090133F"/>
    <w:rsid w:val="00930146"/>
    <w:rsid w:val="00933A04"/>
    <w:rsid w:val="009360A1"/>
    <w:rsid w:val="009709CC"/>
    <w:rsid w:val="00982E51"/>
    <w:rsid w:val="009A4E6B"/>
    <w:rsid w:val="009D3D03"/>
    <w:rsid w:val="009D6DA5"/>
    <w:rsid w:val="009F0968"/>
    <w:rsid w:val="00A015BB"/>
    <w:rsid w:val="00A05F8F"/>
    <w:rsid w:val="00A16C59"/>
    <w:rsid w:val="00A2639D"/>
    <w:rsid w:val="00A346E0"/>
    <w:rsid w:val="00A42202"/>
    <w:rsid w:val="00A5469B"/>
    <w:rsid w:val="00A5699E"/>
    <w:rsid w:val="00A63D5A"/>
    <w:rsid w:val="00A85C6B"/>
    <w:rsid w:val="00AA0F5E"/>
    <w:rsid w:val="00AB00D4"/>
    <w:rsid w:val="00AB7562"/>
    <w:rsid w:val="00AC5B35"/>
    <w:rsid w:val="00AE03C8"/>
    <w:rsid w:val="00AE1F1F"/>
    <w:rsid w:val="00B32E0F"/>
    <w:rsid w:val="00B33612"/>
    <w:rsid w:val="00B44349"/>
    <w:rsid w:val="00B535CE"/>
    <w:rsid w:val="00B65379"/>
    <w:rsid w:val="00B94404"/>
    <w:rsid w:val="00BC3818"/>
    <w:rsid w:val="00BC5CCD"/>
    <w:rsid w:val="00BC613C"/>
    <w:rsid w:val="00BC6F22"/>
    <w:rsid w:val="00BF3C40"/>
    <w:rsid w:val="00C11C68"/>
    <w:rsid w:val="00C2055D"/>
    <w:rsid w:val="00C25FBE"/>
    <w:rsid w:val="00C53BF1"/>
    <w:rsid w:val="00C7190A"/>
    <w:rsid w:val="00C72E14"/>
    <w:rsid w:val="00C75C13"/>
    <w:rsid w:val="00C867EA"/>
    <w:rsid w:val="00C875EB"/>
    <w:rsid w:val="00C93956"/>
    <w:rsid w:val="00CA515E"/>
    <w:rsid w:val="00CB2965"/>
    <w:rsid w:val="00CC0ADA"/>
    <w:rsid w:val="00CC18B8"/>
    <w:rsid w:val="00CC66C7"/>
    <w:rsid w:val="00CC680D"/>
    <w:rsid w:val="00CC7192"/>
    <w:rsid w:val="00CF3196"/>
    <w:rsid w:val="00CF5476"/>
    <w:rsid w:val="00D101EC"/>
    <w:rsid w:val="00D12E2E"/>
    <w:rsid w:val="00D44DB8"/>
    <w:rsid w:val="00D45F9A"/>
    <w:rsid w:val="00D50A74"/>
    <w:rsid w:val="00D541C3"/>
    <w:rsid w:val="00D62609"/>
    <w:rsid w:val="00D864DD"/>
    <w:rsid w:val="00D873A9"/>
    <w:rsid w:val="00D91E86"/>
    <w:rsid w:val="00DA13AC"/>
    <w:rsid w:val="00DA73BE"/>
    <w:rsid w:val="00DC11E5"/>
    <w:rsid w:val="00DC32D4"/>
    <w:rsid w:val="00DC7855"/>
    <w:rsid w:val="00DD1C37"/>
    <w:rsid w:val="00DD203A"/>
    <w:rsid w:val="00DD6A85"/>
    <w:rsid w:val="00E12B45"/>
    <w:rsid w:val="00E2773D"/>
    <w:rsid w:val="00E3484E"/>
    <w:rsid w:val="00E43A35"/>
    <w:rsid w:val="00E655B9"/>
    <w:rsid w:val="00E700C0"/>
    <w:rsid w:val="00E80779"/>
    <w:rsid w:val="00E81F2E"/>
    <w:rsid w:val="00EA117F"/>
    <w:rsid w:val="00EA333D"/>
    <w:rsid w:val="00EB20EF"/>
    <w:rsid w:val="00EC51CB"/>
    <w:rsid w:val="00ED359C"/>
    <w:rsid w:val="00EE1CCB"/>
    <w:rsid w:val="00EF54C4"/>
    <w:rsid w:val="00F10311"/>
    <w:rsid w:val="00F14C7E"/>
    <w:rsid w:val="00F14FA3"/>
    <w:rsid w:val="00F21CDD"/>
    <w:rsid w:val="00F2776C"/>
    <w:rsid w:val="00F355C3"/>
    <w:rsid w:val="00F37649"/>
    <w:rsid w:val="00F40A31"/>
    <w:rsid w:val="00F525F7"/>
    <w:rsid w:val="00F54AD2"/>
    <w:rsid w:val="00F611B9"/>
    <w:rsid w:val="00F751E4"/>
    <w:rsid w:val="00F81159"/>
    <w:rsid w:val="00F81DBC"/>
    <w:rsid w:val="00F82AD6"/>
    <w:rsid w:val="00FA1F15"/>
    <w:rsid w:val="00FB0762"/>
    <w:rsid w:val="00FB21E6"/>
    <w:rsid w:val="00FB6068"/>
    <w:rsid w:val="00FB6DD8"/>
    <w:rsid w:val="00FC0BA3"/>
    <w:rsid w:val="00FC6B8B"/>
    <w:rsid w:val="00FD18D2"/>
    <w:rsid w:val="00FE0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5D"/>
  </w:style>
  <w:style w:type="paragraph" w:styleId="Heading2">
    <w:name w:val="heading 2"/>
    <w:basedOn w:val="Normal"/>
    <w:next w:val="Normal"/>
    <w:link w:val="Heading2Char"/>
    <w:uiPriority w:val="9"/>
    <w:unhideWhenUsed/>
    <w:qFormat/>
    <w:rsid w:val="004A2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6D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85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85D"/>
    <w:pPr>
      <w:ind w:left="720"/>
      <w:contextualSpacing/>
    </w:pPr>
  </w:style>
  <w:style w:type="paragraph" w:styleId="FootnoteText">
    <w:name w:val="footnote text"/>
    <w:basedOn w:val="Normal"/>
    <w:link w:val="FootnoteTextChar"/>
    <w:uiPriority w:val="99"/>
    <w:unhideWhenUsed/>
    <w:rsid w:val="004A285D"/>
    <w:pPr>
      <w:spacing w:after="0" w:line="240" w:lineRule="auto"/>
    </w:pPr>
    <w:rPr>
      <w:sz w:val="20"/>
      <w:szCs w:val="20"/>
    </w:rPr>
  </w:style>
  <w:style w:type="character" w:customStyle="1" w:styleId="FootnoteTextChar">
    <w:name w:val="Footnote Text Char"/>
    <w:basedOn w:val="DefaultParagraphFont"/>
    <w:link w:val="FootnoteText"/>
    <w:uiPriority w:val="99"/>
    <w:rsid w:val="004A285D"/>
    <w:rPr>
      <w:sz w:val="20"/>
      <w:szCs w:val="20"/>
    </w:rPr>
  </w:style>
  <w:style w:type="character" w:styleId="FootnoteReference">
    <w:name w:val="footnote reference"/>
    <w:basedOn w:val="DefaultParagraphFont"/>
    <w:uiPriority w:val="99"/>
    <w:unhideWhenUsed/>
    <w:rsid w:val="004A285D"/>
    <w:rPr>
      <w:vertAlign w:val="superscript"/>
    </w:rPr>
  </w:style>
  <w:style w:type="paragraph" w:customStyle="1" w:styleId="Numberlistlevel1">
    <w:name w:val="Number list level 1"/>
    <w:basedOn w:val="Normal"/>
    <w:qFormat/>
    <w:rsid w:val="00013E04"/>
    <w:pPr>
      <w:numPr>
        <w:numId w:val="3"/>
      </w:numPr>
      <w:spacing w:after="120"/>
    </w:pPr>
    <w:rPr>
      <w:rFonts w:ascii="Verdana" w:eastAsia="Calibri" w:hAnsi="Verdana" w:cs="Times New Roman"/>
      <w:sz w:val="20"/>
    </w:rPr>
  </w:style>
  <w:style w:type="character" w:styleId="CommentReference">
    <w:name w:val="annotation reference"/>
    <w:basedOn w:val="DefaultParagraphFont"/>
    <w:unhideWhenUsed/>
    <w:rsid w:val="00CC7192"/>
    <w:rPr>
      <w:sz w:val="16"/>
      <w:szCs w:val="16"/>
    </w:rPr>
  </w:style>
  <w:style w:type="character" w:styleId="Hyperlink">
    <w:name w:val="Hyperlink"/>
    <w:basedOn w:val="DefaultParagraphFont"/>
    <w:unhideWhenUsed/>
    <w:rsid w:val="00CC7192"/>
    <w:rPr>
      <w:color w:val="0000FF" w:themeColor="hyperlink"/>
      <w:u w:val="single"/>
    </w:rPr>
  </w:style>
  <w:style w:type="paragraph" w:customStyle="1" w:styleId="Default">
    <w:name w:val="Default"/>
    <w:rsid w:val="00CC719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40"/>
    <w:rPr>
      <w:rFonts w:ascii="Tahoma" w:hAnsi="Tahoma" w:cs="Tahoma"/>
      <w:sz w:val="16"/>
      <w:szCs w:val="16"/>
    </w:rPr>
  </w:style>
  <w:style w:type="paragraph" w:customStyle="1" w:styleId="Pa2">
    <w:name w:val="Pa2"/>
    <w:basedOn w:val="Default"/>
    <w:next w:val="Default"/>
    <w:uiPriority w:val="99"/>
    <w:rsid w:val="00A015BB"/>
    <w:pPr>
      <w:spacing w:line="201" w:lineRule="atLeast"/>
    </w:pPr>
    <w:rPr>
      <w:rFonts w:ascii="AvantGarde CondBook" w:hAnsi="AvantGarde CondBook" w:cstheme="minorBidi"/>
      <w:color w:val="auto"/>
    </w:rPr>
  </w:style>
  <w:style w:type="character" w:customStyle="1" w:styleId="A4">
    <w:name w:val="A4"/>
    <w:uiPriority w:val="99"/>
    <w:rsid w:val="00D864DD"/>
    <w:rPr>
      <w:rFonts w:cs="AvantGarde CondBook"/>
      <w:color w:val="4C4C4E"/>
      <w:sz w:val="11"/>
      <w:szCs w:val="11"/>
    </w:rPr>
  </w:style>
  <w:style w:type="character" w:customStyle="1" w:styleId="A7">
    <w:name w:val="A7"/>
    <w:uiPriority w:val="99"/>
    <w:rsid w:val="009D6DA5"/>
    <w:rPr>
      <w:rFonts w:ascii="AvantGarde CondBook" w:hAnsi="AvantGarde CondBook" w:cs="AvantGarde CondBook"/>
      <w:color w:val="000000"/>
      <w:sz w:val="16"/>
      <w:szCs w:val="16"/>
      <w:u w:val="single"/>
    </w:rPr>
  </w:style>
  <w:style w:type="character" w:customStyle="1" w:styleId="Heading3Char">
    <w:name w:val="Heading 3 Char"/>
    <w:basedOn w:val="DefaultParagraphFont"/>
    <w:link w:val="Heading3"/>
    <w:uiPriority w:val="9"/>
    <w:semiHidden/>
    <w:rsid w:val="009D6DA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89"/>
  </w:style>
  <w:style w:type="paragraph" w:styleId="Footer">
    <w:name w:val="footer"/>
    <w:basedOn w:val="Normal"/>
    <w:link w:val="FooterChar"/>
    <w:uiPriority w:val="99"/>
    <w:unhideWhenUsed/>
    <w:rsid w:val="004F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89"/>
  </w:style>
  <w:style w:type="character" w:styleId="FollowedHyperlink">
    <w:name w:val="FollowedHyperlink"/>
    <w:basedOn w:val="DefaultParagraphFont"/>
    <w:uiPriority w:val="99"/>
    <w:semiHidden/>
    <w:unhideWhenUsed/>
    <w:rsid w:val="00761215"/>
    <w:rPr>
      <w:color w:val="800080" w:themeColor="followedHyperlink"/>
      <w:u w:val="single"/>
    </w:rPr>
  </w:style>
  <w:style w:type="paragraph" w:styleId="CommentText">
    <w:name w:val="annotation text"/>
    <w:basedOn w:val="Normal"/>
    <w:link w:val="CommentTextChar"/>
    <w:uiPriority w:val="99"/>
    <w:semiHidden/>
    <w:unhideWhenUsed/>
    <w:rsid w:val="00185CFC"/>
    <w:pPr>
      <w:spacing w:line="240" w:lineRule="auto"/>
    </w:pPr>
    <w:rPr>
      <w:sz w:val="20"/>
      <w:szCs w:val="20"/>
    </w:rPr>
  </w:style>
  <w:style w:type="character" w:customStyle="1" w:styleId="CommentTextChar">
    <w:name w:val="Comment Text Char"/>
    <w:basedOn w:val="DefaultParagraphFont"/>
    <w:link w:val="CommentText"/>
    <w:uiPriority w:val="99"/>
    <w:semiHidden/>
    <w:rsid w:val="00185CFC"/>
    <w:rPr>
      <w:sz w:val="20"/>
      <w:szCs w:val="20"/>
    </w:rPr>
  </w:style>
  <w:style w:type="paragraph" w:styleId="CommentSubject">
    <w:name w:val="annotation subject"/>
    <w:basedOn w:val="CommentText"/>
    <w:next w:val="CommentText"/>
    <w:link w:val="CommentSubjectChar"/>
    <w:uiPriority w:val="99"/>
    <w:semiHidden/>
    <w:unhideWhenUsed/>
    <w:rsid w:val="00185CFC"/>
    <w:rPr>
      <w:b/>
      <w:bCs/>
    </w:rPr>
  </w:style>
  <w:style w:type="character" w:customStyle="1" w:styleId="CommentSubjectChar">
    <w:name w:val="Comment Subject Char"/>
    <w:basedOn w:val="CommentTextChar"/>
    <w:link w:val="CommentSubject"/>
    <w:uiPriority w:val="99"/>
    <w:semiHidden/>
    <w:rsid w:val="00185CFC"/>
    <w:rPr>
      <w:b/>
      <w:bCs/>
      <w:sz w:val="20"/>
      <w:szCs w:val="20"/>
    </w:rPr>
  </w:style>
  <w:style w:type="paragraph" w:styleId="Revision">
    <w:name w:val="Revision"/>
    <w:hidden/>
    <w:uiPriority w:val="99"/>
    <w:semiHidden/>
    <w:rsid w:val="003B4D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5D"/>
  </w:style>
  <w:style w:type="paragraph" w:styleId="Heading2">
    <w:name w:val="heading 2"/>
    <w:basedOn w:val="Normal"/>
    <w:next w:val="Normal"/>
    <w:link w:val="Heading2Char"/>
    <w:uiPriority w:val="9"/>
    <w:unhideWhenUsed/>
    <w:qFormat/>
    <w:rsid w:val="004A2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6D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85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85D"/>
    <w:pPr>
      <w:ind w:left="720"/>
      <w:contextualSpacing/>
    </w:pPr>
  </w:style>
  <w:style w:type="paragraph" w:styleId="FootnoteText">
    <w:name w:val="footnote text"/>
    <w:basedOn w:val="Normal"/>
    <w:link w:val="FootnoteTextChar"/>
    <w:uiPriority w:val="99"/>
    <w:unhideWhenUsed/>
    <w:rsid w:val="004A285D"/>
    <w:pPr>
      <w:spacing w:after="0" w:line="240" w:lineRule="auto"/>
    </w:pPr>
    <w:rPr>
      <w:sz w:val="20"/>
      <w:szCs w:val="20"/>
    </w:rPr>
  </w:style>
  <w:style w:type="character" w:customStyle="1" w:styleId="FootnoteTextChar">
    <w:name w:val="Footnote Text Char"/>
    <w:basedOn w:val="DefaultParagraphFont"/>
    <w:link w:val="FootnoteText"/>
    <w:uiPriority w:val="99"/>
    <w:rsid w:val="004A285D"/>
    <w:rPr>
      <w:sz w:val="20"/>
      <w:szCs w:val="20"/>
    </w:rPr>
  </w:style>
  <w:style w:type="character" w:styleId="FootnoteReference">
    <w:name w:val="footnote reference"/>
    <w:basedOn w:val="DefaultParagraphFont"/>
    <w:uiPriority w:val="99"/>
    <w:unhideWhenUsed/>
    <w:rsid w:val="004A285D"/>
    <w:rPr>
      <w:vertAlign w:val="superscript"/>
    </w:rPr>
  </w:style>
  <w:style w:type="paragraph" w:customStyle="1" w:styleId="Numberlistlevel1">
    <w:name w:val="Number list level 1"/>
    <w:basedOn w:val="Normal"/>
    <w:qFormat/>
    <w:rsid w:val="00013E04"/>
    <w:pPr>
      <w:numPr>
        <w:numId w:val="3"/>
      </w:numPr>
      <w:spacing w:after="120"/>
    </w:pPr>
    <w:rPr>
      <w:rFonts w:ascii="Verdana" w:eastAsia="Calibri" w:hAnsi="Verdana" w:cs="Times New Roman"/>
      <w:sz w:val="20"/>
    </w:rPr>
  </w:style>
  <w:style w:type="character" w:styleId="CommentReference">
    <w:name w:val="annotation reference"/>
    <w:basedOn w:val="DefaultParagraphFont"/>
    <w:unhideWhenUsed/>
    <w:rsid w:val="00CC7192"/>
    <w:rPr>
      <w:sz w:val="16"/>
      <w:szCs w:val="16"/>
    </w:rPr>
  </w:style>
  <w:style w:type="character" w:styleId="Hyperlink">
    <w:name w:val="Hyperlink"/>
    <w:basedOn w:val="DefaultParagraphFont"/>
    <w:unhideWhenUsed/>
    <w:rsid w:val="00CC7192"/>
    <w:rPr>
      <w:color w:val="0000FF" w:themeColor="hyperlink"/>
      <w:u w:val="single"/>
    </w:rPr>
  </w:style>
  <w:style w:type="paragraph" w:customStyle="1" w:styleId="Default">
    <w:name w:val="Default"/>
    <w:rsid w:val="00CC719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40"/>
    <w:rPr>
      <w:rFonts w:ascii="Tahoma" w:hAnsi="Tahoma" w:cs="Tahoma"/>
      <w:sz w:val="16"/>
      <w:szCs w:val="16"/>
    </w:rPr>
  </w:style>
  <w:style w:type="paragraph" w:customStyle="1" w:styleId="Pa2">
    <w:name w:val="Pa2"/>
    <w:basedOn w:val="Default"/>
    <w:next w:val="Default"/>
    <w:uiPriority w:val="99"/>
    <w:rsid w:val="00A015BB"/>
    <w:pPr>
      <w:spacing w:line="201" w:lineRule="atLeast"/>
    </w:pPr>
    <w:rPr>
      <w:rFonts w:ascii="AvantGarde CondBook" w:hAnsi="AvantGarde CondBook" w:cstheme="minorBidi"/>
      <w:color w:val="auto"/>
    </w:rPr>
  </w:style>
  <w:style w:type="character" w:customStyle="1" w:styleId="A4">
    <w:name w:val="A4"/>
    <w:uiPriority w:val="99"/>
    <w:rsid w:val="00D864DD"/>
    <w:rPr>
      <w:rFonts w:cs="AvantGarde CondBook"/>
      <w:color w:val="4C4C4E"/>
      <w:sz w:val="11"/>
      <w:szCs w:val="11"/>
    </w:rPr>
  </w:style>
  <w:style w:type="character" w:customStyle="1" w:styleId="A7">
    <w:name w:val="A7"/>
    <w:uiPriority w:val="99"/>
    <w:rsid w:val="009D6DA5"/>
    <w:rPr>
      <w:rFonts w:ascii="AvantGarde CondBook" w:hAnsi="AvantGarde CondBook" w:cs="AvantGarde CondBook"/>
      <w:color w:val="000000"/>
      <w:sz w:val="16"/>
      <w:szCs w:val="16"/>
      <w:u w:val="single"/>
    </w:rPr>
  </w:style>
  <w:style w:type="character" w:customStyle="1" w:styleId="Heading3Char">
    <w:name w:val="Heading 3 Char"/>
    <w:basedOn w:val="DefaultParagraphFont"/>
    <w:link w:val="Heading3"/>
    <w:uiPriority w:val="9"/>
    <w:semiHidden/>
    <w:rsid w:val="009D6DA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89"/>
  </w:style>
  <w:style w:type="paragraph" w:styleId="Footer">
    <w:name w:val="footer"/>
    <w:basedOn w:val="Normal"/>
    <w:link w:val="FooterChar"/>
    <w:uiPriority w:val="99"/>
    <w:unhideWhenUsed/>
    <w:rsid w:val="004F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89"/>
  </w:style>
  <w:style w:type="character" w:styleId="FollowedHyperlink">
    <w:name w:val="FollowedHyperlink"/>
    <w:basedOn w:val="DefaultParagraphFont"/>
    <w:uiPriority w:val="99"/>
    <w:semiHidden/>
    <w:unhideWhenUsed/>
    <w:rsid w:val="00761215"/>
    <w:rPr>
      <w:color w:val="800080" w:themeColor="followedHyperlink"/>
      <w:u w:val="single"/>
    </w:rPr>
  </w:style>
  <w:style w:type="paragraph" w:styleId="CommentText">
    <w:name w:val="annotation text"/>
    <w:basedOn w:val="Normal"/>
    <w:link w:val="CommentTextChar"/>
    <w:uiPriority w:val="99"/>
    <w:semiHidden/>
    <w:unhideWhenUsed/>
    <w:rsid w:val="00185CFC"/>
    <w:pPr>
      <w:spacing w:line="240" w:lineRule="auto"/>
    </w:pPr>
    <w:rPr>
      <w:sz w:val="20"/>
      <w:szCs w:val="20"/>
    </w:rPr>
  </w:style>
  <w:style w:type="character" w:customStyle="1" w:styleId="CommentTextChar">
    <w:name w:val="Comment Text Char"/>
    <w:basedOn w:val="DefaultParagraphFont"/>
    <w:link w:val="CommentText"/>
    <w:uiPriority w:val="99"/>
    <w:semiHidden/>
    <w:rsid w:val="00185CFC"/>
    <w:rPr>
      <w:sz w:val="20"/>
      <w:szCs w:val="20"/>
    </w:rPr>
  </w:style>
  <w:style w:type="paragraph" w:styleId="CommentSubject">
    <w:name w:val="annotation subject"/>
    <w:basedOn w:val="CommentText"/>
    <w:next w:val="CommentText"/>
    <w:link w:val="CommentSubjectChar"/>
    <w:uiPriority w:val="99"/>
    <w:semiHidden/>
    <w:unhideWhenUsed/>
    <w:rsid w:val="00185CFC"/>
    <w:rPr>
      <w:b/>
      <w:bCs/>
    </w:rPr>
  </w:style>
  <w:style w:type="character" w:customStyle="1" w:styleId="CommentSubjectChar">
    <w:name w:val="Comment Subject Char"/>
    <w:basedOn w:val="CommentTextChar"/>
    <w:link w:val="CommentSubject"/>
    <w:uiPriority w:val="99"/>
    <w:semiHidden/>
    <w:rsid w:val="00185CFC"/>
    <w:rPr>
      <w:b/>
      <w:bCs/>
      <w:sz w:val="20"/>
      <w:szCs w:val="20"/>
    </w:rPr>
  </w:style>
  <w:style w:type="paragraph" w:styleId="Revision">
    <w:name w:val="Revision"/>
    <w:hidden/>
    <w:uiPriority w:val="99"/>
    <w:semiHidden/>
    <w:rsid w:val="003B4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7921">
      <w:bodyDiv w:val="1"/>
      <w:marLeft w:val="0"/>
      <w:marRight w:val="0"/>
      <w:marTop w:val="0"/>
      <w:marBottom w:val="0"/>
      <w:divBdr>
        <w:top w:val="none" w:sz="0" w:space="0" w:color="auto"/>
        <w:left w:val="none" w:sz="0" w:space="0" w:color="auto"/>
        <w:bottom w:val="none" w:sz="0" w:space="0" w:color="auto"/>
        <w:right w:val="none" w:sz="0" w:space="0" w:color="auto"/>
      </w:divBdr>
    </w:div>
    <w:div w:id="573441730">
      <w:bodyDiv w:val="1"/>
      <w:marLeft w:val="0"/>
      <w:marRight w:val="0"/>
      <w:marTop w:val="0"/>
      <w:marBottom w:val="0"/>
      <w:divBdr>
        <w:top w:val="none" w:sz="0" w:space="0" w:color="auto"/>
        <w:left w:val="none" w:sz="0" w:space="0" w:color="auto"/>
        <w:bottom w:val="none" w:sz="0" w:space="0" w:color="auto"/>
        <w:right w:val="none" w:sz="0" w:space="0" w:color="auto"/>
      </w:divBdr>
    </w:div>
    <w:div w:id="1066802284">
      <w:bodyDiv w:val="1"/>
      <w:marLeft w:val="0"/>
      <w:marRight w:val="0"/>
      <w:marTop w:val="0"/>
      <w:marBottom w:val="0"/>
      <w:divBdr>
        <w:top w:val="none" w:sz="0" w:space="0" w:color="auto"/>
        <w:left w:val="none" w:sz="0" w:space="0" w:color="auto"/>
        <w:bottom w:val="none" w:sz="0" w:space="0" w:color="auto"/>
        <w:right w:val="none" w:sz="0" w:space="0" w:color="auto"/>
      </w:divBdr>
    </w:div>
    <w:div w:id="1480537729">
      <w:bodyDiv w:val="1"/>
      <w:marLeft w:val="0"/>
      <w:marRight w:val="0"/>
      <w:marTop w:val="0"/>
      <w:marBottom w:val="0"/>
      <w:divBdr>
        <w:top w:val="none" w:sz="0" w:space="0" w:color="auto"/>
        <w:left w:val="none" w:sz="0" w:space="0" w:color="auto"/>
        <w:bottom w:val="none" w:sz="0" w:space="0" w:color="auto"/>
        <w:right w:val="none" w:sz="0" w:space="0" w:color="auto"/>
      </w:divBdr>
    </w:div>
    <w:div w:id="15228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acp.edu.au/index.cfm?objectid=57063EA7-0A13-1AB6-E0CA75D0CB353BA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commission.gov.au/our-work/mentally-healthy-workplace-alliance.aspx" TargetMode="External"/><Relationship Id="rId2" Type="http://schemas.openxmlformats.org/officeDocument/2006/relationships/hyperlink" Target="http://www.comcare.gov.au/Forms_and_Publications/publications/services/injury_management/injury_management/working_for_recovery" TargetMode="External"/><Relationship Id="rId1" Type="http://schemas.openxmlformats.org/officeDocument/2006/relationships/hyperlink" Target="http://www.comcare.gov.au/promoting/Creating_mentally_healthy_workplaces/mental_health_and_wellbeing" TargetMode="External"/><Relationship Id="rId4" Type="http://schemas.openxmlformats.org/officeDocument/2006/relationships/hyperlink" Target="http://www.headsu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027E-80C3-4130-A26D-4719973F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11281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Comcare</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Meatheringham</dc:creator>
  <cp:lastModifiedBy>Kaylene Knox</cp:lastModifiedBy>
  <cp:revision>2</cp:revision>
  <cp:lastPrinted>2015-07-08T03:51:00Z</cp:lastPrinted>
  <dcterms:created xsi:type="dcterms:W3CDTF">2015-07-12T23:19:00Z</dcterms:created>
  <dcterms:modified xsi:type="dcterms:W3CDTF">2015-07-12T23:19:00Z</dcterms:modified>
</cp:coreProperties>
</file>