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FC3E00" w:rsidRDefault="000B61A1" w:rsidP="00F30908">
      <w:pPr>
        <w:pStyle w:val="Title"/>
        <w:ind w:left="-709"/>
        <w:rPr>
          <w:iCs/>
          <w:smallCaps/>
          <w:spacing w:val="0"/>
          <w:sz w:val="70"/>
          <w:szCs w:val="70"/>
        </w:rPr>
      </w:pPr>
      <w:bookmarkStart w:id="0" w:name="_GoBack"/>
      <w:bookmarkEnd w:id="0"/>
      <w:r w:rsidRPr="000B61A1">
        <w:rPr>
          <w:spacing w:val="0"/>
          <w:sz w:val="70"/>
          <w:szCs w:val="70"/>
        </w:rPr>
        <w:t>National Disability Employment Framework - Consultation Report</w:t>
      </w:r>
    </w:p>
    <w:p w:rsidR="0094563F" w:rsidRPr="000B61A1" w:rsidRDefault="00681F19" w:rsidP="0054713E">
      <w:pPr>
        <w:pStyle w:val="Smalltext"/>
        <w:ind w:left="-709"/>
        <w:rPr>
          <w:rFonts w:ascii="Georgia" w:hAnsi="Georgia"/>
          <w:sz w:val="26"/>
          <w:szCs w:val="26"/>
        </w:rPr>
      </w:pPr>
      <w:r>
        <w:rPr>
          <w:rFonts w:ascii="Georgia" w:hAnsi="Georgia"/>
          <w:sz w:val="26"/>
          <w:szCs w:val="26"/>
        </w:rPr>
        <w:t>September</w:t>
      </w:r>
      <w:r w:rsidR="000B61A1" w:rsidRPr="000B61A1">
        <w:rPr>
          <w:rFonts w:ascii="Georgia" w:hAnsi="Georgia"/>
          <w:sz w:val="26"/>
          <w:szCs w:val="26"/>
        </w:rPr>
        <w:t xml:space="preserve"> 2015</w:t>
      </w:r>
    </w:p>
    <w:p w:rsidR="0094563F" w:rsidRPr="00E30067" w:rsidRDefault="0094563F" w:rsidP="00E30067">
      <w:pPr>
        <w:sectPr w:rsidR="0094563F" w:rsidRPr="00E30067" w:rsidSect="00A74769">
          <w:footerReference w:type="default" r:id="rId12"/>
          <w:headerReference w:type="first" r:id="rId13"/>
          <w:footerReference w:type="first" r:id="rId14"/>
          <w:pgSz w:w="11906" w:h="16838"/>
          <w:pgMar w:top="1440" w:right="1440" w:bottom="1440" w:left="1440" w:header="283" w:footer="0" w:gutter="0"/>
          <w:cols w:space="708"/>
          <w:titlePg/>
          <w:docGrid w:linePitch="360"/>
        </w:sectPr>
      </w:pPr>
    </w:p>
    <w:p w:rsidR="005F494C" w:rsidRPr="00E30067" w:rsidRDefault="005F494C" w:rsidP="005F494C">
      <w:pPr>
        <w:sectPr w:rsidR="005F494C" w:rsidRPr="00E30067" w:rsidSect="005F494C">
          <w:footerReference w:type="default" r:id="rId15"/>
          <w:headerReference w:type="first" r:id="rId16"/>
          <w:footerReference w:type="first" r:id="rId17"/>
          <w:type w:val="continuous"/>
          <w:pgSz w:w="11906" w:h="16838"/>
          <w:pgMar w:top="1440" w:right="1440" w:bottom="1440" w:left="1440" w:header="283" w:footer="0" w:gutter="0"/>
          <w:cols w:space="708"/>
          <w:titlePg/>
          <w:docGrid w:linePitch="360"/>
        </w:sectPr>
      </w:pPr>
    </w:p>
    <w:p w:rsidR="005F494C" w:rsidRPr="00E30067" w:rsidRDefault="005F494C" w:rsidP="005F494C">
      <w:pPr>
        <w:pStyle w:val="Heading1"/>
        <w:numPr>
          <w:ilvl w:val="0"/>
          <w:numId w:val="17"/>
        </w:numPr>
        <w:spacing w:before="120" w:after="180"/>
        <w:ind w:left="426" w:hanging="426"/>
        <w:jc w:val="both"/>
      </w:pPr>
      <w:r w:rsidRPr="00E30067">
        <w:lastRenderedPageBreak/>
        <w:t>Introduction</w:t>
      </w:r>
    </w:p>
    <w:p w:rsidR="005F494C" w:rsidRPr="004A09B4" w:rsidRDefault="005F494C" w:rsidP="005F494C">
      <w:pPr>
        <w:rPr>
          <w:rStyle w:val="BookTitle"/>
          <w:rFonts w:cs="Arial"/>
          <w:i w:val="0"/>
          <w:iCs w:val="0"/>
          <w:smallCaps w:val="0"/>
          <w:spacing w:val="0"/>
        </w:rPr>
      </w:pPr>
      <w:bookmarkStart w:id="1" w:name="_Toc395536190"/>
      <w:r>
        <w:t>The Australian Government is committed to improving employment outcomes for people with disability. This is why, in April 2015, Minister Fifield announced that a Disability Employment Taskforce would be established within the Department of Social Services to develop a new Disability Employment Framework. He stated that the new Framework would be choice</w:t>
      </w:r>
      <w:r w:rsidR="001C3469">
        <w:t>-</w:t>
      </w:r>
      <w:r>
        <w:t>driven, employer</w:t>
      </w:r>
      <w:r w:rsidR="001C3469">
        <w:t>-</w:t>
      </w:r>
      <w:r>
        <w:t xml:space="preserve">focussed and </w:t>
      </w:r>
      <w:r w:rsidRPr="004A09B4">
        <w:rPr>
          <w:rStyle w:val="BookTitle"/>
          <w:rFonts w:cs="Arial"/>
          <w:i w:val="0"/>
          <w:iCs w:val="0"/>
          <w:smallCaps w:val="0"/>
          <w:spacing w:val="0"/>
        </w:rPr>
        <w:t>co</w:t>
      </w:r>
      <w:r w:rsidRPr="004A09B4">
        <w:rPr>
          <w:rStyle w:val="BookTitle"/>
          <w:rFonts w:cs="Arial"/>
          <w:i w:val="0"/>
          <w:iCs w:val="0"/>
          <w:smallCaps w:val="0"/>
          <w:spacing w:val="0"/>
        </w:rPr>
        <w:noBreakHyphen/>
        <w:t>designed with people with disability, employers and service providers.</w:t>
      </w:r>
    </w:p>
    <w:p w:rsidR="005F494C" w:rsidRDefault="005F494C" w:rsidP="005F494C">
      <w:pPr>
        <w:ind w:right="-144"/>
        <w:rPr>
          <w:rFonts w:cs="Arial"/>
        </w:rPr>
      </w:pPr>
      <w:r w:rsidRPr="004A09B4">
        <w:rPr>
          <w:rStyle w:val="BookTitle"/>
          <w:i w:val="0"/>
          <w:iCs w:val="0"/>
          <w:smallCaps w:val="0"/>
          <w:spacing w:val="0"/>
        </w:rPr>
        <w:t>The</w:t>
      </w:r>
      <w:r>
        <w:rPr>
          <w:rFonts w:cs="Arial"/>
        </w:rPr>
        <w:t xml:space="preserve"> Taskforce was established in response to Australia’s poor performance with providing employment opportunities for people with disability. In Australia, today, a </w:t>
      </w:r>
      <w:r>
        <w:rPr>
          <w:rStyle w:val="A23"/>
          <w:rFonts w:ascii="Arial" w:hAnsi="Arial" w:cs="Arial"/>
          <w:sz w:val="24"/>
          <w:szCs w:val="24"/>
        </w:rPr>
        <w:t>person is almost twice as likely to be unemployed if they have a disability</w:t>
      </w:r>
      <w:r w:rsidR="003531B8">
        <w:rPr>
          <w:rStyle w:val="A23"/>
          <w:rFonts w:ascii="Arial" w:hAnsi="Arial" w:cs="Arial"/>
          <w:sz w:val="24"/>
          <w:szCs w:val="24"/>
        </w:rPr>
        <w:t>.</w:t>
      </w:r>
      <w:r>
        <w:rPr>
          <w:rStyle w:val="FootnoteReference"/>
          <w:rFonts w:cs="Arial"/>
          <w:color w:val="000000"/>
        </w:rPr>
        <w:footnoteReference w:id="1"/>
      </w:r>
      <w:r>
        <w:rPr>
          <w:rStyle w:val="A23"/>
          <w:rFonts w:ascii="Arial" w:hAnsi="Arial" w:cs="Arial"/>
          <w:sz w:val="24"/>
          <w:szCs w:val="24"/>
        </w:rPr>
        <w:t xml:space="preserve"> </w:t>
      </w:r>
      <w:r w:rsidRPr="00036B02">
        <w:rPr>
          <w:rFonts w:cs="Arial"/>
        </w:rPr>
        <w:t xml:space="preserve">While the Government </w:t>
      </w:r>
      <w:r>
        <w:rPr>
          <w:rFonts w:cs="Arial"/>
        </w:rPr>
        <w:t xml:space="preserve">provides a substantial and increasing investment in </w:t>
      </w:r>
      <w:r w:rsidRPr="00036B02">
        <w:rPr>
          <w:rFonts w:cs="Arial"/>
        </w:rPr>
        <w:t xml:space="preserve">DES each year, this </w:t>
      </w:r>
      <w:r>
        <w:rPr>
          <w:rFonts w:cs="Arial"/>
        </w:rPr>
        <w:t>investment</w:t>
      </w:r>
      <w:r w:rsidRPr="00036B02">
        <w:rPr>
          <w:rFonts w:cs="Arial"/>
        </w:rPr>
        <w:t xml:space="preserve"> is not being matched by improvements in employment outcomes. </w:t>
      </w:r>
      <w:r>
        <w:rPr>
          <w:rFonts w:cs="Arial"/>
        </w:rPr>
        <w:t>In the last decade</w:t>
      </w:r>
      <w:r w:rsidR="001C3469">
        <w:rPr>
          <w:rFonts w:cs="Arial"/>
        </w:rPr>
        <w:t>,</w:t>
      </w:r>
      <w:r>
        <w:rPr>
          <w:rFonts w:cs="Arial"/>
        </w:rPr>
        <w:t xml:space="preserve"> despite ongoing changes to the </w:t>
      </w:r>
      <w:r w:rsidRPr="00036B02">
        <w:rPr>
          <w:rFonts w:cs="Arial"/>
        </w:rPr>
        <w:t xml:space="preserve">payments and employment services systems, </w:t>
      </w:r>
      <w:r w:rsidR="00A21E90">
        <w:rPr>
          <w:rFonts w:cs="Arial"/>
        </w:rPr>
        <w:t xml:space="preserve">DES </w:t>
      </w:r>
      <w:r>
        <w:rPr>
          <w:rFonts w:cs="Arial"/>
        </w:rPr>
        <w:t>p</w:t>
      </w:r>
      <w:r w:rsidRPr="00036B02">
        <w:rPr>
          <w:rFonts w:cs="Arial"/>
        </w:rPr>
        <w:t>erformance has plateaued</w:t>
      </w:r>
      <w:r w:rsidR="001C3469">
        <w:rPr>
          <w:rFonts w:cs="Arial"/>
        </w:rPr>
        <w:t>. T</w:t>
      </w:r>
      <w:r w:rsidRPr="00036B02">
        <w:rPr>
          <w:rFonts w:cs="Arial"/>
        </w:rPr>
        <w:t xml:space="preserve">he fact remains that only one in three </w:t>
      </w:r>
      <w:r>
        <w:rPr>
          <w:rFonts w:cs="Arial"/>
        </w:rPr>
        <w:t xml:space="preserve">participants achieves </w:t>
      </w:r>
      <w:r w:rsidRPr="00036B02">
        <w:rPr>
          <w:rFonts w:cs="Arial"/>
        </w:rPr>
        <w:t xml:space="preserve">a job outcome. </w:t>
      </w:r>
      <w:r>
        <w:rPr>
          <w:rStyle w:val="A23"/>
          <w:rFonts w:ascii="Arial" w:hAnsi="Arial" w:cs="Arial"/>
          <w:sz w:val="24"/>
          <w:szCs w:val="24"/>
        </w:rPr>
        <w:t>We must give people with disability the same opportunities for economic and social participation enjoyed by other Australians.</w:t>
      </w:r>
    </w:p>
    <w:p w:rsidR="005F494C" w:rsidRDefault="005F494C" w:rsidP="005F494C">
      <w:pPr>
        <w:pStyle w:val="Bullet"/>
        <w:numPr>
          <w:ilvl w:val="0"/>
          <w:numId w:val="0"/>
        </w:numPr>
        <w:spacing w:before="120" w:after="180"/>
        <w:rPr>
          <w:rFonts w:ascii="Arial" w:hAnsi="Arial" w:cs="Arial"/>
        </w:rPr>
      </w:pPr>
      <w:r w:rsidRPr="009A20F3">
        <w:rPr>
          <w:rFonts w:ascii="Arial" w:hAnsi="Arial" w:cs="Arial"/>
        </w:rPr>
        <w:t>When Minister Fifield announced the work of the Taskforce he said there would be a six</w:t>
      </w:r>
      <w:r w:rsidR="001C3469">
        <w:rPr>
          <w:rFonts w:ascii="Arial" w:hAnsi="Arial" w:cs="Arial"/>
        </w:rPr>
        <w:t>-</w:t>
      </w:r>
      <w:r w:rsidRPr="009A20F3">
        <w:rPr>
          <w:rFonts w:ascii="Arial" w:hAnsi="Arial" w:cs="Arial"/>
        </w:rPr>
        <w:t>month consultation process with stakeholders</w:t>
      </w:r>
      <w:r>
        <w:rPr>
          <w:rFonts w:ascii="Arial" w:hAnsi="Arial" w:cs="Arial"/>
        </w:rPr>
        <w:t xml:space="preserve"> to design the </w:t>
      </w:r>
      <w:r w:rsidRPr="001873B0">
        <w:rPr>
          <w:rFonts w:asciiTheme="minorHAnsi" w:hAnsiTheme="minorHAnsi" w:cstheme="minorHAnsi"/>
        </w:rPr>
        <w:t>new Disability Employment</w:t>
      </w:r>
      <w:r>
        <w:rPr>
          <w:rFonts w:asciiTheme="minorHAnsi" w:hAnsiTheme="minorHAnsi" w:cstheme="minorHAnsi"/>
        </w:rPr>
        <w:t xml:space="preserve"> </w:t>
      </w:r>
      <w:r w:rsidRPr="001873B0">
        <w:rPr>
          <w:rFonts w:asciiTheme="minorHAnsi" w:hAnsiTheme="minorHAnsi" w:cstheme="minorHAnsi"/>
        </w:rPr>
        <w:t>Framework</w:t>
      </w:r>
      <w:r>
        <w:rPr>
          <w:rFonts w:ascii="Arial" w:hAnsi="Arial" w:cs="Arial"/>
        </w:rPr>
        <w:t>.</w:t>
      </w:r>
    </w:p>
    <w:p w:rsidR="005F494C" w:rsidRPr="001873B0" w:rsidRDefault="005F494C" w:rsidP="005F494C">
      <w:pPr>
        <w:pStyle w:val="Bullet"/>
        <w:numPr>
          <w:ilvl w:val="0"/>
          <w:numId w:val="0"/>
        </w:numPr>
        <w:spacing w:before="120" w:after="180"/>
        <w:rPr>
          <w:rFonts w:asciiTheme="minorHAnsi" w:hAnsiTheme="minorHAnsi" w:cstheme="minorHAnsi"/>
        </w:rPr>
      </w:pPr>
      <w:proofErr w:type="gramStart"/>
      <w:r w:rsidRPr="001873B0">
        <w:rPr>
          <w:rFonts w:asciiTheme="minorHAnsi" w:hAnsiTheme="minorHAnsi" w:cstheme="minorHAnsi"/>
        </w:rPr>
        <w:t xml:space="preserve">This </w:t>
      </w:r>
      <w:r>
        <w:rPr>
          <w:rFonts w:asciiTheme="minorHAnsi" w:hAnsiTheme="minorHAnsi" w:cstheme="minorHAnsi"/>
        </w:rPr>
        <w:t xml:space="preserve">consultation </w:t>
      </w:r>
      <w:r w:rsidRPr="001873B0">
        <w:rPr>
          <w:rFonts w:asciiTheme="minorHAnsi" w:hAnsiTheme="minorHAnsi" w:cstheme="minorHAnsi"/>
        </w:rPr>
        <w:t xml:space="preserve">process commenced on 25 May </w:t>
      </w:r>
      <w:r>
        <w:rPr>
          <w:rFonts w:asciiTheme="minorHAnsi" w:hAnsiTheme="minorHAnsi" w:cstheme="minorHAnsi"/>
        </w:rPr>
        <w:t>2015 w</w:t>
      </w:r>
      <w:r w:rsidRPr="001873B0">
        <w:rPr>
          <w:rFonts w:asciiTheme="minorHAnsi" w:hAnsiTheme="minorHAnsi" w:cstheme="minorHAnsi"/>
        </w:rPr>
        <w:t xml:space="preserve">hen the Taskforce launched </w:t>
      </w:r>
      <w:r>
        <w:rPr>
          <w:rFonts w:asciiTheme="minorHAnsi" w:hAnsiTheme="minorHAnsi" w:cstheme="minorHAnsi"/>
        </w:rPr>
        <w:t xml:space="preserve">a </w:t>
      </w:r>
      <w:r w:rsidRPr="001873B0">
        <w:rPr>
          <w:rFonts w:asciiTheme="minorHAnsi" w:hAnsiTheme="minorHAnsi" w:cstheme="minorHAnsi"/>
        </w:rPr>
        <w:t xml:space="preserve">national </w:t>
      </w:r>
      <w:r>
        <w:rPr>
          <w:rFonts w:asciiTheme="minorHAnsi" w:hAnsiTheme="minorHAnsi" w:cstheme="minorHAnsi"/>
        </w:rPr>
        <w:t xml:space="preserve">round of public forums </w:t>
      </w:r>
      <w:r w:rsidRPr="001873B0">
        <w:rPr>
          <w:rFonts w:asciiTheme="minorHAnsi" w:hAnsiTheme="minorHAnsi" w:cstheme="minorHAnsi"/>
        </w:rPr>
        <w:t xml:space="preserve">to inform the development of </w:t>
      </w:r>
      <w:r>
        <w:rPr>
          <w:rFonts w:asciiTheme="minorHAnsi" w:hAnsiTheme="minorHAnsi" w:cstheme="minorHAnsi"/>
        </w:rPr>
        <w:t xml:space="preserve">the new </w:t>
      </w:r>
      <w:r w:rsidRPr="001873B0">
        <w:rPr>
          <w:rFonts w:asciiTheme="minorHAnsi" w:hAnsiTheme="minorHAnsi" w:cstheme="minorHAnsi"/>
        </w:rPr>
        <w:t>Framework.</w:t>
      </w:r>
      <w:proofErr w:type="gramEnd"/>
      <w:r w:rsidRPr="001873B0">
        <w:rPr>
          <w:rFonts w:asciiTheme="minorHAnsi" w:hAnsiTheme="minorHAnsi" w:cstheme="minorHAnsi"/>
        </w:rPr>
        <w:t xml:space="preserve"> An Issues Paper was released on the same day to encourage and guide discussion. The paper sought feedback on the strengths and weaknesses of the current disability employment system and proposed seven “Principles for Change” to </w:t>
      </w:r>
      <w:r>
        <w:rPr>
          <w:rFonts w:asciiTheme="minorHAnsi" w:hAnsiTheme="minorHAnsi" w:cstheme="minorHAnsi"/>
        </w:rPr>
        <w:t>lead</w:t>
      </w:r>
      <w:r w:rsidRPr="001873B0">
        <w:rPr>
          <w:rFonts w:asciiTheme="minorHAnsi" w:hAnsiTheme="minorHAnsi" w:cstheme="minorHAnsi"/>
        </w:rPr>
        <w:t xml:space="preserve"> discussions about the future directions of </w:t>
      </w:r>
      <w:r>
        <w:rPr>
          <w:rFonts w:asciiTheme="minorHAnsi" w:hAnsiTheme="minorHAnsi" w:cstheme="minorHAnsi"/>
        </w:rPr>
        <w:t>the new D</w:t>
      </w:r>
      <w:r w:rsidRPr="001873B0">
        <w:rPr>
          <w:rFonts w:asciiTheme="minorHAnsi" w:hAnsiTheme="minorHAnsi" w:cstheme="minorHAnsi"/>
        </w:rPr>
        <w:t xml:space="preserve">isability </w:t>
      </w:r>
      <w:r>
        <w:rPr>
          <w:rFonts w:asciiTheme="minorHAnsi" w:hAnsiTheme="minorHAnsi" w:cstheme="minorHAnsi"/>
        </w:rPr>
        <w:t>E</w:t>
      </w:r>
      <w:r w:rsidRPr="001873B0">
        <w:rPr>
          <w:rFonts w:asciiTheme="minorHAnsi" w:hAnsiTheme="minorHAnsi" w:cstheme="minorHAnsi"/>
        </w:rPr>
        <w:t xml:space="preserve">mployment </w:t>
      </w:r>
      <w:r>
        <w:rPr>
          <w:rFonts w:asciiTheme="minorHAnsi" w:hAnsiTheme="minorHAnsi" w:cstheme="minorHAnsi"/>
        </w:rPr>
        <w:t>Framework</w:t>
      </w:r>
      <w:r w:rsidRPr="001873B0">
        <w:rPr>
          <w:rFonts w:asciiTheme="minorHAnsi" w:hAnsiTheme="minorHAnsi" w:cstheme="minorHAnsi"/>
        </w:rPr>
        <w:t>.</w:t>
      </w:r>
    </w:p>
    <w:p w:rsidR="005F494C" w:rsidRDefault="005F494C" w:rsidP="005F494C">
      <w:pPr>
        <w:rPr>
          <w:rFonts w:cs="Arial"/>
        </w:rPr>
      </w:pPr>
      <w:r w:rsidRPr="00B44A2D">
        <w:rPr>
          <w:rFonts w:cs="Arial"/>
        </w:rPr>
        <w:t xml:space="preserve">A website </w:t>
      </w:r>
      <w:r w:rsidRPr="00B44A2D">
        <w:rPr>
          <w:rFonts w:cs="Arial"/>
          <w:u w:val="single"/>
        </w:rPr>
        <w:t xml:space="preserve">engage.dss.gov.au </w:t>
      </w:r>
      <w:r w:rsidRPr="00B44A2D">
        <w:rPr>
          <w:rFonts w:cs="Arial"/>
        </w:rPr>
        <w:t xml:space="preserve">was established to manage the consultation process, publish the Issues Paper and invite written submissions based on the paper. </w:t>
      </w:r>
    </w:p>
    <w:p w:rsidR="005F494C" w:rsidRPr="000B61A1" w:rsidRDefault="005F494C" w:rsidP="005F494C">
      <w:r>
        <w:t>T</w:t>
      </w:r>
      <w:r w:rsidRPr="000B61A1">
        <w:t xml:space="preserve">o encourage participation in </w:t>
      </w:r>
      <w:r w:rsidR="001D54E8">
        <w:t>the first</w:t>
      </w:r>
      <w:r w:rsidR="001D54E8" w:rsidRPr="000B61A1">
        <w:t xml:space="preserve"> </w:t>
      </w:r>
      <w:r w:rsidRPr="000B61A1">
        <w:t>round of consultation</w:t>
      </w:r>
      <w:r>
        <w:t>s, i</w:t>
      </w:r>
      <w:r w:rsidRPr="000B61A1">
        <w:t xml:space="preserve">nvitations were sent to </w:t>
      </w:r>
      <w:r>
        <w:t xml:space="preserve">a variety of </w:t>
      </w:r>
      <w:r w:rsidRPr="000B61A1">
        <w:t>disability organisations, peak disability and employment bodies, Australian Disability Enterprises and Disability Employment Services</w:t>
      </w:r>
      <w:r>
        <w:t xml:space="preserve"> providers. </w:t>
      </w:r>
      <w:r w:rsidRPr="000B61A1">
        <w:t>In addition</w:t>
      </w:r>
      <w:r>
        <w:t>,</w:t>
      </w:r>
      <w:r w:rsidRPr="000B61A1">
        <w:t xml:space="preserve"> </w:t>
      </w:r>
      <w:r>
        <w:t xml:space="preserve">consultations were advertised in selected newspapers and </w:t>
      </w:r>
      <w:r w:rsidRPr="000B61A1">
        <w:t>social media</w:t>
      </w:r>
      <w:r>
        <w:t>.</w:t>
      </w:r>
    </w:p>
    <w:p w:rsidR="005F494C" w:rsidRPr="00E30067" w:rsidRDefault="005F494C" w:rsidP="005F494C">
      <w:pPr>
        <w:pStyle w:val="Heading1"/>
        <w:numPr>
          <w:ilvl w:val="0"/>
          <w:numId w:val="17"/>
        </w:numPr>
        <w:spacing w:before="120" w:after="180"/>
        <w:ind w:left="567" w:hanging="567"/>
      </w:pPr>
      <w:r w:rsidRPr="00E30067">
        <w:t xml:space="preserve">Purpose of this </w:t>
      </w:r>
      <w:bookmarkEnd w:id="1"/>
      <w:r>
        <w:t>Report</w:t>
      </w:r>
    </w:p>
    <w:p w:rsidR="005F494C" w:rsidRDefault="005F494C" w:rsidP="005F494C">
      <w:r w:rsidRPr="000B61A1">
        <w:t xml:space="preserve">This report provides an overview of key </w:t>
      </w:r>
      <w:r>
        <w:t>issues</w:t>
      </w:r>
      <w:r w:rsidRPr="000B61A1">
        <w:t xml:space="preserve"> voiced </w:t>
      </w:r>
      <w:r>
        <w:t>at the consultation</w:t>
      </w:r>
      <w:r w:rsidRPr="000B61A1">
        <w:t xml:space="preserve"> </w:t>
      </w:r>
      <w:r>
        <w:t>forums and the feedback provided in the written submissions.</w:t>
      </w:r>
      <w:r w:rsidRPr="000B61A1">
        <w:t xml:space="preserve"> </w:t>
      </w:r>
      <w:r>
        <w:t xml:space="preserve">The </w:t>
      </w:r>
      <w:r w:rsidRPr="000B61A1">
        <w:t xml:space="preserve">report does not attempt to detail all </w:t>
      </w:r>
      <w:r>
        <w:t xml:space="preserve">the </w:t>
      </w:r>
      <w:r w:rsidRPr="000B61A1">
        <w:t>feedback received</w:t>
      </w:r>
      <w:r>
        <w:t>, b</w:t>
      </w:r>
      <w:r w:rsidRPr="000B61A1">
        <w:t xml:space="preserve">ut rather highlights </w:t>
      </w:r>
      <w:r>
        <w:t>the main themes.</w:t>
      </w:r>
    </w:p>
    <w:p w:rsidR="005F494C" w:rsidRDefault="005F494C" w:rsidP="005F494C">
      <w:pPr>
        <w:rPr>
          <w:rFonts w:ascii="Georgia" w:eastAsiaTheme="majorEastAsia" w:hAnsi="Georgia" w:cstheme="majorBidi"/>
          <w:bCs/>
          <w:color w:val="275D38"/>
          <w:sz w:val="36"/>
          <w:szCs w:val="28"/>
        </w:rPr>
      </w:pPr>
      <w:r w:rsidRPr="000B61A1">
        <w:t>The Taskforce would like to acknowledge the time and effort spent</w:t>
      </w:r>
      <w:r>
        <w:t xml:space="preserve"> on preparing the submissions, </w:t>
      </w:r>
      <w:r w:rsidRPr="000B61A1">
        <w:t xml:space="preserve">as well as the constructive feedback provided during </w:t>
      </w:r>
      <w:r>
        <w:t xml:space="preserve">the forums. We would like to take this opportunity to </w:t>
      </w:r>
      <w:r w:rsidRPr="000B61A1">
        <w:t xml:space="preserve">thank </w:t>
      </w:r>
      <w:r>
        <w:t>everyone</w:t>
      </w:r>
      <w:r w:rsidRPr="000B61A1">
        <w:t xml:space="preserve"> for their contributions.</w:t>
      </w:r>
      <w:r>
        <w:br w:type="page"/>
      </w:r>
    </w:p>
    <w:p w:rsidR="005F494C" w:rsidRPr="00E30067" w:rsidRDefault="005F494C" w:rsidP="005F494C">
      <w:pPr>
        <w:pStyle w:val="Heading1"/>
        <w:numPr>
          <w:ilvl w:val="0"/>
          <w:numId w:val="17"/>
        </w:numPr>
        <w:spacing w:before="120" w:after="180"/>
        <w:ind w:left="567" w:hanging="567"/>
      </w:pPr>
      <w:r>
        <w:lastRenderedPageBreak/>
        <w:t>The Consultations</w:t>
      </w:r>
    </w:p>
    <w:p w:rsidR="005F494C" w:rsidRDefault="005F494C" w:rsidP="005F494C">
      <w:pPr>
        <w:spacing w:before="180" w:after="120"/>
        <w:rPr>
          <w:rFonts w:cs="Arial"/>
        </w:rPr>
      </w:pPr>
      <w:r w:rsidRPr="006219D2">
        <w:rPr>
          <w:rStyle w:val="BookTitle"/>
          <w:rFonts w:cs="Arial"/>
          <w:i w:val="0"/>
          <w:iCs w:val="0"/>
          <w:smallCaps w:val="0"/>
          <w:spacing w:val="0"/>
        </w:rPr>
        <w:t>The consultation process was a rich and substantial undertaking</w:t>
      </w:r>
      <w:r>
        <w:rPr>
          <w:rStyle w:val="BookTitle"/>
          <w:rFonts w:cs="Arial"/>
          <w:i w:val="0"/>
          <w:iCs w:val="0"/>
          <w:smallCaps w:val="0"/>
          <w:spacing w:val="0"/>
        </w:rPr>
        <w:t xml:space="preserve">. </w:t>
      </w:r>
      <w:r w:rsidR="001C3469">
        <w:rPr>
          <w:rStyle w:val="BookTitle"/>
          <w:rFonts w:cs="Arial"/>
          <w:i w:val="0"/>
          <w:iCs w:val="0"/>
          <w:smallCaps w:val="0"/>
          <w:spacing w:val="0"/>
        </w:rPr>
        <w:t>It</w:t>
      </w:r>
      <w:r>
        <w:rPr>
          <w:rStyle w:val="BookTitle"/>
          <w:rFonts w:cs="Arial"/>
          <w:i w:val="0"/>
          <w:iCs w:val="0"/>
          <w:smallCaps w:val="0"/>
          <w:spacing w:val="0"/>
        </w:rPr>
        <w:t xml:space="preserve"> was particularly rewarding because there was a significant response from so many stakeholders. </w:t>
      </w:r>
      <w:r>
        <w:rPr>
          <w:rFonts w:cs="Arial"/>
        </w:rPr>
        <w:t>During May and June</w:t>
      </w:r>
      <w:r w:rsidRPr="00B44A2D">
        <w:rPr>
          <w:rFonts w:cs="Arial"/>
        </w:rPr>
        <w:t xml:space="preserve"> 20</w:t>
      </w:r>
      <w:r>
        <w:rPr>
          <w:rFonts w:cs="Arial"/>
        </w:rPr>
        <w:t>15, t</w:t>
      </w:r>
      <w:r>
        <w:rPr>
          <w:rStyle w:val="BookTitle"/>
          <w:rFonts w:cs="Arial"/>
          <w:i w:val="0"/>
          <w:iCs w:val="0"/>
          <w:smallCaps w:val="0"/>
          <w:spacing w:val="0"/>
        </w:rPr>
        <w:t xml:space="preserve">he Taskforce held 38 consultation forums </w:t>
      </w:r>
      <w:r>
        <w:rPr>
          <w:rFonts w:cs="Arial"/>
        </w:rPr>
        <w:t xml:space="preserve">in all capital cities and a number of regional centres. These were </w:t>
      </w:r>
      <w:r>
        <w:rPr>
          <w:rStyle w:val="BookTitle"/>
          <w:rFonts w:cs="Arial"/>
          <w:i w:val="0"/>
          <w:iCs w:val="0"/>
          <w:smallCaps w:val="0"/>
          <w:spacing w:val="0"/>
        </w:rPr>
        <w:t xml:space="preserve">delivered </w:t>
      </w:r>
      <w:r>
        <w:t>s</w:t>
      </w:r>
      <w:r w:rsidRPr="000B61A1">
        <w:t>eparate</w:t>
      </w:r>
      <w:r>
        <w:t xml:space="preserve">ly </w:t>
      </w:r>
      <w:r w:rsidRPr="000B61A1">
        <w:t xml:space="preserve">for </w:t>
      </w:r>
      <w:r>
        <w:t>e</w:t>
      </w:r>
      <w:r w:rsidRPr="000B61A1">
        <w:t>mployers</w:t>
      </w:r>
      <w:r>
        <w:t xml:space="preserve">, </w:t>
      </w:r>
      <w:r w:rsidRPr="000B61A1">
        <w:t xml:space="preserve">service providers and people with disability, </w:t>
      </w:r>
      <w:r>
        <w:t xml:space="preserve">their </w:t>
      </w:r>
      <w:r w:rsidRPr="000B61A1">
        <w:t>carers and families</w:t>
      </w:r>
      <w:r>
        <w:t xml:space="preserve">. </w:t>
      </w:r>
      <w:r>
        <w:rPr>
          <w:rStyle w:val="BookTitle"/>
          <w:rFonts w:cs="Arial"/>
          <w:i w:val="0"/>
          <w:iCs w:val="0"/>
          <w:smallCaps w:val="0"/>
          <w:spacing w:val="0"/>
        </w:rPr>
        <w:t xml:space="preserve">Around </w:t>
      </w:r>
      <w:r w:rsidRPr="00B44A2D">
        <w:rPr>
          <w:rFonts w:cs="Arial"/>
        </w:rPr>
        <w:t>740</w:t>
      </w:r>
      <w:r>
        <w:rPr>
          <w:rFonts w:cs="Arial"/>
        </w:rPr>
        <w:t xml:space="preserve"> people attended these forums. </w:t>
      </w:r>
      <w:r w:rsidRPr="006219D2">
        <w:rPr>
          <w:rStyle w:val="BookTitle"/>
          <w:rFonts w:cs="Arial"/>
          <w:i w:val="0"/>
          <w:iCs w:val="0"/>
          <w:smallCaps w:val="0"/>
          <w:spacing w:val="0"/>
        </w:rPr>
        <w:t xml:space="preserve">In addition </w:t>
      </w:r>
      <w:r>
        <w:rPr>
          <w:rStyle w:val="BookTitle"/>
          <w:rFonts w:cs="Arial"/>
          <w:i w:val="0"/>
          <w:iCs w:val="0"/>
          <w:smallCaps w:val="0"/>
          <w:spacing w:val="0"/>
        </w:rPr>
        <w:t>the Taskforce r</w:t>
      </w:r>
      <w:r w:rsidRPr="006219D2">
        <w:rPr>
          <w:rStyle w:val="BookTitle"/>
          <w:rFonts w:cs="Arial"/>
          <w:i w:val="0"/>
          <w:iCs w:val="0"/>
          <w:smallCaps w:val="0"/>
          <w:spacing w:val="0"/>
        </w:rPr>
        <w:t>eceived 12</w:t>
      </w:r>
      <w:r>
        <w:rPr>
          <w:rStyle w:val="BookTitle"/>
          <w:rFonts w:cs="Arial"/>
          <w:i w:val="0"/>
          <w:iCs w:val="0"/>
          <w:smallCaps w:val="0"/>
          <w:spacing w:val="0"/>
        </w:rPr>
        <w:t>2</w:t>
      </w:r>
      <w:r w:rsidRPr="006219D2">
        <w:rPr>
          <w:rStyle w:val="BookTitle"/>
          <w:rFonts w:cs="Arial"/>
          <w:i w:val="0"/>
          <w:iCs w:val="0"/>
          <w:smallCaps w:val="0"/>
          <w:spacing w:val="0"/>
        </w:rPr>
        <w:t xml:space="preserve"> </w:t>
      </w:r>
      <w:r>
        <w:rPr>
          <w:rStyle w:val="BookTitle"/>
          <w:rFonts w:cs="Arial"/>
          <w:i w:val="0"/>
          <w:iCs w:val="0"/>
          <w:smallCaps w:val="0"/>
          <w:spacing w:val="0"/>
        </w:rPr>
        <w:t xml:space="preserve">written </w:t>
      </w:r>
      <w:r w:rsidRPr="006219D2">
        <w:rPr>
          <w:rStyle w:val="BookTitle"/>
          <w:rFonts w:cs="Arial"/>
          <w:i w:val="0"/>
          <w:iCs w:val="0"/>
          <w:smallCaps w:val="0"/>
          <w:spacing w:val="0"/>
        </w:rPr>
        <w:t>submissions</w:t>
      </w:r>
      <w:r>
        <w:rPr>
          <w:rStyle w:val="BookTitle"/>
          <w:rFonts w:cs="Arial"/>
          <w:i w:val="0"/>
          <w:iCs w:val="0"/>
          <w:smallCaps w:val="0"/>
          <w:spacing w:val="0"/>
        </w:rPr>
        <w:t xml:space="preserve">. Details about attendance at forums are provided at </w:t>
      </w:r>
      <w:r w:rsidRPr="00454174">
        <w:rPr>
          <w:rStyle w:val="BookTitle"/>
          <w:rFonts w:cs="Arial"/>
          <w:b/>
          <w:i w:val="0"/>
          <w:iCs w:val="0"/>
          <w:smallCaps w:val="0"/>
          <w:spacing w:val="0"/>
        </w:rPr>
        <w:t>Attachment A</w:t>
      </w:r>
      <w:r>
        <w:rPr>
          <w:rStyle w:val="BookTitle"/>
          <w:rFonts w:cs="Arial"/>
          <w:i w:val="0"/>
          <w:iCs w:val="0"/>
          <w:smallCaps w:val="0"/>
          <w:spacing w:val="0"/>
        </w:rPr>
        <w:t xml:space="preserve"> and the list of published submissions is at </w:t>
      </w:r>
      <w:r w:rsidRPr="00454174">
        <w:rPr>
          <w:rStyle w:val="BookTitle"/>
          <w:rFonts w:cs="Arial"/>
          <w:b/>
          <w:i w:val="0"/>
          <w:iCs w:val="0"/>
          <w:smallCaps w:val="0"/>
          <w:spacing w:val="0"/>
        </w:rPr>
        <w:t>Attachment B</w:t>
      </w:r>
      <w:r>
        <w:rPr>
          <w:rStyle w:val="BookTitle"/>
          <w:rFonts w:cs="Arial"/>
          <w:b/>
          <w:i w:val="0"/>
          <w:iCs w:val="0"/>
          <w:smallCaps w:val="0"/>
          <w:spacing w:val="0"/>
        </w:rPr>
        <w:t>.</w:t>
      </w:r>
    </w:p>
    <w:p w:rsidR="005F494C" w:rsidRDefault="005F494C" w:rsidP="005F494C">
      <w:pPr>
        <w:spacing w:before="180" w:after="120"/>
        <w:rPr>
          <w:rStyle w:val="BookTitle"/>
          <w:rFonts w:cs="Arial"/>
          <w:i w:val="0"/>
          <w:iCs w:val="0"/>
          <w:smallCaps w:val="0"/>
          <w:spacing w:val="0"/>
        </w:rPr>
      </w:pPr>
      <w:r w:rsidRPr="00320D4A">
        <w:rPr>
          <w:rStyle w:val="BookTitle"/>
          <w:rFonts w:cs="Arial"/>
          <w:i w:val="0"/>
          <w:iCs w:val="0"/>
          <w:smallCaps w:val="0"/>
          <w:spacing w:val="0"/>
        </w:rPr>
        <w:t>This report follows the format of the consultation sessions, starting with a discussion about the strengths and weaknesses and of the current employment services system</w:t>
      </w:r>
      <w:r>
        <w:rPr>
          <w:rStyle w:val="BookTitle"/>
          <w:rFonts w:cs="Arial"/>
          <w:i w:val="0"/>
          <w:iCs w:val="0"/>
          <w:smallCaps w:val="0"/>
          <w:spacing w:val="0"/>
        </w:rPr>
        <w:t>,</w:t>
      </w:r>
      <w:r w:rsidRPr="00320D4A">
        <w:rPr>
          <w:rStyle w:val="BookTitle"/>
          <w:rFonts w:cs="Arial"/>
          <w:i w:val="0"/>
          <w:iCs w:val="0"/>
          <w:smallCaps w:val="0"/>
          <w:spacing w:val="0"/>
        </w:rPr>
        <w:t xml:space="preserve"> followed by discussion about the seven proposed principles for change. While the report follows the format of the forums, it also includes input from the written submissions.</w:t>
      </w:r>
      <w:r>
        <w:rPr>
          <w:rStyle w:val="BookTitle"/>
          <w:rFonts w:cs="Arial"/>
          <w:i w:val="0"/>
          <w:iCs w:val="0"/>
          <w:smallCaps w:val="0"/>
          <w:spacing w:val="0"/>
        </w:rPr>
        <w:t xml:space="preserve"> </w:t>
      </w:r>
    </w:p>
    <w:p w:rsidR="005F494C" w:rsidRPr="00C37C19" w:rsidRDefault="005F494C" w:rsidP="005F494C">
      <w:pPr>
        <w:pStyle w:val="Heading1"/>
        <w:numPr>
          <w:ilvl w:val="0"/>
          <w:numId w:val="17"/>
        </w:numPr>
        <w:spacing w:before="120" w:after="180"/>
        <w:ind w:left="567" w:hanging="567"/>
      </w:pPr>
      <w:r w:rsidRPr="00C37C19">
        <w:t>The Strengths and Weaknesses of the current system</w:t>
      </w:r>
    </w:p>
    <w:p w:rsidR="005F494C" w:rsidRDefault="005F494C" w:rsidP="005F494C">
      <w:pPr>
        <w:spacing w:before="0" w:after="120"/>
        <w:rPr>
          <w:rStyle w:val="BookTitle"/>
          <w:rFonts w:cs="Arial"/>
          <w:i w:val="0"/>
          <w:iCs w:val="0"/>
          <w:smallCaps w:val="0"/>
          <w:spacing w:val="0"/>
        </w:rPr>
      </w:pPr>
      <w:r>
        <w:rPr>
          <w:rStyle w:val="BookTitle"/>
          <w:rFonts w:cs="Arial"/>
          <w:i w:val="0"/>
          <w:iCs w:val="0"/>
          <w:smallCaps w:val="0"/>
          <w:spacing w:val="0"/>
        </w:rPr>
        <w:t>The feedback about the strengths of the current system was quite consistent across all stakeholder groups. However</w:t>
      </w:r>
      <w:r w:rsidR="001C3469">
        <w:rPr>
          <w:rStyle w:val="BookTitle"/>
          <w:rFonts w:cs="Arial"/>
          <w:i w:val="0"/>
          <w:iCs w:val="0"/>
          <w:smallCaps w:val="0"/>
          <w:spacing w:val="0"/>
        </w:rPr>
        <w:t>,</w:t>
      </w:r>
      <w:r>
        <w:rPr>
          <w:rStyle w:val="BookTitle"/>
          <w:rFonts w:cs="Arial"/>
          <w:i w:val="0"/>
          <w:iCs w:val="0"/>
          <w:smallCaps w:val="0"/>
          <w:spacing w:val="0"/>
        </w:rPr>
        <w:t xml:space="preserve"> feedback about the weaknesses tended to be more diverse, depending on whether it was being provided by disability employment organisations, employers or people with disability, their carers and their families.</w:t>
      </w:r>
    </w:p>
    <w:p w:rsidR="005F494C" w:rsidRPr="00A561ED" w:rsidRDefault="005F494C" w:rsidP="005F494C">
      <w:pPr>
        <w:spacing w:before="180" w:after="120"/>
        <w:rPr>
          <w:rStyle w:val="BookTitle"/>
          <w:rFonts w:cs="Arial"/>
          <w:b/>
          <w:i w:val="0"/>
          <w:iCs w:val="0"/>
          <w:smallCaps w:val="0"/>
          <w:strike/>
          <w:spacing w:val="0"/>
        </w:rPr>
      </w:pPr>
      <w:r w:rsidRPr="001439D1">
        <w:rPr>
          <w:rFonts w:cs="Arial"/>
          <w:spacing w:val="0"/>
        </w:rPr>
        <w:t xml:space="preserve">Throughout the consultation process, in forums and in submissions, there were many and varied criticisms of the current disability employment system. </w:t>
      </w:r>
      <w:r w:rsidR="001C3469">
        <w:rPr>
          <w:rFonts w:cs="Arial"/>
          <w:spacing w:val="0"/>
        </w:rPr>
        <w:t>However, i</w:t>
      </w:r>
      <w:r w:rsidRPr="001439D1">
        <w:rPr>
          <w:rFonts w:cs="Arial"/>
          <w:spacing w:val="0"/>
        </w:rPr>
        <w:t>t should</w:t>
      </w:r>
      <w:r>
        <w:rPr>
          <w:rFonts w:cs="Arial"/>
          <w:spacing w:val="0"/>
        </w:rPr>
        <w:t xml:space="preserve"> </w:t>
      </w:r>
      <w:r w:rsidRPr="001439D1">
        <w:rPr>
          <w:rFonts w:cs="Arial"/>
          <w:spacing w:val="0"/>
        </w:rPr>
        <w:t xml:space="preserve">be noted there was also positive feedback from </w:t>
      </w:r>
      <w:r w:rsidR="003531B8">
        <w:rPr>
          <w:rFonts w:cs="Arial"/>
          <w:spacing w:val="0"/>
        </w:rPr>
        <w:t>some</w:t>
      </w:r>
      <w:r w:rsidR="003531B8" w:rsidRPr="001439D1">
        <w:rPr>
          <w:rFonts w:cs="Arial"/>
          <w:spacing w:val="0"/>
        </w:rPr>
        <w:t xml:space="preserve"> </w:t>
      </w:r>
      <w:r w:rsidRPr="001439D1">
        <w:rPr>
          <w:rFonts w:cs="Arial"/>
          <w:spacing w:val="0"/>
        </w:rPr>
        <w:t>stakeholders about good DES providers who work hard to deliver outcomes for their participants. Submissions from DES providers and their peak organisations illustrated this view by saying there are high performing DES providers, who have mastered the skills and processes required to successfully place and retain job seekers in sustainable, open employment and these skills should be retained.</w:t>
      </w:r>
    </w:p>
    <w:p w:rsidR="005F494C" w:rsidRPr="001439D1" w:rsidRDefault="005F494C" w:rsidP="005F494C">
      <w:pPr>
        <w:spacing w:before="180" w:after="120"/>
        <w:rPr>
          <w:rStyle w:val="BookTitle"/>
          <w:rFonts w:cs="Arial"/>
          <w:i w:val="0"/>
          <w:iCs w:val="0"/>
          <w:smallCaps w:val="0"/>
          <w:spacing w:val="0"/>
        </w:rPr>
      </w:pPr>
      <w:r w:rsidRPr="001439D1">
        <w:rPr>
          <w:rStyle w:val="BookTitle"/>
          <w:rFonts w:cs="Arial"/>
          <w:i w:val="0"/>
          <w:iCs w:val="0"/>
          <w:smallCaps w:val="0"/>
          <w:spacing w:val="0"/>
        </w:rPr>
        <w:t xml:space="preserve">One striking aspect of the consultation was the convergence of views around some key issues: There was </w:t>
      </w:r>
    </w:p>
    <w:p w:rsidR="005F494C" w:rsidRPr="001439D1" w:rsidRDefault="005F494C" w:rsidP="005F494C">
      <w:pPr>
        <w:pStyle w:val="ListParagraph"/>
        <w:numPr>
          <w:ilvl w:val="0"/>
          <w:numId w:val="15"/>
        </w:numPr>
        <w:spacing w:before="180" w:after="120"/>
        <w:ind w:left="567" w:hanging="436"/>
        <w:rPr>
          <w:rStyle w:val="BookTitle"/>
          <w:rFonts w:cs="Arial"/>
          <w:i w:val="0"/>
          <w:iCs w:val="0"/>
          <w:smallCaps w:val="0"/>
          <w:spacing w:val="0"/>
        </w:rPr>
      </w:pPr>
      <w:r w:rsidRPr="001439D1">
        <w:rPr>
          <w:rStyle w:val="BookTitle"/>
          <w:rFonts w:cs="Arial"/>
          <w:i w:val="0"/>
          <w:iCs w:val="0"/>
          <w:smallCaps w:val="0"/>
          <w:spacing w:val="0"/>
        </w:rPr>
        <w:t xml:space="preserve">widespread concern among providers and people with </w:t>
      </w:r>
      <w:r w:rsidR="00B25763">
        <w:rPr>
          <w:rStyle w:val="BookTitle"/>
          <w:rFonts w:cs="Arial"/>
          <w:i w:val="0"/>
          <w:iCs w:val="0"/>
          <w:smallCaps w:val="0"/>
          <w:spacing w:val="0"/>
        </w:rPr>
        <w:t>d</w:t>
      </w:r>
      <w:r w:rsidRPr="001439D1">
        <w:rPr>
          <w:rStyle w:val="BookTitle"/>
          <w:rFonts w:cs="Arial"/>
          <w:i w:val="0"/>
          <w:iCs w:val="0"/>
          <w:smallCaps w:val="0"/>
          <w:spacing w:val="0"/>
        </w:rPr>
        <w:t>isability about the adequacy of the client assessment process;</w:t>
      </w:r>
    </w:p>
    <w:p w:rsidR="005F494C" w:rsidRPr="001439D1" w:rsidRDefault="005F494C" w:rsidP="005F494C">
      <w:pPr>
        <w:pStyle w:val="ListParagraph"/>
        <w:numPr>
          <w:ilvl w:val="0"/>
          <w:numId w:val="15"/>
        </w:numPr>
        <w:spacing w:before="180" w:after="120"/>
        <w:ind w:left="567" w:hanging="436"/>
        <w:rPr>
          <w:rStyle w:val="BookTitle"/>
          <w:rFonts w:cs="Arial"/>
          <w:i w:val="0"/>
          <w:iCs w:val="0"/>
          <w:smallCaps w:val="0"/>
          <w:spacing w:val="0"/>
        </w:rPr>
      </w:pPr>
      <w:r w:rsidRPr="001439D1">
        <w:rPr>
          <w:rStyle w:val="BookTitle"/>
          <w:rFonts w:cs="Arial"/>
          <w:i w:val="0"/>
          <w:iCs w:val="0"/>
          <w:smallCaps w:val="0"/>
          <w:spacing w:val="0"/>
        </w:rPr>
        <w:t>concern from providers about red tape and the performance framework which were said to drive poor practices;</w:t>
      </w:r>
    </w:p>
    <w:p w:rsidR="005F494C" w:rsidRPr="001439D1" w:rsidRDefault="005F494C" w:rsidP="005F494C">
      <w:pPr>
        <w:pStyle w:val="ListParagraph"/>
        <w:numPr>
          <w:ilvl w:val="0"/>
          <w:numId w:val="15"/>
        </w:numPr>
        <w:spacing w:before="180" w:after="120"/>
        <w:ind w:left="567" w:hanging="436"/>
        <w:rPr>
          <w:rStyle w:val="BookTitle"/>
          <w:rFonts w:cs="Arial"/>
          <w:i w:val="0"/>
          <w:iCs w:val="0"/>
          <w:smallCaps w:val="0"/>
          <w:spacing w:val="0"/>
        </w:rPr>
      </w:pPr>
      <w:r w:rsidRPr="001439D1">
        <w:rPr>
          <w:rStyle w:val="BookTitle"/>
          <w:rFonts w:cs="Arial"/>
          <w:i w:val="0"/>
          <w:iCs w:val="0"/>
          <w:smallCaps w:val="0"/>
          <w:spacing w:val="0"/>
        </w:rPr>
        <w:t>strong support for an individually focused approach around the principle of career planning; and</w:t>
      </w:r>
    </w:p>
    <w:p w:rsidR="005F494C" w:rsidRPr="001439D1" w:rsidRDefault="005F494C" w:rsidP="005F494C">
      <w:pPr>
        <w:pStyle w:val="ListParagraph"/>
        <w:numPr>
          <w:ilvl w:val="0"/>
          <w:numId w:val="15"/>
        </w:numPr>
        <w:spacing w:before="180" w:after="120"/>
        <w:ind w:left="567" w:hanging="436"/>
        <w:rPr>
          <w:rStyle w:val="BookTitle"/>
          <w:rFonts w:cs="Arial"/>
          <w:i w:val="0"/>
          <w:iCs w:val="0"/>
          <w:smallCaps w:val="0"/>
          <w:spacing w:val="0"/>
        </w:rPr>
      </w:pPr>
      <w:proofErr w:type="gramStart"/>
      <w:r w:rsidRPr="001439D1">
        <w:rPr>
          <w:rStyle w:val="BookTitle"/>
          <w:rFonts w:cs="Arial"/>
          <w:i w:val="0"/>
          <w:iCs w:val="0"/>
          <w:smallCaps w:val="0"/>
          <w:spacing w:val="0"/>
        </w:rPr>
        <w:t>a</w:t>
      </w:r>
      <w:proofErr w:type="gramEnd"/>
      <w:r w:rsidRPr="001439D1">
        <w:rPr>
          <w:rStyle w:val="BookTitle"/>
          <w:rFonts w:cs="Arial"/>
          <w:i w:val="0"/>
          <w:iCs w:val="0"/>
          <w:smallCaps w:val="0"/>
          <w:spacing w:val="0"/>
        </w:rPr>
        <w:t xml:space="preserve"> strong desire from all stakeholders to see more people with disability in employment.</w:t>
      </w:r>
    </w:p>
    <w:p w:rsidR="005F494C" w:rsidRPr="001439D1" w:rsidRDefault="005F494C" w:rsidP="005F494C">
      <w:pPr>
        <w:spacing w:before="180" w:after="120"/>
        <w:rPr>
          <w:rStyle w:val="BookTitle"/>
          <w:rFonts w:cs="Arial"/>
          <w:i w:val="0"/>
          <w:iCs w:val="0"/>
          <w:smallCaps w:val="0"/>
          <w:spacing w:val="0"/>
        </w:rPr>
      </w:pPr>
      <w:r w:rsidRPr="001439D1">
        <w:rPr>
          <w:rStyle w:val="BookTitle"/>
          <w:rFonts w:cs="Arial"/>
          <w:i w:val="0"/>
          <w:iCs w:val="0"/>
          <w:smallCaps w:val="0"/>
          <w:spacing w:val="0"/>
        </w:rPr>
        <w:t>These views provide a strong base on which to progress reform for a better system of support.</w:t>
      </w:r>
    </w:p>
    <w:p w:rsidR="005F494C" w:rsidRDefault="005F494C" w:rsidP="005F494C">
      <w:pPr>
        <w:spacing w:before="0" w:after="200" w:line="276" w:lineRule="auto"/>
        <w:rPr>
          <w:rStyle w:val="BookTitle"/>
          <w:rFonts w:cs="Arial"/>
          <w:i w:val="0"/>
          <w:iCs w:val="0"/>
          <w:smallCaps w:val="0"/>
          <w:spacing w:val="0"/>
        </w:rPr>
      </w:pPr>
      <w:r>
        <w:rPr>
          <w:rStyle w:val="BookTitle"/>
          <w:rFonts w:cs="Arial"/>
          <w:i w:val="0"/>
          <w:iCs w:val="0"/>
          <w:smallCaps w:val="0"/>
          <w:spacing w:val="0"/>
        </w:rPr>
        <w:br w:type="page"/>
      </w:r>
    </w:p>
    <w:p w:rsidR="005F494C" w:rsidRPr="00C37C19" w:rsidRDefault="005F494C" w:rsidP="00FE77F6">
      <w:pPr>
        <w:pStyle w:val="Heading2"/>
        <w:spacing w:before="180"/>
        <w:ind w:left="425" w:hanging="425"/>
      </w:pPr>
      <w:r w:rsidRPr="00C37C19">
        <w:lastRenderedPageBreak/>
        <w:t>4.1</w:t>
      </w:r>
      <w:r w:rsidR="00B25763">
        <w:tab/>
      </w:r>
      <w:r w:rsidR="00B25763">
        <w:tab/>
      </w:r>
      <w:r w:rsidRPr="00C37C19">
        <w:t>Employment Services Assessments and Job Capacity Assessments</w:t>
      </w:r>
    </w:p>
    <w:p w:rsidR="005F494C" w:rsidRDefault="005F494C" w:rsidP="00FE77F6">
      <w:pPr>
        <w:spacing w:before="180" w:after="120"/>
        <w:rPr>
          <w:rFonts w:cs="Arial"/>
          <w:spacing w:val="0"/>
        </w:rPr>
      </w:pPr>
      <w:r>
        <w:rPr>
          <w:rFonts w:cs="Arial"/>
          <w:spacing w:val="0"/>
        </w:rPr>
        <w:t>Providers and people with disability expressed</w:t>
      </w:r>
      <w:r w:rsidRPr="00545736">
        <w:rPr>
          <w:rFonts w:cs="Arial"/>
          <w:spacing w:val="0"/>
        </w:rPr>
        <w:t xml:space="preserve"> widespread, almost universal</w:t>
      </w:r>
      <w:r>
        <w:rPr>
          <w:rFonts w:cs="Arial"/>
          <w:spacing w:val="0"/>
        </w:rPr>
        <w:t>,</w:t>
      </w:r>
      <w:r w:rsidRPr="00545736">
        <w:rPr>
          <w:rFonts w:cs="Arial"/>
          <w:spacing w:val="0"/>
        </w:rPr>
        <w:t xml:space="preserve"> concern about Employment Services</w:t>
      </w:r>
      <w:r w:rsidR="00B25763" w:rsidRPr="00AC023B">
        <w:rPr>
          <w:rFonts w:cs="Arial"/>
          <w:spacing w:val="0"/>
        </w:rPr>
        <w:t xml:space="preserve"> </w:t>
      </w:r>
      <w:r w:rsidRPr="00545736">
        <w:rPr>
          <w:rFonts w:cs="Arial"/>
          <w:spacing w:val="0"/>
        </w:rPr>
        <w:t>Assessments (</w:t>
      </w:r>
      <w:proofErr w:type="spellStart"/>
      <w:r w:rsidRPr="00545736">
        <w:rPr>
          <w:rFonts w:cs="Arial"/>
          <w:spacing w:val="0"/>
        </w:rPr>
        <w:t>ESAts</w:t>
      </w:r>
      <w:proofErr w:type="spellEnd"/>
      <w:r w:rsidRPr="00545736">
        <w:rPr>
          <w:rFonts w:cs="Arial"/>
          <w:spacing w:val="0"/>
        </w:rPr>
        <w:t>)</w:t>
      </w:r>
      <w:r>
        <w:rPr>
          <w:rFonts w:cs="Arial"/>
          <w:spacing w:val="0"/>
        </w:rPr>
        <w:t xml:space="preserve"> and Job Capacity Assessments (JCAs)</w:t>
      </w:r>
      <w:r w:rsidRPr="00545736">
        <w:rPr>
          <w:rFonts w:cs="Arial"/>
          <w:spacing w:val="0"/>
        </w:rPr>
        <w:t xml:space="preserve">, including consistent feedback that </w:t>
      </w:r>
      <w:r>
        <w:rPr>
          <w:rFonts w:cs="Arial"/>
          <w:spacing w:val="0"/>
        </w:rPr>
        <w:t>they</w:t>
      </w:r>
      <w:r w:rsidRPr="00545736">
        <w:rPr>
          <w:rFonts w:cs="Arial"/>
          <w:spacing w:val="0"/>
        </w:rPr>
        <w:t xml:space="preserve"> often refer people with disability to </w:t>
      </w:r>
      <w:r w:rsidR="00B25763">
        <w:rPr>
          <w:rFonts w:cs="Arial"/>
          <w:spacing w:val="0"/>
        </w:rPr>
        <w:t>inappropriate</w:t>
      </w:r>
      <w:r w:rsidRPr="00545736">
        <w:rPr>
          <w:rFonts w:cs="Arial"/>
          <w:spacing w:val="0"/>
        </w:rPr>
        <w:t xml:space="preserve"> service</w:t>
      </w:r>
      <w:r w:rsidR="00B25763">
        <w:rPr>
          <w:rFonts w:cs="Arial"/>
          <w:spacing w:val="0"/>
        </w:rPr>
        <w:t>s</w:t>
      </w:r>
      <w:r w:rsidRPr="00545736">
        <w:rPr>
          <w:rFonts w:cs="Arial"/>
          <w:spacing w:val="0"/>
        </w:rPr>
        <w:t xml:space="preserve">. </w:t>
      </w:r>
      <w:r>
        <w:rPr>
          <w:rFonts w:cs="Arial"/>
          <w:spacing w:val="0"/>
        </w:rPr>
        <w:t>There was also comment that the ‘b</w:t>
      </w:r>
      <w:r w:rsidRPr="001378FB">
        <w:rPr>
          <w:rFonts w:cs="Arial"/>
          <w:spacing w:val="0"/>
        </w:rPr>
        <w:t>enchmark hours</w:t>
      </w:r>
      <w:r>
        <w:rPr>
          <w:rFonts w:cs="Arial"/>
          <w:spacing w:val="0"/>
        </w:rPr>
        <w:t>’ assessment is confusing and often does not accurately reflect a participants work capacity.</w:t>
      </w:r>
    </w:p>
    <w:p w:rsidR="005F494C" w:rsidRDefault="005F494C" w:rsidP="005F494C">
      <w:pPr>
        <w:spacing w:before="180" w:after="120"/>
        <w:rPr>
          <w:rFonts w:cs="Arial"/>
          <w:spacing w:val="0"/>
        </w:rPr>
      </w:pPr>
      <w:r>
        <w:rPr>
          <w:rFonts w:cs="Arial"/>
          <w:spacing w:val="0"/>
        </w:rPr>
        <w:t xml:space="preserve">There was criticism about how </w:t>
      </w:r>
      <w:proofErr w:type="spellStart"/>
      <w:r>
        <w:rPr>
          <w:rFonts w:cs="Arial"/>
          <w:spacing w:val="0"/>
        </w:rPr>
        <w:t>ESAts</w:t>
      </w:r>
      <w:proofErr w:type="spellEnd"/>
      <w:r>
        <w:rPr>
          <w:rFonts w:cs="Arial"/>
          <w:spacing w:val="0"/>
        </w:rPr>
        <w:t xml:space="preserve"> and JCAs are managed by the Department of Human Services, including waiting times, assessment not being undertaken face</w:t>
      </w:r>
      <w:r>
        <w:rPr>
          <w:rFonts w:cs="Arial"/>
          <w:spacing w:val="0"/>
        </w:rPr>
        <w:noBreakHyphen/>
        <w:t>to</w:t>
      </w:r>
      <w:r>
        <w:rPr>
          <w:rFonts w:cs="Arial"/>
          <w:spacing w:val="0"/>
        </w:rPr>
        <w:noBreakHyphen/>
        <w:t xml:space="preserve">face and assessment completed by assessors whose qualifications are not related to the participant’s disability. </w:t>
      </w:r>
    </w:p>
    <w:p w:rsidR="005F494C" w:rsidRDefault="005F494C" w:rsidP="005F494C">
      <w:pPr>
        <w:spacing w:before="180" w:after="120"/>
        <w:rPr>
          <w:rFonts w:cs="Arial"/>
          <w:spacing w:val="0"/>
        </w:rPr>
      </w:pPr>
      <w:r w:rsidRPr="00545736">
        <w:rPr>
          <w:rFonts w:cs="Arial"/>
          <w:spacing w:val="0"/>
        </w:rPr>
        <w:t xml:space="preserve">There was a </w:t>
      </w:r>
      <w:r>
        <w:rPr>
          <w:rFonts w:cs="Arial"/>
          <w:spacing w:val="0"/>
        </w:rPr>
        <w:t xml:space="preserve">strong </w:t>
      </w:r>
      <w:r w:rsidRPr="00545736">
        <w:rPr>
          <w:rFonts w:cs="Arial"/>
          <w:spacing w:val="0"/>
        </w:rPr>
        <w:t xml:space="preserve">view that an assessment process should </w:t>
      </w:r>
      <w:r w:rsidR="00B25763">
        <w:rPr>
          <w:rFonts w:cs="Arial"/>
          <w:spacing w:val="0"/>
        </w:rPr>
        <w:t xml:space="preserve">include career planning, </w:t>
      </w:r>
      <w:r w:rsidRPr="00545736">
        <w:rPr>
          <w:rFonts w:cs="Arial"/>
          <w:spacing w:val="0"/>
        </w:rPr>
        <w:t xml:space="preserve">be </w:t>
      </w:r>
      <w:r w:rsidR="00B25763">
        <w:rPr>
          <w:rFonts w:cs="Arial"/>
          <w:spacing w:val="0"/>
        </w:rPr>
        <w:t xml:space="preserve">more holistic, strengths-based and </w:t>
      </w:r>
      <w:r w:rsidRPr="00545736">
        <w:rPr>
          <w:rFonts w:cs="Arial"/>
          <w:spacing w:val="0"/>
        </w:rPr>
        <w:t>tailored to the individual</w:t>
      </w:r>
      <w:r w:rsidR="00B25763">
        <w:rPr>
          <w:rFonts w:cs="Arial"/>
          <w:spacing w:val="0"/>
        </w:rPr>
        <w:t>.</w:t>
      </w:r>
    </w:p>
    <w:p w:rsidR="005F494C" w:rsidRPr="00C37C19" w:rsidRDefault="005F494C" w:rsidP="005F494C">
      <w:pPr>
        <w:pStyle w:val="ListParagraph"/>
        <w:numPr>
          <w:ilvl w:val="1"/>
          <w:numId w:val="17"/>
        </w:numPr>
        <w:spacing w:before="180" w:after="120"/>
        <w:rPr>
          <w:rFonts w:ascii="Georgia" w:eastAsiaTheme="majorEastAsia" w:hAnsi="Georgia" w:cstheme="majorBidi"/>
          <w:bCs/>
          <w:color w:val="275D38"/>
          <w:sz w:val="32"/>
          <w:szCs w:val="26"/>
        </w:rPr>
      </w:pPr>
      <w:r w:rsidRPr="00C37C19">
        <w:rPr>
          <w:rFonts w:ascii="Georgia" w:eastAsiaTheme="majorEastAsia" w:hAnsi="Georgia" w:cstheme="majorBidi"/>
          <w:bCs/>
          <w:color w:val="275D38"/>
          <w:sz w:val="32"/>
          <w:szCs w:val="26"/>
        </w:rPr>
        <w:t>St</w:t>
      </w:r>
      <w:r>
        <w:rPr>
          <w:rFonts w:ascii="Georgia" w:eastAsiaTheme="majorEastAsia" w:hAnsi="Georgia" w:cstheme="majorBidi"/>
          <w:bCs/>
          <w:color w:val="275D38"/>
          <w:sz w:val="32"/>
          <w:szCs w:val="26"/>
        </w:rPr>
        <w:t>r</w:t>
      </w:r>
      <w:r w:rsidRPr="00C37C19">
        <w:rPr>
          <w:rFonts w:ascii="Georgia" w:eastAsiaTheme="majorEastAsia" w:hAnsi="Georgia" w:cstheme="majorBidi"/>
          <w:bCs/>
          <w:color w:val="275D38"/>
          <w:sz w:val="32"/>
          <w:szCs w:val="26"/>
        </w:rPr>
        <w:t>engths of D</w:t>
      </w:r>
      <w:r w:rsidR="003531B8">
        <w:rPr>
          <w:rFonts w:ascii="Georgia" w:eastAsiaTheme="majorEastAsia" w:hAnsi="Georgia" w:cstheme="majorBidi"/>
          <w:bCs/>
          <w:color w:val="275D38"/>
          <w:sz w:val="32"/>
          <w:szCs w:val="26"/>
        </w:rPr>
        <w:t xml:space="preserve">isability </w:t>
      </w:r>
      <w:r w:rsidRPr="00C37C19">
        <w:rPr>
          <w:rFonts w:ascii="Georgia" w:eastAsiaTheme="majorEastAsia" w:hAnsi="Georgia" w:cstheme="majorBidi"/>
          <w:bCs/>
          <w:color w:val="275D38"/>
          <w:sz w:val="32"/>
          <w:szCs w:val="26"/>
        </w:rPr>
        <w:t>E</w:t>
      </w:r>
      <w:r w:rsidR="003531B8">
        <w:rPr>
          <w:rFonts w:ascii="Georgia" w:eastAsiaTheme="majorEastAsia" w:hAnsi="Georgia" w:cstheme="majorBidi"/>
          <w:bCs/>
          <w:color w:val="275D38"/>
          <w:sz w:val="32"/>
          <w:szCs w:val="26"/>
        </w:rPr>
        <w:t xml:space="preserve">mployment </w:t>
      </w:r>
      <w:r w:rsidRPr="00C37C19">
        <w:rPr>
          <w:rFonts w:ascii="Georgia" w:eastAsiaTheme="majorEastAsia" w:hAnsi="Georgia" w:cstheme="majorBidi"/>
          <w:bCs/>
          <w:color w:val="275D38"/>
          <w:sz w:val="32"/>
          <w:szCs w:val="26"/>
        </w:rPr>
        <w:t>S</w:t>
      </w:r>
      <w:r w:rsidR="003531B8">
        <w:rPr>
          <w:rFonts w:ascii="Georgia" w:eastAsiaTheme="majorEastAsia" w:hAnsi="Georgia" w:cstheme="majorBidi"/>
          <w:bCs/>
          <w:color w:val="275D38"/>
          <w:sz w:val="32"/>
          <w:szCs w:val="26"/>
        </w:rPr>
        <w:t>ervices</w:t>
      </w:r>
    </w:p>
    <w:p w:rsidR="005F494C" w:rsidRPr="00C37C19" w:rsidRDefault="005F494C" w:rsidP="00FE77F6">
      <w:pPr>
        <w:spacing w:before="180" w:after="120"/>
        <w:ind w:left="142"/>
        <w:rPr>
          <w:rStyle w:val="BookTitle"/>
          <w:rFonts w:cs="Arial"/>
          <w:i w:val="0"/>
          <w:iCs w:val="0"/>
          <w:smallCaps w:val="0"/>
          <w:spacing w:val="0"/>
        </w:rPr>
      </w:pPr>
      <w:r w:rsidRPr="00C37C19">
        <w:rPr>
          <w:rStyle w:val="BookTitle"/>
          <w:rFonts w:cs="Arial"/>
          <w:i w:val="0"/>
          <w:iCs w:val="0"/>
          <w:smallCaps w:val="0"/>
          <w:spacing w:val="0"/>
        </w:rPr>
        <w:t xml:space="preserve">The following elements of </w:t>
      </w:r>
      <w:r w:rsidR="003531B8">
        <w:rPr>
          <w:rStyle w:val="BookTitle"/>
          <w:rFonts w:cs="Arial"/>
          <w:i w:val="0"/>
          <w:iCs w:val="0"/>
          <w:smallCaps w:val="0"/>
          <w:spacing w:val="0"/>
        </w:rPr>
        <w:t>Disability Employment Services (DES)</w:t>
      </w:r>
      <w:r w:rsidRPr="00C37C19">
        <w:rPr>
          <w:rStyle w:val="BookTitle"/>
          <w:rFonts w:cs="Arial"/>
          <w:i w:val="0"/>
          <w:iCs w:val="0"/>
          <w:smallCaps w:val="0"/>
          <w:spacing w:val="0"/>
        </w:rPr>
        <w:t xml:space="preserve"> were consistently put forward in forums and in submissions as strengths of the current system that should be retained, noting that in most cases there was </w:t>
      </w:r>
      <w:r w:rsidR="00AC023B">
        <w:rPr>
          <w:rStyle w:val="BookTitle"/>
          <w:rFonts w:cs="Arial"/>
          <w:i w:val="0"/>
          <w:iCs w:val="0"/>
          <w:smallCaps w:val="0"/>
          <w:spacing w:val="0"/>
        </w:rPr>
        <w:t xml:space="preserve">also </w:t>
      </w:r>
      <w:r w:rsidRPr="00C37C19">
        <w:rPr>
          <w:rStyle w:val="BookTitle"/>
          <w:rFonts w:cs="Arial"/>
          <w:i w:val="0"/>
          <w:iCs w:val="0"/>
          <w:smallCaps w:val="0"/>
          <w:spacing w:val="0"/>
        </w:rPr>
        <w:t>discussion about how the elements could be improved.</w:t>
      </w:r>
    </w:p>
    <w:p w:rsidR="005F494C" w:rsidRPr="00C37C19" w:rsidRDefault="005F494C" w:rsidP="00FE77F6">
      <w:pPr>
        <w:pStyle w:val="Heading2"/>
        <w:spacing w:before="180"/>
        <w:ind w:left="425" w:hanging="425"/>
        <w:rPr>
          <w:sz w:val="28"/>
          <w:szCs w:val="28"/>
        </w:rPr>
      </w:pPr>
      <w:r w:rsidRPr="00C37C19">
        <w:rPr>
          <w:sz w:val="28"/>
          <w:szCs w:val="28"/>
        </w:rPr>
        <w:t>Ongoing Support</w:t>
      </w:r>
    </w:p>
    <w:p w:rsidR="005F494C" w:rsidRDefault="005F494C" w:rsidP="00FE77F6">
      <w:pPr>
        <w:spacing w:before="180" w:after="120"/>
        <w:rPr>
          <w:rStyle w:val="BookTitle"/>
          <w:rFonts w:cs="Arial"/>
          <w:i w:val="0"/>
          <w:iCs w:val="0"/>
          <w:smallCaps w:val="0"/>
          <w:spacing w:val="0"/>
        </w:rPr>
      </w:pPr>
      <w:r>
        <w:rPr>
          <w:rStyle w:val="BookTitle"/>
          <w:rFonts w:cs="Arial"/>
          <w:i w:val="0"/>
          <w:iCs w:val="0"/>
          <w:smallCaps w:val="0"/>
          <w:spacing w:val="0"/>
        </w:rPr>
        <w:t>T</w:t>
      </w:r>
      <w:r w:rsidRPr="000220E5">
        <w:rPr>
          <w:rStyle w:val="BookTitle"/>
          <w:rFonts w:cs="Arial"/>
          <w:i w:val="0"/>
          <w:iCs w:val="0"/>
          <w:smallCaps w:val="0"/>
          <w:spacing w:val="0"/>
        </w:rPr>
        <w:t xml:space="preserve">he </w:t>
      </w:r>
      <w:r>
        <w:rPr>
          <w:rStyle w:val="BookTitle"/>
          <w:rFonts w:cs="Arial"/>
          <w:i w:val="0"/>
          <w:iCs w:val="0"/>
          <w:smallCaps w:val="0"/>
          <w:spacing w:val="0"/>
        </w:rPr>
        <w:t>o</w:t>
      </w:r>
      <w:r w:rsidRPr="000220E5">
        <w:rPr>
          <w:rStyle w:val="BookTitle"/>
          <w:rFonts w:cs="Arial"/>
          <w:i w:val="0"/>
          <w:iCs w:val="0"/>
          <w:smallCaps w:val="0"/>
          <w:spacing w:val="0"/>
        </w:rPr>
        <w:t xml:space="preserve">ngoing </w:t>
      </w:r>
      <w:r>
        <w:rPr>
          <w:rStyle w:val="BookTitle"/>
          <w:rFonts w:cs="Arial"/>
          <w:i w:val="0"/>
          <w:iCs w:val="0"/>
          <w:smallCaps w:val="0"/>
          <w:spacing w:val="0"/>
        </w:rPr>
        <w:t>s</w:t>
      </w:r>
      <w:r w:rsidRPr="000220E5">
        <w:rPr>
          <w:rStyle w:val="BookTitle"/>
          <w:rFonts w:cs="Arial"/>
          <w:i w:val="0"/>
          <w:iCs w:val="0"/>
          <w:smallCaps w:val="0"/>
          <w:spacing w:val="0"/>
        </w:rPr>
        <w:t xml:space="preserve">upport element of DES was seen as a ‘cornerstone’ of the current system and ‘one of its key defining features’. </w:t>
      </w:r>
      <w:r>
        <w:rPr>
          <w:rStyle w:val="BookTitle"/>
          <w:rFonts w:cs="Arial"/>
          <w:i w:val="0"/>
          <w:iCs w:val="0"/>
          <w:smallCaps w:val="0"/>
          <w:spacing w:val="0"/>
        </w:rPr>
        <w:t>While t</w:t>
      </w:r>
      <w:r w:rsidRPr="000220E5">
        <w:rPr>
          <w:rStyle w:val="BookTitle"/>
          <w:rFonts w:cs="Arial"/>
          <w:i w:val="0"/>
          <w:iCs w:val="0"/>
          <w:smallCaps w:val="0"/>
          <w:spacing w:val="0"/>
        </w:rPr>
        <w:t xml:space="preserve">here was universal agreement that </w:t>
      </w:r>
      <w:r w:rsidR="003531B8">
        <w:rPr>
          <w:rStyle w:val="BookTitle"/>
          <w:rFonts w:cs="Arial"/>
          <w:i w:val="0"/>
          <w:iCs w:val="0"/>
          <w:smallCaps w:val="0"/>
          <w:spacing w:val="0"/>
        </w:rPr>
        <w:t>o</w:t>
      </w:r>
      <w:r w:rsidR="003531B8" w:rsidRPr="000220E5">
        <w:rPr>
          <w:rStyle w:val="BookTitle"/>
          <w:rFonts w:cs="Arial"/>
          <w:i w:val="0"/>
          <w:iCs w:val="0"/>
          <w:smallCaps w:val="0"/>
          <w:spacing w:val="0"/>
        </w:rPr>
        <w:t xml:space="preserve">ngoing </w:t>
      </w:r>
      <w:r w:rsidR="003531B8">
        <w:rPr>
          <w:rStyle w:val="BookTitle"/>
          <w:rFonts w:cs="Arial"/>
          <w:i w:val="0"/>
          <w:iCs w:val="0"/>
          <w:smallCaps w:val="0"/>
          <w:spacing w:val="0"/>
        </w:rPr>
        <w:t>s</w:t>
      </w:r>
      <w:r w:rsidRPr="000220E5">
        <w:rPr>
          <w:rStyle w:val="BookTitle"/>
          <w:rFonts w:cs="Arial"/>
          <w:i w:val="0"/>
          <w:iCs w:val="0"/>
          <w:smallCaps w:val="0"/>
          <w:spacing w:val="0"/>
        </w:rPr>
        <w:t xml:space="preserve">upport should be retained, there were numerous </w:t>
      </w:r>
      <w:r>
        <w:rPr>
          <w:rStyle w:val="BookTitle"/>
          <w:rFonts w:cs="Arial"/>
          <w:i w:val="0"/>
          <w:iCs w:val="0"/>
          <w:smallCaps w:val="0"/>
          <w:spacing w:val="0"/>
        </w:rPr>
        <w:t xml:space="preserve">suggestions </w:t>
      </w:r>
      <w:r w:rsidRPr="000220E5">
        <w:rPr>
          <w:rStyle w:val="BookTitle"/>
          <w:rFonts w:cs="Arial"/>
          <w:i w:val="0"/>
          <w:iCs w:val="0"/>
          <w:smallCaps w:val="0"/>
          <w:spacing w:val="0"/>
        </w:rPr>
        <w:t xml:space="preserve">about how it could be improved to provide better support. </w:t>
      </w:r>
      <w:r>
        <w:rPr>
          <w:rStyle w:val="BookTitle"/>
          <w:rFonts w:cs="Arial"/>
          <w:i w:val="0"/>
          <w:iCs w:val="0"/>
          <w:smallCaps w:val="0"/>
          <w:spacing w:val="0"/>
        </w:rPr>
        <w:t>These comments included the need</w:t>
      </w:r>
      <w:r w:rsidRPr="00F67CC2">
        <w:rPr>
          <w:rStyle w:val="BookTitle"/>
          <w:rFonts w:cs="Arial"/>
          <w:i w:val="0"/>
          <w:iCs w:val="0"/>
          <w:smallCaps w:val="0"/>
          <w:spacing w:val="0"/>
        </w:rPr>
        <w:t xml:space="preserve"> for</w:t>
      </w:r>
      <w:r>
        <w:rPr>
          <w:rStyle w:val="BookTitle"/>
          <w:rFonts w:cs="Arial"/>
          <w:i w:val="0"/>
          <w:iCs w:val="0"/>
          <w:smallCaps w:val="0"/>
          <w:spacing w:val="0"/>
        </w:rPr>
        <w:t>:</w:t>
      </w:r>
    </w:p>
    <w:p w:rsidR="005F494C" w:rsidRDefault="005F494C" w:rsidP="005F494C">
      <w:pPr>
        <w:pStyle w:val="ListParagraph"/>
        <w:numPr>
          <w:ilvl w:val="0"/>
          <w:numId w:val="12"/>
        </w:numPr>
        <w:spacing w:before="0" w:after="0"/>
        <w:ind w:left="567" w:hanging="425"/>
        <w:rPr>
          <w:rStyle w:val="BookTitle"/>
          <w:rFonts w:cs="Arial"/>
          <w:i w:val="0"/>
          <w:iCs w:val="0"/>
          <w:smallCaps w:val="0"/>
          <w:spacing w:val="0"/>
        </w:rPr>
      </w:pPr>
      <w:r w:rsidRPr="00F67CC2">
        <w:rPr>
          <w:rStyle w:val="BookTitle"/>
          <w:rFonts w:cs="Arial"/>
          <w:i w:val="0"/>
          <w:iCs w:val="0"/>
          <w:smallCaps w:val="0"/>
          <w:spacing w:val="0"/>
        </w:rPr>
        <w:t xml:space="preserve">more flexibility, particularly where the effects of disability can change over </w:t>
      </w:r>
      <w:r>
        <w:rPr>
          <w:rStyle w:val="BookTitle"/>
          <w:rFonts w:cs="Arial"/>
          <w:i w:val="0"/>
          <w:iCs w:val="0"/>
          <w:smallCaps w:val="0"/>
          <w:spacing w:val="0"/>
        </w:rPr>
        <w:t>time;</w:t>
      </w:r>
    </w:p>
    <w:p w:rsidR="005F494C" w:rsidRDefault="005F494C" w:rsidP="005F494C">
      <w:pPr>
        <w:pStyle w:val="ListParagraph"/>
        <w:numPr>
          <w:ilvl w:val="0"/>
          <w:numId w:val="12"/>
        </w:numPr>
        <w:spacing w:before="0" w:after="0"/>
        <w:ind w:left="567" w:hanging="425"/>
        <w:rPr>
          <w:rStyle w:val="BookTitle"/>
          <w:rFonts w:cs="Arial"/>
          <w:i w:val="0"/>
          <w:iCs w:val="0"/>
          <w:smallCaps w:val="0"/>
          <w:spacing w:val="0"/>
        </w:rPr>
      </w:pPr>
      <w:r w:rsidRPr="00F67CC2">
        <w:rPr>
          <w:rStyle w:val="BookTitle"/>
          <w:rFonts w:cs="Arial"/>
          <w:i w:val="0"/>
          <w:iCs w:val="0"/>
          <w:smallCaps w:val="0"/>
          <w:spacing w:val="0"/>
        </w:rPr>
        <w:t>specific support for people with mental illness, to accommodate the episodic nature of their condition</w:t>
      </w:r>
      <w:r>
        <w:rPr>
          <w:rStyle w:val="BookTitle"/>
          <w:rFonts w:cs="Arial"/>
          <w:i w:val="0"/>
          <w:iCs w:val="0"/>
          <w:smallCaps w:val="0"/>
          <w:spacing w:val="0"/>
        </w:rPr>
        <w:t>; and</w:t>
      </w:r>
    </w:p>
    <w:p w:rsidR="005F494C" w:rsidRDefault="005F494C" w:rsidP="005F494C">
      <w:pPr>
        <w:pStyle w:val="ListParagraph"/>
        <w:numPr>
          <w:ilvl w:val="0"/>
          <w:numId w:val="12"/>
        </w:numPr>
        <w:spacing w:before="0" w:after="0"/>
        <w:ind w:left="567" w:hanging="425"/>
        <w:rPr>
          <w:rStyle w:val="BookTitle"/>
          <w:rFonts w:cs="Arial"/>
          <w:i w:val="0"/>
          <w:iCs w:val="0"/>
          <w:smallCaps w:val="0"/>
          <w:spacing w:val="0"/>
        </w:rPr>
      </w:pPr>
      <w:proofErr w:type="gramStart"/>
      <w:r>
        <w:rPr>
          <w:rStyle w:val="BookTitle"/>
          <w:rFonts w:cs="Arial"/>
          <w:i w:val="0"/>
          <w:iCs w:val="0"/>
          <w:smallCaps w:val="0"/>
          <w:spacing w:val="0"/>
        </w:rPr>
        <w:t>support</w:t>
      </w:r>
      <w:proofErr w:type="gramEnd"/>
      <w:r>
        <w:rPr>
          <w:rStyle w:val="BookTitle"/>
          <w:rFonts w:cs="Arial"/>
          <w:i w:val="0"/>
          <w:iCs w:val="0"/>
          <w:smallCaps w:val="0"/>
          <w:spacing w:val="0"/>
        </w:rPr>
        <w:t xml:space="preserve"> to be delivered based on the needs of both the employer and the employee.</w:t>
      </w:r>
    </w:p>
    <w:p w:rsidR="005F494C" w:rsidRPr="00C37C19" w:rsidRDefault="005F494C" w:rsidP="005F494C">
      <w:pPr>
        <w:pStyle w:val="Heading2"/>
        <w:spacing w:before="120"/>
        <w:ind w:left="425" w:hanging="425"/>
        <w:rPr>
          <w:sz w:val="28"/>
          <w:szCs w:val="28"/>
        </w:rPr>
      </w:pPr>
      <w:r w:rsidRPr="00C37C19">
        <w:rPr>
          <w:sz w:val="28"/>
          <w:szCs w:val="28"/>
        </w:rPr>
        <w:t xml:space="preserve">Job in Jeopardy Assistance </w:t>
      </w:r>
    </w:p>
    <w:p w:rsidR="005F494C" w:rsidRDefault="005F494C" w:rsidP="005F494C">
      <w:pPr>
        <w:spacing w:after="120"/>
        <w:rPr>
          <w:rStyle w:val="BookTitle"/>
          <w:rFonts w:cs="Arial"/>
          <w:i w:val="0"/>
          <w:iCs w:val="0"/>
          <w:smallCaps w:val="0"/>
          <w:spacing w:val="0"/>
        </w:rPr>
      </w:pPr>
      <w:r>
        <w:rPr>
          <w:rStyle w:val="BookTitle"/>
          <w:rFonts w:cs="Arial"/>
          <w:i w:val="0"/>
          <w:iCs w:val="0"/>
          <w:smallCaps w:val="0"/>
          <w:spacing w:val="0"/>
        </w:rPr>
        <w:t>J</w:t>
      </w:r>
      <w:r w:rsidRPr="000220E5">
        <w:rPr>
          <w:rStyle w:val="BookTitle"/>
          <w:rFonts w:cs="Arial"/>
          <w:i w:val="0"/>
          <w:iCs w:val="0"/>
          <w:smallCaps w:val="0"/>
          <w:spacing w:val="0"/>
        </w:rPr>
        <w:t xml:space="preserve">ob in Jeopardy </w:t>
      </w:r>
      <w:r>
        <w:rPr>
          <w:rStyle w:val="BookTitle"/>
          <w:rFonts w:cs="Arial"/>
          <w:i w:val="0"/>
          <w:iCs w:val="0"/>
          <w:smallCaps w:val="0"/>
          <w:spacing w:val="0"/>
        </w:rPr>
        <w:t xml:space="preserve">Assistance </w:t>
      </w:r>
      <w:r w:rsidRPr="000220E5">
        <w:rPr>
          <w:rStyle w:val="BookTitle"/>
          <w:rFonts w:cs="Arial"/>
          <w:i w:val="0"/>
          <w:iCs w:val="0"/>
          <w:smallCaps w:val="0"/>
          <w:spacing w:val="0"/>
        </w:rPr>
        <w:t xml:space="preserve">was </w:t>
      </w:r>
      <w:r>
        <w:rPr>
          <w:rStyle w:val="BookTitle"/>
          <w:rFonts w:cs="Arial"/>
          <w:i w:val="0"/>
          <w:iCs w:val="0"/>
          <w:smallCaps w:val="0"/>
          <w:spacing w:val="0"/>
        </w:rPr>
        <w:t>also put forward</w:t>
      </w:r>
      <w:r w:rsidRPr="000220E5">
        <w:rPr>
          <w:rStyle w:val="BookTitle"/>
          <w:rFonts w:cs="Arial"/>
          <w:i w:val="0"/>
          <w:iCs w:val="0"/>
          <w:smallCaps w:val="0"/>
          <w:spacing w:val="0"/>
        </w:rPr>
        <w:t xml:space="preserve"> as a core element of DES that can meet a real and immediate need for people whose employment is </w:t>
      </w:r>
      <w:r>
        <w:rPr>
          <w:rStyle w:val="BookTitle"/>
          <w:rFonts w:cs="Arial"/>
          <w:i w:val="0"/>
          <w:iCs w:val="0"/>
          <w:smallCaps w:val="0"/>
          <w:spacing w:val="0"/>
        </w:rPr>
        <w:t>at risk because of</w:t>
      </w:r>
      <w:r w:rsidRPr="000220E5">
        <w:rPr>
          <w:rStyle w:val="BookTitle"/>
          <w:rFonts w:cs="Arial"/>
          <w:i w:val="0"/>
          <w:iCs w:val="0"/>
          <w:smallCaps w:val="0"/>
          <w:spacing w:val="0"/>
        </w:rPr>
        <w:t xml:space="preserve"> their disability. </w:t>
      </w:r>
      <w:r>
        <w:rPr>
          <w:rStyle w:val="BookTitle"/>
          <w:rFonts w:cs="Arial"/>
          <w:i w:val="0"/>
          <w:iCs w:val="0"/>
          <w:smallCaps w:val="0"/>
          <w:spacing w:val="0"/>
        </w:rPr>
        <w:t xml:space="preserve">Most feedback called for an expanded programme that is more flexible and can be accessed well before the employee is at risk of losing their job. This proposal for an expanded programme came with a </w:t>
      </w:r>
      <w:r w:rsidR="003531B8">
        <w:rPr>
          <w:rStyle w:val="BookTitle"/>
          <w:rFonts w:cs="Arial"/>
          <w:i w:val="0"/>
          <w:iCs w:val="0"/>
          <w:smallCaps w:val="0"/>
          <w:spacing w:val="0"/>
        </w:rPr>
        <w:t>strong</w:t>
      </w:r>
      <w:r w:rsidR="003531B8" w:rsidRPr="000220E5">
        <w:rPr>
          <w:rStyle w:val="BookTitle"/>
          <w:rFonts w:cs="Arial"/>
          <w:i w:val="0"/>
          <w:iCs w:val="0"/>
          <w:smallCaps w:val="0"/>
          <w:spacing w:val="0"/>
        </w:rPr>
        <w:t xml:space="preserve"> </w:t>
      </w:r>
      <w:r>
        <w:rPr>
          <w:rStyle w:val="BookTitle"/>
          <w:rFonts w:cs="Arial"/>
          <w:i w:val="0"/>
          <w:iCs w:val="0"/>
          <w:smallCaps w:val="0"/>
          <w:spacing w:val="0"/>
        </w:rPr>
        <w:t>call to change the</w:t>
      </w:r>
      <w:r w:rsidRPr="000220E5">
        <w:rPr>
          <w:rStyle w:val="BookTitle"/>
          <w:rFonts w:cs="Arial"/>
          <w:i w:val="0"/>
          <w:iCs w:val="0"/>
          <w:smallCaps w:val="0"/>
          <w:spacing w:val="0"/>
        </w:rPr>
        <w:t xml:space="preserve"> </w:t>
      </w:r>
      <w:r>
        <w:rPr>
          <w:rStyle w:val="BookTitle"/>
          <w:rFonts w:cs="Arial"/>
          <w:i w:val="0"/>
          <w:iCs w:val="0"/>
          <w:smallCaps w:val="0"/>
          <w:spacing w:val="0"/>
        </w:rPr>
        <w:t>name.</w:t>
      </w:r>
    </w:p>
    <w:p w:rsidR="00FE77F6" w:rsidRDefault="00FE77F6">
      <w:pPr>
        <w:spacing w:before="0" w:after="200" w:line="276" w:lineRule="auto"/>
        <w:rPr>
          <w:rFonts w:ascii="Georgia" w:eastAsiaTheme="majorEastAsia" w:hAnsi="Georgia" w:cstheme="majorBidi"/>
          <w:bCs/>
          <w:color w:val="275D38"/>
          <w:sz w:val="28"/>
          <w:szCs w:val="28"/>
        </w:rPr>
      </w:pPr>
      <w:r>
        <w:rPr>
          <w:sz w:val="28"/>
          <w:szCs w:val="28"/>
        </w:rPr>
        <w:br w:type="page"/>
      </w:r>
    </w:p>
    <w:p w:rsidR="005F494C" w:rsidRPr="00C37C19" w:rsidRDefault="005F494C" w:rsidP="005F494C">
      <w:pPr>
        <w:pStyle w:val="Heading2"/>
        <w:spacing w:before="120"/>
        <w:ind w:left="425" w:hanging="425"/>
        <w:rPr>
          <w:sz w:val="28"/>
          <w:szCs w:val="28"/>
        </w:rPr>
      </w:pPr>
      <w:proofErr w:type="spellStart"/>
      <w:r w:rsidRPr="00C37C19">
        <w:rPr>
          <w:sz w:val="28"/>
          <w:szCs w:val="28"/>
        </w:rPr>
        <w:lastRenderedPageBreak/>
        <w:t>JobAccess</w:t>
      </w:r>
      <w:proofErr w:type="spellEnd"/>
      <w:r w:rsidRPr="00C37C19">
        <w:rPr>
          <w:sz w:val="28"/>
          <w:szCs w:val="28"/>
        </w:rPr>
        <w:t xml:space="preserve"> </w:t>
      </w:r>
    </w:p>
    <w:p w:rsidR="005F494C" w:rsidRDefault="005F494C" w:rsidP="005F494C">
      <w:pPr>
        <w:spacing w:after="120"/>
        <w:rPr>
          <w:rStyle w:val="BookTitle"/>
          <w:rFonts w:cs="Arial"/>
          <w:i w:val="0"/>
          <w:iCs w:val="0"/>
          <w:smallCaps w:val="0"/>
          <w:spacing w:val="0"/>
        </w:rPr>
      </w:pPr>
      <w:r w:rsidRPr="00701394">
        <w:rPr>
          <w:rStyle w:val="BookTitle"/>
          <w:rFonts w:cs="Arial"/>
          <w:i w:val="0"/>
          <w:iCs w:val="0"/>
          <w:smallCaps w:val="0"/>
          <w:spacing w:val="0"/>
        </w:rPr>
        <w:t xml:space="preserve">There was </w:t>
      </w:r>
      <w:r>
        <w:rPr>
          <w:rStyle w:val="BookTitle"/>
          <w:rFonts w:cs="Arial"/>
          <w:i w:val="0"/>
          <w:iCs w:val="0"/>
          <w:smallCaps w:val="0"/>
          <w:spacing w:val="0"/>
        </w:rPr>
        <w:t xml:space="preserve">very positive feedback </w:t>
      </w:r>
      <w:r w:rsidRPr="00701394">
        <w:rPr>
          <w:rStyle w:val="BookTitle"/>
          <w:rFonts w:cs="Arial"/>
          <w:i w:val="0"/>
          <w:iCs w:val="0"/>
          <w:smallCaps w:val="0"/>
          <w:spacing w:val="0"/>
        </w:rPr>
        <w:t xml:space="preserve">for </w:t>
      </w:r>
      <w:proofErr w:type="spellStart"/>
      <w:r w:rsidRPr="00701394">
        <w:rPr>
          <w:rStyle w:val="BookTitle"/>
          <w:rFonts w:cs="Arial"/>
          <w:i w:val="0"/>
          <w:iCs w:val="0"/>
          <w:smallCaps w:val="0"/>
          <w:spacing w:val="0"/>
        </w:rPr>
        <w:t>JobAccess</w:t>
      </w:r>
      <w:proofErr w:type="spellEnd"/>
      <w:r w:rsidRPr="00701394">
        <w:rPr>
          <w:rStyle w:val="BookTitle"/>
          <w:rFonts w:cs="Arial"/>
          <w:i w:val="0"/>
          <w:iCs w:val="0"/>
          <w:smallCaps w:val="0"/>
          <w:spacing w:val="0"/>
        </w:rPr>
        <w:t xml:space="preserve"> and its role in providing information to assist with disability employment issues</w:t>
      </w:r>
      <w:r>
        <w:rPr>
          <w:rStyle w:val="BookTitle"/>
          <w:rFonts w:cs="Arial"/>
          <w:i w:val="0"/>
          <w:iCs w:val="0"/>
          <w:smallCaps w:val="0"/>
          <w:spacing w:val="0"/>
        </w:rPr>
        <w:t xml:space="preserve">. The </w:t>
      </w:r>
      <w:proofErr w:type="spellStart"/>
      <w:r>
        <w:rPr>
          <w:rStyle w:val="BookTitle"/>
          <w:rFonts w:cs="Arial"/>
          <w:i w:val="0"/>
          <w:iCs w:val="0"/>
          <w:smallCaps w:val="0"/>
          <w:spacing w:val="0"/>
        </w:rPr>
        <w:t>JobAccess</w:t>
      </w:r>
      <w:proofErr w:type="spellEnd"/>
      <w:r>
        <w:rPr>
          <w:rStyle w:val="BookTitle"/>
          <w:rFonts w:cs="Arial"/>
          <w:i w:val="0"/>
          <w:iCs w:val="0"/>
          <w:smallCaps w:val="0"/>
          <w:spacing w:val="0"/>
        </w:rPr>
        <w:t xml:space="preserve"> role in delivering the </w:t>
      </w:r>
      <w:r w:rsidRPr="000220E5">
        <w:rPr>
          <w:rStyle w:val="BookTitle"/>
          <w:rFonts w:cs="Arial"/>
          <w:i w:val="0"/>
          <w:iCs w:val="0"/>
          <w:smallCaps w:val="0"/>
          <w:spacing w:val="0"/>
        </w:rPr>
        <w:t>Employment Assistance Fund (EAF)</w:t>
      </w:r>
      <w:r>
        <w:rPr>
          <w:rStyle w:val="BookTitle"/>
          <w:rFonts w:cs="Arial"/>
          <w:i w:val="0"/>
          <w:iCs w:val="0"/>
          <w:smallCaps w:val="0"/>
          <w:spacing w:val="0"/>
        </w:rPr>
        <w:t xml:space="preserve"> </w:t>
      </w:r>
      <w:r w:rsidRPr="00F71C3B">
        <w:t>and provid</w:t>
      </w:r>
      <w:r>
        <w:t xml:space="preserve">ing </w:t>
      </w:r>
      <w:r w:rsidRPr="00F71C3B">
        <w:t xml:space="preserve">expert advice on </w:t>
      </w:r>
      <w:r>
        <w:t xml:space="preserve">issues such as </w:t>
      </w:r>
      <w:r w:rsidRPr="00F71C3B">
        <w:t>reasonable adjustment</w:t>
      </w:r>
      <w:r>
        <w:t xml:space="preserve"> was praised by a range of stakeholders. It was noted that we should continue to promote </w:t>
      </w:r>
      <w:proofErr w:type="spellStart"/>
      <w:r>
        <w:t>JobAccess</w:t>
      </w:r>
      <w:proofErr w:type="spellEnd"/>
      <w:r>
        <w:t>.</w:t>
      </w:r>
    </w:p>
    <w:p w:rsidR="005F494C" w:rsidRPr="00C37C19" w:rsidRDefault="005F494C" w:rsidP="005F494C">
      <w:pPr>
        <w:pStyle w:val="Heading2"/>
        <w:ind w:left="425" w:hanging="425"/>
        <w:rPr>
          <w:sz w:val="28"/>
          <w:szCs w:val="28"/>
        </w:rPr>
      </w:pPr>
      <w:r w:rsidRPr="00C37C19">
        <w:rPr>
          <w:sz w:val="28"/>
          <w:szCs w:val="28"/>
        </w:rPr>
        <w:t xml:space="preserve">Employment Assistance Fund </w:t>
      </w:r>
    </w:p>
    <w:p w:rsidR="005F494C" w:rsidRDefault="005F494C" w:rsidP="005F494C">
      <w:pPr>
        <w:spacing w:before="180" w:after="120"/>
        <w:rPr>
          <w:rStyle w:val="BookTitle"/>
          <w:rFonts w:cs="Arial"/>
          <w:i w:val="0"/>
          <w:iCs w:val="0"/>
          <w:smallCaps w:val="0"/>
          <w:spacing w:val="0"/>
        </w:rPr>
      </w:pPr>
      <w:r>
        <w:t>The</w:t>
      </w:r>
      <w:r w:rsidR="00B25763">
        <w:t xml:space="preserve"> Employment Assistance Fund</w:t>
      </w:r>
      <w:r>
        <w:t xml:space="preserve"> </w:t>
      </w:r>
      <w:r w:rsidR="00B25763">
        <w:t>(</w:t>
      </w:r>
      <w:r>
        <w:t>EAF</w:t>
      </w:r>
      <w:r w:rsidR="00B25763">
        <w:t>)</w:t>
      </w:r>
      <w:r>
        <w:t xml:space="preserve"> was strongly supported by all stakeholders. There were calls for it to be more widely publicised and for an easier application process. There were also calls for more policy flexibility, for example more opportunities to use EAF to fund employer and workplace training and build disability confident workplaces. There was comment that EAF could be more </w:t>
      </w:r>
      <w:r w:rsidRPr="000220E5">
        <w:rPr>
          <w:rStyle w:val="BookTitle"/>
          <w:rFonts w:cs="Arial"/>
          <w:i w:val="0"/>
          <w:iCs w:val="0"/>
          <w:smallCaps w:val="0"/>
          <w:spacing w:val="0"/>
        </w:rPr>
        <w:t>responsive to employer requirements and the specific needs of employee</w:t>
      </w:r>
      <w:r>
        <w:rPr>
          <w:rStyle w:val="BookTitle"/>
          <w:rFonts w:cs="Arial"/>
          <w:i w:val="0"/>
          <w:iCs w:val="0"/>
          <w:smallCaps w:val="0"/>
          <w:spacing w:val="0"/>
        </w:rPr>
        <w:t xml:space="preserve">s. The deaf community and employers raised the issue that funding for </w:t>
      </w:r>
      <w:proofErr w:type="spellStart"/>
      <w:r>
        <w:rPr>
          <w:rStyle w:val="BookTitle"/>
          <w:rFonts w:cs="Arial"/>
          <w:i w:val="0"/>
          <w:iCs w:val="0"/>
          <w:smallCaps w:val="0"/>
          <w:spacing w:val="0"/>
        </w:rPr>
        <w:t>Auslan</w:t>
      </w:r>
      <w:proofErr w:type="spellEnd"/>
      <w:r>
        <w:rPr>
          <w:rStyle w:val="BookTitle"/>
          <w:rFonts w:cs="Arial"/>
          <w:i w:val="0"/>
          <w:iCs w:val="0"/>
          <w:smallCaps w:val="0"/>
          <w:spacing w:val="0"/>
        </w:rPr>
        <w:t xml:space="preserve"> is insufficient.</w:t>
      </w:r>
    </w:p>
    <w:p w:rsidR="005F494C" w:rsidRPr="00C37C19" w:rsidRDefault="005F494C" w:rsidP="005F494C">
      <w:pPr>
        <w:pStyle w:val="Heading2"/>
        <w:ind w:left="425" w:hanging="425"/>
        <w:rPr>
          <w:sz w:val="28"/>
          <w:szCs w:val="28"/>
        </w:rPr>
      </w:pPr>
      <w:r w:rsidRPr="00C37C19">
        <w:rPr>
          <w:sz w:val="28"/>
          <w:szCs w:val="28"/>
        </w:rPr>
        <w:t>Wage subsidies</w:t>
      </w:r>
    </w:p>
    <w:p w:rsidR="005F494C" w:rsidRDefault="005F494C" w:rsidP="005F494C">
      <w:pPr>
        <w:spacing w:before="180" w:after="120"/>
        <w:rPr>
          <w:rStyle w:val="BookTitle"/>
          <w:rFonts w:cs="Arial"/>
          <w:i w:val="0"/>
          <w:iCs w:val="0"/>
          <w:smallCaps w:val="0"/>
          <w:spacing w:val="0"/>
        </w:rPr>
      </w:pPr>
      <w:r w:rsidRPr="000220E5">
        <w:rPr>
          <w:rStyle w:val="BookTitle"/>
          <w:rFonts w:cs="Arial"/>
          <w:i w:val="0"/>
          <w:iCs w:val="0"/>
          <w:smallCaps w:val="0"/>
          <w:spacing w:val="0"/>
        </w:rPr>
        <w:t>Wage subsidies were generally seen to be of assistance</w:t>
      </w:r>
      <w:r>
        <w:rPr>
          <w:rStyle w:val="BookTitle"/>
          <w:rFonts w:cs="Arial"/>
          <w:i w:val="0"/>
          <w:iCs w:val="0"/>
          <w:smallCaps w:val="0"/>
          <w:spacing w:val="0"/>
        </w:rPr>
        <w:t xml:space="preserve">. People with disability and their families tended to think that wage subsidies would open up new employment opportunities. Providers discussed how a wage subsidy might, in some cases, encourage an employer who had reservations about employing a person with disability. Employers indicated that they are probably an effective incentive </w:t>
      </w:r>
      <w:r w:rsidRPr="000220E5">
        <w:rPr>
          <w:rStyle w:val="BookTitle"/>
          <w:rFonts w:cs="Arial"/>
          <w:i w:val="0"/>
          <w:iCs w:val="0"/>
          <w:smallCaps w:val="0"/>
          <w:spacing w:val="0"/>
        </w:rPr>
        <w:t xml:space="preserve">for small to medium enterprises, </w:t>
      </w:r>
      <w:r>
        <w:rPr>
          <w:rStyle w:val="BookTitle"/>
          <w:rFonts w:cs="Arial"/>
          <w:i w:val="0"/>
          <w:iCs w:val="0"/>
          <w:smallCaps w:val="0"/>
          <w:spacing w:val="0"/>
        </w:rPr>
        <w:t xml:space="preserve">while </w:t>
      </w:r>
      <w:r w:rsidRPr="000220E5">
        <w:rPr>
          <w:rStyle w:val="BookTitle"/>
          <w:rFonts w:cs="Arial"/>
          <w:i w:val="0"/>
          <w:iCs w:val="0"/>
          <w:smallCaps w:val="0"/>
          <w:spacing w:val="0"/>
        </w:rPr>
        <w:t>larger employers</w:t>
      </w:r>
      <w:r>
        <w:rPr>
          <w:rStyle w:val="BookTitle"/>
          <w:rFonts w:cs="Arial"/>
          <w:i w:val="0"/>
          <w:iCs w:val="0"/>
          <w:smallCaps w:val="0"/>
          <w:spacing w:val="0"/>
        </w:rPr>
        <w:t xml:space="preserve"> were not usually interested. </w:t>
      </w:r>
    </w:p>
    <w:p w:rsidR="005F494C" w:rsidRDefault="005F494C" w:rsidP="005F494C">
      <w:pPr>
        <w:spacing w:before="180" w:after="120"/>
        <w:rPr>
          <w:rStyle w:val="BookTitle"/>
          <w:rFonts w:cs="Arial"/>
          <w:i w:val="0"/>
          <w:iCs w:val="0"/>
          <w:smallCaps w:val="0"/>
          <w:spacing w:val="0"/>
        </w:rPr>
      </w:pPr>
      <w:r w:rsidRPr="000220E5">
        <w:rPr>
          <w:rStyle w:val="BookTitle"/>
          <w:rFonts w:cs="Arial"/>
          <w:i w:val="0"/>
          <w:iCs w:val="0"/>
          <w:smallCaps w:val="0"/>
          <w:spacing w:val="0"/>
        </w:rPr>
        <w:t xml:space="preserve">The main </w:t>
      </w:r>
      <w:r>
        <w:rPr>
          <w:rStyle w:val="BookTitle"/>
          <w:rFonts w:cs="Arial"/>
          <w:i w:val="0"/>
          <w:iCs w:val="0"/>
          <w:smallCaps w:val="0"/>
          <w:spacing w:val="0"/>
        </w:rPr>
        <w:t xml:space="preserve">concerns about </w:t>
      </w:r>
      <w:r w:rsidRPr="000220E5">
        <w:rPr>
          <w:rStyle w:val="BookTitle"/>
          <w:rFonts w:cs="Arial"/>
          <w:i w:val="0"/>
          <w:iCs w:val="0"/>
          <w:smallCaps w:val="0"/>
          <w:spacing w:val="0"/>
        </w:rPr>
        <w:t>wage subsidies w</w:t>
      </w:r>
      <w:r>
        <w:rPr>
          <w:rStyle w:val="BookTitle"/>
          <w:rFonts w:cs="Arial"/>
          <w:i w:val="0"/>
          <w:iCs w:val="0"/>
          <w:smallCaps w:val="0"/>
          <w:spacing w:val="0"/>
        </w:rPr>
        <w:t>ere</w:t>
      </w:r>
      <w:r w:rsidRPr="000220E5">
        <w:rPr>
          <w:rStyle w:val="BookTitle"/>
          <w:rFonts w:cs="Arial"/>
          <w:i w:val="0"/>
          <w:iCs w:val="0"/>
          <w:smallCaps w:val="0"/>
          <w:spacing w:val="0"/>
        </w:rPr>
        <w:t xml:space="preserve"> that the</w:t>
      </w:r>
      <w:r>
        <w:rPr>
          <w:rStyle w:val="BookTitle"/>
          <w:rFonts w:cs="Arial"/>
          <w:i w:val="0"/>
          <w:iCs w:val="0"/>
          <w:smallCaps w:val="0"/>
          <w:spacing w:val="0"/>
        </w:rPr>
        <w:t xml:space="preserve"> level of payment should be more generous and </w:t>
      </w:r>
      <w:r w:rsidRPr="000220E5">
        <w:rPr>
          <w:rStyle w:val="BookTitle"/>
          <w:rFonts w:cs="Arial"/>
          <w:i w:val="0"/>
          <w:iCs w:val="0"/>
          <w:smallCaps w:val="0"/>
          <w:spacing w:val="0"/>
        </w:rPr>
        <w:t xml:space="preserve">policies </w:t>
      </w:r>
      <w:r>
        <w:rPr>
          <w:rStyle w:val="BookTitle"/>
          <w:rFonts w:cs="Arial"/>
          <w:i w:val="0"/>
          <w:iCs w:val="0"/>
          <w:smallCaps w:val="0"/>
          <w:spacing w:val="0"/>
        </w:rPr>
        <w:t xml:space="preserve">about how the subsidy can be used </w:t>
      </w:r>
      <w:r w:rsidRPr="000220E5">
        <w:rPr>
          <w:rStyle w:val="BookTitle"/>
          <w:rFonts w:cs="Arial"/>
          <w:i w:val="0"/>
          <w:iCs w:val="0"/>
          <w:smallCaps w:val="0"/>
          <w:spacing w:val="0"/>
        </w:rPr>
        <w:t>should be more flexible</w:t>
      </w:r>
      <w:r>
        <w:rPr>
          <w:rStyle w:val="BookTitle"/>
          <w:rFonts w:cs="Arial"/>
          <w:i w:val="0"/>
          <w:iCs w:val="0"/>
          <w:smallCaps w:val="0"/>
          <w:spacing w:val="0"/>
        </w:rPr>
        <w:t>. There was also a concern that some employers only employ a person for as long as the wage subsidy lasts and measures should be put in place to prevent this.</w:t>
      </w:r>
      <w:r w:rsidR="003531B8">
        <w:rPr>
          <w:rStyle w:val="BookTitle"/>
          <w:rFonts w:cs="Arial"/>
          <w:i w:val="0"/>
          <w:iCs w:val="0"/>
          <w:smallCaps w:val="0"/>
          <w:spacing w:val="0"/>
        </w:rPr>
        <w:t xml:space="preserve"> </w:t>
      </w:r>
      <w:r w:rsidR="003531B8" w:rsidRPr="005619F8">
        <w:rPr>
          <w:rStyle w:val="BookTitle"/>
          <w:rFonts w:cs="Arial"/>
          <w:i w:val="0"/>
          <w:iCs w:val="0"/>
          <w:smallCaps w:val="0"/>
          <w:spacing w:val="0"/>
        </w:rPr>
        <w:t xml:space="preserve">Additionally, there were concerns that subsidies </w:t>
      </w:r>
      <w:r w:rsidR="00AC023B" w:rsidRPr="005619F8">
        <w:rPr>
          <w:rStyle w:val="BookTitle"/>
          <w:rFonts w:cs="Arial"/>
          <w:i w:val="0"/>
          <w:iCs w:val="0"/>
          <w:smallCaps w:val="0"/>
          <w:spacing w:val="0"/>
        </w:rPr>
        <w:t xml:space="preserve">can be seen to </w:t>
      </w:r>
      <w:r w:rsidR="003531B8" w:rsidRPr="005619F8">
        <w:rPr>
          <w:rStyle w:val="BookTitle"/>
          <w:rFonts w:cs="Arial"/>
          <w:i w:val="0"/>
          <w:iCs w:val="0"/>
          <w:smallCaps w:val="0"/>
          <w:spacing w:val="0"/>
        </w:rPr>
        <w:t>diminish the value of people with disability as workers, by fostering the impression that employers should be paid or rewarded for employing someone with disability.</w:t>
      </w:r>
    </w:p>
    <w:p w:rsidR="005F494C" w:rsidRDefault="005F494C" w:rsidP="005F494C">
      <w:pPr>
        <w:pStyle w:val="ListParagraph"/>
        <w:numPr>
          <w:ilvl w:val="1"/>
          <w:numId w:val="17"/>
        </w:numPr>
        <w:spacing w:before="180" w:after="120"/>
        <w:rPr>
          <w:rFonts w:ascii="Georgia" w:eastAsiaTheme="majorEastAsia" w:hAnsi="Georgia" w:cstheme="majorBidi"/>
          <w:bCs/>
          <w:color w:val="275D38"/>
          <w:sz w:val="32"/>
          <w:szCs w:val="26"/>
        </w:rPr>
      </w:pPr>
      <w:r w:rsidRPr="00C37C19">
        <w:rPr>
          <w:rFonts w:ascii="Georgia" w:eastAsiaTheme="majorEastAsia" w:hAnsi="Georgia" w:cstheme="majorBidi"/>
          <w:bCs/>
          <w:color w:val="275D38"/>
          <w:sz w:val="32"/>
          <w:szCs w:val="26"/>
        </w:rPr>
        <w:t>Weaknesses of D</w:t>
      </w:r>
      <w:r w:rsidR="00B25763">
        <w:rPr>
          <w:rFonts w:ascii="Georgia" w:eastAsiaTheme="majorEastAsia" w:hAnsi="Georgia" w:cstheme="majorBidi"/>
          <w:bCs/>
          <w:color w:val="275D38"/>
          <w:sz w:val="32"/>
          <w:szCs w:val="26"/>
        </w:rPr>
        <w:t xml:space="preserve">isability </w:t>
      </w:r>
      <w:r w:rsidRPr="00C37C19">
        <w:rPr>
          <w:rFonts w:ascii="Georgia" w:eastAsiaTheme="majorEastAsia" w:hAnsi="Georgia" w:cstheme="majorBidi"/>
          <w:bCs/>
          <w:color w:val="275D38"/>
          <w:sz w:val="32"/>
          <w:szCs w:val="26"/>
        </w:rPr>
        <w:t>E</w:t>
      </w:r>
      <w:r w:rsidR="00B25763">
        <w:rPr>
          <w:rFonts w:ascii="Georgia" w:eastAsiaTheme="majorEastAsia" w:hAnsi="Georgia" w:cstheme="majorBidi"/>
          <w:bCs/>
          <w:color w:val="275D38"/>
          <w:sz w:val="32"/>
          <w:szCs w:val="26"/>
        </w:rPr>
        <w:t xml:space="preserve">mployment </w:t>
      </w:r>
      <w:r w:rsidRPr="00C37C19">
        <w:rPr>
          <w:rFonts w:ascii="Georgia" w:eastAsiaTheme="majorEastAsia" w:hAnsi="Georgia" w:cstheme="majorBidi"/>
          <w:bCs/>
          <w:color w:val="275D38"/>
          <w:sz w:val="32"/>
          <w:szCs w:val="26"/>
        </w:rPr>
        <w:t>S</w:t>
      </w:r>
      <w:r w:rsidR="00B25763">
        <w:rPr>
          <w:rFonts w:ascii="Georgia" w:eastAsiaTheme="majorEastAsia" w:hAnsi="Georgia" w:cstheme="majorBidi"/>
          <w:bCs/>
          <w:color w:val="275D38"/>
          <w:sz w:val="32"/>
          <w:szCs w:val="26"/>
        </w:rPr>
        <w:t>ervices</w:t>
      </w:r>
    </w:p>
    <w:p w:rsidR="005F494C" w:rsidRPr="00C37C19" w:rsidRDefault="005F494C" w:rsidP="005F494C">
      <w:pPr>
        <w:spacing w:before="180" w:after="120"/>
        <w:rPr>
          <w:rFonts w:ascii="Georgia" w:eastAsiaTheme="majorEastAsia" w:hAnsi="Georgia" w:cstheme="majorBidi"/>
          <w:bCs/>
          <w:color w:val="275D38"/>
          <w:sz w:val="32"/>
          <w:szCs w:val="26"/>
        </w:rPr>
      </w:pPr>
      <w:r w:rsidRPr="00C37C19">
        <w:rPr>
          <w:rFonts w:cs="Arial"/>
          <w:spacing w:val="0"/>
        </w:rPr>
        <w:t>The following elements of DES were discussed as weaknesses of the current system.</w:t>
      </w:r>
    </w:p>
    <w:p w:rsidR="005F494C" w:rsidRDefault="005F494C" w:rsidP="005F494C">
      <w:pPr>
        <w:spacing w:before="180" w:after="120"/>
        <w:rPr>
          <w:rFonts w:cs="Arial"/>
          <w:spacing w:val="0"/>
        </w:rPr>
      </w:pPr>
      <w:r>
        <w:rPr>
          <w:rFonts w:cs="Arial"/>
          <w:spacing w:val="0"/>
        </w:rPr>
        <w:t>In their submissions many providers and peak organisations put forward the view that much of the criticism levelled at DES, including the lack of improvement in outcomes, can be attributed to the design and complexity of the programme rather than the capability of DES providers.</w:t>
      </w:r>
    </w:p>
    <w:p w:rsidR="005F494C" w:rsidRDefault="005F494C" w:rsidP="005F494C">
      <w:pPr>
        <w:spacing w:before="180" w:after="120"/>
        <w:rPr>
          <w:rFonts w:cs="Arial"/>
          <w:spacing w:val="0"/>
        </w:rPr>
      </w:pPr>
      <w:r w:rsidRPr="00545736">
        <w:rPr>
          <w:rFonts w:cs="Arial"/>
          <w:spacing w:val="0"/>
        </w:rPr>
        <w:t>For providers</w:t>
      </w:r>
      <w:r w:rsidRPr="008F5AA3">
        <w:t xml:space="preserve"> </w:t>
      </w:r>
      <w:r>
        <w:t>and their p</w:t>
      </w:r>
      <w:r w:rsidRPr="00FD7D4B">
        <w:t>e</w:t>
      </w:r>
      <w:r>
        <w:t>ak organisations</w:t>
      </w:r>
      <w:r w:rsidRPr="00545736">
        <w:rPr>
          <w:rFonts w:cs="Arial"/>
          <w:spacing w:val="0"/>
        </w:rPr>
        <w:t xml:space="preserve"> the overwhelming feedback about the current DES system was</w:t>
      </w:r>
      <w:r>
        <w:rPr>
          <w:rFonts w:cs="Arial"/>
          <w:spacing w:val="0"/>
        </w:rPr>
        <w:t xml:space="preserve"> that:</w:t>
      </w:r>
    </w:p>
    <w:p w:rsidR="005F494C" w:rsidRDefault="005F494C" w:rsidP="005F494C">
      <w:pPr>
        <w:pStyle w:val="ListParagraph"/>
        <w:numPr>
          <w:ilvl w:val="0"/>
          <w:numId w:val="18"/>
        </w:numPr>
        <w:spacing w:before="180" w:after="120"/>
        <w:ind w:left="567" w:hanging="283"/>
        <w:rPr>
          <w:rFonts w:cs="Arial"/>
          <w:spacing w:val="0"/>
        </w:rPr>
      </w:pPr>
      <w:r w:rsidRPr="008F5AA3">
        <w:rPr>
          <w:rFonts w:cs="Arial"/>
          <w:spacing w:val="0"/>
        </w:rPr>
        <w:t>complying with regulation</w:t>
      </w:r>
      <w:r>
        <w:rPr>
          <w:rFonts w:cs="Arial"/>
          <w:spacing w:val="0"/>
        </w:rPr>
        <w:t xml:space="preserve"> </w:t>
      </w:r>
      <w:r w:rsidRPr="008F5AA3">
        <w:rPr>
          <w:rFonts w:cs="Arial"/>
          <w:spacing w:val="0"/>
        </w:rPr>
        <w:t>prevents achieving outcomes</w:t>
      </w:r>
      <w:r>
        <w:rPr>
          <w:rFonts w:cs="Arial"/>
          <w:spacing w:val="0"/>
        </w:rPr>
        <w:t>;</w:t>
      </w:r>
    </w:p>
    <w:p w:rsidR="001D54E8" w:rsidRDefault="001D54E8" w:rsidP="005F494C">
      <w:pPr>
        <w:pStyle w:val="ListParagraph"/>
        <w:numPr>
          <w:ilvl w:val="0"/>
          <w:numId w:val="18"/>
        </w:numPr>
        <w:spacing w:before="180" w:after="120"/>
        <w:ind w:left="567" w:hanging="283"/>
        <w:rPr>
          <w:rFonts w:cs="Arial"/>
          <w:spacing w:val="0"/>
        </w:rPr>
      </w:pPr>
      <w:r>
        <w:rPr>
          <w:rFonts w:cs="Arial"/>
          <w:spacing w:val="0"/>
        </w:rPr>
        <w:t>payments should be indexed;</w:t>
      </w:r>
    </w:p>
    <w:p w:rsidR="005F494C" w:rsidRDefault="005F494C" w:rsidP="005F494C">
      <w:pPr>
        <w:pStyle w:val="ListParagraph"/>
        <w:numPr>
          <w:ilvl w:val="0"/>
          <w:numId w:val="18"/>
        </w:numPr>
        <w:spacing w:before="180" w:after="120"/>
        <w:ind w:left="567" w:hanging="283"/>
        <w:rPr>
          <w:rFonts w:cs="Arial"/>
          <w:spacing w:val="0"/>
        </w:rPr>
      </w:pPr>
      <w:r>
        <w:rPr>
          <w:rFonts w:cs="Arial"/>
          <w:spacing w:val="0"/>
        </w:rPr>
        <w:t>m</w:t>
      </w:r>
      <w:r w:rsidRPr="008F5AA3">
        <w:rPr>
          <w:rFonts w:cs="Arial"/>
          <w:spacing w:val="0"/>
        </w:rPr>
        <w:t>ore resources have been allocated to compliance activity, at the expense of resourcing employment consultants to help participants to get a job</w:t>
      </w:r>
      <w:r>
        <w:rPr>
          <w:rFonts w:cs="Arial"/>
          <w:spacing w:val="0"/>
        </w:rPr>
        <w:t xml:space="preserve">; and </w:t>
      </w:r>
    </w:p>
    <w:p w:rsidR="005F494C" w:rsidRPr="008F5AA3" w:rsidRDefault="005F494C" w:rsidP="005F494C">
      <w:pPr>
        <w:pStyle w:val="ListParagraph"/>
        <w:numPr>
          <w:ilvl w:val="0"/>
          <w:numId w:val="18"/>
        </w:numPr>
        <w:spacing w:before="180" w:after="120"/>
        <w:ind w:left="567" w:hanging="283"/>
        <w:rPr>
          <w:rFonts w:cs="Arial"/>
          <w:spacing w:val="0"/>
        </w:rPr>
      </w:pPr>
      <w:proofErr w:type="gramStart"/>
      <w:r w:rsidRPr="008F5AA3">
        <w:rPr>
          <w:rFonts w:cs="Arial"/>
          <w:spacing w:val="0"/>
        </w:rPr>
        <w:t>a</w:t>
      </w:r>
      <w:proofErr w:type="gramEnd"/>
      <w:r w:rsidRPr="008F5AA3">
        <w:rPr>
          <w:rFonts w:cs="Arial"/>
          <w:spacing w:val="0"/>
        </w:rPr>
        <w:t xml:space="preserve"> lack of flexibility in programme rules and incentives limits the ability of providers to act in the best interests of their clients.</w:t>
      </w:r>
    </w:p>
    <w:p w:rsidR="005F494C" w:rsidRDefault="005F494C" w:rsidP="005F494C">
      <w:pPr>
        <w:spacing w:before="180" w:after="120"/>
      </w:pPr>
      <w:r>
        <w:lastRenderedPageBreak/>
        <w:t>Providers and their p</w:t>
      </w:r>
      <w:r w:rsidRPr="00FD7D4B">
        <w:t>e</w:t>
      </w:r>
      <w:r>
        <w:t>ak organisations, and to some extent people with disability, spoke about the pe</w:t>
      </w:r>
      <w:r w:rsidRPr="00FD7D4B">
        <w:t xml:space="preserve">rverse </w:t>
      </w:r>
      <w:r>
        <w:t>incentives</w:t>
      </w:r>
      <w:r w:rsidRPr="00FD7D4B">
        <w:t xml:space="preserve"> </w:t>
      </w:r>
      <w:r>
        <w:t xml:space="preserve">that arise from the DES </w:t>
      </w:r>
      <w:r w:rsidRPr="00FD7D4B">
        <w:t>outcomes framework</w:t>
      </w:r>
      <w:r>
        <w:t xml:space="preserve"> and associated star rating performance system.</w:t>
      </w:r>
      <w:r w:rsidRPr="008F5AA3">
        <w:t xml:space="preserve"> </w:t>
      </w:r>
      <w:r>
        <w:t>There was a view that the outcome definitions and performance measurement incentivise:</w:t>
      </w:r>
    </w:p>
    <w:p w:rsidR="005F494C" w:rsidRDefault="005F494C" w:rsidP="005F494C">
      <w:pPr>
        <w:pStyle w:val="ListParagraph"/>
        <w:numPr>
          <w:ilvl w:val="0"/>
          <w:numId w:val="19"/>
        </w:numPr>
        <w:spacing w:before="180" w:after="120"/>
        <w:ind w:left="567" w:hanging="283"/>
      </w:pPr>
      <w:r>
        <w:t>short-term job placements and do not drive long-term outcomes;</w:t>
      </w:r>
    </w:p>
    <w:p w:rsidR="005F494C" w:rsidRDefault="005F494C" w:rsidP="005F494C">
      <w:pPr>
        <w:pStyle w:val="ListParagraph"/>
        <w:numPr>
          <w:ilvl w:val="0"/>
          <w:numId w:val="19"/>
        </w:numPr>
        <w:spacing w:before="180" w:after="120"/>
        <w:ind w:left="567" w:hanging="283"/>
      </w:pPr>
      <w:r>
        <w:t>a focus on easy wins;</w:t>
      </w:r>
    </w:p>
    <w:p w:rsidR="005F494C" w:rsidRDefault="005F494C" w:rsidP="005F494C">
      <w:pPr>
        <w:pStyle w:val="ListParagraph"/>
        <w:numPr>
          <w:ilvl w:val="0"/>
          <w:numId w:val="19"/>
        </w:numPr>
        <w:spacing w:before="180" w:after="120"/>
        <w:ind w:left="567" w:hanging="283"/>
      </w:pPr>
      <w:r>
        <w:t>‘parking’ (that is not provide assistance to) participants who have more barriers and are probably harder to place in a job;</w:t>
      </w:r>
    </w:p>
    <w:p w:rsidR="005F494C" w:rsidRDefault="005F494C" w:rsidP="005F494C">
      <w:pPr>
        <w:pStyle w:val="ListParagraph"/>
        <w:numPr>
          <w:ilvl w:val="0"/>
          <w:numId w:val="19"/>
        </w:numPr>
        <w:spacing w:before="180" w:after="120"/>
        <w:ind w:left="567" w:hanging="283"/>
      </w:pPr>
      <w:r>
        <w:t>churning many participants th</w:t>
      </w:r>
      <w:r w:rsidR="00B25763">
        <w:t>r</w:t>
      </w:r>
      <w:r>
        <w:t>ough the one job to achieve additional payment and additional performance credits; and</w:t>
      </w:r>
    </w:p>
    <w:p w:rsidR="005F494C" w:rsidRDefault="005F494C" w:rsidP="005F494C">
      <w:pPr>
        <w:pStyle w:val="ListParagraph"/>
        <w:numPr>
          <w:ilvl w:val="0"/>
          <w:numId w:val="19"/>
        </w:numPr>
        <w:spacing w:before="180" w:after="120"/>
        <w:ind w:left="567" w:hanging="283"/>
      </w:pPr>
      <w:proofErr w:type="gramStart"/>
      <w:r>
        <w:t>splitting</w:t>
      </w:r>
      <w:proofErr w:type="gramEnd"/>
      <w:r>
        <w:t xml:space="preserve"> jobs between two or more participants for the same reasons.</w:t>
      </w:r>
    </w:p>
    <w:p w:rsidR="005F494C" w:rsidRDefault="005F494C" w:rsidP="005F494C">
      <w:pPr>
        <w:spacing w:before="180" w:after="120"/>
        <w:rPr>
          <w:rFonts w:cs="Arial"/>
          <w:spacing w:val="0"/>
        </w:rPr>
      </w:pPr>
      <w:r>
        <w:rPr>
          <w:rFonts w:cs="Arial"/>
          <w:spacing w:val="0"/>
        </w:rPr>
        <w:t>Providers and their peak organisations gave</w:t>
      </w:r>
      <w:r w:rsidRPr="00545736">
        <w:rPr>
          <w:rFonts w:cs="Arial"/>
          <w:spacing w:val="0"/>
        </w:rPr>
        <w:t xml:space="preserve"> mixed feedback about the Star Rating performance system. </w:t>
      </w:r>
      <w:r>
        <w:rPr>
          <w:rFonts w:cs="Arial"/>
          <w:spacing w:val="0"/>
        </w:rPr>
        <w:t xml:space="preserve">While most </w:t>
      </w:r>
      <w:r w:rsidRPr="00545736">
        <w:rPr>
          <w:rFonts w:cs="Arial"/>
          <w:spacing w:val="0"/>
        </w:rPr>
        <w:t>said they found it confusing, complex and not a true reflection of the quality of providers, a</w:t>
      </w:r>
      <w:r>
        <w:rPr>
          <w:rFonts w:cs="Arial"/>
          <w:spacing w:val="0"/>
        </w:rPr>
        <w:t xml:space="preserve"> </w:t>
      </w:r>
      <w:r w:rsidRPr="00545736">
        <w:rPr>
          <w:rFonts w:cs="Arial"/>
          <w:spacing w:val="0"/>
        </w:rPr>
        <w:t xml:space="preserve">small number of </w:t>
      </w:r>
      <w:r>
        <w:rPr>
          <w:rFonts w:cs="Arial"/>
          <w:spacing w:val="0"/>
        </w:rPr>
        <w:t xml:space="preserve">submissions referred to it as </w:t>
      </w:r>
      <w:r w:rsidRPr="00545736">
        <w:rPr>
          <w:rFonts w:cs="Arial"/>
          <w:spacing w:val="0"/>
        </w:rPr>
        <w:t>a tried and tested, robust tool.</w:t>
      </w:r>
    </w:p>
    <w:p w:rsidR="005F494C" w:rsidRPr="00545736" w:rsidRDefault="005F494C" w:rsidP="005F494C">
      <w:pPr>
        <w:spacing w:before="180" w:after="120"/>
        <w:rPr>
          <w:rFonts w:cs="Arial"/>
          <w:spacing w:val="0"/>
        </w:rPr>
      </w:pPr>
      <w:r>
        <w:rPr>
          <w:rFonts w:cs="Arial"/>
          <w:spacing w:val="0"/>
        </w:rPr>
        <w:t>A further comment was that t</w:t>
      </w:r>
      <w:r w:rsidRPr="00ED6989">
        <w:rPr>
          <w:rFonts w:cs="Arial"/>
          <w:spacing w:val="0"/>
        </w:rPr>
        <w:t>he current system encourages competition between providers, which has the effect of discouraging collaboration</w:t>
      </w:r>
      <w:r w:rsidR="001D54E8">
        <w:rPr>
          <w:rFonts w:cs="Arial"/>
          <w:spacing w:val="0"/>
        </w:rPr>
        <w:t xml:space="preserve"> that </w:t>
      </w:r>
      <w:r>
        <w:rPr>
          <w:rFonts w:cs="Arial"/>
          <w:spacing w:val="0"/>
        </w:rPr>
        <w:t>may help improve employment outcomes.</w:t>
      </w:r>
    </w:p>
    <w:p w:rsidR="005F494C" w:rsidRDefault="005F494C" w:rsidP="005F494C">
      <w:pPr>
        <w:spacing w:before="180" w:after="120"/>
        <w:rPr>
          <w:rFonts w:cs="Arial"/>
          <w:spacing w:val="0"/>
        </w:rPr>
      </w:pPr>
      <w:r w:rsidRPr="00545736">
        <w:rPr>
          <w:rFonts w:cs="Arial"/>
          <w:spacing w:val="0"/>
        </w:rPr>
        <w:t>People with disability</w:t>
      </w:r>
      <w:r>
        <w:rPr>
          <w:rFonts w:cs="Arial"/>
          <w:spacing w:val="0"/>
        </w:rPr>
        <w:t>, their families, carers and advocates</w:t>
      </w:r>
      <w:r w:rsidRPr="00545736">
        <w:rPr>
          <w:rFonts w:cs="Arial"/>
          <w:b/>
          <w:spacing w:val="0"/>
        </w:rPr>
        <w:t xml:space="preserve"> </w:t>
      </w:r>
      <w:r w:rsidRPr="00545736">
        <w:rPr>
          <w:rFonts w:cs="Arial"/>
          <w:spacing w:val="0"/>
        </w:rPr>
        <w:t>made many comments about the operations of DES organisations and their staff. These included</w:t>
      </w:r>
      <w:r>
        <w:rPr>
          <w:rFonts w:cs="Arial"/>
          <w:spacing w:val="0"/>
        </w:rPr>
        <w:t>:</w:t>
      </w:r>
    </w:p>
    <w:p w:rsidR="005F494C" w:rsidRDefault="005F494C" w:rsidP="005F494C">
      <w:pPr>
        <w:pStyle w:val="ListParagraph"/>
        <w:numPr>
          <w:ilvl w:val="0"/>
          <w:numId w:val="20"/>
        </w:numPr>
        <w:spacing w:before="180" w:after="120"/>
        <w:ind w:left="567" w:hanging="283"/>
        <w:rPr>
          <w:rFonts w:cs="Arial"/>
          <w:spacing w:val="0"/>
        </w:rPr>
      </w:pPr>
      <w:r w:rsidRPr="008F5AA3">
        <w:rPr>
          <w:rFonts w:cs="Arial"/>
          <w:spacing w:val="0"/>
        </w:rPr>
        <w:t>high staff turnover</w:t>
      </w:r>
      <w:r>
        <w:rPr>
          <w:rFonts w:cs="Arial"/>
          <w:spacing w:val="0"/>
        </w:rPr>
        <w:t>, leading to inconsistent support;</w:t>
      </w:r>
    </w:p>
    <w:p w:rsidR="005F494C" w:rsidRDefault="005F494C" w:rsidP="005F494C">
      <w:pPr>
        <w:pStyle w:val="ListParagraph"/>
        <w:numPr>
          <w:ilvl w:val="0"/>
          <w:numId w:val="20"/>
        </w:numPr>
        <w:spacing w:before="180" w:after="120"/>
        <w:ind w:left="567" w:hanging="283"/>
        <w:rPr>
          <w:rFonts w:cs="Arial"/>
          <w:spacing w:val="0"/>
        </w:rPr>
      </w:pPr>
      <w:r w:rsidRPr="008F5AA3">
        <w:rPr>
          <w:rFonts w:cs="Arial"/>
          <w:spacing w:val="0"/>
        </w:rPr>
        <w:t xml:space="preserve">staff </w:t>
      </w:r>
      <w:r>
        <w:rPr>
          <w:rFonts w:cs="Arial"/>
          <w:spacing w:val="0"/>
        </w:rPr>
        <w:t xml:space="preserve">who are not </w:t>
      </w:r>
      <w:r w:rsidRPr="008F5AA3">
        <w:rPr>
          <w:rFonts w:cs="Arial"/>
          <w:spacing w:val="0"/>
        </w:rPr>
        <w:t>equipped to deal with the full range of disability and the barriers faced by participants</w:t>
      </w:r>
      <w:r>
        <w:rPr>
          <w:rFonts w:cs="Arial"/>
          <w:spacing w:val="0"/>
        </w:rPr>
        <w:t xml:space="preserve">; </w:t>
      </w:r>
    </w:p>
    <w:p w:rsidR="005F494C" w:rsidRDefault="005F494C" w:rsidP="005F494C">
      <w:pPr>
        <w:pStyle w:val="ListParagraph"/>
        <w:numPr>
          <w:ilvl w:val="0"/>
          <w:numId w:val="20"/>
        </w:numPr>
        <w:spacing w:before="180" w:after="120"/>
        <w:ind w:left="567" w:hanging="283"/>
        <w:rPr>
          <w:rFonts w:cs="Arial"/>
          <w:spacing w:val="0"/>
        </w:rPr>
      </w:pPr>
      <w:r>
        <w:rPr>
          <w:rFonts w:cs="Arial"/>
          <w:spacing w:val="0"/>
        </w:rPr>
        <w:t>not providing training</w:t>
      </w:r>
      <w:r w:rsidR="001D54E8">
        <w:rPr>
          <w:rFonts w:cs="Arial"/>
          <w:spacing w:val="0"/>
        </w:rPr>
        <w:t xml:space="preserve"> to DES participants</w:t>
      </w:r>
      <w:r>
        <w:rPr>
          <w:rFonts w:cs="Arial"/>
          <w:spacing w:val="0"/>
        </w:rPr>
        <w:t>;</w:t>
      </w:r>
    </w:p>
    <w:p w:rsidR="005F494C" w:rsidRDefault="005F494C" w:rsidP="005F494C">
      <w:pPr>
        <w:pStyle w:val="ListParagraph"/>
        <w:numPr>
          <w:ilvl w:val="0"/>
          <w:numId w:val="20"/>
        </w:numPr>
        <w:spacing w:before="180" w:after="120"/>
        <w:ind w:left="567" w:hanging="283"/>
        <w:rPr>
          <w:rFonts w:cs="Arial"/>
          <w:spacing w:val="0"/>
        </w:rPr>
      </w:pPr>
      <w:r w:rsidRPr="008F5AA3">
        <w:rPr>
          <w:rFonts w:cs="Arial"/>
          <w:spacing w:val="0"/>
        </w:rPr>
        <w:t>poor job matching, leaving employers wary of employing a person with disability the next time, and leaving the job seeker discouraged</w:t>
      </w:r>
      <w:r>
        <w:rPr>
          <w:rFonts w:cs="Arial"/>
          <w:spacing w:val="0"/>
        </w:rPr>
        <w:t>; and</w:t>
      </w:r>
    </w:p>
    <w:p w:rsidR="005F494C" w:rsidRPr="008F5AA3" w:rsidRDefault="005F494C" w:rsidP="005F494C">
      <w:pPr>
        <w:pStyle w:val="ListParagraph"/>
        <w:numPr>
          <w:ilvl w:val="0"/>
          <w:numId w:val="20"/>
        </w:numPr>
        <w:spacing w:before="180" w:after="120"/>
        <w:ind w:left="567" w:hanging="283"/>
        <w:rPr>
          <w:rFonts w:cs="Arial"/>
          <w:spacing w:val="0"/>
        </w:rPr>
      </w:pPr>
      <w:proofErr w:type="gramStart"/>
      <w:r>
        <w:rPr>
          <w:rFonts w:cs="Arial"/>
          <w:spacing w:val="0"/>
        </w:rPr>
        <w:t>placing</w:t>
      </w:r>
      <w:proofErr w:type="gramEnd"/>
      <w:r>
        <w:rPr>
          <w:rFonts w:cs="Arial"/>
          <w:spacing w:val="0"/>
        </w:rPr>
        <w:t xml:space="preserve"> people into any job rather than one that is consistent with skills capabilities and experience</w:t>
      </w:r>
      <w:r w:rsidR="009E1A8B">
        <w:rPr>
          <w:rFonts w:cs="Arial"/>
          <w:spacing w:val="0"/>
        </w:rPr>
        <w:t>.</w:t>
      </w:r>
      <w:r>
        <w:rPr>
          <w:rFonts w:cs="Arial"/>
          <w:spacing w:val="0"/>
        </w:rPr>
        <w:t xml:space="preserve"> </w:t>
      </w:r>
    </w:p>
    <w:p w:rsidR="005F494C" w:rsidRDefault="005F494C" w:rsidP="005F494C">
      <w:pPr>
        <w:spacing w:before="180" w:after="120"/>
        <w:rPr>
          <w:rFonts w:cs="Arial"/>
          <w:spacing w:val="0"/>
        </w:rPr>
      </w:pPr>
      <w:r w:rsidRPr="0010235F">
        <w:rPr>
          <w:rFonts w:cs="Arial"/>
          <w:spacing w:val="0"/>
        </w:rPr>
        <w:t>The feedback from employers was what we have all heard consistently</w:t>
      </w:r>
      <w:r>
        <w:rPr>
          <w:rFonts w:cs="Arial"/>
          <w:spacing w:val="0"/>
        </w:rPr>
        <w:t>. T</w:t>
      </w:r>
      <w:r w:rsidRPr="0010235F">
        <w:rPr>
          <w:rFonts w:cs="Arial"/>
          <w:spacing w:val="0"/>
        </w:rPr>
        <w:t xml:space="preserve">hat is, they want the right person for the job, regardless of disability. Further, more specific </w:t>
      </w:r>
      <w:r w:rsidR="00AC023B" w:rsidRPr="0010235F">
        <w:rPr>
          <w:rFonts w:cs="Arial"/>
          <w:spacing w:val="0"/>
        </w:rPr>
        <w:t>comment</w:t>
      </w:r>
      <w:r w:rsidRPr="0010235F">
        <w:rPr>
          <w:rFonts w:cs="Arial"/>
          <w:spacing w:val="0"/>
        </w:rPr>
        <w:t xml:space="preserve"> was that DES staff do not </w:t>
      </w:r>
      <w:r>
        <w:rPr>
          <w:rFonts w:cs="Arial"/>
          <w:spacing w:val="0"/>
        </w:rPr>
        <w:t xml:space="preserve">always </w:t>
      </w:r>
      <w:r w:rsidRPr="0010235F">
        <w:rPr>
          <w:rFonts w:cs="Arial"/>
          <w:spacing w:val="0"/>
        </w:rPr>
        <w:t xml:space="preserve">properly job match </w:t>
      </w:r>
      <w:r w:rsidR="001D54E8">
        <w:rPr>
          <w:rFonts w:cs="Arial"/>
          <w:spacing w:val="0"/>
        </w:rPr>
        <w:t xml:space="preserve">people </w:t>
      </w:r>
      <w:r w:rsidRPr="0010235F">
        <w:rPr>
          <w:rFonts w:cs="Arial"/>
          <w:spacing w:val="0"/>
        </w:rPr>
        <w:t>to vacancies.</w:t>
      </w:r>
      <w:r w:rsidR="00AC023B">
        <w:rPr>
          <w:rFonts w:cs="Arial"/>
          <w:spacing w:val="0"/>
        </w:rPr>
        <w:t xml:space="preserve"> </w:t>
      </w:r>
      <w:r w:rsidRPr="0010235F">
        <w:rPr>
          <w:rFonts w:cs="Arial"/>
          <w:spacing w:val="0"/>
        </w:rPr>
        <w:t>They also commented that DES does not provide enough ongoing support and assistance is not always available when needed. And lastly, employers would prefer a one-stop-shop instead of multiple DES providers approaching the same employers.</w:t>
      </w:r>
    </w:p>
    <w:p w:rsidR="005F494C" w:rsidRPr="00C37C19" w:rsidRDefault="005F494C" w:rsidP="005F494C">
      <w:pPr>
        <w:pStyle w:val="Heading1"/>
        <w:spacing w:before="120" w:after="180"/>
        <w:ind w:left="567" w:hanging="567"/>
        <w:jc w:val="both"/>
        <w:rPr>
          <w:sz w:val="32"/>
          <w:szCs w:val="26"/>
        </w:rPr>
      </w:pPr>
      <w:r w:rsidRPr="00C37C19">
        <w:rPr>
          <w:sz w:val="32"/>
          <w:szCs w:val="26"/>
        </w:rPr>
        <w:t>4.4</w:t>
      </w:r>
      <w:r w:rsidRPr="00C37C19">
        <w:rPr>
          <w:sz w:val="32"/>
          <w:szCs w:val="26"/>
        </w:rPr>
        <w:tab/>
        <w:t>Australian Disability Enterprises</w:t>
      </w:r>
    </w:p>
    <w:p w:rsidR="005F494C" w:rsidRPr="00531668" w:rsidRDefault="005F494C" w:rsidP="005F494C">
      <w:pPr>
        <w:rPr>
          <w:rFonts w:ascii="Times New Roman" w:hAnsi="Times New Roman"/>
        </w:rPr>
      </w:pPr>
      <w:r w:rsidRPr="00531668">
        <w:t xml:space="preserve">Throughout the consultation process, the feedback on the value of </w:t>
      </w:r>
      <w:r w:rsidRPr="00531668">
        <w:rPr>
          <w:rStyle w:val="BookTitle"/>
          <w:rFonts w:cs="Arial"/>
          <w:i w:val="0"/>
          <w:iCs w:val="0"/>
          <w:smallCaps w:val="0"/>
          <w:spacing w:val="0"/>
        </w:rPr>
        <w:t xml:space="preserve">Australian Disability Enterprises </w:t>
      </w:r>
      <w:r w:rsidR="00B25763" w:rsidRPr="00531668">
        <w:rPr>
          <w:rStyle w:val="BookTitle"/>
          <w:rFonts w:cs="Arial"/>
          <w:i w:val="0"/>
          <w:iCs w:val="0"/>
          <w:smallCaps w:val="0"/>
          <w:spacing w:val="0"/>
        </w:rPr>
        <w:t>(</w:t>
      </w:r>
      <w:r w:rsidRPr="00531668">
        <w:t>ADEs</w:t>
      </w:r>
      <w:r w:rsidR="00B25763" w:rsidRPr="00531668">
        <w:t>)</w:t>
      </w:r>
      <w:r w:rsidRPr="00531668">
        <w:t xml:space="preserve"> was divided. The positive views were that ADEs have a combination of skills, purposes and values that should be recognised and enhanced in a new Framework. ADEs can also assist supported employees to gain skills that help them to progress both within the ADE and also to pursue open employment. The alternative view was that there is no place for segregated organisations that pay </w:t>
      </w:r>
      <w:r w:rsidR="001C3469" w:rsidRPr="00531668">
        <w:t xml:space="preserve">pro-rated pay </w:t>
      </w:r>
      <w:r w:rsidRPr="00531668">
        <w:t>rates.</w:t>
      </w:r>
    </w:p>
    <w:p w:rsidR="005F494C" w:rsidRPr="00531668" w:rsidRDefault="005F494C" w:rsidP="005F494C">
      <w:pPr>
        <w:spacing w:before="180" w:after="120"/>
        <w:rPr>
          <w:rStyle w:val="BookTitle"/>
          <w:rFonts w:cs="Arial"/>
          <w:i w:val="0"/>
          <w:iCs w:val="0"/>
          <w:smallCaps w:val="0"/>
          <w:spacing w:val="0"/>
        </w:rPr>
      </w:pPr>
      <w:r w:rsidRPr="00531668">
        <w:rPr>
          <w:rStyle w:val="BookTitle"/>
          <w:rFonts w:cs="Arial"/>
          <w:i w:val="0"/>
          <w:iCs w:val="0"/>
          <w:smallCaps w:val="0"/>
          <w:spacing w:val="0"/>
        </w:rPr>
        <w:t xml:space="preserve">The majority of feedback from ADE providers and supporters, including the carers and families of people with disability, supported the view that ADEs must remain as a </w:t>
      </w:r>
      <w:r w:rsidRPr="00531668">
        <w:rPr>
          <w:rStyle w:val="BookTitle"/>
          <w:rFonts w:cs="Arial"/>
          <w:i w:val="0"/>
          <w:iCs w:val="0"/>
          <w:smallCaps w:val="0"/>
          <w:spacing w:val="0"/>
        </w:rPr>
        <w:lastRenderedPageBreak/>
        <w:t>genuine employment option for some people with disability. The strong view was that ADEs offer a range of support to some people who may not be ready or able to work in open employment. They also provide valuable social interaction and help people to develop relationships outside of family, friends, carers and health care providers.</w:t>
      </w:r>
    </w:p>
    <w:p w:rsidR="005F494C" w:rsidRPr="00531668" w:rsidRDefault="005F494C" w:rsidP="005F494C">
      <w:pPr>
        <w:spacing w:before="180" w:after="120"/>
        <w:rPr>
          <w:rStyle w:val="BookTitle"/>
          <w:rFonts w:cs="Arial"/>
          <w:i w:val="0"/>
          <w:iCs w:val="0"/>
          <w:smallCaps w:val="0"/>
          <w:spacing w:val="0"/>
        </w:rPr>
      </w:pPr>
      <w:r w:rsidRPr="00531668">
        <w:rPr>
          <w:rStyle w:val="BookTitle"/>
          <w:rFonts w:cs="Arial"/>
          <w:i w:val="0"/>
          <w:iCs w:val="0"/>
          <w:smallCaps w:val="0"/>
          <w:spacing w:val="0"/>
        </w:rPr>
        <w:t>There was also a view that ADEs should have a role in helping people transition to open employment, with support for the recent Budget announcement that will assist and encourage this transition. There were suggestions that ADEs should be repurposed as a transitional support for training and work readiness for open employment.</w:t>
      </w:r>
    </w:p>
    <w:p w:rsidR="005F494C" w:rsidRPr="00C37C19" w:rsidRDefault="005F494C" w:rsidP="00AC023B">
      <w:pPr>
        <w:pStyle w:val="Heading1"/>
        <w:numPr>
          <w:ilvl w:val="0"/>
          <w:numId w:val="17"/>
        </w:numPr>
        <w:spacing w:before="180"/>
        <w:ind w:left="567" w:hanging="567"/>
      </w:pPr>
      <w:r w:rsidRPr="00C37C19">
        <w:t xml:space="preserve">Principles for Change </w:t>
      </w:r>
    </w:p>
    <w:p w:rsidR="005F494C" w:rsidRDefault="005F494C" w:rsidP="005F494C">
      <w:pPr>
        <w:spacing w:before="180" w:after="120"/>
      </w:pPr>
      <w:r>
        <w:t xml:space="preserve">The seven proposed Principles for Change were broadly well received at the forums and the submissions mostly indicated support. There were suggestions to add to, or change, the proposed principles. There were two themes </w:t>
      </w:r>
      <w:r w:rsidR="001D54E8">
        <w:t xml:space="preserve">to </w:t>
      </w:r>
      <w:r>
        <w:t>these suggestions: the need for a strong person</w:t>
      </w:r>
      <w:r w:rsidR="001D54E8">
        <w:t>-</w:t>
      </w:r>
      <w:r>
        <w:t xml:space="preserve">centred approach; and that addressing employer needs must be matched by real commitment from employers to create new job opportunities for people with disability. </w:t>
      </w:r>
    </w:p>
    <w:p w:rsidR="005F494C" w:rsidRDefault="005F494C" w:rsidP="005F494C">
      <w:pPr>
        <w:pStyle w:val="Heading2"/>
        <w:spacing w:before="180"/>
      </w:pPr>
      <w:r>
        <w:t xml:space="preserve">Individual funding based on needs and </w:t>
      </w:r>
      <w:r w:rsidR="00386017">
        <w:t>employment goals</w:t>
      </w:r>
    </w:p>
    <w:p w:rsidR="005F494C" w:rsidRDefault="005F494C" w:rsidP="005F494C">
      <w:pPr>
        <w:spacing w:before="180" w:after="120"/>
        <w:rPr>
          <w:rStyle w:val="BookTitle"/>
          <w:rFonts w:cs="Arial"/>
          <w:i w:val="0"/>
          <w:iCs w:val="0"/>
          <w:smallCaps w:val="0"/>
          <w:spacing w:val="0"/>
        </w:rPr>
      </w:pPr>
      <w:r>
        <w:t xml:space="preserve">There was enthusiasm for individual funding from most people with disability and recognition that it is an important concept for providing choice and control. There was particular interest in individual funding, if it </w:t>
      </w:r>
      <w:r w:rsidRPr="00091C46">
        <w:t>can be used to buy the training, education, interventions and support required to gain employment and remain employed over the long term.</w:t>
      </w:r>
      <w:r>
        <w:t xml:space="preserve"> </w:t>
      </w:r>
    </w:p>
    <w:p w:rsidR="005F494C" w:rsidRDefault="005F494C" w:rsidP="005F494C">
      <w:pPr>
        <w:spacing w:before="180" w:after="120"/>
        <w:ind w:right="-285"/>
      </w:pPr>
      <w:r>
        <w:t>Providers and their peak organisations had mixed views about individual funding, ranging from strong support to statements such as the ‘system isn’t broken’. Most addressed the principle positively, but there were concerns. These included:</w:t>
      </w:r>
    </w:p>
    <w:p w:rsidR="005F494C" w:rsidRDefault="005F494C" w:rsidP="005F494C">
      <w:pPr>
        <w:pStyle w:val="ListParagraph"/>
        <w:numPr>
          <w:ilvl w:val="0"/>
          <w:numId w:val="11"/>
        </w:numPr>
        <w:spacing w:before="180" w:after="120"/>
        <w:ind w:left="567" w:right="-285" w:hanging="425"/>
      </w:pPr>
      <w:r>
        <w:t>how job seekers would identify the most suitable and higher performing services;</w:t>
      </w:r>
    </w:p>
    <w:p w:rsidR="005F494C" w:rsidRDefault="005F494C" w:rsidP="005F494C">
      <w:pPr>
        <w:pStyle w:val="ListParagraph"/>
        <w:numPr>
          <w:ilvl w:val="0"/>
          <w:numId w:val="11"/>
        </w:numPr>
        <w:spacing w:before="180" w:after="120"/>
        <w:ind w:left="567" w:right="-285" w:hanging="425"/>
      </w:pPr>
      <w:r>
        <w:t xml:space="preserve">some people may need assistance to manage their funding and may need advocacy services; </w:t>
      </w:r>
    </w:p>
    <w:p w:rsidR="005F494C" w:rsidRDefault="005F494C" w:rsidP="005F494C">
      <w:pPr>
        <w:pStyle w:val="ListParagraph"/>
        <w:numPr>
          <w:ilvl w:val="0"/>
          <w:numId w:val="11"/>
        </w:numPr>
        <w:spacing w:before="180" w:after="120"/>
        <w:ind w:left="567" w:right="-285" w:hanging="425"/>
      </w:pPr>
      <w:r>
        <w:t>potential difficulties identifying and meeting the needs of people with episodic disability, such as those with mental illness;</w:t>
      </w:r>
      <w:r w:rsidRPr="006A0A00">
        <w:t xml:space="preserve"> </w:t>
      </w:r>
      <w:r>
        <w:t>and</w:t>
      </w:r>
    </w:p>
    <w:p w:rsidR="005F494C" w:rsidRDefault="005F494C" w:rsidP="005F494C">
      <w:pPr>
        <w:pStyle w:val="ListParagraph"/>
        <w:numPr>
          <w:ilvl w:val="0"/>
          <w:numId w:val="11"/>
        </w:numPr>
        <w:spacing w:before="180" w:after="120"/>
        <w:ind w:left="567" w:right="-285" w:hanging="425"/>
      </w:pPr>
      <w:proofErr w:type="gramStart"/>
      <w:r>
        <w:t>a</w:t>
      </w:r>
      <w:proofErr w:type="gramEnd"/>
      <w:r>
        <w:t xml:space="preserve"> view that i</w:t>
      </w:r>
      <w:r w:rsidRPr="00091C46">
        <w:t xml:space="preserve">ndividualised funding </w:t>
      </w:r>
      <w:r>
        <w:t xml:space="preserve">could </w:t>
      </w:r>
      <w:r w:rsidRPr="00091C46">
        <w:t xml:space="preserve">work well for volunteers, </w:t>
      </w:r>
      <w:r>
        <w:t xml:space="preserve">but there may be </w:t>
      </w:r>
      <w:r w:rsidRPr="00091C46">
        <w:t xml:space="preserve">difficulties </w:t>
      </w:r>
      <w:r>
        <w:t>for</w:t>
      </w:r>
      <w:r w:rsidRPr="00091C46">
        <w:t xml:space="preserve"> job seekers with participation requirements</w:t>
      </w:r>
      <w:r>
        <w:t>.</w:t>
      </w:r>
    </w:p>
    <w:p w:rsidR="005F494C" w:rsidRDefault="005F494C" w:rsidP="005F494C">
      <w:pPr>
        <w:pStyle w:val="Heading2"/>
        <w:spacing w:before="180"/>
      </w:pPr>
      <w:r>
        <w:t>Market-based service provision</w:t>
      </w:r>
    </w:p>
    <w:p w:rsidR="005F494C" w:rsidRDefault="005F494C" w:rsidP="005F494C">
      <w:r>
        <w:t>Market-based service provision was broadly well received; with people saying that that market-based servicing would provide individuals with greater choice.</w:t>
      </w:r>
      <w:r w:rsidRPr="00F85613">
        <w:t xml:space="preserve"> </w:t>
      </w:r>
      <w:r>
        <w:t xml:space="preserve">That said this was one of the principles where </w:t>
      </w:r>
      <w:r w:rsidR="001D54E8">
        <w:t xml:space="preserve">there were diverse </w:t>
      </w:r>
      <w:r>
        <w:t xml:space="preserve">views with providers in particular expressing reservations about true market choice, business certainty, viability in regional areas and </w:t>
      </w:r>
      <w:r w:rsidR="001D54E8">
        <w:t xml:space="preserve">ensuring </w:t>
      </w:r>
      <w:r>
        <w:t xml:space="preserve">quality. </w:t>
      </w:r>
    </w:p>
    <w:p w:rsidR="005F494C" w:rsidRDefault="005F494C" w:rsidP="005F494C">
      <w:r>
        <w:t>The main concerns were:</w:t>
      </w:r>
    </w:p>
    <w:p w:rsidR="005F494C" w:rsidRDefault="005F494C" w:rsidP="005F494C">
      <w:pPr>
        <w:pStyle w:val="ListParagraph"/>
        <w:numPr>
          <w:ilvl w:val="0"/>
          <w:numId w:val="13"/>
        </w:numPr>
        <w:ind w:left="567" w:hanging="425"/>
      </w:pPr>
      <w:r>
        <w:t>lack of certainty about funding and client flow;</w:t>
      </w:r>
    </w:p>
    <w:p w:rsidR="005F494C" w:rsidRDefault="005F494C" w:rsidP="005F494C">
      <w:pPr>
        <w:pStyle w:val="ListParagraph"/>
        <w:numPr>
          <w:ilvl w:val="0"/>
          <w:numId w:val="13"/>
        </w:numPr>
        <w:ind w:left="567" w:hanging="425"/>
      </w:pPr>
      <w:r>
        <w:t>maintaining a quality system that is measurable;</w:t>
      </w:r>
    </w:p>
    <w:p w:rsidR="005F494C" w:rsidRDefault="005F494C" w:rsidP="005F494C">
      <w:pPr>
        <w:pStyle w:val="ListParagraph"/>
        <w:numPr>
          <w:ilvl w:val="0"/>
          <w:numId w:val="13"/>
        </w:numPr>
        <w:ind w:left="567" w:hanging="425"/>
      </w:pPr>
      <w:r>
        <w:t>job seeker access to quality information to assist with provider choice;</w:t>
      </w:r>
    </w:p>
    <w:p w:rsidR="005F494C" w:rsidRDefault="005F494C" w:rsidP="005F494C">
      <w:pPr>
        <w:pStyle w:val="ListParagraph"/>
        <w:numPr>
          <w:ilvl w:val="0"/>
          <w:numId w:val="13"/>
        </w:numPr>
        <w:ind w:left="567" w:hanging="425"/>
      </w:pPr>
      <w:r>
        <w:t>increased competition could affect business viability;</w:t>
      </w:r>
    </w:p>
    <w:p w:rsidR="005F494C" w:rsidRDefault="005F494C" w:rsidP="005F494C">
      <w:pPr>
        <w:pStyle w:val="ListParagraph"/>
        <w:numPr>
          <w:ilvl w:val="0"/>
          <w:numId w:val="13"/>
        </w:numPr>
        <w:ind w:left="567" w:hanging="425"/>
      </w:pPr>
      <w:r>
        <w:lastRenderedPageBreak/>
        <w:t>larger national and international companies may dominate smaller providers, and have the means to more effectively promote themselves; and</w:t>
      </w:r>
    </w:p>
    <w:p w:rsidR="005F494C" w:rsidRDefault="005F494C" w:rsidP="005F494C">
      <w:pPr>
        <w:pStyle w:val="ListParagraph"/>
        <w:numPr>
          <w:ilvl w:val="0"/>
          <w:numId w:val="13"/>
        </w:numPr>
        <w:ind w:left="567" w:hanging="425"/>
      </w:pPr>
      <w:proofErr w:type="gramStart"/>
      <w:r>
        <w:t>some</w:t>
      </w:r>
      <w:proofErr w:type="gramEnd"/>
      <w:r>
        <w:t xml:space="preserve"> providers may </w:t>
      </w:r>
      <w:r w:rsidRPr="00091C46">
        <w:t>choose not to work with those participants who are unwilling to work or have the most significant disadvantage</w:t>
      </w:r>
      <w:r>
        <w:t>.</w:t>
      </w:r>
    </w:p>
    <w:p w:rsidR="005F494C" w:rsidRDefault="005F494C" w:rsidP="005F494C">
      <w:r>
        <w:t>A number of providers suggested a new system would need an effective performance assessment system that is broader than the current star ratings system and in line with the Disability Service Standards.</w:t>
      </w:r>
    </w:p>
    <w:p w:rsidR="005F494C" w:rsidRDefault="005F494C" w:rsidP="005F494C">
      <w:r>
        <w:t>Providers recommended that any changes be introduced gradually to allow sufficient time to adjust and to ensure that the market has time to mature and transition to the new Disability Employment Framework.</w:t>
      </w:r>
    </w:p>
    <w:p w:rsidR="005F494C" w:rsidRDefault="005F494C" w:rsidP="005F494C">
      <w:pPr>
        <w:pStyle w:val="Heading2"/>
        <w:spacing w:before="180"/>
      </w:pPr>
      <w:r>
        <w:t>Long-term career planning and capacity building</w:t>
      </w:r>
    </w:p>
    <w:p w:rsidR="005F494C" w:rsidRDefault="005F494C" w:rsidP="005F494C">
      <w:pPr>
        <w:spacing w:before="180" w:after="120"/>
      </w:pPr>
      <w:r w:rsidRPr="00C51F78">
        <w:t>The principle of building employment assistance around career planning was embraced enthusiastically with comments that a new system must include funding to assist with training and further education, work skills and work experience. It was agreed that an employment service that is person-centred must be about long-term planning and capacity building, and should be multidimensional, including aspects which are personal, social and career oriented.</w:t>
      </w:r>
    </w:p>
    <w:p w:rsidR="005F494C" w:rsidRDefault="005F494C" w:rsidP="005F494C">
      <w:pPr>
        <w:spacing w:before="180" w:after="120"/>
      </w:pPr>
      <w:r>
        <w:t>It was noted by all stakeholders that DES does not currently address underemployment or effectively address skilled employment, as the current system drives an ‘any job will do mentality’. The system also does nothing to support training, upskilling, transitions between jobs and career progression.</w:t>
      </w:r>
    </w:p>
    <w:p w:rsidR="005F494C" w:rsidRDefault="005F494C" w:rsidP="005F494C">
      <w:pPr>
        <w:spacing w:before="180" w:after="120"/>
      </w:pPr>
      <w:r>
        <w:t>A new system should help people with disability find jobs that are relevant to their skills, experience and capabilities. Career planning must include training that is aligned with career aspirations and labour market need.</w:t>
      </w:r>
    </w:p>
    <w:p w:rsidR="005F494C" w:rsidRDefault="005F494C" w:rsidP="005F494C">
      <w:pPr>
        <w:spacing w:before="180" w:after="120"/>
      </w:pPr>
      <w:r>
        <w:t>Comments included</w:t>
      </w:r>
      <w:r w:rsidR="009E1A8B">
        <w:t>,</w:t>
      </w:r>
      <w:r>
        <w:t xml:space="preserve"> that a career planning process must be individualised, taking into account goals and aspirations and not just be box ticking.</w:t>
      </w:r>
    </w:p>
    <w:p w:rsidR="005F494C" w:rsidRDefault="005F494C" w:rsidP="005F494C">
      <w:pPr>
        <w:spacing w:before="180" w:after="120"/>
      </w:pPr>
      <w:r>
        <w:t xml:space="preserve">It was also noted that career planning requires a specialised skill set that is very different to the current DES employment consultant skill set. </w:t>
      </w:r>
    </w:p>
    <w:p w:rsidR="005F494C" w:rsidRDefault="005F494C" w:rsidP="005F494C">
      <w:pPr>
        <w:spacing w:before="180" w:after="120"/>
      </w:pPr>
      <w:r>
        <w:t>Other comments about career planning included:</w:t>
      </w:r>
    </w:p>
    <w:p w:rsidR="005F494C" w:rsidRDefault="005F494C" w:rsidP="005F494C">
      <w:pPr>
        <w:pStyle w:val="ListParagraph"/>
        <w:ind w:left="567" w:hanging="425"/>
      </w:pPr>
      <w:proofErr w:type="gramStart"/>
      <w:r>
        <w:t>job</w:t>
      </w:r>
      <w:proofErr w:type="gramEnd"/>
      <w:r>
        <w:t xml:space="preserve"> seekers should be supported to take up short-term contract employment where this is appropriate and available. Options such as part</w:t>
      </w:r>
      <w:r w:rsidR="001D54E8">
        <w:t>-</w:t>
      </w:r>
      <w:r>
        <w:t>time work and working from home should be available and these should reflect the capabilities of the job seekers and the needs of employers;</w:t>
      </w:r>
    </w:p>
    <w:p w:rsidR="005F494C" w:rsidRDefault="005F494C" w:rsidP="005F494C">
      <w:pPr>
        <w:pStyle w:val="ListParagraph"/>
        <w:ind w:left="567" w:hanging="425"/>
      </w:pPr>
      <w:r>
        <w:t>career support must be flexible to meet changing needs and aspirations of individuals with disability;</w:t>
      </w:r>
    </w:p>
    <w:p w:rsidR="005F494C" w:rsidRDefault="005F494C" w:rsidP="005F494C">
      <w:pPr>
        <w:pStyle w:val="ListParagraph"/>
        <w:ind w:left="567" w:hanging="425"/>
      </w:pPr>
      <w:r>
        <w:t xml:space="preserve">career planning should involve a combination of vocational training, volunteering, work-experience, supported and open employment; and </w:t>
      </w:r>
    </w:p>
    <w:p w:rsidR="005F494C" w:rsidRDefault="005F494C" w:rsidP="005F494C">
      <w:pPr>
        <w:pStyle w:val="ListParagraph"/>
        <w:ind w:left="567" w:hanging="425"/>
      </w:pPr>
      <w:proofErr w:type="gramStart"/>
      <w:r>
        <w:t>people</w:t>
      </w:r>
      <w:proofErr w:type="gramEnd"/>
      <w:r>
        <w:t xml:space="preserve"> with mental illness will need a career planning process that adjusts to the episodic nature of their illness.</w:t>
      </w:r>
    </w:p>
    <w:p w:rsidR="005F494C" w:rsidRDefault="005F494C" w:rsidP="005F494C">
      <w:pPr>
        <w:pStyle w:val="Heading2"/>
        <w:spacing w:before="180"/>
      </w:pPr>
      <w:r>
        <w:t>Understanding employer needs</w:t>
      </w:r>
    </w:p>
    <w:p w:rsidR="005F494C" w:rsidRDefault="005F494C" w:rsidP="005F494C">
      <w:pPr>
        <w:spacing w:before="180" w:after="120"/>
      </w:pPr>
      <w:r>
        <w:t xml:space="preserve">Employers welcomed this principle, stating that while DES providers endeavour to meet their </w:t>
      </w:r>
      <w:proofErr w:type="gramStart"/>
      <w:r>
        <w:t>needs,</w:t>
      </w:r>
      <w:proofErr w:type="gramEnd"/>
      <w:r>
        <w:t xml:space="preserve"> their staff are not adequately trained or supported to do this </w:t>
      </w:r>
      <w:r>
        <w:lastRenderedPageBreak/>
        <w:t>effectively. Employers were very clear they need the right person for the job, regardless of disability.</w:t>
      </w:r>
    </w:p>
    <w:p w:rsidR="005F494C" w:rsidRDefault="005F494C" w:rsidP="005F494C">
      <w:pPr>
        <w:spacing w:before="180" w:after="120"/>
      </w:pPr>
      <w:r>
        <w:t>People with disability were also supportive of this principle. They believe the current system encourages providers to refer people who are ready to work to any vacancy. This is frustrating and disheartening for employers and job seekers. Job seekers, particularly those with tertiary qualifications, welcomed the idea of being referred for jobs that match their skills to employer expectations.</w:t>
      </w:r>
    </w:p>
    <w:p w:rsidR="005F494C" w:rsidRDefault="005F494C" w:rsidP="005F494C">
      <w:pPr>
        <w:spacing w:before="180" w:after="120"/>
      </w:pPr>
      <w:r>
        <w:t xml:space="preserve">Despite the general agreement with this principle, there was strong debate about how incentives and support for employers needs must be matched by employers making significant efforts to create new employment opportunities for job seekers with disability. People said that employers need to improve their knowledge and ensure their organisations are </w:t>
      </w:r>
      <w:r w:rsidRPr="009D1D20">
        <w:t>disability savvy.</w:t>
      </w:r>
    </w:p>
    <w:p w:rsidR="005F494C" w:rsidRDefault="005F494C" w:rsidP="005F494C">
      <w:pPr>
        <w:spacing w:before="180" w:after="120"/>
        <w:rPr>
          <w:rStyle w:val="BookTitle"/>
          <w:rFonts w:cs="Arial"/>
          <w:i w:val="0"/>
          <w:iCs w:val="0"/>
          <w:smallCaps w:val="0"/>
          <w:spacing w:val="0"/>
        </w:rPr>
      </w:pPr>
      <w:r>
        <w:rPr>
          <w:rStyle w:val="BookTitle"/>
          <w:rFonts w:cs="Arial"/>
          <w:i w:val="0"/>
          <w:iCs w:val="0"/>
          <w:smallCaps w:val="0"/>
          <w:spacing w:val="0"/>
        </w:rPr>
        <w:t>There were many comments that e</w:t>
      </w:r>
      <w:r w:rsidRPr="00794275">
        <w:rPr>
          <w:rStyle w:val="BookTitle"/>
          <w:rFonts w:cs="Arial"/>
          <w:i w:val="0"/>
          <w:iCs w:val="0"/>
          <w:smallCaps w:val="0"/>
          <w:spacing w:val="0"/>
        </w:rPr>
        <w:t xml:space="preserve">mployer and community perceptions </w:t>
      </w:r>
      <w:r>
        <w:rPr>
          <w:rStyle w:val="BookTitle"/>
          <w:rFonts w:cs="Arial"/>
          <w:i w:val="0"/>
          <w:iCs w:val="0"/>
          <w:smallCaps w:val="0"/>
          <w:spacing w:val="0"/>
        </w:rPr>
        <w:t xml:space="preserve">about </w:t>
      </w:r>
      <w:r w:rsidRPr="00794275">
        <w:rPr>
          <w:rStyle w:val="BookTitle"/>
          <w:rFonts w:cs="Arial"/>
          <w:i w:val="0"/>
          <w:iCs w:val="0"/>
          <w:smallCaps w:val="0"/>
          <w:spacing w:val="0"/>
        </w:rPr>
        <w:t>the capabilities of people with disability need to be changed</w:t>
      </w:r>
      <w:r>
        <w:rPr>
          <w:rStyle w:val="BookTitle"/>
          <w:rFonts w:cs="Arial"/>
          <w:i w:val="0"/>
          <w:iCs w:val="0"/>
          <w:smallCaps w:val="0"/>
          <w:spacing w:val="0"/>
        </w:rPr>
        <w:t xml:space="preserve">, with </w:t>
      </w:r>
      <w:r w:rsidRPr="00AD419B">
        <w:rPr>
          <w:rStyle w:val="BookTitle"/>
          <w:rFonts w:cs="Arial"/>
          <w:i w:val="0"/>
          <w:iCs w:val="0"/>
          <w:smallCaps w:val="0"/>
          <w:spacing w:val="0"/>
        </w:rPr>
        <w:t>m</w:t>
      </w:r>
      <w:r>
        <w:rPr>
          <w:rStyle w:val="BookTitle"/>
          <w:rFonts w:cs="Arial"/>
          <w:i w:val="0"/>
          <w:iCs w:val="0"/>
          <w:smallCaps w:val="0"/>
          <w:spacing w:val="0"/>
        </w:rPr>
        <w:t xml:space="preserve">ultiple </w:t>
      </w:r>
      <w:r w:rsidRPr="00AD419B">
        <w:rPr>
          <w:rStyle w:val="BookTitle"/>
          <w:rFonts w:cs="Arial"/>
          <w:i w:val="0"/>
          <w:iCs w:val="0"/>
          <w:smallCaps w:val="0"/>
          <w:spacing w:val="0"/>
        </w:rPr>
        <w:t>suggestions about Government action and incentives. A much repeated idea was that Australia needs a well-designed and targeted Government funded advertising campaign</w:t>
      </w:r>
      <w:r>
        <w:rPr>
          <w:rStyle w:val="BookTitle"/>
          <w:rFonts w:cs="Arial"/>
          <w:i w:val="0"/>
          <w:iCs w:val="0"/>
          <w:smallCaps w:val="0"/>
          <w:spacing w:val="0"/>
        </w:rPr>
        <w:t xml:space="preserve">. There were calls for a </w:t>
      </w:r>
      <w:r w:rsidRPr="00840479">
        <w:t xml:space="preserve">campaign directed towards the community and employers </w:t>
      </w:r>
      <w:r>
        <w:t>that could help</w:t>
      </w:r>
      <w:r w:rsidRPr="00840479">
        <w:t xml:space="preserve"> dispel</w:t>
      </w:r>
      <w:r>
        <w:t xml:space="preserve"> </w:t>
      </w:r>
      <w:r w:rsidR="001D54E8">
        <w:t>myths</w:t>
      </w:r>
      <w:r w:rsidR="001D54E8" w:rsidRPr="00840479">
        <w:t xml:space="preserve"> </w:t>
      </w:r>
      <w:r>
        <w:t xml:space="preserve">and </w:t>
      </w:r>
      <w:r w:rsidRPr="00AD419B">
        <w:rPr>
          <w:rStyle w:val="BookTitle"/>
          <w:rFonts w:cs="Arial"/>
          <w:i w:val="0"/>
          <w:iCs w:val="0"/>
          <w:smallCaps w:val="0"/>
          <w:spacing w:val="0"/>
        </w:rPr>
        <w:t>highlight the benefits of employing people with</w:t>
      </w:r>
      <w:r>
        <w:rPr>
          <w:rStyle w:val="BookTitle"/>
          <w:rFonts w:cs="Arial"/>
          <w:i w:val="0"/>
          <w:iCs w:val="0"/>
          <w:smallCaps w:val="0"/>
          <w:spacing w:val="0"/>
        </w:rPr>
        <w:t xml:space="preserve"> disability,</w:t>
      </w:r>
      <w:r w:rsidRPr="00AD419B">
        <w:rPr>
          <w:rStyle w:val="BookTitle"/>
          <w:rFonts w:cs="Arial"/>
          <w:i w:val="0"/>
          <w:iCs w:val="0"/>
          <w:smallCaps w:val="0"/>
          <w:spacing w:val="0"/>
        </w:rPr>
        <w:t xml:space="preserve"> </w:t>
      </w:r>
      <w:r w:rsidRPr="00840479">
        <w:t xml:space="preserve">and </w:t>
      </w:r>
      <w:r>
        <w:t xml:space="preserve">to help </w:t>
      </w:r>
      <w:r w:rsidRPr="00840479">
        <w:t>eliminat</w:t>
      </w:r>
      <w:r>
        <w:t>e</w:t>
      </w:r>
      <w:r w:rsidRPr="00840479">
        <w:t xml:space="preserve"> discrimination.</w:t>
      </w:r>
    </w:p>
    <w:p w:rsidR="005F494C" w:rsidRDefault="005F494C" w:rsidP="005F494C">
      <w:pPr>
        <w:spacing w:before="180" w:after="120"/>
      </w:pPr>
      <w:r>
        <w:rPr>
          <w:rStyle w:val="BookTitle"/>
          <w:rFonts w:cs="Arial"/>
          <w:i w:val="0"/>
          <w:iCs w:val="0"/>
          <w:smallCaps w:val="0"/>
          <w:spacing w:val="0"/>
        </w:rPr>
        <w:t xml:space="preserve">Other suggestions were about </w:t>
      </w:r>
      <w:r w:rsidRPr="00AD419B">
        <w:rPr>
          <w:rStyle w:val="BookTitle"/>
          <w:rFonts w:cs="Arial"/>
          <w:i w:val="0"/>
          <w:iCs w:val="0"/>
          <w:smallCaps w:val="0"/>
          <w:spacing w:val="0"/>
        </w:rPr>
        <w:t>introducing targets and quotas, tax incentives and discounts on work cover insurance</w:t>
      </w:r>
      <w:r>
        <w:rPr>
          <w:rStyle w:val="BookTitle"/>
          <w:rFonts w:cs="Arial"/>
          <w:i w:val="0"/>
          <w:iCs w:val="0"/>
          <w:smallCaps w:val="0"/>
          <w:spacing w:val="0"/>
        </w:rPr>
        <w:t xml:space="preserve">. It was suggested that </w:t>
      </w:r>
      <w:r>
        <w:t>m</w:t>
      </w:r>
      <w:r w:rsidRPr="00840479">
        <w:t>andatory quotas and reporting requirements for government agencies</w:t>
      </w:r>
      <w:r>
        <w:t xml:space="preserve"> and business</w:t>
      </w:r>
      <w:r w:rsidRPr="00840479">
        <w:t xml:space="preserve"> </w:t>
      </w:r>
      <w:r>
        <w:t xml:space="preserve">would </w:t>
      </w:r>
      <w:r w:rsidRPr="00840479">
        <w:t>encourage employment of people with disability</w:t>
      </w:r>
      <w:r>
        <w:t>.</w:t>
      </w:r>
    </w:p>
    <w:p w:rsidR="005F494C" w:rsidRDefault="005F494C" w:rsidP="005F494C">
      <w:pPr>
        <w:spacing w:before="180" w:after="120"/>
        <w:rPr>
          <w:rStyle w:val="BookTitle"/>
          <w:rFonts w:cs="Arial"/>
          <w:i w:val="0"/>
          <w:iCs w:val="0"/>
          <w:smallCaps w:val="0"/>
          <w:spacing w:val="0"/>
        </w:rPr>
      </w:pPr>
      <w:r>
        <w:t xml:space="preserve">Another suggestion was that there could be an </w:t>
      </w:r>
      <w:r w:rsidRPr="00840479">
        <w:t>accreditation system (like the heart smart tick</w:t>
      </w:r>
      <w:r>
        <w:t xml:space="preserve"> of approval</w:t>
      </w:r>
      <w:r w:rsidRPr="00840479">
        <w:t xml:space="preserve">) </w:t>
      </w:r>
      <w:r>
        <w:t xml:space="preserve">which </w:t>
      </w:r>
      <w:r w:rsidRPr="00840479">
        <w:t>would enable employers to promote their status as an inclusive, equal opportunity employer</w:t>
      </w:r>
      <w:r>
        <w:t>.</w:t>
      </w:r>
    </w:p>
    <w:p w:rsidR="005F494C" w:rsidRDefault="005F494C" w:rsidP="005F494C">
      <w:pPr>
        <w:pStyle w:val="Heading2"/>
        <w:spacing w:before="180"/>
      </w:pPr>
      <w:r>
        <w:t>Increased open employment options</w:t>
      </w:r>
    </w:p>
    <w:p w:rsidR="005F494C" w:rsidRDefault="005F494C" w:rsidP="005F494C">
      <w:r w:rsidRPr="000E26E3">
        <w:t>T</w:t>
      </w:r>
      <w:r>
        <w:rPr>
          <w:rStyle w:val="BookTitle"/>
          <w:rFonts w:cs="Arial"/>
          <w:i w:val="0"/>
          <w:iCs w:val="0"/>
          <w:smallCaps w:val="0"/>
          <w:spacing w:val="0"/>
        </w:rPr>
        <w:t xml:space="preserve">here was support for assistance for people to transition from Australian Disability Enterprises (ADEs) to open employment, with many commenting on the value of </w:t>
      </w:r>
      <w:r>
        <w:t>the recent announcement that people in ADEs will be able to access DES without losing their place in the ADE to test open employment.</w:t>
      </w:r>
    </w:p>
    <w:p w:rsidR="005F494C" w:rsidRDefault="005F494C" w:rsidP="005F494C">
      <w:pPr>
        <w:spacing w:before="0" w:after="120"/>
        <w:rPr>
          <w:rStyle w:val="BookTitle"/>
          <w:rFonts w:cs="Arial"/>
          <w:i w:val="0"/>
          <w:iCs w:val="0"/>
          <w:smallCaps w:val="0"/>
          <w:spacing w:val="0"/>
        </w:rPr>
      </w:pPr>
      <w:r>
        <w:rPr>
          <w:rStyle w:val="BookTitle"/>
          <w:rFonts w:cs="Arial"/>
          <w:i w:val="0"/>
          <w:iCs w:val="0"/>
          <w:smallCaps w:val="0"/>
          <w:spacing w:val="0"/>
        </w:rPr>
        <w:t xml:space="preserve">While some stakeholders suggested that ADEs should not continue, many stakeholders held a very strong view that ADEs must remain as a genuine employment option for some people with disability, noting ADEs also </w:t>
      </w:r>
      <w:r>
        <w:t xml:space="preserve">provide valuable social interaction. </w:t>
      </w:r>
    </w:p>
    <w:p w:rsidR="005F494C" w:rsidRDefault="005F494C" w:rsidP="005F494C">
      <w:pPr>
        <w:spacing w:before="180" w:after="120"/>
      </w:pPr>
      <w:r w:rsidRPr="009509C9">
        <w:t xml:space="preserve">Providers, employers and people with disability were all supportive of a </w:t>
      </w:r>
      <w:r>
        <w:t xml:space="preserve">disability </w:t>
      </w:r>
      <w:r w:rsidRPr="009509C9">
        <w:t>employment system that recognises the changing needs of industry, particularly a system that adjusts to the increasing number of casual employment opportunities.</w:t>
      </w:r>
      <w:r w:rsidRPr="0086701F">
        <w:t xml:space="preserve"> </w:t>
      </w:r>
      <w:r>
        <w:t>This is likely to increase the flexible employment options available to people with disability.</w:t>
      </w:r>
    </w:p>
    <w:p w:rsidR="005F494C" w:rsidRPr="006C4FAB" w:rsidRDefault="005F494C" w:rsidP="005F494C">
      <w:pPr>
        <w:spacing w:before="180" w:after="120"/>
        <w:rPr>
          <w:rStyle w:val="BookTitle"/>
          <w:rFonts w:cs="Arial"/>
          <w:i w:val="0"/>
          <w:iCs w:val="0"/>
          <w:smallCaps w:val="0"/>
          <w:spacing w:val="0"/>
        </w:rPr>
      </w:pPr>
      <w:r w:rsidRPr="006C4FAB">
        <w:rPr>
          <w:rStyle w:val="BookTitle"/>
          <w:rFonts w:cs="Arial"/>
          <w:i w:val="0"/>
          <w:iCs w:val="0"/>
          <w:smallCaps w:val="0"/>
          <w:spacing w:val="0"/>
        </w:rPr>
        <w:t>There were a number of suggestions that some tweaking of current policies could assist people with disability transition to open employment.</w:t>
      </w:r>
    </w:p>
    <w:p w:rsidR="005F494C" w:rsidRPr="006C4FAB" w:rsidRDefault="005F494C" w:rsidP="005F494C">
      <w:pPr>
        <w:spacing w:before="180" w:after="120"/>
        <w:rPr>
          <w:rStyle w:val="BookTitle"/>
          <w:rFonts w:cs="Arial"/>
          <w:i w:val="0"/>
          <w:iCs w:val="0"/>
          <w:smallCaps w:val="0"/>
          <w:spacing w:val="0"/>
        </w:rPr>
      </w:pPr>
      <w:r w:rsidRPr="006C4FAB">
        <w:rPr>
          <w:rStyle w:val="BookTitle"/>
          <w:rFonts w:cs="Arial"/>
          <w:i w:val="0"/>
          <w:iCs w:val="0"/>
          <w:smallCaps w:val="0"/>
          <w:spacing w:val="0"/>
        </w:rPr>
        <w:t>Suggestions included:</w:t>
      </w:r>
    </w:p>
    <w:p w:rsidR="005F494C" w:rsidRPr="006C4FAB" w:rsidRDefault="005F494C" w:rsidP="005F494C">
      <w:pPr>
        <w:pStyle w:val="ListParagraph"/>
        <w:numPr>
          <w:ilvl w:val="0"/>
          <w:numId w:val="14"/>
        </w:numPr>
        <w:spacing w:before="180" w:after="120"/>
        <w:ind w:left="567" w:hanging="283"/>
      </w:pPr>
      <w:r w:rsidRPr="006C4FAB">
        <w:rPr>
          <w:rStyle w:val="BookTitle"/>
          <w:rFonts w:cs="Arial"/>
          <w:i w:val="0"/>
          <w:iCs w:val="0"/>
          <w:smallCaps w:val="0"/>
          <w:spacing w:val="0"/>
        </w:rPr>
        <w:lastRenderedPageBreak/>
        <w:t>f</w:t>
      </w:r>
      <w:r w:rsidRPr="006C4FAB">
        <w:t>lexibility around keeping pensioner concession card</w:t>
      </w:r>
      <w:r>
        <w:t>s</w:t>
      </w:r>
      <w:r w:rsidRPr="006C4FAB">
        <w:t xml:space="preserve"> once in employment and eas</w:t>
      </w:r>
      <w:r>
        <w:t>ier</w:t>
      </w:r>
      <w:r w:rsidRPr="006C4FAB">
        <w:t xml:space="preserve"> access to DSP if employment fails</w:t>
      </w:r>
      <w:r>
        <w:t xml:space="preserve">; and </w:t>
      </w:r>
    </w:p>
    <w:p w:rsidR="005F494C" w:rsidRPr="006C4FAB" w:rsidRDefault="005F494C" w:rsidP="005F494C">
      <w:pPr>
        <w:pStyle w:val="ListParagraph"/>
        <w:numPr>
          <w:ilvl w:val="0"/>
          <w:numId w:val="14"/>
        </w:numPr>
        <w:spacing w:before="180" w:after="120"/>
        <w:ind w:left="567" w:hanging="283"/>
      </w:pPr>
      <w:proofErr w:type="gramStart"/>
      <w:r>
        <w:t>m</w:t>
      </w:r>
      <w:r w:rsidRPr="006C4FAB">
        <w:t>ore</w:t>
      </w:r>
      <w:proofErr w:type="gramEnd"/>
      <w:r w:rsidRPr="006C4FAB">
        <w:t xml:space="preserve"> support for specialist assistance for some cohorts such as </w:t>
      </w:r>
      <w:r>
        <w:t>c</w:t>
      </w:r>
      <w:r w:rsidRPr="006C4FAB">
        <w:t xml:space="preserve">ulturally and </w:t>
      </w:r>
      <w:r>
        <w:t>l</w:t>
      </w:r>
      <w:r w:rsidRPr="006C4FAB">
        <w:t xml:space="preserve">inguistically </w:t>
      </w:r>
      <w:r>
        <w:t>d</w:t>
      </w:r>
      <w:r w:rsidRPr="006C4FAB">
        <w:t>iverse people with disability and peo</w:t>
      </w:r>
      <w:r>
        <w:t>p</w:t>
      </w:r>
      <w:r w:rsidRPr="006C4FAB">
        <w:t>le with mental illness.</w:t>
      </w:r>
    </w:p>
    <w:p w:rsidR="005F494C" w:rsidRDefault="005F494C" w:rsidP="005F494C">
      <w:r>
        <w:t>The only real reservation about the principle of increased open employment options was about increasing people’s expectations when there may not be jobs available.</w:t>
      </w:r>
    </w:p>
    <w:p w:rsidR="005F494C" w:rsidRDefault="005F494C" w:rsidP="005F494C">
      <w:pPr>
        <w:pStyle w:val="Heading2"/>
      </w:pPr>
      <w:r w:rsidRPr="00B62992">
        <w:t>Whole-of-Government coordination and use of technology</w:t>
      </w:r>
    </w:p>
    <w:p w:rsidR="005F494C" w:rsidRDefault="005F494C" w:rsidP="005F494C">
      <w:r>
        <w:t>Feedback was very supportive of a whole</w:t>
      </w:r>
      <w:r w:rsidR="001D54E8">
        <w:t>-</w:t>
      </w:r>
      <w:r>
        <w:t>of</w:t>
      </w:r>
      <w:r w:rsidR="001D54E8">
        <w:t>-</w:t>
      </w:r>
      <w:r>
        <w:t>government approach to disability employment services. There was a view this could help address the issue that many people do not know about the various supports available to help people with disability and their employers.</w:t>
      </w:r>
    </w:p>
    <w:p w:rsidR="005F494C" w:rsidRDefault="005F494C" w:rsidP="005F494C">
      <w:r>
        <w:t>There were multiple suggestions to develop an online one-stop</w:t>
      </w:r>
      <w:r w:rsidR="001D54E8">
        <w:t xml:space="preserve"> </w:t>
      </w:r>
      <w:r>
        <w:t>shop for employers, job seekers and providers.</w:t>
      </w:r>
      <w:r w:rsidRPr="00EA4723">
        <w:t xml:space="preserve"> </w:t>
      </w:r>
      <w:r>
        <w:t>It was suggested that a one-stop</w:t>
      </w:r>
      <w:r w:rsidR="001D54E8">
        <w:t xml:space="preserve"> </w:t>
      </w:r>
      <w:r>
        <w:t>shop could be the gateway for job seekers with disability to select the services once their needs have been assessed and a support package approved. This gateway could include information regarding the quality and performance of the relevant providers.</w:t>
      </w:r>
    </w:p>
    <w:p w:rsidR="005F494C" w:rsidRDefault="005F494C" w:rsidP="005F494C">
      <w:r>
        <w:t xml:space="preserve">Commentary indicated that there are currently links missing to connect local, state and federal support services and a whole-of-government coordination would be welcomed. </w:t>
      </w:r>
    </w:p>
    <w:p w:rsidR="005F494C" w:rsidRPr="00F80072" w:rsidRDefault="005F494C" w:rsidP="005F494C">
      <w:pPr>
        <w:pStyle w:val="Heading2"/>
      </w:pPr>
      <w:r>
        <w:t>The person is supported through the life-course</w:t>
      </w:r>
    </w:p>
    <w:p w:rsidR="005F494C" w:rsidRDefault="005F494C" w:rsidP="005F494C">
      <w:r w:rsidRPr="001E1800">
        <w:t xml:space="preserve">This principle prompted discussion </w:t>
      </w:r>
      <w:r>
        <w:t>about the</w:t>
      </w:r>
      <w:r w:rsidRPr="001E1800">
        <w:t xml:space="preserve"> need </w:t>
      </w:r>
      <w:r>
        <w:t xml:space="preserve">to change </w:t>
      </w:r>
      <w:r w:rsidRPr="001E1800">
        <w:t>expectations at the</w:t>
      </w:r>
      <w:r w:rsidRPr="00091C46">
        <w:t xml:space="preserve"> start of life</w:t>
      </w:r>
      <w:r>
        <w:t xml:space="preserve"> that</w:t>
      </w:r>
      <w:r w:rsidRPr="00091C46">
        <w:t xml:space="preserve"> </w:t>
      </w:r>
      <w:r>
        <w:t>people with disability</w:t>
      </w:r>
      <w:r w:rsidRPr="00091C46">
        <w:t xml:space="preserve"> will work when they finish their education.</w:t>
      </w:r>
      <w:r w:rsidRPr="001E1800">
        <w:t xml:space="preserve"> </w:t>
      </w:r>
    </w:p>
    <w:p w:rsidR="005F494C" w:rsidRDefault="005F494C" w:rsidP="005F494C">
      <w:r w:rsidRPr="00987D27">
        <w:t>There was agreement that working with young people is crucial, with significant discussion about the need for better transitions from school to work, including options for work experience, school based apprenticeships and part time work while still at school. M</w:t>
      </w:r>
      <w:r w:rsidRPr="00987D27">
        <w:rPr>
          <w:rStyle w:val="BookTitle"/>
          <w:rFonts w:cs="Arial"/>
          <w:i w:val="0"/>
          <w:iCs w:val="0"/>
          <w:smallCaps w:val="0"/>
          <w:spacing w:val="0"/>
        </w:rPr>
        <w:t>ost suggested this needs to start well before the final year of secondary school. The following comments were made</w:t>
      </w:r>
      <w:r>
        <w:rPr>
          <w:rStyle w:val="BookTitle"/>
          <w:rFonts w:cs="Arial"/>
          <w:i w:val="0"/>
          <w:iCs w:val="0"/>
          <w:smallCaps w:val="0"/>
          <w:spacing w:val="0"/>
        </w:rPr>
        <w:t>:</w:t>
      </w:r>
    </w:p>
    <w:p w:rsidR="005F494C" w:rsidRPr="00987D27" w:rsidRDefault="005F494C" w:rsidP="005F494C">
      <w:pPr>
        <w:pStyle w:val="ListParagraph"/>
        <w:ind w:left="567" w:hanging="425"/>
      </w:pPr>
      <w:r w:rsidRPr="00987D27">
        <w:rPr>
          <w:iCs/>
        </w:rPr>
        <w:t xml:space="preserve">Support for school to work transition is critical. Focusing support at the early stage of working life will likely result in benefits across a person’s lifetime. </w:t>
      </w:r>
    </w:p>
    <w:p w:rsidR="005F494C" w:rsidRPr="00987D27" w:rsidRDefault="005F494C" w:rsidP="005F494C">
      <w:pPr>
        <w:pStyle w:val="ListParagraph"/>
        <w:ind w:left="567" w:hanging="425"/>
      </w:pPr>
      <w:r w:rsidRPr="00987D27">
        <w:rPr>
          <w:iCs/>
        </w:rPr>
        <w:t xml:space="preserve">Support must be targeted specifically to the needs of students with disability. The school and parents/carers need to be included in transition planning. </w:t>
      </w:r>
    </w:p>
    <w:p w:rsidR="005F494C" w:rsidRPr="00987D27" w:rsidRDefault="005F494C" w:rsidP="005F494C">
      <w:pPr>
        <w:pStyle w:val="ListParagraph"/>
        <w:ind w:left="567" w:hanging="425"/>
      </w:pPr>
      <w:r w:rsidRPr="00987D27">
        <w:rPr>
          <w:iCs/>
        </w:rPr>
        <w:t>A transition programme that starts early will change expectat</w:t>
      </w:r>
      <w:r>
        <w:rPr>
          <w:iCs/>
        </w:rPr>
        <w:t xml:space="preserve">ions of teachers, families and </w:t>
      </w:r>
      <w:r w:rsidRPr="00987D27">
        <w:rPr>
          <w:iCs/>
        </w:rPr>
        <w:t>student</w:t>
      </w:r>
      <w:r>
        <w:rPr>
          <w:iCs/>
        </w:rPr>
        <w:t>s</w:t>
      </w:r>
      <w:r w:rsidRPr="00987D27">
        <w:rPr>
          <w:iCs/>
        </w:rPr>
        <w:t xml:space="preserve"> about post school employment options. This may help prevent assumptions that the only option for some students is an ADE.</w:t>
      </w:r>
    </w:p>
    <w:p w:rsidR="005F494C" w:rsidRPr="00987D27" w:rsidRDefault="005F494C" w:rsidP="005F494C">
      <w:pPr>
        <w:pStyle w:val="ListParagraph"/>
        <w:ind w:left="567" w:hanging="425"/>
      </w:pPr>
      <w:r w:rsidRPr="00987D27">
        <w:rPr>
          <w:iCs/>
        </w:rPr>
        <w:t>There is a need to include core employability skills in schools.</w:t>
      </w:r>
    </w:p>
    <w:p w:rsidR="005F494C" w:rsidRPr="00987D27" w:rsidRDefault="005F494C" w:rsidP="005F494C">
      <w:pPr>
        <w:pStyle w:val="ListParagraph"/>
        <w:ind w:left="567" w:hanging="425"/>
      </w:pPr>
      <w:r w:rsidRPr="00987D27">
        <w:rPr>
          <w:iCs/>
        </w:rPr>
        <w:t>There should be work experience programmes for students with disability.</w:t>
      </w:r>
    </w:p>
    <w:p w:rsidR="005F494C" w:rsidRDefault="005F494C" w:rsidP="005F494C">
      <w:r>
        <w:t>Another area discussed was earlier interventions for people who acquire disability</w:t>
      </w:r>
      <w:r w:rsidR="001D54E8">
        <w:t xml:space="preserve"> </w:t>
      </w:r>
      <w:r>
        <w:t>later in life. These interventions might include assistance to the employee and employer to retain their current job or they might include a programme of assistance to provide new skills to do different work. There was discussion about a flexible system where people can opt in for employment assistance before there is a crisis and before they are at risk of losing their job.</w:t>
      </w:r>
    </w:p>
    <w:p w:rsidR="005F494C" w:rsidRPr="00F80072" w:rsidRDefault="005F494C" w:rsidP="005F494C">
      <w:pPr>
        <w:pStyle w:val="Heading2"/>
      </w:pPr>
      <w:r>
        <w:lastRenderedPageBreak/>
        <w:t xml:space="preserve">Concluding comments on the Principles for Change </w:t>
      </w:r>
    </w:p>
    <w:p w:rsidR="005F494C" w:rsidRDefault="005F494C" w:rsidP="005F494C">
      <w:r>
        <w:t>As outlined above the principles were broadly well received. Some overall concerns included:</w:t>
      </w:r>
    </w:p>
    <w:p w:rsidR="005F494C" w:rsidRDefault="005F494C" w:rsidP="005F494C">
      <w:pPr>
        <w:pStyle w:val="ListParagraph"/>
        <w:numPr>
          <w:ilvl w:val="0"/>
          <w:numId w:val="11"/>
        </w:numPr>
        <w:spacing w:before="180" w:after="120"/>
        <w:ind w:left="567" w:right="-285" w:hanging="283"/>
      </w:pPr>
      <w:r>
        <w:t>the need for individual based funding to be supported by education, information, and advocacy;</w:t>
      </w:r>
    </w:p>
    <w:p w:rsidR="005F494C" w:rsidRDefault="005F494C" w:rsidP="005F494C">
      <w:pPr>
        <w:pStyle w:val="ListParagraph"/>
        <w:numPr>
          <w:ilvl w:val="0"/>
          <w:numId w:val="11"/>
        </w:numPr>
        <w:spacing w:before="180" w:after="120"/>
        <w:ind w:left="567" w:right="-285" w:hanging="283"/>
      </w:pPr>
      <w:r>
        <w:t>a concern about how individually based funding and mutual obligations would work together;</w:t>
      </w:r>
    </w:p>
    <w:p w:rsidR="005F494C" w:rsidRDefault="005F494C" w:rsidP="005F494C">
      <w:pPr>
        <w:pStyle w:val="ListParagraph"/>
        <w:numPr>
          <w:ilvl w:val="0"/>
          <w:numId w:val="11"/>
        </w:numPr>
        <w:spacing w:before="180" w:after="120"/>
        <w:ind w:left="567" w:right="-285" w:hanging="283"/>
      </w:pPr>
      <w:r>
        <w:t>a tension between long-term career planning and the need to get people off benefits and into a job quickly;</w:t>
      </w:r>
    </w:p>
    <w:p w:rsidR="005F494C" w:rsidRDefault="005F494C" w:rsidP="005F494C">
      <w:pPr>
        <w:pStyle w:val="ListParagraph"/>
        <w:numPr>
          <w:ilvl w:val="0"/>
          <w:numId w:val="11"/>
        </w:numPr>
        <w:spacing w:before="180" w:after="120"/>
        <w:ind w:left="567" w:right="-285" w:hanging="283"/>
      </w:pPr>
      <w:r>
        <w:t xml:space="preserve">how </w:t>
      </w:r>
      <w:r w:rsidR="00B25763">
        <w:t xml:space="preserve">provider </w:t>
      </w:r>
      <w:r>
        <w:t>quality, certainty of funding, organisational viability, and coverage would be maintained in a market based environment;</w:t>
      </w:r>
    </w:p>
    <w:p w:rsidR="005F494C" w:rsidRDefault="005F494C" w:rsidP="005F494C">
      <w:pPr>
        <w:pStyle w:val="ListParagraph"/>
        <w:numPr>
          <w:ilvl w:val="0"/>
          <w:numId w:val="11"/>
        </w:numPr>
        <w:spacing w:before="180" w:after="120"/>
        <w:ind w:left="567" w:right="-285" w:hanging="283"/>
      </w:pPr>
      <w:r>
        <w:t xml:space="preserve">the need for employers to change attitudes and behaviours and be incentivised to employ people with disabilities as well as understanding their needs; </w:t>
      </w:r>
    </w:p>
    <w:p w:rsidR="005F494C" w:rsidRDefault="005F494C" w:rsidP="005F494C">
      <w:pPr>
        <w:pStyle w:val="ListParagraph"/>
        <w:numPr>
          <w:ilvl w:val="0"/>
          <w:numId w:val="11"/>
        </w:numPr>
        <w:spacing w:before="180" w:after="120"/>
        <w:ind w:left="567" w:right="-285" w:hanging="283"/>
      </w:pPr>
      <w:r>
        <w:t xml:space="preserve">the difficulties of some people with disability utilising technology such as a virtual market place; and </w:t>
      </w:r>
    </w:p>
    <w:p w:rsidR="005F494C" w:rsidRDefault="005F494C" w:rsidP="005F494C">
      <w:pPr>
        <w:pStyle w:val="ListParagraph"/>
        <w:numPr>
          <w:ilvl w:val="0"/>
          <w:numId w:val="11"/>
        </w:numPr>
        <w:spacing w:before="180" w:after="120"/>
        <w:ind w:left="567" w:right="-285" w:hanging="283"/>
      </w:pPr>
      <w:proofErr w:type="gramStart"/>
      <w:r>
        <w:t>the</w:t>
      </w:r>
      <w:proofErr w:type="gramEnd"/>
      <w:r>
        <w:t xml:space="preserve"> need for employment interventions to begin earlier in life, in school.</w:t>
      </w:r>
    </w:p>
    <w:p w:rsidR="005F494C" w:rsidRDefault="005F494C" w:rsidP="005F494C">
      <w:pPr>
        <w:pStyle w:val="Heading1"/>
        <w:numPr>
          <w:ilvl w:val="0"/>
          <w:numId w:val="17"/>
        </w:numPr>
        <w:spacing w:before="120" w:after="180"/>
        <w:ind w:left="567" w:hanging="567"/>
      </w:pPr>
      <w:r w:rsidRPr="00E30067">
        <w:t>Next Steps</w:t>
      </w:r>
    </w:p>
    <w:p w:rsidR="005F494C" w:rsidRDefault="005F494C" w:rsidP="005F494C">
      <w:r w:rsidRPr="002F6700">
        <w:t>While it is possible to address some of the design issues outlined by all stakeholders, it is clear that people with disability and their advocates want to build on the gains from the NDIS and other trends in the delivery of human services. They want a system that provides them with choice and control and they want flexible services so they can exercise that choice.</w:t>
      </w:r>
    </w:p>
    <w:p w:rsidR="005F494C" w:rsidRPr="002F6700" w:rsidRDefault="005F494C" w:rsidP="005F494C">
      <w:pPr>
        <w:rPr>
          <w:rStyle w:val="BookTitle"/>
          <w:rFonts w:cs="Arial"/>
          <w:i w:val="0"/>
          <w:iCs w:val="0"/>
          <w:smallCaps w:val="0"/>
          <w:spacing w:val="0"/>
        </w:rPr>
      </w:pPr>
      <w:r w:rsidRPr="002F6700">
        <w:rPr>
          <w:rStyle w:val="BookTitle"/>
          <w:rFonts w:cs="Arial"/>
          <w:i w:val="0"/>
          <w:iCs w:val="0"/>
          <w:smallCaps w:val="0"/>
          <w:spacing w:val="0"/>
        </w:rPr>
        <w:t xml:space="preserve">A Discussion Paper is being developed to suggest solutions to better support employers and assist people with disability to find and keep jobs.  This paper will take into account a range of evidence and information, including the views shared at the first round of consultation. </w:t>
      </w:r>
    </w:p>
    <w:p w:rsidR="005F494C" w:rsidRPr="002F6700" w:rsidRDefault="005F494C" w:rsidP="005F494C">
      <w:pPr>
        <w:rPr>
          <w:rStyle w:val="BookTitle"/>
          <w:i w:val="0"/>
          <w:iCs w:val="0"/>
          <w:smallCaps w:val="0"/>
          <w:spacing w:val="4"/>
        </w:rPr>
      </w:pPr>
      <w:r w:rsidRPr="002F6700">
        <w:rPr>
          <w:rStyle w:val="BookTitle"/>
          <w:rFonts w:cs="Arial"/>
          <w:i w:val="0"/>
          <w:iCs w:val="0"/>
          <w:smallCaps w:val="0"/>
          <w:spacing w:val="0"/>
        </w:rPr>
        <w:t>In the first half of 2016, a new</w:t>
      </w:r>
      <w:r w:rsidR="00B25763">
        <w:rPr>
          <w:rStyle w:val="BookTitle"/>
          <w:rFonts w:cs="Arial"/>
          <w:i w:val="0"/>
          <w:iCs w:val="0"/>
          <w:smallCaps w:val="0"/>
          <w:spacing w:val="0"/>
        </w:rPr>
        <w:t xml:space="preserve"> Disability Employment</w:t>
      </w:r>
      <w:r w:rsidRPr="002F6700">
        <w:rPr>
          <w:rStyle w:val="BookTitle"/>
          <w:rFonts w:cs="Arial"/>
          <w:i w:val="0"/>
          <w:iCs w:val="0"/>
          <w:smallCaps w:val="0"/>
          <w:spacing w:val="0"/>
        </w:rPr>
        <w:t xml:space="preserve"> Framework will be developed </w:t>
      </w:r>
      <w:r w:rsidR="00B25763">
        <w:rPr>
          <w:rStyle w:val="BookTitle"/>
          <w:rFonts w:cs="Arial"/>
          <w:i w:val="0"/>
          <w:iCs w:val="0"/>
          <w:smallCaps w:val="0"/>
          <w:spacing w:val="0"/>
        </w:rPr>
        <w:t xml:space="preserve">to </w:t>
      </w:r>
      <w:r w:rsidRPr="002F6700">
        <w:rPr>
          <w:rStyle w:val="BookTitle"/>
          <w:rFonts w:cs="Arial"/>
          <w:i w:val="0"/>
          <w:iCs w:val="0"/>
          <w:smallCaps w:val="0"/>
          <w:spacing w:val="0"/>
        </w:rPr>
        <w:t>outline new ways that the Australian Government can support employment options for people with disability. This Framework will take into account a range of evidence and information including the views shared throughout the consultation process.</w:t>
      </w:r>
    </w:p>
    <w:p w:rsidR="0037469C" w:rsidRDefault="0037469C">
      <w:pPr>
        <w:spacing w:before="0" w:after="200" w:line="276" w:lineRule="auto"/>
        <w:rPr>
          <w:rStyle w:val="BookTitle"/>
          <w:rFonts w:cs="Arial"/>
          <w:i w:val="0"/>
          <w:iCs w:val="0"/>
          <w:smallCaps w:val="0"/>
          <w:spacing w:val="0"/>
        </w:rPr>
      </w:pPr>
      <w:r>
        <w:rPr>
          <w:rStyle w:val="BookTitle"/>
          <w:rFonts w:cs="Arial"/>
          <w:i w:val="0"/>
          <w:iCs w:val="0"/>
          <w:smallCaps w:val="0"/>
          <w:spacing w:val="0"/>
        </w:rPr>
        <w:br w:type="page"/>
      </w:r>
    </w:p>
    <w:p w:rsidR="006A6FBD" w:rsidRDefault="006A6FBD" w:rsidP="0037469C">
      <w:pPr>
        <w:rPr>
          <w:rStyle w:val="BookTitle"/>
          <w:rFonts w:cs="Arial"/>
          <w:i w:val="0"/>
          <w:iCs w:val="0"/>
          <w:smallCaps w:val="0"/>
          <w:spacing w:val="0"/>
        </w:rPr>
        <w:sectPr w:rsidR="006A6FBD" w:rsidSect="00F0720C">
          <w:headerReference w:type="default" r:id="rId18"/>
          <w:headerReference w:type="first" r:id="rId19"/>
          <w:footerReference w:type="first" r:id="rId20"/>
          <w:type w:val="continuous"/>
          <w:pgSz w:w="11906" w:h="16838"/>
          <w:pgMar w:top="142" w:right="1418" w:bottom="1134" w:left="1134" w:header="851" w:footer="0" w:gutter="0"/>
          <w:pgNumType w:start="2"/>
          <w:cols w:space="708"/>
          <w:titlePg/>
          <w:docGrid w:linePitch="360"/>
        </w:sectPr>
      </w:pPr>
    </w:p>
    <w:p w:rsidR="006A6FBD" w:rsidRDefault="006A6FBD" w:rsidP="006A6FBD">
      <w:pPr>
        <w:pStyle w:val="Caption"/>
        <w:keepNext/>
        <w:spacing w:before="120" w:after="0" w:line="240" w:lineRule="auto"/>
      </w:pPr>
      <w:r>
        <w:lastRenderedPageBreak/>
        <w:t>Table: Location and numbers for Round One of the consultation forums</w:t>
      </w:r>
    </w:p>
    <w:tbl>
      <w:tblPr>
        <w:tblStyle w:val="DSSDatatablestyle"/>
        <w:tblpPr w:leftFromText="180" w:rightFromText="180" w:vertAnchor="text" w:horzAnchor="page" w:tblpX="1283" w:tblpY="243"/>
        <w:tblW w:w="9039" w:type="dxa"/>
        <w:tblInd w:w="0" w:type="dxa"/>
        <w:tblLook w:val="04E0" w:firstRow="1" w:lastRow="1" w:firstColumn="1" w:lastColumn="0" w:noHBand="0" w:noVBand="1"/>
        <w:tblCaption w:val="DSS Data table style"/>
      </w:tblPr>
      <w:tblGrid>
        <w:gridCol w:w="2259"/>
        <w:gridCol w:w="2260"/>
        <w:gridCol w:w="2260"/>
        <w:gridCol w:w="2260"/>
      </w:tblGrid>
      <w:tr w:rsidR="006A6FBD" w:rsidTr="00674F55">
        <w:trPr>
          <w:cnfStyle w:val="100000000000" w:firstRow="1" w:lastRow="0" w:firstColumn="0" w:lastColumn="0" w:oddVBand="0" w:evenVBand="0" w:oddHBand="0" w:evenHBand="0" w:firstRowFirstColumn="0" w:firstRowLastColumn="0" w:lastRowFirstColumn="0" w:lastRowLastColumn="0"/>
          <w:tblHeader/>
        </w:trPr>
        <w:tc>
          <w:tcPr>
            <w:tcW w:w="2259" w:type="dxa"/>
          </w:tcPr>
          <w:p w:rsidR="006A6FBD" w:rsidRDefault="006A6FBD" w:rsidP="00674F55">
            <w:r>
              <w:t>Location</w:t>
            </w:r>
          </w:p>
        </w:tc>
        <w:tc>
          <w:tcPr>
            <w:tcW w:w="2260" w:type="dxa"/>
          </w:tcPr>
          <w:p w:rsidR="006A6FBD" w:rsidRDefault="006A6FBD" w:rsidP="00674F55">
            <w:r>
              <w:t>Date</w:t>
            </w:r>
          </w:p>
        </w:tc>
        <w:tc>
          <w:tcPr>
            <w:tcW w:w="2260" w:type="dxa"/>
          </w:tcPr>
          <w:p w:rsidR="006A6FBD" w:rsidRDefault="006A6FBD" w:rsidP="00674F55">
            <w:r>
              <w:t>Registrations</w:t>
            </w:r>
          </w:p>
        </w:tc>
        <w:tc>
          <w:tcPr>
            <w:tcW w:w="2260" w:type="dxa"/>
          </w:tcPr>
          <w:p w:rsidR="006A6FBD" w:rsidRDefault="006A6FBD" w:rsidP="00674F55">
            <w:r>
              <w:t>Attendees</w:t>
            </w:r>
          </w:p>
        </w:tc>
      </w:tr>
      <w:tr w:rsidR="006A6FBD" w:rsidTr="00674F55">
        <w:trPr>
          <w:trHeight w:val="454"/>
        </w:trPr>
        <w:tc>
          <w:tcPr>
            <w:tcW w:w="2259" w:type="dxa"/>
          </w:tcPr>
          <w:p w:rsidR="006A6FBD" w:rsidRPr="00227E1B" w:rsidRDefault="006A6FBD" w:rsidP="00674F55">
            <w:r>
              <w:t>Melbourne</w:t>
            </w:r>
          </w:p>
        </w:tc>
        <w:tc>
          <w:tcPr>
            <w:tcW w:w="2260" w:type="dxa"/>
          </w:tcPr>
          <w:p w:rsidR="006A6FBD" w:rsidRDefault="006A6FBD" w:rsidP="00674F55">
            <w:r>
              <w:t>25 May</w:t>
            </w:r>
          </w:p>
        </w:tc>
        <w:tc>
          <w:tcPr>
            <w:tcW w:w="2260" w:type="dxa"/>
          </w:tcPr>
          <w:p w:rsidR="006A6FBD" w:rsidRDefault="006A6FBD" w:rsidP="00674F55">
            <w:r>
              <w:t>123</w:t>
            </w:r>
          </w:p>
        </w:tc>
        <w:tc>
          <w:tcPr>
            <w:tcW w:w="2260" w:type="dxa"/>
          </w:tcPr>
          <w:p w:rsidR="006A6FBD" w:rsidRDefault="006A6FBD" w:rsidP="00674F55">
            <w:r>
              <w:t>88</w:t>
            </w:r>
          </w:p>
        </w:tc>
      </w:tr>
      <w:tr w:rsidR="006A6FBD" w:rsidTr="00674F55">
        <w:trPr>
          <w:cnfStyle w:val="000000010000" w:firstRow="0" w:lastRow="0" w:firstColumn="0" w:lastColumn="0" w:oddVBand="0" w:evenVBand="0" w:oddHBand="0" w:evenHBand="1" w:firstRowFirstColumn="0" w:firstRowLastColumn="0" w:lastRowFirstColumn="0" w:lastRowLastColumn="0"/>
          <w:trHeight w:val="454"/>
        </w:trPr>
        <w:tc>
          <w:tcPr>
            <w:tcW w:w="2259" w:type="dxa"/>
          </w:tcPr>
          <w:p w:rsidR="006A6FBD" w:rsidRDefault="006A6FBD" w:rsidP="00674F55">
            <w:r>
              <w:t>Bendigo</w:t>
            </w:r>
          </w:p>
        </w:tc>
        <w:tc>
          <w:tcPr>
            <w:tcW w:w="2260" w:type="dxa"/>
          </w:tcPr>
          <w:p w:rsidR="006A6FBD" w:rsidRDefault="006A6FBD" w:rsidP="00674F55">
            <w:r>
              <w:t>26 May</w:t>
            </w:r>
          </w:p>
        </w:tc>
        <w:tc>
          <w:tcPr>
            <w:tcW w:w="2260" w:type="dxa"/>
          </w:tcPr>
          <w:p w:rsidR="006A6FBD" w:rsidRDefault="006A6FBD" w:rsidP="00674F55">
            <w:r>
              <w:t>22</w:t>
            </w:r>
          </w:p>
        </w:tc>
        <w:tc>
          <w:tcPr>
            <w:tcW w:w="2260" w:type="dxa"/>
          </w:tcPr>
          <w:p w:rsidR="006A6FBD" w:rsidRDefault="006A6FBD" w:rsidP="00674F55">
            <w:r>
              <w:t>20</w:t>
            </w:r>
          </w:p>
        </w:tc>
      </w:tr>
      <w:tr w:rsidR="006A6FBD" w:rsidTr="00674F55">
        <w:trPr>
          <w:trHeight w:val="454"/>
        </w:trPr>
        <w:tc>
          <w:tcPr>
            <w:tcW w:w="2259" w:type="dxa"/>
          </w:tcPr>
          <w:p w:rsidR="006A6FBD" w:rsidRDefault="006A6FBD" w:rsidP="00674F55">
            <w:r>
              <w:t>Hobart</w:t>
            </w:r>
          </w:p>
        </w:tc>
        <w:tc>
          <w:tcPr>
            <w:tcW w:w="2260" w:type="dxa"/>
          </w:tcPr>
          <w:p w:rsidR="006A6FBD" w:rsidRDefault="006A6FBD" w:rsidP="00674F55">
            <w:r>
              <w:t>28 May</w:t>
            </w:r>
          </w:p>
        </w:tc>
        <w:tc>
          <w:tcPr>
            <w:tcW w:w="2260" w:type="dxa"/>
          </w:tcPr>
          <w:p w:rsidR="006A6FBD" w:rsidRDefault="006A6FBD" w:rsidP="00674F55">
            <w:r>
              <w:t>39</w:t>
            </w:r>
          </w:p>
        </w:tc>
        <w:tc>
          <w:tcPr>
            <w:tcW w:w="2260" w:type="dxa"/>
          </w:tcPr>
          <w:p w:rsidR="006A6FBD" w:rsidRDefault="006A6FBD" w:rsidP="00674F55">
            <w:r>
              <w:t>28</w:t>
            </w:r>
          </w:p>
        </w:tc>
      </w:tr>
      <w:tr w:rsidR="006A6FBD" w:rsidTr="00674F55">
        <w:trPr>
          <w:cnfStyle w:val="000000010000" w:firstRow="0" w:lastRow="0" w:firstColumn="0" w:lastColumn="0" w:oddVBand="0" w:evenVBand="0" w:oddHBand="0" w:evenHBand="1" w:firstRowFirstColumn="0" w:firstRowLastColumn="0" w:lastRowFirstColumn="0" w:lastRowLastColumn="0"/>
          <w:trHeight w:val="454"/>
        </w:trPr>
        <w:tc>
          <w:tcPr>
            <w:tcW w:w="2259" w:type="dxa"/>
          </w:tcPr>
          <w:p w:rsidR="006A6FBD" w:rsidRDefault="006A6FBD" w:rsidP="00674F55">
            <w:r>
              <w:t>Brisbane</w:t>
            </w:r>
          </w:p>
        </w:tc>
        <w:tc>
          <w:tcPr>
            <w:tcW w:w="2260" w:type="dxa"/>
          </w:tcPr>
          <w:p w:rsidR="006A6FBD" w:rsidRDefault="006A6FBD" w:rsidP="00674F55">
            <w:r>
              <w:t>1 &amp; 2 June</w:t>
            </w:r>
          </w:p>
        </w:tc>
        <w:tc>
          <w:tcPr>
            <w:tcW w:w="2260" w:type="dxa"/>
          </w:tcPr>
          <w:p w:rsidR="006A6FBD" w:rsidRDefault="006A6FBD" w:rsidP="00674F55">
            <w:r>
              <w:t>123</w:t>
            </w:r>
          </w:p>
        </w:tc>
        <w:tc>
          <w:tcPr>
            <w:tcW w:w="2260" w:type="dxa"/>
          </w:tcPr>
          <w:p w:rsidR="006A6FBD" w:rsidRDefault="006A6FBD" w:rsidP="00674F55">
            <w:r>
              <w:t>89</w:t>
            </w:r>
          </w:p>
        </w:tc>
      </w:tr>
      <w:tr w:rsidR="006A6FBD" w:rsidTr="00674F55">
        <w:trPr>
          <w:trHeight w:val="454"/>
        </w:trPr>
        <w:tc>
          <w:tcPr>
            <w:tcW w:w="2259" w:type="dxa"/>
          </w:tcPr>
          <w:p w:rsidR="006A6FBD" w:rsidRDefault="006A6FBD" w:rsidP="00674F55">
            <w:r>
              <w:t>Townsville</w:t>
            </w:r>
          </w:p>
        </w:tc>
        <w:tc>
          <w:tcPr>
            <w:tcW w:w="2260" w:type="dxa"/>
          </w:tcPr>
          <w:p w:rsidR="006A6FBD" w:rsidRDefault="006A6FBD" w:rsidP="00674F55">
            <w:r>
              <w:t>3 June</w:t>
            </w:r>
          </w:p>
        </w:tc>
        <w:tc>
          <w:tcPr>
            <w:tcW w:w="2260" w:type="dxa"/>
          </w:tcPr>
          <w:p w:rsidR="006A6FBD" w:rsidRDefault="006A6FBD" w:rsidP="00674F55">
            <w:r>
              <w:t>24</w:t>
            </w:r>
          </w:p>
        </w:tc>
        <w:tc>
          <w:tcPr>
            <w:tcW w:w="2260" w:type="dxa"/>
          </w:tcPr>
          <w:p w:rsidR="006A6FBD" w:rsidRDefault="006A6FBD" w:rsidP="00674F55">
            <w:r>
              <w:t>23</w:t>
            </w:r>
          </w:p>
        </w:tc>
      </w:tr>
      <w:tr w:rsidR="006A6FBD" w:rsidTr="00674F55">
        <w:trPr>
          <w:cnfStyle w:val="000000010000" w:firstRow="0" w:lastRow="0" w:firstColumn="0" w:lastColumn="0" w:oddVBand="0" w:evenVBand="0" w:oddHBand="0" w:evenHBand="1" w:firstRowFirstColumn="0" w:firstRowLastColumn="0" w:lastRowFirstColumn="0" w:lastRowLastColumn="0"/>
          <w:trHeight w:val="454"/>
        </w:trPr>
        <w:tc>
          <w:tcPr>
            <w:tcW w:w="2259" w:type="dxa"/>
          </w:tcPr>
          <w:p w:rsidR="006A6FBD" w:rsidRDefault="006A6FBD" w:rsidP="00674F55">
            <w:r>
              <w:t>Darwin</w:t>
            </w:r>
          </w:p>
        </w:tc>
        <w:tc>
          <w:tcPr>
            <w:tcW w:w="2260" w:type="dxa"/>
          </w:tcPr>
          <w:p w:rsidR="006A6FBD" w:rsidRDefault="006A6FBD" w:rsidP="00674F55">
            <w:r>
              <w:t>9 June</w:t>
            </w:r>
          </w:p>
        </w:tc>
        <w:tc>
          <w:tcPr>
            <w:tcW w:w="2260" w:type="dxa"/>
          </w:tcPr>
          <w:p w:rsidR="006A6FBD" w:rsidRDefault="006A6FBD" w:rsidP="00674F55">
            <w:r>
              <w:t>26</w:t>
            </w:r>
          </w:p>
        </w:tc>
        <w:tc>
          <w:tcPr>
            <w:tcW w:w="2260" w:type="dxa"/>
          </w:tcPr>
          <w:p w:rsidR="006A6FBD" w:rsidRDefault="006A6FBD" w:rsidP="00674F55">
            <w:r>
              <w:t>19</w:t>
            </w:r>
          </w:p>
        </w:tc>
      </w:tr>
      <w:tr w:rsidR="006A6FBD" w:rsidTr="00674F55">
        <w:trPr>
          <w:trHeight w:val="454"/>
        </w:trPr>
        <w:tc>
          <w:tcPr>
            <w:tcW w:w="2259" w:type="dxa"/>
          </w:tcPr>
          <w:p w:rsidR="006A6FBD" w:rsidRDefault="006A6FBD" w:rsidP="00674F55">
            <w:r>
              <w:t>Melbourne</w:t>
            </w:r>
          </w:p>
        </w:tc>
        <w:tc>
          <w:tcPr>
            <w:tcW w:w="2260" w:type="dxa"/>
          </w:tcPr>
          <w:p w:rsidR="006A6FBD" w:rsidRDefault="006A6FBD" w:rsidP="00674F55">
            <w:r>
              <w:t>11 June</w:t>
            </w:r>
          </w:p>
        </w:tc>
        <w:tc>
          <w:tcPr>
            <w:tcW w:w="2260" w:type="dxa"/>
          </w:tcPr>
          <w:p w:rsidR="006A6FBD" w:rsidRDefault="006A6FBD" w:rsidP="00674F55">
            <w:r>
              <w:t>103</w:t>
            </w:r>
          </w:p>
        </w:tc>
        <w:tc>
          <w:tcPr>
            <w:tcW w:w="2260" w:type="dxa"/>
          </w:tcPr>
          <w:p w:rsidR="006A6FBD" w:rsidRDefault="006A6FBD" w:rsidP="00674F55">
            <w:r>
              <w:t>72</w:t>
            </w:r>
          </w:p>
        </w:tc>
      </w:tr>
      <w:tr w:rsidR="006A6FBD" w:rsidTr="00674F55">
        <w:trPr>
          <w:cnfStyle w:val="000000010000" w:firstRow="0" w:lastRow="0" w:firstColumn="0" w:lastColumn="0" w:oddVBand="0" w:evenVBand="0" w:oddHBand="0" w:evenHBand="1" w:firstRowFirstColumn="0" w:firstRowLastColumn="0" w:lastRowFirstColumn="0" w:lastRowLastColumn="0"/>
          <w:trHeight w:val="454"/>
        </w:trPr>
        <w:tc>
          <w:tcPr>
            <w:tcW w:w="2259" w:type="dxa"/>
          </w:tcPr>
          <w:p w:rsidR="006A6FBD" w:rsidRDefault="006A6FBD" w:rsidP="00674F55">
            <w:r>
              <w:t>Perth</w:t>
            </w:r>
          </w:p>
        </w:tc>
        <w:tc>
          <w:tcPr>
            <w:tcW w:w="2260" w:type="dxa"/>
          </w:tcPr>
          <w:p w:rsidR="006A6FBD" w:rsidRDefault="006A6FBD" w:rsidP="00674F55">
            <w:r>
              <w:t>15 &amp; 16 June</w:t>
            </w:r>
          </w:p>
        </w:tc>
        <w:tc>
          <w:tcPr>
            <w:tcW w:w="2260" w:type="dxa"/>
          </w:tcPr>
          <w:p w:rsidR="006A6FBD" w:rsidRDefault="006A6FBD" w:rsidP="00674F55">
            <w:r>
              <w:t>106</w:t>
            </w:r>
          </w:p>
        </w:tc>
        <w:tc>
          <w:tcPr>
            <w:tcW w:w="2260" w:type="dxa"/>
          </w:tcPr>
          <w:p w:rsidR="006A6FBD" w:rsidRDefault="006A6FBD" w:rsidP="00674F55">
            <w:r>
              <w:t>84</w:t>
            </w:r>
          </w:p>
        </w:tc>
      </w:tr>
      <w:tr w:rsidR="006A6FBD" w:rsidTr="00674F55">
        <w:trPr>
          <w:trHeight w:val="454"/>
        </w:trPr>
        <w:tc>
          <w:tcPr>
            <w:tcW w:w="2259" w:type="dxa"/>
          </w:tcPr>
          <w:p w:rsidR="006A6FBD" w:rsidRDefault="006A6FBD" w:rsidP="00674F55">
            <w:r>
              <w:t>Adelaide</w:t>
            </w:r>
          </w:p>
        </w:tc>
        <w:tc>
          <w:tcPr>
            <w:tcW w:w="2260" w:type="dxa"/>
          </w:tcPr>
          <w:p w:rsidR="006A6FBD" w:rsidRDefault="006A6FBD" w:rsidP="00674F55">
            <w:r>
              <w:t>17 &amp; 18 June</w:t>
            </w:r>
          </w:p>
        </w:tc>
        <w:tc>
          <w:tcPr>
            <w:tcW w:w="2260" w:type="dxa"/>
          </w:tcPr>
          <w:p w:rsidR="006A6FBD" w:rsidRDefault="006A6FBD" w:rsidP="00674F55">
            <w:r>
              <w:t>101</w:t>
            </w:r>
          </w:p>
        </w:tc>
        <w:tc>
          <w:tcPr>
            <w:tcW w:w="2260" w:type="dxa"/>
          </w:tcPr>
          <w:p w:rsidR="006A6FBD" w:rsidRDefault="006A6FBD" w:rsidP="00674F55">
            <w:r>
              <w:t>72</w:t>
            </w:r>
          </w:p>
        </w:tc>
      </w:tr>
      <w:tr w:rsidR="006A6FBD" w:rsidTr="00674F55">
        <w:trPr>
          <w:cnfStyle w:val="000000010000" w:firstRow="0" w:lastRow="0" w:firstColumn="0" w:lastColumn="0" w:oddVBand="0" w:evenVBand="0" w:oddHBand="0" w:evenHBand="1" w:firstRowFirstColumn="0" w:firstRowLastColumn="0" w:lastRowFirstColumn="0" w:lastRowLastColumn="0"/>
          <w:trHeight w:val="454"/>
        </w:trPr>
        <w:tc>
          <w:tcPr>
            <w:tcW w:w="2259" w:type="dxa"/>
          </w:tcPr>
          <w:p w:rsidR="006A6FBD" w:rsidRDefault="006A6FBD" w:rsidP="00674F55">
            <w:r>
              <w:t>Sydney</w:t>
            </w:r>
          </w:p>
        </w:tc>
        <w:tc>
          <w:tcPr>
            <w:tcW w:w="2260" w:type="dxa"/>
          </w:tcPr>
          <w:p w:rsidR="006A6FBD" w:rsidRDefault="006A6FBD" w:rsidP="00674F55">
            <w:r>
              <w:t>23 June</w:t>
            </w:r>
          </w:p>
        </w:tc>
        <w:tc>
          <w:tcPr>
            <w:tcW w:w="2260" w:type="dxa"/>
          </w:tcPr>
          <w:p w:rsidR="006A6FBD" w:rsidRDefault="006A6FBD" w:rsidP="00674F55">
            <w:r>
              <w:t>148</w:t>
            </w:r>
          </w:p>
        </w:tc>
        <w:tc>
          <w:tcPr>
            <w:tcW w:w="2260" w:type="dxa"/>
          </w:tcPr>
          <w:p w:rsidR="006A6FBD" w:rsidRDefault="006A6FBD" w:rsidP="00674F55">
            <w:r>
              <w:t>91</w:t>
            </w:r>
          </w:p>
        </w:tc>
      </w:tr>
      <w:tr w:rsidR="006A6FBD" w:rsidTr="00674F55">
        <w:trPr>
          <w:trHeight w:val="454"/>
        </w:trPr>
        <w:tc>
          <w:tcPr>
            <w:tcW w:w="2259" w:type="dxa"/>
          </w:tcPr>
          <w:p w:rsidR="006A6FBD" w:rsidRDefault="006A6FBD" w:rsidP="00674F55">
            <w:r>
              <w:t>Newcastle</w:t>
            </w:r>
          </w:p>
        </w:tc>
        <w:tc>
          <w:tcPr>
            <w:tcW w:w="2260" w:type="dxa"/>
          </w:tcPr>
          <w:p w:rsidR="006A6FBD" w:rsidRDefault="006A6FBD" w:rsidP="00674F55">
            <w:r>
              <w:t xml:space="preserve">25 June </w:t>
            </w:r>
          </w:p>
        </w:tc>
        <w:tc>
          <w:tcPr>
            <w:tcW w:w="2260" w:type="dxa"/>
          </w:tcPr>
          <w:p w:rsidR="006A6FBD" w:rsidRDefault="006A6FBD" w:rsidP="00674F55">
            <w:r>
              <w:t>54</w:t>
            </w:r>
          </w:p>
        </w:tc>
        <w:tc>
          <w:tcPr>
            <w:tcW w:w="2260" w:type="dxa"/>
          </w:tcPr>
          <w:p w:rsidR="006A6FBD" w:rsidRDefault="006A6FBD" w:rsidP="00674F55">
            <w:r>
              <w:t>43</w:t>
            </w:r>
          </w:p>
        </w:tc>
      </w:tr>
      <w:tr w:rsidR="006A6FBD" w:rsidTr="00674F55">
        <w:trPr>
          <w:cnfStyle w:val="000000010000" w:firstRow="0" w:lastRow="0" w:firstColumn="0" w:lastColumn="0" w:oddVBand="0" w:evenVBand="0" w:oddHBand="0" w:evenHBand="1" w:firstRowFirstColumn="0" w:firstRowLastColumn="0" w:lastRowFirstColumn="0" w:lastRowLastColumn="0"/>
          <w:trHeight w:val="454"/>
        </w:trPr>
        <w:tc>
          <w:tcPr>
            <w:tcW w:w="2259" w:type="dxa"/>
          </w:tcPr>
          <w:p w:rsidR="006A6FBD" w:rsidRDefault="006A6FBD" w:rsidP="00674F55">
            <w:r>
              <w:t>Canberra</w:t>
            </w:r>
          </w:p>
        </w:tc>
        <w:tc>
          <w:tcPr>
            <w:tcW w:w="2260" w:type="dxa"/>
          </w:tcPr>
          <w:p w:rsidR="006A6FBD" w:rsidRDefault="006A6FBD" w:rsidP="00674F55">
            <w:r>
              <w:t>29 June</w:t>
            </w:r>
          </w:p>
        </w:tc>
        <w:tc>
          <w:tcPr>
            <w:tcW w:w="2260" w:type="dxa"/>
          </w:tcPr>
          <w:p w:rsidR="006A6FBD" w:rsidRDefault="006A6FBD" w:rsidP="00674F55">
            <w:r>
              <w:t>107</w:t>
            </w:r>
          </w:p>
        </w:tc>
        <w:tc>
          <w:tcPr>
            <w:tcW w:w="2260" w:type="dxa"/>
          </w:tcPr>
          <w:p w:rsidR="006A6FBD" w:rsidRDefault="006A6FBD" w:rsidP="00674F55">
            <w:r>
              <w:t>74</w:t>
            </w:r>
          </w:p>
        </w:tc>
      </w:tr>
      <w:tr w:rsidR="006A6FBD" w:rsidTr="00674F55">
        <w:trPr>
          <w:trHeight w:val="454"/>
        </w:trPr>
        <w:tc>
          <w:tcPr>
            <w:tcW w:w="2259" w:type="dxa"/>
          </w:tcPr>
          <w:p w:rsidR="006A6FBD" w:rsidRDefault="006A6FBD" w:rsidP="00674F55">
            <w:r>
              <w:t>Sydney</w:t>
            </w:r>
          </w:p>
        </w:tc>
        <w:tc>
          <w:tcPr>
            <w:tcW w:w="2260" w:type="dxa"/>
          </w:tcPr>
          <w:p w:rsidR="006A6FBD" w:rsidRDefault="006A6FBD" w:rsidP="00674F55">
            <w:r>
              <w:t>30 June</w:t>
            </w:r>
          </w:p>
        </w:tc>
        <w:tc>
          <w:tcPr>
            <w:tcW w:w="2260" w:type="dxa"/>
          </w:tcPr>
          <w:p w:rsidR="006A6FBD" w:rsidRDefault="006A6FBD" w:rsidP="00674F55">
            <w:r>
              <w:t>59</w:t>
            </w:r>
          </w:p>
        </w:tc>
        <w:tc>
          <w:tcPr>
            <w:tcW w:w="2260" w:type="dxa"/>
          </w:tcPr>
          <w:p w:rsidR="006A6FBD" w:rsidRDefault="006A6FBD" w:rsidP="00674F55">
            <w:r>
              <w:t>39</w:t>
            </w:r>
          </w:p>
        </w:tc>
      </w:tr>
      <w:tr w:rsidR="006A6FBD" w:rsidTr="00674F55">
        <w:trPr>
          <w:cnfStyle w:val="010000000000" w:firstRow="0" w:lastRow="1" w:firstColumn="0" w:lastColumn="0" w:oddVBand="0" w:evenVBand="0" w:oddHBand="0" w:evenHBand="0" w:firstRowFirstColumn="0" w:firstRowLastColumn="0" w:lastRowFirstColumn="0" w:lastRowLastColumn="0"/>
          <w:trHeight w:val="454"/>
        </w:trPr>
        <w:tc>
          <w:tcPr>
            <w:tcW w:w="2259" w:type="dxa"/>
          </w:tcPr>
          <w:p w:rsidR="006A6FBD" w:rsidRDefault="006A6FBD" w:rsidP="00674F55">
            <w:r>
              <w:t xml:space="preserve">Total </w:t>
            </w:r>
          </w:p>
        </w:tc>
        <w:tc>
          <w:tcPr>
            <w:tcW w:w="2260" w:type="dxa"/>
          </w:tcPr>
          <w:p w:rsidR="006A6FBD" w:rsidRDefault="006A6FBD" w:rsidP="00674F55"/>
        </w:tc>
        <w:tc>
          <w:tcPr>
            <w:tcW w:w="2260" w:type="dxa"/>
          </w:tcPr>
          <w:p w:rsidR="006A6FBD" w:rsidRDefault="006A6FBD" w:rsidP="00674F55">
            <w:r>
              <w:t>1034</w:t>
            </w:r>
          </w:p>
        </w:tc>
        <w:tc>
          <w:tcPr>
            <w:tcW w:w="2260" w:type="dxa"/>
          </w:tcPr>
          <w:p w:rsidR="006A6FBD" w:rsidRDefault="006A6FBD" w:rsidP="00674F55">
            <w:r>
              <w:t>742</w:t>
            </w:r>
          </w:p>
        </w:tc>
      </w:tr>
    </w:tbl>
    <w:p w:rsidR="006A6FBD" w:rsidRPr="007D059D" w:rsidRDefault="006A6FBD" w:rsidP="007D059D">
      <w:pPr>
        <w:spacing w:after="0"/>
        <w:rPr>
          <w:sz w:val="23"/>
          <w:szCs w:val="23"/>
        </w:rPr>
      </w:pPr>
      <w:r w:rsidRPr="007D059D">
        <w:rPr>
          <w:sz w:val="23"/>
          <w:szCs w:val="23"/>
        </w:rPr>
        <w:t xml:space="preserve">In addition to the forums, the Department sought advice through submissions. A total of 122 submissions </w:t>
      </w:r>
      <w:r w:rsidR="00B25763">
        <w:rPr>
          <w:sz w:val="23"/>
          <w:szCs w:val="23"/>
        </w:rPr>
        <w:t xml:space="preserve">were </w:t>
      </w:r>
      <w:r w:rsidRPr="007D059D">
        <w:rPr>
          <w:sz w:val="23"/>
          <w:szCs w:val="23"/>
        </w:rPr>
        <w:t>received</w:t>
      </w:r>
      <w:r w:rsidR="00B25763">
        <w:rPr>
          <w:sz w:val="23"/>
          <w:szCs w:val="23"/>
        </w:rPr>
        <w:t>,</w:t>
      </w:r>
      <w:r w:rsidRPr="007D059D">
        <w:rPr>
          <w:sz w:val="23"/>
          <w:szCs w:val="23"/>
        </w:rPr>
        <w:t xml:space="preserve"> including:</w:t>
      </w:r>
    </w:p>
    <w:p w:rsidR="006A6FBD" w:rsidRPr="007D059D" w:rsidRDefault="006A6FBD" w:rsidP="007D059D">
      <w:pPr>
        <w:pStyle w:val="ListParagraph"/>
        <w:numPr>
          <w:ilvl w:val="0"/>
          <w:numId w:val="2"/>
        </w:numPr>
        <w:spacing w:before="0"/>
        <w:ind w:left="714" w:hanging="357"/>
        <w:rPr>
          <w:sz w:val="23"/>
          <w:szCs w:val="23"/>
        </w:rPr>
      </w:pPr>
      <w:r w:rsidRPr="007D059D">
        <w:rPr>
          <w:sz w:val="23"/>
          <w:szCs w:val="23"/>
        </w:rPr>
        <w:t>68 from service providers;</w:t>
      </w:r>
    </w:p>
    <w:p w:rsidR="006A6FBD" w:rsidRPr="007D059D" w:rsidRDefault="006A6FBD" w:rsidP="006A6FBD">
      <w:pPr>
        <w:pStyle w:val="ListParagraph"/>
        <w:numPr>
          <w:ilvl w:val="0"/>
          <w:numId w:val="2"/>
        </w:numPr>
        <w:rPr>
          <w:sz w:val="23"/>
          <w:szCs w:val="23"/>
        </w:rPr>
      </w:pPr>
      <w:r w:rsidRPr="007D059D">
        <w:rPr>
          <w:sz w:val="23"/>
          <w:szCs w:val="23"/>
        </w:rPr>
        <w:t>7 from employers;</w:t>
      </w:r>
    </w:p>
    <w:p w:rsidR="006A6FBD" w:rsidRPr="007D059D" w:rsidRDefault="006A6FBD" w:rsidP="006A6FBD">
      <w:pPr>
        <w:pStyle w:val="ListParagraph"/>
        <w:numPr>
          <w:ilvl w:val="0"/>
          <w:numId w:val="2"/>
        </w:numPr>
        <w:rPr>
          <w:sz w:val="23"/>
          <w:szCs w:val="23"/>
        </w:rPr>
      </w:pPr>
      <w:r w:rsidRPr="007D059D">
        <w:rPr>
          <w:sz w:val="23"/>
          <w:szCs w:val="23"/>
        </w:rPr>
        <w:t>26 from people with disability;</w:t>
      </w:r>
    </w:p>
    <w:p w:rsidR="006A6FBD" w:rsidRPr="007D059D" w:rsidRDefault="006A6FBD" w:rsidP="006A6FBD">
      <w:pPr>
        <w:pStyle w:val="ListParagraph"/>
        <w:numPr>
          <w:ilvl w:val="0"/>
          <w:numId w:val="2"/>
        </w:numPr>
        <w:rPr>
          <w:sz w:val="23"/>
          <w:szCs w:val="23"/>
        </w:rPr>
      </w:pPr>
      <w:r w:rsidRPr="007D059D">
        <w:rPr>
          <w:sz w:val="23"/>
          <w:szCs w:val="23"/>
        </w:rPr>
        <w:t>9 from carers or parents of people with disability;</w:t>
      </w:r>
    </w:p>
    <w:p w:rsidR="006A6FBD" w:rsidRPr="007D059D" w:rsidRDefault="006A6FBD" w:rsidP="006A6FBD">
      <w:pPr>
        <w:pStyle w:val="ListParagraph"/>
        <w:numPr>
          <w:ilvl w:val="0"/>
          <w:numId w:val="2"/>
        </w:numPr>
        <w:rPr>
          <w:sz w:val="23"/>
          <w:szCs w:val="23"/>
        </w:rPr>
      </w:pPr>
      <w:r w:rsidRPr="007D059D">
        <w:rPr>
          <w:sz w:val="23"/>
          <w:szCs w:val="23"/>
        </w:rPr>
        <w:t>3 from educational institutions; and</w:t>
      </w:r>
    </w:p>
    <w:p w:rsidR="006A6FBD" w:rsidRPr="007D059D" w:rsidRDefault="006A6FBD" w:rsidP="006A6FBD">
      <w:pPr>
        <w:pStyle w:val="ListParagraph"/>
        <w:numPr>
          <w:ilvl w:val="0"/>
          <w:numId w:val="2"/>
        </w:numPr>
        <w:rPr>
          <w:sz w:val="23"/>
          <w:szCs w:val="23"/>
        </w:rPr>
      </w:pPr>
      <w:r w:rsidRPr="007D059D">
        <w:rPr>
          <w:sz w:val="23"/>
          <w:szCs w:val="23"/>
        </w:rPr>
        <w:t xml:space="preserve">9 other submissions. </w:t>
      </w:r>
    </w:p>
    <w:p w:rsidR="002B4B1C" w:rsidRPr="007D059D" w:rsidRDefault="002B4B1C" w:rsidP="007D059D">
      <w:pPr>
        <w:spacing w:after="0"/>
        <w:rPr>
          <w:rStyle w:val="BookTitle"/>
          <w:rFonts w:cs="Arial"/>
          <w:i w:val="0"/>
          <w:iCs w:val="0"/>
          <w:smallCaps w:val="0"/>
          <w:spacing w:val="0"/>
          <w:sz w:val="23"/>
          <w:szCs w:val="23"/>
        </w:rPr>
      </w:pPr>
      <w:r w:rsidRPr="007D059D">
        <w:rPr>
          <w:rStyle w:val="BookTitle"/>
          <w:rFonts w:cs="Arial"/>
          <w:i w:val="0"/>
          <w:iCs w:val="0"/>
          <w:smallCaps w:val="0"/>
          <w:spacing w:val="0"/>
          <w:sz w:val="23"/>
          <w:szCs w:val="23"/>
        </w:rPr>
        <w:t xml:space="preserve">During the consultation period, we also </w:t>
      </w:r>
      <w:r w:rsidR="00B87B3C">
        <w:rPr>
          <w:rStyle w:val="BookTitle"/>
          <w:rFonts w:cs="Arial"/>
          <w:i w:val="0"/>
          <w:iCs w:val="0"/>
          <w:smallCaps w:val="0"/>
          <w:spacing w:val="0"/>
          <w:sz w:val="23"/>
          <w:szCs w:val="23"/>
        </w:rPr>
        <w:t>met with</w:t>
      </w:r>
      <w:r w:rsidRPr="007D059D">
        <w:rPr>
          <w:rStyle w:val="BookTitle"/>
          <w:rFonts w:cs="Arial"/>
          <w:i w:val="0"/>
          <w:iCs w:val="0"/>
          <w:smallCaps w:val="0"/>
          <w:spacing w:val="0"/>
          <w:sz w:val="23"/>
          <w:szCs w:val="23"/>
        </w:rPr>
        <w:t>:</w:t>
      </w:r>
    </w:p>
    <w:p w:rsidR="002B4B1C" w:rsidRPr="007D059D" w:rsidRDefault="00774DD5" w:rsidP="00505805">
      <w:pPr>
        <w:pStyle w:val="ListParagraph"/>
        <w:numPr>
          <w:ilvl w:val="0"/>
          <w:numId w:val="5"/>
        </w:numPr>
        <w:spacing w:before="0"/>
        <w:ind w:left="714" w:hanging="357"/>
        <w:rPr>
          <w:rStyle w:val="BookTitle"/>
          <w:rFonts w:cs="Arial"/>
          <w:i w:val="0"/>
          <w:iCs w:val="0"/>
          <w:smallCaps w:val="0"/>
          <w:spacing w:val="0"/>
          <w:sz w:val="23"/>
          <w:szCs w:val="23"/>
        </w:rPr>
      </w:pPr>
      <w:r w:rsidRPr="007D059D">
        <w:rPr>
          <w:rStyle w:val="BookTitle"/>
          <w:rFonts w:cs="Arial"/>
          <w:i w:val="0"/>
          <w:iCs w:val="0"/>
          <w:smallCaps w:val="0"/>
          <w:spacing w:val="0"/>
          <w:sz w:val="23"/>
          <w:szCs w:val="23"/>
        </w:rPr>
        <w:t>6</w:t>
      </w:r>
      <w:r w:rsidR="002B4B1C" w:rsidRPr="007D059D">
        <w:rPr>
          <w:rStyle w:val="BookTitle"/>
          <w:rFonts w:cs="Arial"/>
          <w:i w:val="0"/>
          <w:iCs w:val="0"/>
          <w:smallCaps w:val="0"/>
          <w:spacing w:val="0"/>
          <w:sz w:val="23"/>
          <w:szCs w:val="23"/>
        </w:rPr>
        <w:t xml:space="preserve"> </w:t>
      </w:r>
      <w:r w:rsidRPr="007D059D">
        <w:rPr>
          <w:rStyle w:val="BookTitle"/>
          <w:rFonts w:cs="Arial"/>
          <w:i w:val="0"/>
          <w:iCs w:val="0"/>
          <w:smallCaps w:val="0"/>
          <w:spacing w:val="0"/>
          <w:sz w:val="23"/>
          <w:szCs w:val="23"/>
        </w:rPr>
        <w:t xml:space="preserve">x </w:t>
      </w:r>
      <w:r w:rsidR="002B4B1C" w:rsidRPr="007D059D">
        <w:rPr>
          <w:rStyle w:val="BookTitle"/>
          <w:rFonts w:cs="Arial"/>
          <w:i w:val="0"/>
          <w:iCs w:val="0"/>
          <w:smallCaps w:val="0"/>
          <w:spacing w:val="0"/>
          <w:sz w:val="23"/>
          <w:szCs w:val="23"/>
        </w:rPr>
        <w:t>Australian Disability Enterprise</w:t>
      </w:r>
      <w:r w:rsidR="00B25763">
        <w:rPr>
          <w:rStyle w:val="BookTitle"/>
          <w:rFonts w:cs="Arial"/>
          <w:i w:val="0"/>
          <w:iCs w:val="0"/>
          <w:smallCaps w:val="0"/>
          <w:spacing w:val="0"/>
          <w:sz w:val="23"/>
          <w:szCs w:val="23"/>
        </w:rPr>
        <w:t>s</w:t>
      </w:r>
      <w:r w:rsidRPr="007D059D">
        <w:rPr>
          <w:rStyle w:val="BookTitle"/>
          <w:rFonts w:cs="Arial"/>
          <w:i w:val="0"/>
          <w:iCs w:val="0"/>
          <w:smallCaps w:val="0"/>
          <w:spacing w:val="0"/>
          <w:sz w:val="23"/>
          <w:szCs w:val="23"/>
        </w:rPr>
        <w:t>;</w:t>
      </w:r>
    </w:p>
    <w:p w:rsidR="00774DD5" w:rsidRPr="007D059D" w:rsidRDefault="00774DD5" w:rsidP="00505805">
      <w:pPr>
        <w:pStyle w:val="ListParagraph"/>
        <w:numPr>
          <w:ilvl w:val="0"/>
          <w:numId w:val="5"/>
        </w:numPr>
        <w:rPr>
          <w:rStyle w:val="BookTitle"/>
          <w:rFonts w:cs="Arial"/>
          <w:i w:val="0"/>
          <w:iCs w:val="0"/>
          <w:smallCaps w:val="0"/>
          <w:spacing w:val="0"/>
          <w:sz w:val="23"/>
          <w:szCs w:val="23"/>
        </w:rPr>
      </w:pPr>
      <w:r w:rsidRPr="007D059D">
        <w:rPr>
          <w:rStyle w:val="BookTitle"/>
          <w:rFonts w:cs="Arial"/>
          <w:i w:val="0"/>
          <w:iCs w:val="0"/>
          <w:smallCaps w:val="0"/>
          <w:spacing w:val="0"/>
          <w:sz w:val="23"/>
          <w:szCs w:val="23"/>
        </w:rPr>
        <w:t>5 x Disability Employment Services Providers;</w:t>
      </w:r>
    </w:p>
    <w:p w:rsidR="00774DD5" w:rsidRPr="007D059D" w:rsidRDefault="00774DD5" w:rsidP="00505805">
      <w:pPr>
        <w:pStyle w:val="ListParagraph"/>
        <w:numPr>
          <w:ilvl w:val="0"/>
          <w:numId w:val="5"/>
        </w:numPr>
        <w:rPr>
          <w:rStyle w:val="BookTitle"/>
          <w:rFonts w:cs="Arial"/>
          <w:i w:val="0"/>
          <w:iCs w:val="0"/>
          <w:smallCaps w:val="0"/>
          <w:spacing w:val="0"/>
          <w:sz w:val="23"/>
          <w:szCs w:val="23"/>
        </w:rPr>
      </w:pPr>
      <w:r w:rsidRPr="007D059D">
        <w:rPr>
          <w:rStyle w:val="BookTitle"/>
          <w:rFonts w:cs="Arial"/>
          <w:i w:val="0"/>
          <w:iCs w:val="0"/>
          <w:smallCaps w:val="0"/>
          <w:spacing w:val="0"/>
          <w:sz w:val="23"/>
          <w:szCs w:val="23"/>
        </w:rPr>
        <w:t>1 x Personal Helpers and Mentors Provider;</w:t>
      </w:r>
    </w:p>
    <w:p w:rsidR="002B4B1C" w:rsidRPr="007D059D" w:rsidRDefault="00774DD5" w:rsidP="00505805">
      <w:pPr>
        <w:pStyle w:val="ListParagraph"/>
        <w:numPr>
          <w:ilvl w:val="0"/>
          <w:numId w:val="5"/>
        </w:numPr>
        <w:rPr>
          <w:rStyle w:val="BookTitle"/>
          <w:rFonts w:cs="Arial"/>
          <w:i w:val="0"/>
          <w:iCs w:val="0"/>
          <w:smallCaps w:val="0"/>
          <w:spacing w:val="0"/>
          <w:sz w:val="23"/>
          <w:szCs w:val="23"/>
        </w:rPr>
      </w:pPr>
      <w:r w:rsidRPr="007D059D">
        <w:rPr>
          <w:rStyle w:val="BookTitle"/>
          <w:rFonts w:cs="Arial"/>
          <w:i w:val="0"/>
          <w:iCs w:val="0"/>
          <w:smallCaps w:val="0"/>
          <w:spacing w:val="0"/>
          <w:sz w:val="23"/>
          <w:szCs w:val="23"/>
        </w:rPr>
        <w:t>3</w:t>
      </w:r>
      <w:r w:rsidR="002B4B1C" w:rsidRPr="007D059D">
        <w:rPr>
          <w:rStyle w:val="BookTitle"/>
          <w:rFonts w:cs="Arial"/>
          <w:i w:val="0"/>
          <w:iCs w:val="0"/>
          <w:smallCaps w:val="0"/>
          <w:spacing w:val="0"/>
          <w:sz w:val="23"/>
          <w:szCs w:val="23"/>
        </w:rPr>
        <w:t xml:space="preserve"> </w:t>
      </w:r>
      <w:r w:rsidRPr="007D059D">
        <w:rPr>
          <w:rStyle w:val="BookTitle"/>
          <w:rFonts w:cs="Arial"/>
          <w:i w:val="0"/>
          <w:iCs w:val="0"/>
          <w:smallCaps w:val="0"/>
          <w:spacing w:val="0"/>
          <w:sz w:val="23"/>
          <w:szCs w:val="23"/>
        </w:rPr>
        <w:t xml:space="preserve">x </w:t>
      </w:r>
      <w:r w:rsidR="002B4B1C" w:rsidRPr="007D059D">
        <w:rPr>
          <w:rStyle w:val="BookTitle"/>
          <w:rFonts w:cs="Arial"/>
          <w:i w:val="0"/>
          <w:iCs w:val="0"/>
          <w:smallCaps w:val="0"/>
          <w:spacing w:val="0"/>
          <w:sz w:val="23"/>
          <w:szCs w:val="23"/>
        </w:rPr>
        <w:t>Academics</w:t>
      </w:r>
      <w:r w:rsidRPr="007D059D">
        <w:rPr>
          <w:rStyle w:val="BookTitle"/>
          <w:rFonts w:cs="Arial"/>
          <w:i w:val="0"/>
          <w:iCs w:val="0"/>
          <w:smallCaps w:val="0"/>
          <w:spacing w:val="0"/>
          <w:sz w:val="23"/>
          <w:szCs w:val="23"/>
        </w:rPr>
        <w:t>;</w:t>
      </w:r>
    </w:p>
    <w:p w:rsidR="00774DD5" w:rsidRPr="007D059D" w:rsidRDefault="00774DD5" w:rsidP="00505805">
      <w:pPr>
        <w:pStyle w:val="ListParagraph"/>
        <w:numPr>
          <w:ilvl w:val="0"/>
          <w:numId w:val="5"/>
        </w:numPr>
        <w:rPr>
          <w:rStyle w:val="BookTitle"/>
          <w:rFonts w:cs="Arial"/>
          <w:i w:val="0"/>
          <w:iCs w:val="0"/>
          <w:smallCaps w:val="0"/>
          <w:spacing w:val="0"/>
          <w:sz w:val="23"/>
          <w:szCs w:val="23"/>
        </w:rPr>
      </w:pPr>
      <w:r w:rsidRPr="007D059D">
        <w:rPr>
          <w:rStyle w:val="BookTitle"/>
          <w:rFonts w:cs="Arial"/>
          <w:i w:val="0"/>
          <w:iCs w:val="0"/>
          <w:smallCaps w:val="0"/>
          <w:spacing w:val="0"/>
          <w:sz w:val="23"/>
          <w:szCs w:val="23"/>
        </w:rPr>
        <w:t>2 x Employers;</w:t>
      </w:r>
    </w:p>
    <w:p w:rsidR="00774DD5" w:rsidRPr="007D059D" w:rsidRDefault="00774DD5" w:rsidP="00505805">
      <w:pPr>
        <w:pStyle w:val="ListParagraph"/>
        <w:numPr>
          <w:ilvl w:val="0"/>
          <w:numId w:val="5"/>
        </w:numPr>
        <w:rPr>
          <w:rStyle w:val="BookTitle"/>
          <w:rFonts w:cs="Arial"/>
          <w:i w:val="0"/>
          <w:iCs w:val="0"/>
          <w:smallCaps w:val="0"/>
          <w:spacing w:val="0"/>
          <w:sz w:val="23"/>
          <w:szCs w:val="23"/>
        </w:rPr>
      </w:pPr>
      <w:r w:rsidRPr="007D059D">
        <w:rPr>
          <w:rStyle w:val="BookTitle"/>
          <w:rFonts w:cs="Arial"/>
          <w:i w:val="0"/>
          <w:iCs w:val="0"/>
          <w:smallCaps w:val="0"/>
          <w:spacing w:val="0"/>
          <w:sz w:val="23"/>
          <w:szCs w:val="23"/>
        </w:rPr>
        <w:t xml:space="preserve">2 x NDIA Sites; </w:t>
      </w:r>
    </w:p>
    <w:p w:rsidR="00774DD5" w:rsidRPr="007D059D" w:rsidRDefault="00774DD5" w:rsidP="00505805">
      <w:pPr>
        <w:pStyle w:val="ListParagraph"/>
        <w:numPr>
          <w:ilvl w:val="0"/>
          <w:numId w:val="5"/>
        </w:numPr>
        <w:rPr>
          <w:rStyle w:val="BookTitle"/>
          <w:rFonts w:cs="Arial"/>
          <w:i w:val="0"/>
          <w:iCs w:val="0"/>
          <w:smallCaps w:val="0"/>
          <w:spacing w:val="0"/>
          <w:sz w:val="23"/>
          <w:szCs w:val="23"/>
        </w:rPr>
      </w:pPr>
      <w:r w:rsidRPr="007D059D">
        <w:rPr>
          <w:rStyle w:val="BookTitle"/>
          <w:rFonts w:cs="Arial"/>
          <w:i w:val="0"/>
          <w:iCs w:val="0"/>
          <w:smallCaps w:val="0"/>
          <w:spacing w:val="0"/>
          <w:sz w:val="23"/>
          <w:szCs w:val="23"/>
        </w:rPr>
        <w:t>1 x State Government Department; and</w:t>
      </w:r>
    </w:p>
    <w:p w:rsidR="00774DD5" w:rsidRPr="002B4B1C" w:rsidRDefault="00B25763" w:rsidP="00505805">
      <w:pPr>
        <w:pStyle w:val="ListParagraph"/>
        <w:numPr>
          <w:ilvl w:val="0"/>
          <w:numId w:val="5"/>
        </w:numPr>
        <w:rPr>
          <w:rStyle w:val="BookTitle"/>
          <w:rFonts w:cs="Arial"/>
          <w:i w:val="0"/>
          <w:iCs w:val="0"/>
          <w:smallCaps w:val="0"/>
          <w:spacing w:val="0"/>
        </w:rPr>
      </w:pPr>
      <w:proofErr w:type="gramStart"/>
      <w:r>
        <w:rPr>
          <w:rStyle w:val="BookTitle"/>
          <w:rFonts w:cs="Arial"/>
          <w:i w:val="0"/>
          <w:iCs w:val="0"/>
          <w:smallCaps w:val="0"/>
          <w:spacing w:val="0"/>
          <w:sz w:val="23"/>
          <w:szCs w:val="23"/>
        </w:rPr>
        <w:t>the</w:t>
      </w:r>
      <w:proofErr w:type="gramEnd"/>
      <w:r>
        <w:rPr>
          <w:rStyle w:val="BookTitle"/>
          <w:rFonts w:cs="Arial"/>
          <w:i w:val="0"/>
          <w:iCs w:val="0"/>
          <w:smallCaps w:val="0"/>
          <w:spacing w:val="0"/>
          <w:sz w:val="23"/>
          <w:szCs w:val="23"/>
        </w:rPr>
        <w:t xml:space="preserve"> </w:t>
      </w:r>
      <w:r w:rsidR="007D059D" w:rsidRPr="007D059D">
        <w:rPr>
          <w:rStyle w:val="BookTitle"/>
          <w:rFonts w:cs="Arial"/>
          <w:i w:val="0"/>
          <w:iCs w:val="0"/>
          <w:smallCaps w:val="0"/>
          <w:spacing w:val="0"/>
          <w:sz w:val="23"/>
          <w:szCs w:val="23"/>
        </w:rPr>
        <w:t>Commonwealth Department of Human Services to discuss their Autism project</w:t>
      </w:r>
      <w:r w:rsidR="00774DD5" w:rsidRPr="007D059D">
        <w:rPr>
          <w:rStyle w:val="BookTitle"/>
          <w:rFonts w:cs="Arial"/>
          <w:i w:val="0"/>
          <w:iCs w:val="0"/>
          <w:smallCaps w:val="0"/>
          <w:spacing w:val="0"/>
          <w:sz w:val="23"/>
          <w:szCs w:val="23"/>
        </w:rPr>
        <w:t>.</w:t>
      </w:r>
    </w:p>
    <w:p w:rsidR="002B4B1C" w:rsidRPr="00774DD5" w:rsidRDefault="002B4B1C" w:rsidP="00774DD5">
      <w:pPr>
        <w:rPr>
          <w:rStyle w:val="BookTitle"/>
          <w:rFonts w:cs="Arial"/>
          <w:i w:val="0"/>
          <w:iCs w:val="0"/>
          <w:smallCaps w:val="0"/>
          <w:spacing w:val="0"/>
        </w:rPr>
        <w:sectPr w:rsidR="002B4B1C" w:rsidRPr="00774DD5" w:rsidSect="006A6FBD">
          <w:headerReference w:type="first" r:id="rId21"/>
          <w:pgSz w:w="11906" w:h="16838"/>
          <w:pgMar w:top="567" w:right="1418" w:bottom="851" w:left="1134" w:header="851" w:footer="0" w:gutter="0"/>
          <w:pgNumType w:start="2"/>
          <w:cols w:space="708"/>
          <w:titlePg/>
          <w:docGrid w:linePitch="360"/>
        </w:sectPr>
      </w:pPr>
    </w:p>
    <w:p w:rsidR="006944DF" w:rsidRDefault="006A6FBD" w:rsidP="006944DF">
      <w:r>
        <w:lastRenderedPageBreak/>
        <w:t xml:space="preserve">The following submissions have been published on the </w:t>
      </w:r>
      <w:proofErr w:type="gramStart"/>
      <w:r>
        <w:t>E</w:t>
      </w:r>
      <w:r w:rsidRPr="000B61A1">
        <w:t>ngage</w:t>
      </w:r>
      <w:proofErr w:type="gramEnd"/>
      <w:r w:rsidRPr="000B61A1">
        <w:t xml:space="preserve"> website</w:t>
      </w:r>
      <w:r>
        <w:t xml:space="preserve"> </w:t>
      </w:r>
      <w:r w:rsidR="00B25763">
        <w:t>(www.</w:t>
      </w:r>
      <w:r w:rsidRPr="000B61A1">
        <w:t>engage.dss.gov.au</w:t>
      </w:r>
      <w:r w:rsidR="00B25763">
        <w:t>)</w:t>
      </w:r>
      <w:r>
        <w:t xml:space="preserve"> with author permission:</w:t>
      </w:r>
    </w:p>
    <w:p w:rsidR="006944DF" w:rsidRDefault="006944DF" w:rsidP="006944DF">
      <w:pPr>
        <w:sectPr w:rsidR="006944DF" w:rsidSect="006A6FBD">
          <w:headerReference w:type="first" r:id="rId22"/>
          <w:pgSz w:w="11906" w:h="16838"/>
          <w:pgMar w:top="567" w:right="1418" w:bottom="851" w:left="1134" w:header="851" w:footer="0" w:gutter="0"/>
          <w:pgNumType w:start="2"/>
          <w:cols w:space="708"/>
          <w:titlePg/>
          <w:docGrid w:linePitch="360"/>
        </w:sectPr>
      </w:pPr>
    </w:p>
    <w:p w:rsidR="00251564" w:rsidRDefault="00251564" w:rsidP="00251564">
      <w:pPr>
        <w:pStyle w:val="Bullet2"/>
      </w:pPr>
      <w:r>
        <w:lastRenderedPageBreak/>
        <w:t>ACE WA</w:t>
      </w:r>
    </w:p>
    <w:p w:rsidR="00251564" w:rsidRDefault="00251564" w:rsidP="00251564">
      <w:pPr>
        <w:pStyle w:val="Bullet2"/>
      </w:pPr>
      <w:r>
        <w:t>ACT Mental Health Consumer Network</w:t>
      </w:r>
    </w:p>
    <w:p w:rsidR="00251564" w:rsidRDefault="00251564" w:rsidP="00251564">
      <w:pPr>
        <w:pStyle w:val="Bullet2"/>
      </w:pPr>
      <w:r>
        <w:t>ADACAS Advocacy</w:t>
      </w:r>
    </w:p>
    <w:p w:rsidR="00251564" w:rsidRDefault="00251564" w:rsidP="00251564">
      <w:pPr>
        <w:pStyle w:val="Bullet2"/>
      </w:pPr>
      <w:r>
        <w:t>Alanna</w:t>
      </w:r>
    </w:p>
    <w:p w:rsidR="00251564" w:rsidRDefault="00251564" w:rsidP="00251564">
      <w:pPr>
        <w:pStyle w:val="Bullet2"/>
      </w:pPr>
      <w:r>
        <w:t>APM</w:t>
      </w:r>
    </w:p>
    <w:p w:rsidR="00251564" w:rsidRDefault="00251564" w:rsidP="00251564">
      <w:pPr>
        <w:pStyle w:val="Bullet2"/>
      </w:pPr>
      <w:r>
        <w:t>Australian Dual Diagnosis Recovery Network Inc.</w:t>
      </w:r>
    </w:p>
    <w:p w:rsidR="00251564" w:rsidRDefault="00251564" w:rsidP="00251564">
      <w:pPr>
        <w:pStyle w:val="Bullet2"/>
      </w:pPr>
      <w:r>
        <w:t>Australian Federation of Disability Organisations</w:t>
      </w:r>
    </w:p>
    <w:p w:rsidR="006A6FBD" w:rsidRDefault="006A6FBD" w:rsidP="006944DF">
      <w:pPr>
        <w:pStyle w:val="Bullet2"/>
        <w:tabs>
          <w:tab w:val="clear" w:pos="360"/>
        </w:tabs>
        <w:ind w:left="170" w:hanging="170"/>
      </w:pPr>
      <w:r>
        <w:t>Australian Human Resources Institute</w:t>
      </w:r>
    </w:p>
    <w:p w:rsidR="00251564" w:rsidRDefault="00251564" w:rsidP="00251564">
      <w:pPr>
        <w:pStyle w:val="Bullet2"/>
      </w:pPr>
      <w:r>
        <w:t>Autistic Self Advocacy Network AUNZ</w:t>
      </w:r>
    </w:p>
    <w:p w:rsidR="00251564" w:rsidRDefault="00251564" w:rsidP="00251564">
      <w:pPr>
        <w:pStyle w:val="Bullet2"/>
      </w:pPr>
      <w:r>
        <w:t>Autism Asperger’s Advocacy Australia</w:t>
      </w:r>
    </w:p>
    <w:p w:rsidR="005656D0" w:rsidRDefault="005656D0" w:rsidP="005656D0">
      <w:pPr>
        <w:pStyle w:val="Bullet2"/>
      </w:pPr>
      <w:proofErr w:type="spellStart"/>
      <w:r>
        <w:t>Bennycox</w:t>
      </w:r>
      <w:proofErr w:type="spellEnd"/>
    </w:p>
    <w:p w:rsidR="00251564" w:rsidRDefault="00251564" w:rsidP="00251564">
      <w:pPr>
        <w:pStyle w:val="Bullet2"/>
      </w:pPr>
      <w:r>
        <w:t>Beyond Blue</w:t>
      </w:r>
    </w:p>
    <w:p w:rsidR="00251564" w:rsidRDefault="00251564" w:rsidP="00251564">
      <w:pPr>
        <w:pStyle w:val="Bullet2"/>
      </w:pPr>
      <w:r>
        <w:t>Bravo Consulting</w:t>
      </w:r>
    </w:p>
    <w:p w:rsidR="00251564" w:rsidRDefault="00251564" w:rsidP="00251564">
      <w:pPr>
        <w:pStyle w:val="Bullet2"/>
      </w:pPr>
      <w:r>
        <w:t>Break Thru People Solutions</w:t>
      </w:r>
    </w:p>
    <w:p w:rsidR="00251564" w:rsidRDefault="00251564" w:rsidP="00251564">
      <w:pPr>
        <w:pStyle w:val="Bullet2"/>
      </w:pPr>
      <w:r>
        <w:t>Campbell Page</w:t>
      </w:r>
    </w:p>
    <w:p w:rsidR="00F90CCA" w:rsidRDefault="00C37C19" w:rsidP="005656D0">
      <w:pPr>
        <w:pStyle w:val="Bullet2"/>
      </w:pPr>
      <w:r>
        <w:t xml:space="preserve">Carers </w:t>
      </w:r>
      <w:r w:rsidR="00F90CCA">
        <w:t>NSW</w:t>
      </w:r>
    </w:p>
    <w:p w:rsidR="005656D0" w:rsidRDefault="005656D0" w:rsidP="005656D0">
      <w:pPr>
        <w:pStyle w:val="Bullet2"/>
      </w:pPr>
      <w:r>
        <w:t>CHESS</w:t>
      </w:r>
    </w:p>
    <w:p w:rsidR="005656D0" w:rsidRDefault="005656D0" w:rsidP="005656D0">
      <w:pPr>
        <w:pStyle w:val="Bullet2"/>
      </w:pPr>
      <w:proofErr w:type="spellStart"/>
      <w:r>
        <w:t>Chogy</w:t>
      </w:r>
      <w:proofErr w:type="spellEnd"/>
    </w:p>
    <w:p w:rsidR="00251564" w:rsidRDefault="00251564" w:rsidP="00251564">
      <w:pPr>
        <w:pStyle w:val="Bullet2"/>
      </w:pPr>
      <w:proofErr w:type="spellStart"/>
      <w:r>
        <w:t>Comcare</w:t>
      </w:r>
      <w:proofErr w:type="spellEnd"/>
    </w:p>
    <w:p w:rsidR="005656D0" w:rsidRDefault="005656D0" w:rsidP="005656D0">
      <w:pPr>
        <w:pStyle w:val="Bullet2"/>
      </w:pPr>
      <w:r>
        <w:t>Deaf Accessible Business Network</w:t>
      </w:r>
    </w:p>
    <w:p w:rsidR="00C37C19" w:rsidRDefault="00C37C19" w:rsidP="00C37C19">
      <w:pPr>
        <w:pStyle w:val="Bullet2"/>
        <w:tabs>
          <w:tab w:val="clear" w:pos="360"/>
        </w:tabs>
        <w:ind w:left="170" w:hanging="170"/>
      </w:pPr>
      <w:r>
        <w:t xml:space="preserve">Deakin University, Professor Jane den Hollander, </w:t>
      </w:r>
    </w:p>
    <w:p w:rsidR="00C37C19" w:rsidRDefault="00C37C19" w:rsidP="00C37C19">
      <w:pPr>
        <w:pStyle w:val="Bullet2"/>
        <w:tabs>
          <w:tab w:val="clear" w:pos="360"/>
        </w:tabs>
        <w:ind w:left="170" w:hanging="170"/>
      </w:pPr>
      <w:r>
        <w:t>Disability Employment Australia</w:t>
      </w:r>
    </w:p>
    <w:p w:rsidR="00C37C19" w:rsidRDefault="00C37C19" w:rsidP="00C37C19">
      <w:pPr>
        <w:pStyle w:val="Bullet2"/>
      </w:pPr>
      <w:r>
        <w:t>Disability Network Forum</w:t>
      </w:r>
    </w:p>
    <w:p w:rsidR="00251564" w:rsidRDefault="00251564" w:rsidP="00251564">
      <w:pPr>
        <w:pStyle w:val="Bullet2"/>
      </w:pPr>
      <w:r>
        <w:t>Disability Services Commission</w:t>
      </w:r>
    </w:p>
    <w:p w:rsidR="00C37C19" w:rsidRDefault="00C37C19" w:rsidP="00C37C19">
      <w:pPr>
        <w:pStyle w:val="Bullet2"/>
      </w:pPr>
      <w:r>
        <w:t>DVJS Employment Solutions</w:t>
      </w:r>
    </w:p>
    <w:p w:rsidR="00251564" w:rsidRDefault="00251564" w:rsidP="00251564">
      <w:pPr>
        <w:pStyle w:val="Bullet2"/>
      </w:pPr>
      <w:r>
        <w:t>Federation of Ethnic Communities’ Councils of Australia</w:t>
      </w:r>
    </w:p>
    <w:p w:rsidR="00251564" w:rsidRDefault="00251564" w:rsidP="00251564">
      <w:pPr>
        <w:pStyle w:val="Bullet2"/>
      </w:pPr>
      <w:r>
        <w:t>Fiona</w:t>
      </w:r>
    </w:p>
    <w:p w:rsidR="00C37C19" w:rsidRDefault="00C37C19" w:rsidP="00C37C19">
      <w:pPr>
        <w:pStyle w:val="Bullet2"/>
      </w:pPr>
      <w:r>
        <w:t>The Flagstaff Group</w:t>
      </w:r>
    </w:p>
    <w:p w:rsidR="00251564" w:rsidRDefault="00251564" w:rsidP="00251564">
      <w:pPr>
        <w:pStyle w:val="Bullet2"/>
      </w:pPr>
      <w:r>
        <w:t xml:space="preserve">Bill </w:t>
      </w:r>
      <w:proofErr w:type="spellStart"/>
      <w:r>
        <w:t>Gye</w:t>
      </w:r>
      <w:proofErr w:type="spellEnd"/>
    </w:p>
    <w:p w:rsidR="00251564" w:rsidRDefault="00251564" w:rsidP="00251564">
      <w:pPr>
        <w:pStyle w:val="Bullet2"/>
      </w:pPr>
      <w:r>
        <w:t>Holroyd City Council</w:t>
      </w:r>
    </w:p>
    <w:p w:rsidR="00755D6B" w:rsidRDefault="00755D6B" w:rsidP="00755D6B">
      <w:pPr>
        <w:pStyle w:val="Bullet2"/>
      </w:pPr>
      <w:r>
        <w:t>Humpy</w:t>
      </w:r>
    </w:p>
    <w:p w:rsidR="00F90CCA" w:rsidRDefault="00251564" w:rsidP="00F90CCA">
      <w:pPr>
        <w:pStyle w:val="Bullet2"/>
      </w:pPr>
      <w:r>
        <w:t>Inclusion Australia (2 submissions)</w:t>
      </w:r>
    </w:p>
    <w:p w:rsidR="00F90CCA" w:rsidRDefault="00F90CCA" w:rsidP="00F90CCA">
      <w:pPr>
        <w:pStyle w:val="Bullet2"/>
      </w:pPr>
      <w:r>
        <w:t>janeartist.js</w:t>
      </w:r>
    </w:p>
    <w:p w:rsidR="00F90CCA" w:rsidRDefault="00F90CCA" w:rsidP="00F90CCA">
      <w:pPr>
        <w:pStyle w:val="Bullet2"/>
        <w:numPr>
          <w:ilvl w:val="0"/>
          <w:numId w:val="0"/>
        </w:numPr>
      </w:pPr>
    </w:p>
    <w:p w:rsidR="00251564" w:rsidRDefault="00251564" w:rsidP="00251564">
      <w:pPr>
        <w:pStyle w:val="Bullet2"/>
      </w:pPr>
      <w:r>
        <w:lastRenderedPageBreak/>
        <w:t>JFA Purple Orange</w:t>
      </w:r>
    </w:p>
    <w:p w:rsidR="00251564" w:rsidRDefault="00251564" w:rsidP="00251564">
      <w:pPr>
        <w:pStyle w:val="Bullet2"/>
      </w:pPr>
      <w:r>
        <w:t>Jobs Australia</w:t>
      </w:r>
    </w:p>
    <w:p w:rsidR="00251564" w:rsidRDefault="00251564" w:rsidP="00251564">
      <w:pPr>
        <w:pStyle w:val="Bullet2"/>
      </w:pPr>
      <w:proofErr w:type="spellStart"/>
      <w:r>
        <w:t>Jobsupport</w:t>
      </w:r>
      <w:proofErr w:type="spellEnd"/>
    </w:p>
    <w:p w:rsidR="00C37C19" w:rsidRDefault="00C37C19" w:rsidP="00C37C19">
      <w:pPr>
        <w:pStyle w:val="Bullet2"/>
      </w:pPr>
      <w:r>
        <w:t>Karingal</w:t>
      </w:r>
    </w:p>
    <w:p w:rsidR="00755D6B" w:rsidRPr="006944DF" w:rsidRDefault="00755D6B" w:rsidP="00755D6B">
      <w:pPr>
        <w:pStyle w:val="Bullet2"/>
        <w:rPr>
          <w:rStyle w:val="BookTitle"/>
          <w:rFonts w:cs="Arial"/>
          <w:i w:val="0"/>
          <w:iCs w:val="0"/>
          <w:smallCaps w:val="0"/>
          <w:spacing w:val="0"/>
        </w:rPr>
      </w:pPr>
      <w:proofErr w:type="spellStart"/>
      <w:r>
        <w:t>Lucridate</w:t>
      </w:r>
      <w:proofErr w:type="spellEnd"/>
    </w:p>
    <w:p w:rsidR="005656D0" w:rsidRDefault="005656D0" w:rsidP="005656D0">
      <w:pPr>
        <w:pStyle w:val="Bullet2"/>
      </w:pPr>
      <w:proofErr w:type="spellStart"/>
      <w:r>
        <w:t>Maccess</w:t>
      </w:r>
      <w:proofErr w:type="spellEnd"/>
    </w:p>
    <w:p w:rsidR="00C37C19" w:rsidRDefault="00C37C19" w:rsidP="00C37C19">
      <w:pPr>
        <w:pStyle w:val="Bullet2"/>
      </w:pPr>
      <w:r>
        <w:t>Monash University, Stephen Elliott</w:t>
      </w:r>
    </w:p>
    <w:p w:rsidR="00251564" w:rsidRDefault="00251564" w:rsidP="00251564">
      <w:pPr>
        <w:pStyle w:val="Bullet2"/>
      </w:pPr>
      <w:r>
        <w:t>Multiple Solutions</w:t>
      </w:r>
    </w:p>
    <w:p w:rsidR="00251564" w:rsidRDefault="00251564" w:rsidP="00251564">
      <w:pPr>
        <w:pStyle w:val="Bullet2"/>
      </w:pPr>
      <w:r>
        <w:t>National Disability Services</w:t>
      </w:r>
    </w:p>
    <w:p w:rsidR="00251564" w:rsidRDefault="00251564" w:rsidP="00251564">
      <w:pPr>
        <w:pStyle w:val="Bullet2"/>
      </w:pPr>
      <w:proofErr w:type="spellStart"/>
      <w:r>
        <w:t>Northcott</w:t>
      </w:r>
      <w:proofErr w:type="spellEnd"/>
    </w:p>
    <w:p w:rsidR="00251564" w:rsidRDefault="00251564" w:rsidP="00251564">
      <w:pPr>
        <w:pStyle w:val="Bullet2"/>
      </w:pPr>
      <w:r>
        <w:t>NOVA Employment</w:t>
      </w:r>
    </w:p>
    <w:p w:rsidR="00C37C19" w:rsidRDefault="00C37C19" w:rsidP="00C37C19">
      <w:pPr>
        <w:pStyle w:val="Bullet2"/>
      </w:pPr>
      <w:r>
        <w:t>Ostara Australia Ltd</w:t>
      </w:r>
    </w:p>
    <w:p w:rsidR="00251564" w:rsidRDefault="00251564" w:rsidP="00251564">
      <w:pPr>
        <w:pStyle w:val="Bullet2"/>
      </w:pPr>
      <w:r>
        <w:t>Outlook Employment</w:t>
      </w:r>
    </w:p>
    <w:p w:rsidR="00251564" w:rsidRDefault="00251564" w:rsidP="00251564">
      <w:pPr>
        <w:pStyle w:val="Bullet2"/>
      </w:pPr>
      <w:proofErr w:type="spellStart"/>
      <w:r>
        <w:t>ParaQuad</w:t>
      </w:r>
      <w:proofErr w:type="spellEnd"/>
      <w:r>
        <w:t xml:space="preserve"> Assoc. Tas. Inc.</w:t>
      </w:r>
    </w:p>
    <w:p w:rsidR="006A6FBD" w:rsidRDefault="006A6FBD" w:rsidP="00C37C19">
      <w:pPr>
        <w:pStyle w:val="Bullet2"/>
      </w:pPr>
      <w:r>
        <w:t>People with Disability Australia</w:t>
      </w:r>
    </w:p>
    <w:p w:rsidR="00251564" w:rsidRDefault="00251564" w:rsidP="00251564">
      <w:pPr>
        <w:pStyle w:val="Bullet2"/>
      </w:pPr>
      <w:r>
        <w:t>Physical Disability Council of New South Wales</w:t>
      </w:r>
    </w:p>
    <w:p w:rsidR="00251564" w:rsidRDefault="00251564" w:rsidP="00251564">
      <w:pPr>
        <w:pStyle w:val="Bullet2"/>
      </w:pPr>
      <w:r>
        <w:t xml:space="preserve">Praxis Disability Consulting </w:t>
      </w:r>
    </w:p>
    <w:p w:rsidR="00251564" w:rsidRDefault="00251564" w:rsidP="00251564">
      <w:pPr>
        <w:pStyle w:val="Bullet2"/>
      </w:pPr>
      <w:r>
        <w:t>Queensland Advocacy Incorp.</w:t>
      </w:r>
    </w:p>
    <w:p w:rsidR="00251564" w:rsidRDefault="00251564" w:rsidP="00251564">
      <w:pPr>
        <w:pStyle w:val="Bullet2"/>
      </w:pPr>
      <w:r>
        <w:t>Queenslanders with Disability Network LTD</w:t>
      </w:r>
    </w:p>
    <w:p w:rsidR="005656D0" w:rsidRDefault="005656D0" w:rsidP="005656D0">
      <w:pPr>
        <w:pStyle w:val="Bullet2"/>
      </w:pPr>
      <w:r>
        <w:t>Ray Quinn</w:t>
      </w:r>
    </w:p>
    <w:p w:rsidR="00251564" w:rsidRDefault="00251564" w:rsidP="00251564">
      <w:pPr>
        <w:pStyle w:val="Bullet2"/>
      </w:pPr>
      <w:r>
        <w:t>Rehab Solutions</w:t>
      </w:r>
    </w:p>
    <w:p w:rsidR="006A6FBD" w:rsidRDefault="006A6FBD" w:rsidP="006A6FBD">
      <w:pPr>
        <w:pStyle w:val="Bullet2"/>
      </w:pPr>
      <w:r>
        <w:t>Rehabilitation Counselling Association of Australasia (RCAA)</w:t>
      </w:r>
    </w:p>
    <w:p w:rsidR="00251564" w:rsidRDefault="00251564" w:rsidP="00251564">
      <w:pPr>
        <w:pStyle w:val="Bullet2"/>
      </w:pPr>
      <w:r>
        <w:t>Cate Rose</w:t>
      </w:r>
    </w:p>
    <w:p w:rsidR="005656D0" w:rsidRDefault="005656D0" w:rsidP="005656D0">
      <w:pPr>
        <w:pStyle w:val="Bullet2"/>
      </w:pPr>
      <w:r>
        <w:t>Spectrum Square</w:t>
      </w:r>
    </w:p>
    <w:p w:rsidR="00251564" w:rsidRDefault="00251564" w:rsidP="00251564">
      <w:pPr>
        <w:pStyle w:val="Bullet2"/>
      </w:pPr>
      <w:r>
        <w:t xml:space="preserve">Swinburne University of Technology, Alex Maritz </w:t>
      </w:r>
    </w:p>
    <w:p w:rsidR="00C37C19" w:rsidRDefault="00C37C19" w:rsidP="00C37C19">
      <w:pPr>
        <w:pStyle w:val="Bullet2"/>
      </w:pPr>
      <w:r>
        <w:t xml:space="preserve">Carol </w:t>
      </w:r>
      <w:proofErr w:type="spellStart"/>
      <w:r>
        <w:t>Syer</w:t>
      </w:r>
      <w:proofErr w:type="spellEnd"/>
    </w:p>
    <w:p w:rsidR="00251564" w:rsidRDefault="00251564" w:rsidP="00251564">
      <w:pPr>
        <w:pStyle w:val="Bullet2"/>
      </w:pPr>
      <w:r>
        <w:t>Phil T</w:t>
      </w:r>
    </w:p>
    <w:p w:rsidR="00251564" w:rsidRDefault="00251564" w:rsidP="006A6FBD">
      <w:pPr>
        <w:pStyle w:val="Bullet2"/>
      </w:pPr>
      <w:r>
        <w:t xml:space="preserve">University of Southern Queensland, </w:t>
      </w:r>
      <w:proofErr w:type="spellStart"/>
      <w:r>
        <w:t>Shalene</w:t>
      </w:r>
      <w:proofErr w:type="spellEnd"/>
      <w:r>
        <w:t xml:space="preserve"> </w:t>
      </w:r>
      <w:proofErr w:type="spellStart"/>
      <w:r>
        <w:t>Werth</w:t>
      </w:r>
      <w:proofErr w:type="spellEnd"/>
      <w:r>
        <w:t xml:space="preserve"> </w:t>
      </w:r>
    </w:p>
    <w:p w:rsidR="00251564" w:rsidRDefault="00251564" w:rsidP="00251564">
      <w:pPr>
        <w:pStyle w:val="Bullet2"/>
      </w:pPr>
      <w:r>
        <w:t>Victorian Deaf Society (</w:t>
      </w:r>
      <w:proofErr w:type="spellStart"/>
      <w:r>
        <w:t>SensWide</w:t>
      </w:r>
      <w:proofErr w:type="spellEnd"/>
      <w:r>
        <w:t xml:space="preserve"> Employment)</w:t>
      </w:r>
    </w:p>
    <w:p w:rsidR="006A6FBD" w:rsidRDefault="006A6FBD" w:rsidP="00251564">
      <w:pPr>
        <w:pStyle w:val="Bullet2"/>
      </w:pPr>
      <w:proofErr w:type="spellStart"/>
      <w:r>
        <w:t>VisAbility</w:t>
      </w:r>
      <w:proofErr w:type="spellEnd"/>
    </w:p>
    <w:p w:rsidR="00251564" w:rsidRDefault="00251564" w:rsidP="00251564">
      <w:pPr>
        <w:pStyle w:val="Bullet2"/>
      </w:pPr>
      <w:r>
        <w:t>Vision Australia</w:t>
      </w:r>
    </w:p>
    <w:p w:rsidR="005656D0" w:rsidRDefault="005656D0" w:rsidP="005656D0">
      <w:pPr>
        <w:pStyle w:val="Bullet2"/>
      </w:pPr>
      <w:r>
        <w:t>Watcher</w:t>
      </w:r>
    </w:p>
    <w:p w:rsidR="00251564" w:rsidRDefault="00251564" w:rsidP="00251564">
      <w:pPr>
        <w:pStyle w:val="Bullet2"/>
      </w:pPr>
      <w:proofErr w:type="spellStart"/>
      <w:r>
        <w:t>Wellspect</w:t>
      </w:r>
      <w:proofErr w:type="spellEnd"/>
      <w:r>
        <w:t xml:space="preserve"> HealthCare</w:t>
      </w:r>
    </w:p>
    <w:sectPr w:rsidR="00251564" w:rsidSect="006944DF">
      <w:type w:val="continuous"/>
      <w:pgSz w:w="11906" w:h="16838"/>
      <w:pgMar w:top="567" w:right="1418" w:bottom="851" w:left="1134" w:header="851" w:footer="0" w:gutter="0"/>
      <w:pgNumType w:start="2"/>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38" w:rsidRDefault="00CC6838" w:rsidP="008F3023">
      <w:pPr>
        <w:spacing w:before="0" w:after="0" w:line="240" w:lineRule="auto"/>
      </w:pPr>
      <w:r>
        <w:separator/>
      </w:r>
    </w:p>
  </w:endnote>
  <w:endnote w:type="continuationSeparator" w:id="0">
    <w:p w:rsidR="00CC6838" w:rsidRDefault="00CC6838"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790DF1" w:rsidRDefault="00790DF1" w:rsidP="00D86E50">
        <w:pPr>
          <w:pStyle w:val="Footer"/>
          <w:jc w:val="center"/>
        </w:pPr>
        <w:r>
          <w:fldChar w:fldCharType="begin"/>
        </w:r>
        <w:r>
          <w:instrText xml:space="preserve"> PAGE   \* MERGEFORMAT </w:instrText>
        </w:r>
        <w:r>
          <w:fldChar w:fldCharType="separate"/>
        </w:r>
        <w:r w:rsidR="005F494C">
          <w:rPr>
            <w:noProof/>
          </w:rPr>
          <w:t>11</w:t>
        </w:r>
        <w:r>
          <w:rPr>
            <w:noProof/>
          </w:rPr>
          <w:fldChar w:fldCharType="end"/>
        </w:r>
      </w:p>
    </w:sdtContent>
  </w:sdt>
  <w:p w:rsidR="00790DF1" w:rsidRDefault="0079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F1" w:rsidRDefault="00790DF1" w:rsidP="00B10EB1">
    <w:pPr>
      <w:pStyle w:val="Footer"/>
      <w:ind w:left="-1417"/>
    </w:pPr>
    <w:r>
      <w:rPr>
        <w:noProof/>
      </w:rPr>
      <w:drawing>
        <wp:inline distT="0" distB="0" distL="0" distR="0" wp14:anchorId="596F0304" wp14:editId="12D39F5A">
          <wp:extent cx="7519594" cy="6264812"/>
          <wp:effectExtent l="0" t="0" r="5715" b="3175"/>
          <wp:docPr id="3" name="Picture 3" descr="illustrations of people with a house in the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39304"/>
      <w:docPartObj>
        <w:docPartGallery w:val="Page Numbers (Bottom of Page)"/>
        <w:docPartUnique/>
      </w:docPartObj>
    </w:sdtPr>
    <w:sdtEndPr>
      <w:rPr>
        <w:noProof/>
      </w:rPr>
    </w:sdtEndPr>
    <w:sdtContent>
      <w:p w:rsidR="005F494C" w:rsidRDefault="005F494C" w:rsidP="00D86E50">
        <w:pPr>
          <w:pStyle w:val="Footer"/>
          <w:jc w:val="center"/>
        </w:pPr>
        <w:r>
          <w:fldChar w:fldCharType="begin"/>
        </w:r>
        <w:r>
          <w:instrText xml:space="preserve"> PAGE   \* MERGEFORMAT </w:instrText>
        </w:r>
        <w:r>
          <w:fldChar w:fldCharType="separate"/>
        </w:r>
        <w:r w:rsidR="00C77881">
          <w:rPr>
            <w:noProof/>
          </w:rPr>
          <w:t>11</w:t>
        </w:r>
        <w:r>
          <w:rPr>
            <w:noProof/>
          </w:rPr>
          <w:fldChar w:fldCharType="end"/>
        </w:r>
      </w:p>
    </w:sdtContent>
  </w:sdt>
  <w:p w:rsidR="005F494C" w:rsidRDefault="005F4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4C" w:rsidRDefault="005F494C" w:rsidP="00B10EB1">
    <w:pPr>
      <w:pStyle w:val="Footer"/>
      <w:ind w:left="-1417"/>
    </w:pPr>
    <w:r>
      <w:rPr>
        <w:noProof/>
      </w:rPr>
      <w:drawing>
        <wp:inline distT="0" distB="0" distL="0" distR="0" wp14:anchorId="4B32C664" wp14:editId="75F1BB8C">
          <wp:extent cx="7519594" cy="6264812"/>
          <wp:effectExtent l="0" t="0" r="5715" b="3175"/>
          <wp:docPr id="4" name="Picture 4" descr="illustrations of people with a house in the background"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F1" w:rsidRDefault="00790DF1" w:rsidP="00D86E50">
    <w:pPr>
      <w:pStyle w:val="Footer"/>
      <w:tabs>
        <w:tab w:val="clear" w:pos="4513"/>
        <w:tab w:val="clear" w:pos="9026"/>
        <w:tab w:val="left" w:pos="3040"/>
      </w:tabs>
      <w:jc w:val="center"/>
    </w:pPr>
  </w:p>
  <w:p w:rsidR="00790DF1" w:rsidRDefault="00790DF1"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38" w:rsidRDefault="00CC6838" w:rsidP="008F3023">
      <w:pPr>
        <w:spacing w:before="0" w:after="0" w:line="240" w:lineRule="auto"/>
      </w:pPr>
      <w:r>
        <w:separator/>
      </w:r>
    </w:p>
  </w:footnote>
  <w:footnote w:type="continuationSeparator" w:id="0">
    <w:p w:rsidR="00CC6838" w:rsidRDefault="00CC6838" w:rsidP="008F3023">
      <w:pPr>
        <w:spacing w:before="0" w:after="0" w:line="240" w:lineRule="auto"/>
      </w:pPr>
      <w:r>
        <w:continuationSeparator/>
      </w:r>
    </w:p>
  </w:footnote>
  <w:footnote w:id="1">
    <w:p w:rsidR="005F494C" w:rsidRPr="001E1651" w:rsidRDefault="005F494C" w:rsidP="005F494C">
      <w:pPr>
        <w:pStyle w:val="FootnoteText"/>
        <w:rPr>
          <w:sz w:val="16"/>
          <w:szCs w:val="16"/>
        </w:rPr>
      </w:pPr>
      <w:r w:rsidRPr="001E1651">
        <w:rPr>
          <w:rStyle w:val="FootnoteReference"/>
          <w:sz w:val="16"/>
          <w:szCs w:val="16"/>
        </w:rPr>
        <w:footnoteRef/>
      </w:r>
      <w:r w:rsidRPr="001E1651">
        <w:rPr>
          <w:sz w:val="16"/>
          <w:szCs w:val="16"/>
        </w:rPr>
        <w:t xml:space="preserve"> </w:t>
      </w:r>
      <w:proofErr w:type="gramStart"/>
      <w:r w:rsidRPr="001E1651">
        <w:rPr>
          <w:sz w:val="16"/>
          <w:szCs w:val="16"/>
        </w:rPr>
        <w:t>Australian Bureau of Statistics.</w:t>
      </w:r>
      <w:proofErr w:type="gramEnd"/>
      <w:r w:rsidRPr="001E1651">
        <w:rPr>
          <w:sz w:val="16"/>
          <w:szCs w:val="16"/>
        </w:rPr>
        <w:t xml:space="preserve"> 2012. Disability, Ageing and Carers: Summary of Findings, Cat. </w:t>
      </w:r>
      <w:proofErr w:type="gramStart"/>
      <w:r w:rsidRPr="001E1651">
        <w:rPr>
          <w:sz w:val="16"/>
          <w:szCs w:val="16"/>
        </w:rPr>
        <w:t>no.4430.0</w:t>
      </w:r>
      <w:proofErr w:type="gramEnd"/>
      <w:r w:rsidRPr="001E1651">
        <w:rPr>
          <w:sz w:val="16"/>
          <w:szCs w:val="16"/>
        </w:rPr>
        <w:t>.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F1" w:rsidRDefault="00790DF1" w:rsidP="00F30908">
    <w:pPr>
      <w:ind w:left="-964"/>
    </w:pPr>
    <w:r>
      <w:rPr>
        <w:noProof/>
      </w:rPr>
      <w:drawing>
        <wp:inline distT="0" distB="0" distL="0" distR="0" wp14:anchorId="7AF60373" wp14:editId="4AEF4D23">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4C" w:rsidRDefault="005F494C" w:rsidP="005A3D66">
    <w:pPr>
      <w:ind w:left="-964"/>
    </w:pPr>
    <w:r>
      <w:rPr>
        <w:noProof/>
      </w:rPr>
      <w:drawing>
        <wp:inline distT="0" distB="0" distL="0" distR="0" wp14:anchorId="765B08ED" wp14:editId="1D727658">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p w:rsidR="005F494C" w:rsidRDefault="005F49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F1" w:rsidRPr="00422A00" w:rsidRDefault="00790DF1" w:rsidP="00422A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F1" w:rsidRPr="00370A8D" w:rsidRDefault="00790DF1" w:rsidP="00370A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F1" w:rsidRDefault="00790DF1" w:rsidP="0037469C">
    <w:pPr>
      <w:ind w:left="-964" w:firstLine="964"/>
      <w:jc w:val="right"/>
    </w:pPr>
    <w:r>
      <w:t>Attachment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F1" w:rsidRDefault="00790DF1" w:rsidP="0037469C">
    <w:pPr>
      <w:ind w:left="-964" w:firstLine="964"/>
      <w:jc w:val="right"/>
    </w:pPr>
    <w: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F49"/>
    <w:multiLevelType w:val="multilevel"/>
    <w:tmpl w:val="A53A3B00"/>
    <w:lvl w:ilvl="0">
      <w:start w:val="1"/>
      <w:numFmt w:val="bullet"/>
      <w:pStyle w:val="Bullet"/>
      <w:lvlText w:val="•"/>
      <w:lvlJc w:val="left"/>
      <w:pPr>
        <w:tabs>
          <w:tab w:val="num" w:pos="567"/>
        </w:tabs>
        <w:ind w:left="567" w:hanging="567"/>
      </w:pPr>
      <w:rPr>
        <w:rFonts w:ascii="Times New Roman" w:hAnsi="Times New Roman" w:cs="Times New Roman"/>
        <w:color w:val="auto"/>
        <w:sz w:val="28"/>
        <w:szCs w:val="28"/>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1B7C20"/>
    <w:multiLevelType w:val="multilevel"/>
    <w:tmpl w:val="60EA8986"/>
    <w:lvl w:ilvl="0">
      <w:start w:val="1"/>
      <w:numFmt w:val="decimal"/>
      <w:lvlText w:val="%1."/>
      <w:lvlJc w:val="left"/>
      <w:pPr>
        <w:ind w:left="502" w:hanging="360"/>
      </w:p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E29CA"/>
    <w:multiLevelType w:val="hybridMultilevel"/>
    <w:tmpl w:val="C4BAAE58"/>
    <w:lvl w:ilvl="0" w:tplc="0C090001">
      <w:start w:val="1"/>
      <w:numFmt w:val="bullet"/>
      <w:lvlText w:val=""/>
      <w:lvlJc w:val="left"/>
      <w:pPr>
        <w:ind w:left="720" w:hanging="360"/>
      </w:pPr>
      <w:rPr>
        <w:rFonts w:ascii="Symbol" w:hAnsi="Symbol" w:hint="default"/>
      </w:rPr>
    </w:lvl>
    <w:lvl w:ilvl="1" w:tplc="D06A17F0">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F32FF2"/>
    <w:multiLevelType w:val="hybridMultilevel"/>
    <w:tmpl w:val="C7AC8A7C"/>
    <w:lvl w:ilvl="0" w:tplc="54C809C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6E0B48"/>
    <w:multiLevelType w:val="hybridMultilevel"/>
    <w:tmpl w:val="02664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76456E8"/>
    <w:multiLevelType w:val="hybridMultilevel"/>
    <w:tmpl w:val="B5A65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580995"/>
    <w:multiLevelType w:val="hybridMultilevel"/>
    <w:tmpl w:val="1BA6250A"/>
    <w:lvl w:ilvl="0" w:tplc="3BF22E5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4B39F3"/>
    <w:multiLevelType w:val="hybridMultilevel"/>
    <w:tmpl w:val="BCBAD4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8CD52D1"/>
    <w:multiLevelType w:val="hybridMultilevel"/>
    <w:tmpl w:val="FD926E8C"/>
    <w:lvl w:ilvl="0" w:tplc="825EC2EE">
      <w:start w:val="1"/>
      <w:numFmt w:val="bullet"/>
      <w:pStyle w:val="ListParagraph"/>
      <w:lvlText w:val=""/>
      <w:lvlJc w:val="left"/>
      <w:pPr>
        <w:ind w:left="305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3B21C0"/>
    <w:multiLevelType w:val="hybridMultilevel"/>
    <w:tmpl w:val="09C29B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nsid w:val="42DD518E"/>
    <w:multiLevelType w:val="hybridMultilevel"/>
    <w:tmpl w:val="D148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EE5EC9"/>
    <w:multiLevelType w:val="hybridMultilevel"/>
    <w:tmpl w:val="2548ABA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nsid w:val="4C064F54"/>
    <w:multiLevelType w:val="hybridMultilevel"/>
    <w:tmpl w:val="3418F17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nsid w:val="528161F0"/>
    <w:multiLevelType w:val="hybridMultilevel"/>
    <w:tmpl w:val="0840C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DC311A"/>
    <w:multiLevelType w:val="hybridMultilevel"/>
    <w:tmpl w:val="0ACA6748"/>
    <w:lvl w:ilvl="0" w:tplc="65CA71E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732080"/>
    <w:multiLevelType w:val="hybridMultilevel"/>
    <w:tmpl w:val="BD62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973D25"/>
    <w:multiLevelType w:val="hybridMultilevel"/>
    <w:tmpl w:val="E3E6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F46DAD"/>
    <w:multiLevelType w:val="hybridMultilevel"/>
    <w:tmpl w:val="86CE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372070"/>
    <w:multiLevelType w:val="hybridMultilevel"/>
    <w:tmpl w:val="5CCEA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7A529F"/>
    <w:multiLevelType w:val="hybridMultilevel"/>
    <w:tmpl w:val="A38A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FF01A0"/>
    <w:multiLevelType w:val="hybridMultilevel"/>
    <w:tmpl w:val="E58E2DEE"/>
    <w:lvl w:ilvl="0" w:tplc="0C090001">
      <w:start w:val="1"/>
      <w:numFmt w:val="bullet"/>
      <w:lvlText w:val=""/>
      <w:lvlJc w:val="left"/>
      <w:pPr>
        <w:ind w:left="4897" w:hanging="360"/>
      </w:pPr>
      <w:rPr>
        <w:rFonts w:ascii="Symbol" w:hAnsi="Symbol" w:hint="default"/>
      </w:rPr>
    </w:lvl>
    <w:lvl w:ilvl="1" w:tplc="0C090003" w:tentative="1">
      <w:start w:val="1"/>
      <w:numFmt w:val="bullet"/>
      <w:lvlText w:val="o"/>
      <w:lvlJc w:val="left"/>
      <w:pPr>
        <w:ind w:left="5617" w:hanging="360"/>
      </w:pPr>
      <w:rPr>
        <w:rFonts w:ascii="Courier New" w:hAnsi="Courier New" w:cs="Courier New" w:hint="default"/>
      </w:rPr>
    </w:lvl>
    <w:lvl w:ilvl="2" w:tplc="0C090005" w:tentative="1">
      <w:start w:val="1"/>
      <w:numFmt w:val="bullet"/>
      <w:lvlText w:val=""/>
      <w:lvlJc w:val="left"/>
      <w:pPr>
        <w:ind w:left="6337" w:hanging="360"/>
      </w:pPr>
      <w:rPr>
        <w:rFonts w:ascii="Wingdings" w:hAnsi="Wingdings" w:hint="default"/>
      </w:rPr>
    </w:lvl>
    <w:lvl w:ilvl="3" w:tplc="0C090001" w:tentative="1">
      <w:start w:val="1"/>
      <w:numFmt w:val="bullet"/>
      <w:lvlText w:val=""/>
      <w:lvlJc w:val="left"/>
      <w:pPr>
        <w:ind w:left="7057" w:hanging="360"/>
      </w:pPr>
      <w:rPr>
        <w:rFonts w:ascii="Symbol" w:hAnsi="Symbol" w:hint="default"/>
      </w:rPr>
    </w:lvl>
    <w:lvl w:ilvl="4" w:tplc="0C090003" w:tentative="1">
      <w:start w:val="1"/>
      <w:numFmt w:val="bullet"/>
      <w:lvlText w:val="o"/>
      <w:lvlJc w:val="left"/>
      <w:pPr>
        <w:ind w:left="7777" w:hanging="360"/>
      </w:pPr>
      <w:rPr>
        <w:rFonts w:ascii="Courier New" w:hAnsi="Courier New" w:cs="Courier New" w:hint="default"/>
      </w:rPr>
    </w:lvl>
    <w:lvl w:ilvl="5" w:tplc="0C090005" w:tentative="1">
      <w:start w:val="1"/>
      <w:numFmt w:val="bullet"/>
      <w:lvlText w:val=""/>
      <w:lvlJc w:val="left"/>
      <w:pPr>
        <w:ind w:left="8497" w:hanging="360"/>
      </w:pPr>
      <w:rPr>
        <w:rFonts w:ascii="Wingdings" w:hAnsi="Wingdings" w:hint="default"/>
      </w:rPr>
    </w:lvl>
    <w:lvl w:ilvl="6" w:tplc="0C090001" w:tentative="1">
      <w:start w:val="1"/>
      <w:numFmt w:val="bullet"/>
      <w:lvlText w:val=""/>
      <w:lvlJc w:val="left"/>
      <w:pPr>
        <w:ind w:left="9217" w:hanging="360"/>
      </w:pPr>
      <w:rPr>
        <w:rFonts w:ascii="Symbol" w:hAnsi="Symbol" w:hint="default"/>
      </w:rPr>
    </w:lvl>
    <w:lvl w:ilvl="7" w:tplc="0C090003" w:tentative="1">
      <w:start w:val="1"/>
      <w:numFmt w:val="bullet"/>
      <w:lvlText w:val="o"/>
      <w:lvlJc w:val="left"/>
      <w:pPr>
        <w:ind w:left="9937" w:hanging="360"/>
      </w:pPr>
      <w:rPr>
        <w:rFonts w:ascii="Courier New" w:hAnsi="Courier New" w:cs="Courier New" w:hint="default"/>
      </w:rPr>
    </w:lvl>
    <w:lvl w:ilvl="8" w:tplc="0C090005" w:tentative="1">
      <w:start w:val="1"/>
      <w:numFmt w:val="bullet"/>
      <w:lvlText w:val=""/>
      <w:lvlJc w:val="left"/>
      <w:pPr>
        <w:ind w:left="10657" w:hanging="360"/>
      </w:pPr>
      <w:rPr>
        <w:rFonts w:ascii="Wingdings" w:hAnsi="Wingdings" w:hint="default"/>
      </w:rPr>
    </w:lvl>
  </w:abstractNum>
  <w:num w:numId="1">
    <w:abstractNumId w:val="2"/>
  </w:num>
  <w:num w:numId="2">
    <w:abstractNumId w:val="19"/>
  </w:num>
  <w:num w:numId="3">
    <w:abstractNumId w:val="9"/>
  </w:num>
  <w:num w:numId="4">
    <w:abstractNumId w:val="11"/>
  </w:num>
  <w:num w:numId="5">
    <w:abstractNumId w:val="17"/>
  </w:num>
  <w:num w:numId="6">
    <w:abstractNumId w:val="0"/>
  </w:num>
  <w:num w:numId="7">
    <w:abstractNumId w:val="14"/>
  </w:num>
  <w:num w:numId="8">
    <w:abstractNumId w:val="8"/>
  </w:num>
  <w:num w:numId="9">
    <w:abstractNumId w:val="5"/>
  </w:num>
  <w:num w:numId="10">
    <w:abstractNumId w:val="6"/>
  </w:num>
  <w:num w:numId="11">
    <w:abstractNumId w:val="16"/>
  </w:num>
  <w:num w:numId="12">
    <w:abstractNumId w:val="12"/>
  </w:num>
  <w:num w:numId="13">
    <w:abstractNumId w:val="20"/>
  </w:num>
  <w:num w:numId="14">
    <w:abstractNumId w:val="13"/>
  </w:num>
  <w:num w:numId="15">
    <w:abstractNumId w:val="3"/>
  </w:num>
  <w:num w:numId="16">
    <w:abstractNumId w:val="7"/>
  </w:num>
  <w:num w:numId="17">
    <w:abstractNumId w:val="1"/>
  </w:num>
  <w:num w:numId="18">
    <w:abstractNumId w:val="21"/>
  </w:num>
  <w:num w:numId="19">
    <w:abstractNumId w:val="18"/>
  </w:num>
  <w:num w:numId="20">
    <w:abstractNumId w:val="10"/>
  </w:num>
  <w:num w:numId="21">
    <w:abstractNumId w:val="15"/>
  </w:num>
  <w:num w:numId="22">
    <w:abstractNumId w:val="4"/>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A1"/>
    <w:rsid w:val="000054FB"/>
    <w:rsid w:val="0000639B"/>
    <w:rsid w:val="0001140C"/>
    <w:rsid w:val="0001348F"/>
    <w:rsid w:val="000140B8"/>
    <w:rsid w:val="000220E5"/>
    <w:rsid w:val="00030B6E"/>
    <w:rsid w:val="00035904"/>
    <w:rsid w:val="000464C4"/>
    <w:rsid w:val="0005299C"/>
    <w:rsid w:val="00053253"/>
    <w:rsid w:val="00070371"/>
    <w:rsid w:val="00071D17"/>
    <w:rsid w:val="00081610"/>
    <w:rsid w:val="00091C46"/>
    <w:rsid w:val="000B61A1"/>
    <w:rsid w:val="000C3BCB"/>
    <w:rsid w:val="000C583F"/>
    <w:rsid w:val="000C65C7"/>
    <w:rsid w:val="000E26E3"/>
    <w:rsid w:val="000F33AF"/>
    <w:rsid w:val="000F75FC"/>
    <w:rsid w:val="00101A87"/>
    <w:rsid w:val="0010235F"/>
    <w:rsid w:val="001043E4"/>
    <w:rsid w:val="001067A1"/>
    <w:rsid w:val="001271AE"/>
    <w:rsid w:val="00131EA8"/>
    <w:rsid w:val="001358AB"/>
    <w:rsid w:val="001378FB"/>
    <w:rsid w:val="001439D1"/>
    <w:rsid w:val="001510D7"/>
    <w:rsid w:val="00152E16"/>
    <w:rsid w:val="00160105"/>
    <w:rsid w:val="00182202"/>
    <w:rsid w:val="001873B0"/>
    <w:rsid w:val="00192E84"/>
    <w:rsid w:val="001A1BCD"/>
    <w:rsid w:val="001A6023"/>
    <w:rsid w:val="001A7461"/>
    <w:rsid w:val="001C1216"/>
    <w:rsid w:val="001C3469"/>
    <w:rsid w:val="001D54E8"/>
    <w:rsid w:val="001E1651"/>
    <w:rsid w:val="001E1800"/>
    <w:rsid w:val="001E630D"/>
    <w:rsid w:val="001E76EF"/>
    <w:rsid w:val="001F3561"/>
    <w:rsid w:val="001F4F59"/>
    <w:rsid w:val="0023184A"/>
    <w:rsid w:val="002346B5"/>
    <w:rsid w:val="00240990"/>
    <w:rsid w:val="0024142F"/>
    <w:rsid w:val="00251564"/>
    <w:rsid w:val="002524C0"/>
    <w:rsid w:val="00260B93"/>
    <w:rsid w:val="00263EBF"/>
    <w:rsid w:val="002677F8"/>
    <w:rsid w:val="00272860"/>
    <w:rsid w:val="00281DFB"/>
    <w:rsid w:val="00283C5A"/>
    <w:rsid w:val="00290DAB"/>
    <w:rsid w:val="002B32DA"/>
    <w:rsid w:val="002B3CC6"/>
    <w:rsid w:val="002B4B1C"/>
    <w:rsid w:val="002B62C5"/>
    <w:rsid w:val="002C2E44"/>
    <w:rsid w:val="002E40B1"/>
    <w:rsid w:val="002E6A2D"/>
    <w:rsid w:val="002F35B9"/>
    <w:rsid w:val="002F523B"/>
    <w:rsid w:val="002F6700"/>
    <w:rsid w:val="003006C4"/>
    <w:rsid w:val="00311FC7"/>
    <w:rsid w:val="00316299"/>
    <w:rsid w:val="00320D4A"/>
    <w:rsid w:val="0033104D"/>
    <w:rsid w:val="00335A14"/>
    <w:rsid w:val="00337926"/>
    <w:rsid w:val="00340ED1"/>
    <w:rsid w:val="00344BC4"/>
    <w:rsid w:val="003457E5"/>
    <w:rsid w:val="0035296A"/>
    <w:rsid w:val="003531B8"/>
    <w:rsid w:val="00370A8D"/>
    <w:rsid w:val="00371D4D"/>
    <w:rsid w:val="0037469C"/>
    <w:rsid w:val="0038044C"/>
    <w:rsid w:val="003853BB"/>
    <w:rsid w:val="00386017"/>
    <w:rsid w:val="003B0D19"/>
    <w:rsid w:val="003B2BB8"/>
    <w:rsid w:val="003B6DA5"/>
    <w:rsid w:val="003D34FF"/>
    <w:rsid w:val="003D5322"/>
    <w:rsid w:val="003E0F40"/>
    <w:rsid w:val="003E2B62"/>
    <w:rsid w:val="003E3012"/>
    <w:rsid w:val="00401FE9"/>
    <w:rsid w:val="00403055"/>
    <w:rsid w:val="00410E6B"/>
    <w:rsid w:val="004158AC"/>
    <w:rsid w:val="00417EF2"/>
    <w:rsid w:val="00422A00"/>
    <w:rsid w:val="004243F2"/>
    <w:rsid w:val="00431692"/>
    <w:rsid w:val="00440CB8"/>
    <w:rsid w:val="00446384"/>
    <w:rsid w:val="00454174"/>
    <w:rsid w:val="00461427"/>
    <w:rsid w:val="00465F54"/>
    <w:rsid w:val="00476530"/>
    <w:rsid w:val="004877B6"/>
    <w:rsid w:val="004A09B4"/>
    <w:rsid w:val="004B54CA"/>
    <w:rsid w:val="004D6FA0"/>
    <w:rsid w:val="004E301C"/>
    <w:rsid w:val="004E5CBF"/>
    <w:rsid w:val="004F60FF"/>
    <w:rsid w:val="004F77F4"/>
    <w:rsid w:val="00505805"/>
    <w:rsid w:val="0050783B"/>
    <w:rsid w:val="005149FC"/>
    <w:rsid w:val="00517AE4"/>
    <w:rsid w:val="00521A17"/>
    <w:rsid w:val="005312DA"/>
    <w:rsid w:val="00531668"/>
    <w:rsid w:val="00545736"/>
    <w:rsid w:val="0054713E"/>
    <w:rsid w:val="005563F3"/>
    <w:rsid w:val="005619F8"/>
    <w:rsid w:val="005656D0"/>
    <w:rsid w:val="00567053"/>
    <w:rsid w:val="00574237"/>
    <w:rsid w:val="00584FC1"/>
    <w:rsid w:val="00586246"/>
    <w:rsid w:val="005877DC"/>
    <w:rsid w:val="00593300"/>
    <w:rsid w:val="005A0C0C"/>
    <w:rsid w:val="005A5BB7"/>
    <w:rsid w:val="005B17CE"/>
    <w:rsid w:val="005C3AA9"/>
    <w:rsid w:val="005C6BC1"/>
    <w:rsid w:val="005D5CA1"/>
    <w:rsid w:val="005F494C"/>
    <w:rsid w:val="005F787E"/>
    <w:rsid w:val="0060212D"/>
    <w:rsid w:val="00613614"/>
    <w:rsid w:val="0061737F"/>
    <w:rsid w:val="006179C1"/>
    <w:rsid w:val="0062133B"/>
    <w:rsid w:val="0063020F"/>
    <w:rsid w:val="006449B0"/>
    <w:rsid w:val="00661903"/>
    <w:rsid w:val="00662CEE"/>
    <w:rsid w:val="00666EDE"/>
    <w:rsid w:val="00674F55"/>
    <w:rsid w:val="00680FAE"/>
    <w:rsid w:val="00681F19"/>
    <w:rsid w:val="0068536A"/>
    <w:rsid w:val="00685DA0"/>
    <w:rsid w:val="006941EB"/>
    <w:rsid w:val="006944DF"/>
    <w:rsid w:val="006974ED"/>
    <w:rsid w:val="006A0A00"/>
    <w:rsid w:val="006A4B67"/>
    <w:rsid w:val="006A4CE7"/>
    <w:rsid w:val="006A5058"/>
    <w:rsid w:val="006A6FBD"/>
    <w:rsid w:val="006C4158"/>
    <w:rsid w:val="006C4FAB"/>
    <w:rsid w:val="006D5A71"/>
    <w:rsid w:val="006F0DA8"/>
    <w:rsid w:val="006F11F0"/>
    <w:rsid w:val="006F330A"/>
    <w:rsid w:val="006F4511"/>
    <w:rsid w:val="006F65D8"/>
    <w:rsid w:val="006F7ECC"/>
    <w:rsid w:val="00701394"/>
    <w:rsid w:val="007065F3"/>
    <w:rsid w:val="00710699"/>
    <w:rsid w:val="007230DF"/>
    <w:rsid w:val="0073320E"/>
    <w:rsid w:val="007444D8"/>
    <w:rsid w:val="00746DA8"/>
    <w:rsid w:val="007537ED"/>
    <w:rsid w:val="00755D6B"/>
    <w:rsid w:val="007629B6"/>
    <w:rsid w:val="00774DD5"/>
    <w:rsid w:val="00783C9F"/>
    <w:rsid w:val="00784139"/>
    <w:rsid w:val="00785261"/>
    <w:rsid w:val="00790DF1"/>
    <w:rsid w:val="00794275"/>
    <w:rsid w:val="007949BF"/>
    <w:rsid w:val="007960A4"/>
    <w:rsid w:val="007B0256"/>
    <w:rsid w:val="007D059D"/>
    <w:rsid w:val="007E02F9"/>
    <w:rsid w:val="007E3A3E"/>
    <w:rsid w:val="007E497B"/>
    <w:rsid w:val="007F7D58"/>
    <w:rsid w:val="0080587E"/>
    <w:rsid w:val="00814814"/>
    <w:rsid w:val="00822486"/>
    <w:rsid w:val="00834EEE"/>
    <w:rsid w:val="008358EB"/>
    <w:rsid w:val="00840479"/>
    <w:rsid w:val="0084227C"/>
    <w:rsid w:val="0084499E"/>
    <w:rsid w:val="008565DF"/>
    <w:rsid w:val="0085710F"/>
    <w:rsid w:val="0086584D"/>
    <w:rsid w:val="0086701F"/>
    <w:rsid w:val="00876CA6"/>
    <w:rsid w:val="00877018"/>
    <w:rsid w:val="0088321E"/>
    <w:rsid w:val="00891042"/>
    <w:rsid w:val="00891CF7"/>
    <w:rsid w:val="008973E5"/>
    <w:rsid w:val="008B1804"/>
    <w:rsid w:val="008C1DB4"/>
    <w:rsid w:val="008C66D5"/>
    <w:rsid w:val="008D1CD2"/>
    <w:rsid w:val="008D3C74"/>
    <w:rsid w:val="008D4D66"/>
    <w:rsid w:val="008D7AB0"/>
    <w:rsid w:val="008E0DF4"/>
    <w:rsid w:val="008E2DE5"/>
    <w:rsid w:val="008F1B22"/>
    <w:rsid w:val="008F3023"/>
    <w:rsid w:val="008F5AA3"/>
    <w:rsid w:val="0090164C"/>
    <w:rsid w:val="009225F0"/>
    <w:rsid w:val="00923CDB"/>
    <w:rsid w:val="00936F7A"/>
    <w:rsid w:val="00940CEA"/>
    <w:rsid w:val="0094563F"/>
    <w:rsid w:val="009509C9"/>
    <w:rsid w:val="009550E3"/>
    <w:rsid w:val="00957321"/>
    <w:rsid w:val="00967FC6"/>
    <w:rsid w:val="009745CF"/>
    <w:rsid w:val="00976FF1"/>
    <w:rsid w:val="00987BF9"/>
    <w:rsid w:val="00987D27"/>
    <w:rsid w:val="00992B8E"/>
    <w:rsid w:val="009A20F3"/>
    <w:rsid w:val="009A21AA"/>
    <w:rsid w:val="009A2C27"/>
    <w:rsid w:val="009A6DD9"/>
    <w:rsid w:val="009B0362"/>
    <w:rsid w:val="009B3015"/>
    <w:rsid w:val="009C1134"/>
    <w:rsid w:val="009C3754"/>
    <w:rsid w:val="009C7B02"/>
    <w:rsid w:val="009D1D20"/>
    <w:rsid w:val="009D2A4A"/>
    <w:rsid w:val="009D3CCB"/>
    <w:rsid w:val="009E1A8B"/>
    <w:rsid w:val="009E4216"/>
    <w:rsid w:val="00A01F8C"/>
    <w:rsid w:val="00A0797E"/>
    <w:rsid w:val="00A1215D"/>
    <w:rsid w:val="00A13549"/>
    <w:rsid w:val="00A138E8"/>
    <w:rsid w:val="00A21E90"/>
    <w:rsid w:val="00A2626D"/>
    <w:rsid w:val="00A43E66"/>
    <w:rsid w:val="00A4462B"/>
    <w:rsid w:val="00A512BA"/>
    <w:rsid w:val="00A542C8"/>
    <w:rsid w:val="00A561ED"/>
    <w:rsid w:val="00A606EF"/>
    <w:rsid w:val="00A6548D"/>
    <w:rsid w:val="00A74769"/>
    <w:rsid w:val="00A76DFE"/>
    <w:rsid w:val="00A771AB"/>
    <w:rsid w:val="00A80CB0"/>
    <w:rsid w:val="00A81130"/>
    <w:rsid w:val="00A85AB6"/>
    <w:rsid w:val="00A94B4D"/>
    <w:rsid w:val="00A975DA"/>
    <w:rsid w:val="00A9789B"/>
    <w:rsid w:val="00AA18D2"/>
    <w:rsid w:val="00AA7226"/>
    <w:rsid w:val="00AB112A"/>
    <w:rsid w:val="00AB4F59"/>
    <w:rsid w:val="00AC023B"/>
    <w:rsid w:val="00AD419B"/>
    <w:rsid w:val="00AD6682"/>
    <w:rsid w:val="00AF2CD0"/>
    <w:rsid w:val="00AF592D"/>
    <w:rsid w:val="00AF79F2"/>
    <w:rsid w:val="00B01A1F"/>
    <w:rsid w:val="00B06DCA"/>
    <w:rsid w:val="00B10EB1"/>
    <w:rsid w:val="00B14DA0"/>
    <w:rsid w:val="00B25125"/>
    <w:rsid w:val="00B25763"/>
    <w:rsid w:val="00B43FC8"/>
    <w:rsid w:val="00B44A2D"/>
    <w:rsid w:val="00B62992"/>
    <w:rsid w:val="00B71DD9"/>
    <w:rsid w:val="00B87B3C"/>
    <w:rsid w:val="00B92CC8"/>
    <w:rsid w:val="00B96995"/>
    <w:rsid w:val="00B9776D"/>
    <w:rsid w:val="00BA2DB9"/>
    <w:rsid w:val="00BB33C8"/>
    <w:rsid w:val="00BC26D1"/>
    <w:rsid w:val="00BD646C"/>
    <w:rsid w:val="00BD6E32"/>
    <w:rsid w:val="00BE7148"/>
    <w:rsid w:val="00BF3D79"/>
    <w:rsid w:val="00C027B8"/>
    <w:rsid w:val="00C05FE3"/>
    <w:rsid w:val="00C07D23"/>
    <w:rsid w:val="00C14A6B"/>
    <w:rsid w:val="00C37C19"/>
    <w:rsid w:val="00C51F78"/>
    <w:rsid w:val="00C5697F"/>
    <w:rsid w:val="00C57001"/>
    <w:rsid w:val="00C6047D"/>
    <w:rsid w:val="00C61740"/>
    <w:rsid w:val="00C6439C"/>
    <w:rsid w:val="00C6474A"/>
    <w:rsid w:val="00C731BA"/>
    <w:rsid w:val="00C77881"/>
    <w:rsid w:val="00C92E0B"/>
    <w:rsid w:val="00C9472C"/>
    <w:rsid w:val="00CA346E"/>
    <w:rsid w:val="00CC040A"/>
    <w:rsid w:val="00CC6838"/>
    <w:rsid w:val="00CE131B"/>
    <w:rsid w:val="00CE1CB4"/>
    <w:rsid w:val="00D01CEB"/>
    <w:rsid w:val="00D06BCD"/>
    <w:rsid w:val="00D22A8A"/>
    <w:rsid w:val="00D3501D"/>
    <w:rsid w:val="00D37028"/>
    <w:rsid w:val="00D55402"/>
    <w:rsid w:val="00D646A0"/>
    <w:rsid w:val="00D71C54"/>
    <w:rsid w:val="00D721DC"/>
    <w:rsid w:val="00D86E50"/>
    <w:rsid w:val="00D90D3C"/>
    <w:rsid w:val="00D9219A"/>
    <w:rsid w:val="00D9308A"/>
    <w:rsid w:val="00DA4018"/>
    <w:rsid w:val="00DB4A9D"/>
    <w:rsid w:val="00DC266E"/>
    <w:rsid w:val="00DC72E0"/>
    <w:rsid w:val="00DD3935"/>
    <w:rsid w:val="00DD7926"/>
    <w:rsid w:val="00DE02AB"/>
    <w:rsid w:val="00DE3122"/>
    <w:rsid w:val="00DE4341"/>
    <w:rsid w:val="00DF7119"/>
    <w:rsid w:val="00E059EF"/>
    <w:rsid w:val="00E0689E"/>
    <w:rsid w:val="00E10900"/>
    <w:rsid w:val="00E12CA6"/>
    <w:rsid w:val="00E16EEF"/>
    <w:rsid w:val="00E30067"/>
    <w:rsid w:val="00E327B2"/>
    <w:rsid w:val="00E57F8A"/>
    <w:rsid w:val="00E708BB"/>
    <w:rsid w:val="00E71438"/>
    <w:rsid w:val="00E71C3C"/>
    <w:rsid w:val="00E82B24"/>
    <w:rsid w:val="00E873B4"/>
    <w:rsid w:val="00E957AE"/>
    <w:rsid w:val="00EA0F8B"/>
    <w:rsid w:val="00EA116D"/>
    <w:rsid w:val="00EA1A84"/>
    <w:rsid w:val="00EA4723"/>
    <w:rsid w:val="00EA4E03"/>
    <w:rsid w:val="00EB67CF"/>
    <w:rsid w:val="00EC1E37"/>
    <w:rsid w:val="00EC277F"/>
    <w:rsid w:val="00ED0676"/>
    <w:rsid w:val="00ED3B2E"/>
    <w:rsid w:val="00ED413F"/>
    <w:rsid w:val="00ED6989"/>
    <w:rsid w:val="00EE3834"/>
    <w:rsid w:val="00F01443"/>
    <w:rsid w:val="00F0243A"/>
    <w:rsid w:val="00F02DB3"/>
    <w:rsid w:val="00F0720C"/>
    <w:rsid w:val="00F12B94"/>
    <w:rsid w:val="00F26544"/>
    <w:rsid w:val="00F30908"/>
    <w:rsid w:val="00F31430"/>
    <w:rsid w:val="00F376D0"/>
    <w:rsid w:val="00F47D55"/>
    <w:rsid w:val="00F67CC2"/>
    <w:rsid w:val="00F71C3B"/>
    <w:rsid w:val="00F80072"/>
    <w:rsid w:val="00F85613"/>
    <w:rsid w:val="00F85669"/>
    <w:rsid w:val="00F90CCA"/>
    <w:rsid w:val="00F96071"/>
    <w:rsid w:val="00FA0DF6"/>
    <w:rsid w:val="00FB1239"/>
    <w:rsid w:val="00FC1307"/>
    <w:rsid w:val="00FC143A"/>
    <w:rsid w:val="00FC3411"/>
    <w:rsid w:val="00FC3E00"/>
    <w:rsid w:val="00FC69D7"/>
    <w:rsid w:val="00FD4832"/>
    <w:rsid w:val="00FD594F"/>
    <w:rsid w:val="00FD6630"/>
    <w:rsid w:val="00FE77F6"/>
    <w:rsid w:val="00FE7D84"/>
    <w:rsid w:val="00FF39BE"/>
    <w:rsid w:val="00FF4623"/>
    <w:rsid w:val="00FF7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67"/>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9C3754"/>
    <w:pPr>
      <w:spacing w:before="200" w:after="0" w:line="271" w:lineRule="auto"/>
      <w:ind w:firstLine="360"/>
      <w:outlineLvl w:val="2"/>
    </w:pPr>
    <w:rPr>
      <w:rFonts w:asciiTheme="minorHAnsi" w:eastAsiaTheme="majorEastAsia" w:hAnsiTheme="minorHAnsi" w:cstheme="minorHAnsi"/>
      <w:bCs/>
      <w:color w:val="275D38"/>
      <w:szCs w:val="26"/>
      <w:u w:val="single"/>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D01CEB"/>
    <w:rPr>
      <w:rFonts w:ascii="Georgia" w:eastAsiaTheme="majorEastAsia" w:hAnsi="Georgia" w:cstheme="majorBidi"/>
      <w:bCs/>
      <w:color w:val="275D38"/>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C3754"/>
    <w:rPr>
      <w:rFonts w:eastAsiaTheme="majorEastAsia" w:cstheme="minorHAnsi"/>
      <w:bCs/>
      <w:color w:val="275D38"/>
      <w:spacing w:val="4"/>
      <w:sz w:val="24"/>
      <w:szCs w:val="26"/>
      <w:u w:val="single"/>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067"/>
    <w:pPr>
      <w:numPr>
        <w:numId w:val="3"/>
      </w:num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BookTitle">
    <w:name w:val="Book Title"/>
    <w:uiPriority w:val="33"/>
    <w:qFormat/>
    <w:rsid w:val="000B61A1"/>
    <w:rPr>
      <w:i/>
      <w:iCs/>
      <w:smallCaps/>
      <w:spacing w:val="5"/>
    </w:rPr>
  </w:style>
  <w:style w:type="paragraph" w:customStyle="1" w:styleId="Bullet2">
    <w:name w:val="Bullet 2"/>
    <w:basedOn w:val="ListBullet"/>
    <w:rsid w:val="001F4F59"/>
    <w:pPr>
      <w:tabs>
        <w:tab w:val="num" w:pos="360"/>
      </w:tabs>
      <w:spacing w:before="0" w:after="60" w:line="240" w:lineRule="auto"/>
      <w:ind w:left="360" w:hanging="360"/>
    </w:pPr>
    <w:rPr>
      <w:szCs w:val="20"/>
    </w:rPr>
  </w:style>
  <w:style w:type="paragraph" w:customStyle="1" w:styleId="Bullet">
    <w:name w:val="Bullet"/>
    <w:basedOn w:val="Normal"/>
    <w:link w:val="BulletChar"/>
    <w:qFormat/>
    <w:rsid w:val="00C731BA"/>
    <w:pPr>
      <w:numPr>
        <w:numId w:val="6"/>
      </w:numPr>
      <w:spacing w:before="0" w:after="240" w:line="240" w:lineRule="auto"/>
    </w:pPr>
    <w:rPr>
      <w:rFonts w:ascii="Times New Roman" w:hAnsi="Times New Roman"/>
      <w:spacing w:val="0"/>
      <w:lang w:eastAsia="en-US"/>
    </w:rPr>
  </w:style>
  <w:style w:type="paragraph" w:customStyle="1" w:styleId="Dash">
    <w:name w:val="Dash"/>
    <w:basedOn w:val="Normal"/>
    <w:rsid w:val="00C731BA"/>
    <w:pPr>
      <w:numPr>
        <w:ilvl w:val="1"/>
        <w:numId w:val="6"/>
      </w:numPr>
      <w:spacing w:before="0" w:after="240" w:line="240" w:lineRule="auto"/>
    </w:pPr>
    <w:rPr>
      <w:rFonts w:ascii="Times New Roman" w:hAnsi="Times New Roman"/>
      <w:spacing w:val="0"/>
      <w:lang w:eastAsia="en-US"/>
    </w:rPr>
  </w:style>
  <w:style w:type="paragraph" w:customStyle="1" w:styleId="DoubleDot">
    <w:name w:val="Double Dot"/>
    <w:basedOn w:val="Normal"/>
    <w:rsid w:val="00C731BA"/>
    <w:pPr>
      <w:numPr>
        <w:ilvl w:val="2"/>
        <w:numId w:val="6"/>
      </w:numPr>
      <w:spacing w:before="0" w:after="240" w:line="240" w:lineRule="auto"/>
    </w:pPr>
    <w:rPr>
      <w:rFonts w:ascii="Times New Roman" w:hAnsi="Times New Roman"/>
      <w:spacing w:val="0"/>
      <w:lang w:eastAsia="en-US"/>
    </w:rPr>
  </w:style>
  <w:style w:type="character" w:customStyle="1" w:styleId="BulletChar">
    <w:name w:val="Bullet Char"/>
    <w:link w:val="Bullet"/>
    <w:rsid w:val="00C731BA"/>
    <w:rPr>
      <w:rFonts w:ascii="Times New Roman" w:eastAsia="Times New Roman" w:hAnsi="Times New Roman" w:cs="Times New Roman"/>
      <w:sz w:val="24"/>
      <w:szCs w:val="24"/>
    </w:rPr>
  </w:style>
  <w:style w:type="character" w:customStyle="1" w:styleId="A23">
    <w:name w:val="A2+3"/>
    <w:uiPriority w:val="99"/>
    <w:rsid w:val="00C731BA"/>
    <w:rPr>
      <w:rFonts w:ascii="The Mix Semi Light" w:hAnsi="The Mix Semi Light" w:cs="The Mix Semi Light" w:hint="default"/>
      <w:color w:val="000000"/>
      <w:sz w:val="18"/>
      <w:szCs w:val="18"/>
    </w:rPr>
  </w:style>
  <w:style w:type="table" w:styleId="LightShading-Accent1">
    <w:name w:val="Light Shading Accent 1"/>
    <w:basedOn w:val="TableNormal"/>
    <w:uiPriority w:val="60"/>
    <w:rsid w:val="009C1134"/>
    <w:pPr>
      <w:spacing w:after="0" w:line="240" w:lineRule="auto"/>
    </w:pPr>
    <w:rPr>
      <w:color w:val="1D4529" w:themeColor="accent1" w:themeShade="BF"/>
    </w:rPr>
    <w:tblPr>
      <w:tblStyleRowBandSize w:val="1"/>
      <w:tblStyleColBandSize w:val="1"/>
      <w:tblBorders>
        <w:top w:val="single" w:sz="8" w:space="0" w:color="275D38" w:themeColor="accent1"/>
        <w:bottom w:val="single" w:sz="8" w:space="0" w:color="275D38" w:themeColor="accent1"/>
      </w:tblBorders>
    </w:tblPr>
    <w:tblStylePr w:type="firstRow">
      <w:pPr>
        <w:spacing w:before="0" w:after="0" w:line="240" w:lineRule="auto"/>
      </w:pPr>
      <w:rPr>
        <w:b/>
        <w:bCs/>
      </w:rPr>
      <w:tblPr/>
      <w:tcPr>
        <w:tcBorders>
          <w:top w:val="single" w:sz="8" w:space="0" w:color="275D38" w:themeColor="accent1"/>
          <w:left w:val="nil"/>
          <w:bottom w:val="single" w:sz="8" w:space="0" w:color="275D38" w:themeColor="accent1"/>
          <w:right w:val="nil"/>
          <w:insideH w:val="nil"/>
          <w:insideV w:val="nil"/>
        </w:tcBorders>
      </w:tcPr>
    </w:tblStylePr>
    <w:tblStylePr w:type="lastRow">
      <w:pPr>
        <w:spacing w:before="0" w:after="0" w:line="240" w:lineRule="auto"/>
      </w:pPr>
      <w:rPr>
        <w:b/>
        <w:bCs/>
      </w:rPr>
      <w:tblPr/>
      <w:tcPr>
        <w:tcBorders>
          <w:top w:val="single" w:sz="8" w:space="0" w:color="275D38" w:themeColor="accent1"/>
          <w:left w:val="nil"/>
          <w:bottom w:val="single" w:sz="8" w:space="0" w:color="275D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3C9" w:themeFill="accent1" w:themeFillTint="3F"/>
      </w:tcPr>
    </w:tblStylePr>
    <w:tblStylePr w:type="band1Horz">
      <w:tblPr/>
      <w:tcPr>
        <w:tcBorders>
          <w:left w:val="nil"/>
          <w:right w:val="nil"/>
          <w:insideH w:val="nil"/>
          <w:insideV w:val="nil"/>
        </w:tcBorders>
        <w:shd w:val="clear" w:color="auto" w:fill="BDE3C9" w:themeFill="accent1" w:themeFillTint="3F"/>
      </w:tcPr>
    </w:tblStylePr>
  </w:style>
  <w:style w:type="character" w:styleId="CommentReference">
    <w:name w:val="annotation reference"/>
    <w:basedOn w:val="DefaultParagraphFont"/>
    <w:uiPriority w:val="99"/>
    <w:semiHidden/>
    <w:unhideWhenUsed/>
    <w:rsid w:val="007E02F9"/>
    <w:rPr>
      <w:sz w:val="16"/>
      <w:szCs w:val="16"/>
    </w:rPr>
  </w:style>
  <w:style w:type="paragraph" w:styleId="CommentText">
    <w:name w:val="annotation text"/>
    <w:basedOn w:val="Normal"/>
    <w:link w:val="CommentTextChar"/>
    <w:uiPriority w:val="99"/>
    <w:semiHidden/>
    <w:unhideWhenUsed/>
    <w:rsid w:val="007E02F9"/>
    <w:pPr>
      <w:spacing w:line="240" w:lineRule="auto"/>
    </w:pPr>
    <w:rPr>
      <w:sz w:val="20"/>
      <w:szCs w:val="20"/>
    </w:rPr>
  </w:style>
  <w:style w:type="character" w:customStyle="1" w:styleId="CommentTextChar">
    <w:name w:val="Comment Text Char"/>
    <w:basedOn w:val="DefaultParagraphFont"/>
    <w:link w:val="CommentText"/>
    <w:uiPriority w:val="99"/>
    <w:semiHidden/>
    <w:rsid w:val="007E02F9"/>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7E02F9"/>
    <w:rPr>
      <w:b/>
      <w:bCs/>
    </w:rPr>
  </w:style>
  <w:style w:type="character" w:customStyle="1" w:styleId="CommentSubjectChar">
    <w:name w:val="Comment Subject Char"/>
    <w:basedOn w:val="CommentTextChar"/>
    <w:link w:val="CommentSubject"/>
    <w:uiPriority w:val="99"/>
    <w:semiHidden/>
    <w:rsid w:val="007E02F9"/>
    <w:rPr>
      <w:rFonts w:ascii="Arial" w:eastAsia="Times New Roman" w:hAnsi="Arial" w:cs="Times New Roman"/>
      <w:b/>
      <w:bCs/>
      <w:spacing w:val="4"/>
      <w:sz w:val="20"/>
      <w:szCs w:val="20"/>
      <w:lang w:eastAsia="en-AU"/>
    </w:rPr>
  </w:style>
  <w:style w:type="paragraph" w:styleId="FootnoteText">
    <w:name w:val="footnote text"/>
    <w:basedOn w:val="Normal"/>
    <w:link w:val="FootnoteTextChar"/>
    <w:uiPriority w:val="99"/>
    <w:semiHidden/>
    <w:unhideWhenUsed/>
    <w:rsid w:val="007E02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E02F9"/>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7E0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67"/>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9C3754"/>
    <w:pPr>
      <w:spacing w:before="200" w:after="0" w:line="271" w:lineRule="auto"/>
      <w:ind w:firstLine="360"/>
      <w:outlineLvl w:val="2"/>
    </w:pPr>
    <w:rPr>
      <w:rFonts w:asciiTheme="minorHAnsi" w:eastAsiaTheme="majorEastAsia" w:hAnsiTheme="minorHAnsi" w:cstheme="minorHAnsi"/>
      <w:bCs/>
      <w:color w:val="275D38"/>
      <w:szCs w:val="26"/>
      <w:u w:val="single"/>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2"/>
    <w:rsid w:val="00D01CEB"/>
    <w:rPr>
      <w:rFonts w:ascii="Georgia" w:eastAsiaTheme="majorEastAsia" w:hAnsi="Georgia" w:cstheme="majorBidi"/>
      <w:bCs/>
      <w:color w:val="275D38"/>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C3754"/>
    <w:rPr>
      <w:rFonts w:eastAsiaTheme="majorEastAsia" w:cstheme="minorHAnsi"/>
      <w:bCs/>
      <w:color w:val="275D38"/>
      <w:spacing w:val="4"/>
      <w:sz w:val="24"/>
      <w:szCs w:val="26"/>
      <w:u w:val="single"/>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067"/>
    <w:pPr>
      <w:numPr>
        <w:numId w:val="3"/>
      </w:num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BookTitle">
    <w:name w:val="Book Title"/>
    <w:uiPriority w:val="33"/>
    <w:qFormat/>
    <w:rsid w:val="000B61A1"/>
    <w:rPr>
      <w:i/>
      <w:iCs/>
      <w:smallCaps/>
      <w:spacing w:val="5"/>
    </w:rPr>
  </w:style>
  <w:style w:type="paragraph" w:customStyle="1" w:styleId="Bullet2">
    <w:name w:val="Bullet 2"/>
    <w:basedOn w:val="ListBullet"/>
    <w:rsid w:val="001F4F59"/>
    <w:pPr>
      <w:tabs>
        <w:tab w:val="num" w:pos="360"/>
      </w:tabs>
      <w:spacing w:before="0" w:after="60" w:line="240" w:lineRule="auto"/>
      <w:ind w:left="360" w:hanging="360"/>
    </w:pPr>
    <w:rPr>
      <w:szCs w:val="20"/>
    </w:rPr>
  </w:style>
  <w:style w:type="paragraph" w:customStyle="1" w:styleId="Bullet">
    <w:name w:val="Bullet"/>
    <w:basedOn w:val="Normal"/>
    <w:link w:val="BulletChar"/>
    <w:qFormat/>
    <w:rsid w:val="00C731BA"/>
    <w:pPr>
      <w:numPr>
        <w:numId w:val="6"/>
      </w:numPr>
      <w:spacing w:before="0" w:after="240" w:line="240" w:lineRule="auto"/>
    </w:pPr>
    <w:rPr>
      <w:rFonts w:ascii="Times New Roman" w:hAnsi="Times New Roman"/>
      <w:spacing w:val="0"/>
      <w:lang w:eastAsia="en-US"/>
    </w:rPr>
  </w:style>
  <w:style w:type="paragraph" w:customStyle="1" w:styleId="Dash">
    <w:name w:val="Dash"/>
    <w:basedOn w:val="Normal"/>
    <w:rsid w:val="00C731BA"/>
    <w:pPr>
      <w:numPr>
        <w:ilvl w:val="1"/>
        <w:numId w:val="6"/>
      </w:numPr>
      <w:spacing w:before="0" w:after="240" w:line="240" w:lineRule="auto"/>
    </w:pPr>
    <w:rPr>
      <w:rFonts w:ascii="Times New Roman" w:hAnsi="Times New Roman"/>
      <w:spacing w:val="0"/>
      <w:lang w:eastAsia="en-US"/>
    </w:rPr>
  </w:style>
  <w:style w:type="paragraph" w:customStyle="1" w:styleId="DoubleDot">
    <w:name w:val="Double Dot"/>
    <w:basedOn w:val="Normal"/>
    <w:rsid w:val="00C731BA"/>
    <w:pPr>
      <w:numPr>
        <w:ilvl w:val="2"/>
        <w:numId w:val="6"/>
      </w:numPr>
      <w:spacing w:before="0" w:after="240" w:line="240" w:lineRule="auto"/>
    </w:pPr>
    <w:rPr>
      <w:rFonts w:ascii="Times New Roman" w:hAnsi="Times New Roman"/>
      <w:spacing w:val="0"/>
      <w:lang w:eastAsia="en-US"/>
    </w:rPr>
  </w:style>
  <w:style w:type="character" w:customStyle="1" w:styleId="BulletChar">
    <w:name w:val="Bullet Char"/>
    <w:link w:val="Bullet"/>
    <w:rsid w:val="00C731BA"/>
    <w:rPr>
      <w:rFonts w:ascii="Times New Roman" w:eastAsia="Times New Roman" w:hAnsi="Times New Roman" w:cs="Times New Roman"/>
      <w:sz w:val="24"/>
      <w:szCs w:val="24"/>
    </w:rPr>
  </w:style>
  <w:style w:type="character" w:customStyle="1" w:styleId="A23">
    <w:name w:val="A2+3"/>
    <w:uiPriority w:val="99"/>
    <w:rsid w:val="00C731BA"/>
    <w:rPr>
      <w:rFonts w:ascii="The Mix Semi Light" w:hAnsi="The Mix Semi Light" w:cs="The Mix Semi Light" w:hint="default"/>
      <w:color w:val="000000"/>
      <w:sz w:val="18"/>
      <w:szCs w:val="18"/>
    </w:rPr>
  </w:style>
  <w:style w:type="table" w:styleId="LightShading-Accent1">
    <w:name w:val="Light Shading Accent 1"/>
    <w:basedOn w:val="TableNormal"/>
    <w:uiPriority w:val="60"/>
    <w:rsid w:val="009C1134"/>
    <w:pPr>
      <w:spacing w:after="0" w:line="240" w:lineRule="auto"/>
    </w:pPr>
    <w:rPr>
      <w:color w:val="1D4529" w:themeColor="accent1" w:themeShade="BF"/>
    </w:rPr>
    <w:tblPr>
      <w:tblStyleRowBandSize w:val="1"/>
      <w:tblStyleColBandSize w:val="1"/>
      <w:tblBorders>
        <w:top w:val="single" w:sz="8" w:space="0" w:color="275D38" w:themeColor="accent1"/>
        <w:bottom w:val="single" w:sz="8" w:space="0" w:color="275D38" w:themeColor="accent1"/>
      </w:tblBorders>
    </w:tblPr>
    <w:tblStylePr w:type="firstRow">
      <w:pPr>
        <w:spacing w:before="0" w:after="0" w:line="240" w:lineRule="auto"/>
      </w:pPr>
      <w:rPr>
        <w:b/>
        <w:bCs/>
      </w:rPr>
      <w:tblPr/>
      <w:tcPr>
        <w:tcBorders>
          <w:top w:val="single" w:sz="8" w:space="0" w:color="275D38" w:themeColor="accent1"/>
          <w:left w:val="nil"/>
          <w:bottom w:val="single" w:sz="8" w:space="0" w:color="275D38" w:themeColor="accent1"/>
          <w:right w:val="nil"/>
          <w:insideH w:val="nil"/>
          <w:insideV w:val="nil"/>
        </w:tcBorders>
      </w:tcPr>
    </w:tblStylePr>
    <w:tblStylePr w:type="lastRow">
      <w:pPr>
        <w:spacing w:before="0" w:after="0" w:line="240" w:lineRule="auto"/>
      </w:pPr>
      <w:rPr>
        <w:b/>
        <w:bCs/>
      </w:rPr>
      <w:tblPr/>
      <w:tcPr>
        <w:tcBorders>
          <w:top w:val="single" w:sz="8" w:space="0" w:color="275D38" w:themeColor="accent1"/>
          <w:left w:val="nil"/>
          <w:bottom w:val="single" w:sz="8" w:space="0" w:color="275D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3C9" w:themeFill="accent1" w:themeFillTint="3F"/>
      </w:tcPr>
    </w:tblStylePr>
    <w:tblStylePr w:type="band1Horz">
      <w:tblPr/>
      <w:tcPr>
        <w:tcBorders>
          <w:left w:val="nil"/>
          <w:right w:val="nil"/>
          <w:insideH w:val="nil"/>
          <w:insideV w:val="nil"/>
        </w:tcBorders>
        <w:shd w:val="clear" w:color="auto" w:fill="BDE3C9" w:themeFill="accent1" w:themeFillTint="3F"/>
      </w:tcPr>
    </w:tblStylePr>
  </w:style>
  <w:style w:type="character" w:styleId="CommentReference">
    <w:name w:val="annotation reference"/>
    <w:basedOn w:val="DefaultParagraphFont"/>
    <w:uiPriority w:val="99"/>
    <w:semiHidden/>
    <w:unhideWhenUsed/>
    <w:rsid w:val="007E02F9"/>
    <w:rPr>
      <w:sz w:val="16"/>
      <w:szCs w:val="16"/>
    </w:rPr>
  </w:style>
  <w:style w:type="paragraph" w:styleId="CommentText">
    <w:name w:val="annotation text"/>
    <w:basedOn w:val="Normal"/>
    <w:link w:val="CommentTextChar"/>
    <w:uiPriority w:val="99"/>
    <w:semiHidden/>
    <w:unhideWhenUsed/>
    <w:rsid w:val="007E02F9"/>
    <w:pPr>
      <w:spacing w:line="240" w:lineRule="auto"/>
    </w:pPr>
    <w:rPr>
      <w:sz w:val="20"/>
      <w:szCs w:val="20"/>
    </w:rPr>
  </w:style>
  <w:style w:type="character" w:customStyle="1" w:styleId="CommentTextChar">
    <w:name w:val="Comment Text Char"/>
    <w:basedOn w:val="DefaultParagraphFont"/>
    <w:link w:val="CommentText"/>
    <w:uiPriority w:val="99"/>
    <w:semiHidden/>
    <w:rsid w:val="007E02F9"/>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7E02F9"/>
    <w:rPr>
      <w:b/>
      <w:bCs/>
    </w:rPr>
  </w:style>
  <w:style w:type="character" w:customStyle="1" w:styleId="CommentSubjectChar">
    <w:name w:val="Comment Subject Char"/>
    <w:basedOn w:val="CommentTextChar"/>
    <w:link w:val="CommentSubject"/>
    <w:uiPriority w:val="99"/>
    <w:semiHidden/>
    <w:rsid w:val="007E02F9"/>
    <w:rPr>
      <w:rFonts w:ascii="Arial" w:eastAsia="Times New Roman" w:hAnsi="Arial" w:cs="Times New Roman"/>
      <w:b/>
      <w:bCs/>
      <w:spacing w:val="4"/>
      <w:sz w:val="20"/>
      <w:szCs w:val="20"/>
      <w:lang w:eastAsia="en-AU"/>
    </w:rPr>
  </w:style>
  <w:style w:type="paragraph" w:styleId="FootnoteText">
    <w:name w:val="footnote text"/>
    <w:basedOn w:val="Normal"/>
    <w:link w:val="FootnoteTextChar"/>
    <w:uiPriority w:val="99"/>
    <w:semiHidden/>
    <w:unhideWhenUsed/>
    <w:rsid w:val="007E02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E02F9"/>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7E0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991">
      <w:bodyDiv w:val="1"/>
      <w:marLeft w:val="0"/>
      <w:marRight w:val="0"/>
      <w:marTop w:val="0"/>
      <w:marBottom w:val="0"/>
      <w:divBdr>
        <w:top w:val="none" w:sz="0" w:space="0" w:color="auto"/>
        <w:left w:val="none" w:sz="0" w:space="0" w:color="auto"/>
        <w:bottom w:val="none" w:sz="0" w:space="0" w:color="auto"/>
        <w:right w:val="none" w:sz="0" w:space="0" w:color="auto"/>
      </w:divBdr>
    </w:div>
    <w:div w:id="62531876">
      <w:bodyDiv w:val="1"/>
      <w:marLeft w:val="0"/>
      <w:marRight w:val="0"/>
      <w:marTop w:val="0"/>
      <w:marBottom w:val="0"/>
      <w:divBdr>
        <w:top w:val="none" w:sz="0" w:space="0" w:color="auto"/>
        <w:left w:val="none" w:sz="0" w:space="0" w:color="auto"/>
        <w:bottom w:val="none" w:sz="0" w:space="0" w:color="auto"/>
        <w:right w:val="none" w:sz="0" w:space="0" w:color="auto"/>
      </w:divBdr>
    </w:div>
    <w:div w:id="145509573">
      <w:bodyDiv w:val="1"/>
      <w:marLeft w:val="0"/>
      <w:marRight w:val="0"/>
      <w:marTop w:val="0"/>
      <w:marBottom w:val="0"/>
      <w:divBdr>
        <w:top w:val="none" w:sz="0" w:space="0" w:color="auto"/>
        <w:left w:val="none" w:sz="0" w:space="0" w:color="auto"/>
        <w:bottom w:val="none" w:sz="0" w:space="0" w:color="auto"/>
        <w:right w:val="none" w:sz="0" w:space="0" w:color="auto"/>
      </w:divBdr>
    </w:div>
    <w:div w:id="186454953">
      <w:bodyDiv w:val="1"/>
      <w:marLeft w:val="0"/>
      <w:marRight w:val="0"/>
      <w:marTop w:val="0"/>
      <w:marBottom w:val="0"/>
      <w:divBdr>
        <w:top w:val="none" w:sz="0" w:space="0" w:color="auto"/>
        <w:left w:val="none" w:sz="0" w:space="0" w:color="auto"/>
        <w:bottom w:val="none" w:sz="0" w:space="0" w:color="auto"/>
        <w:right w:val="none" w:sz="0" w:space="0" w:color="auto"/>
      </w:divBdr>
    </w:div>
    <w:div w:id="222640893">
      <w:bodyDiv w:val="1"/>
      <w:marLeft w:val="0"/>
      <w:marRight w:val="0"/>
      <w:marTop w:val="0"/>
      <w:marBottom w:val="0"/>
      <w:divBdr>
        <w:top w:val="none" w:sz="0" w:space="0" w:color="auto"/>
        <w:left w:val="none" w:sz="0" w:space="0" w:color="auto"/>
        <w:bottom w:val="none" w:sz="0" w:space="0" w:color="auto"/>
        <w:right w:val="none" w:sz="0" w:space="0" w:color="auto"/>
      </w:divBdr>
    </w:div>
    <w:div w:id="256669507">
      <w:bodyDiv w:val="1"/>
      <w:marLeft w:val="0"/>
      <w:marRight w:val="0"/>
      <w:marTop w:val="0"/>
      <w:marBottom w:val="0"/>
      <w:divBdr>
        <w:top w:val="none" w:sz="0" w:space="0" w:color="auto"/>
        <w:left w:val="none" w:sz="0" w:space="0" w:color="auto"/>
        <w:bottom w:val="none" w:sz="0" w:space="0" w:color="auto"/>
        <w:right w:val="none" w:sz="0" w:space="0" w:color="auto"/>
      </w:divBdr>
      <w:divsChild>
        <w:div w:id="1520661986">
          <w:marLeft w:val="0"/>
          <w:marRight w:val="0"/>
          <w:marTop w:val="0"/>
          <w:marBottom w:val="0"/>
          <w:divBdr>
            <w:top w:val="none" w:sz="0" w:space="0" w:color="auto"/>
            <w:left w:val="none" w:sz="0" w:space="0" w:color="auto"/>
            <w:bottom w:val="none" w:sz="0" w:space="0" w:color="auto"/>
            <w:right w:val="none" w:sz="0" w:space="0" w:color="auto"/>
          </w:divBdr>
          <w:divsChild>
            <w:div w:id="82921753">
              <w:marLeft w:val="0"/>
              <w:marRight w:val="0"/>
              <w:marTop w:val="0"/>
              <w:marBottom w:val="0"/>
              <w:divBdr>
                <w:top w:val="none" w:sz="0" w:space="0" w:color="auto"/>
                <w:left w:val="none" w:sz="0" w:space="0" w:color="auto"/>
                <w:bottom w:val="none" w:sz="0" w:space="0" w:color="auto"/>
                <w:right w:val="none" w:sz="0" w:space="0" w:color="auto"/>
              </w:divBdr>
              <w:divsChild>
                <w:div w:id="194118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9071921">
      <w:bodyDiv w:val="1"/>
      <w:marLeft w:val="0"/>
      <w:marRight w:val="0"/>
      <w:marTop w:val="0"/>
      <w:marBottom w:val="0"/>
      <w:divBdr>
        <w:top w:val="none" w:sz="0" w:space="0" w:color="auto"/>
        <w:left w:val="none" w:sz="0" w:space="0" w:color="auto"/>
        <w:bottom w:val="none" w:sz="0" w:space="0" w:color="auto"/>
        <w:right w:val="none" w:sz="0" w:space="0" w:color="auto"/>
      </w:divBdr>
    </w:div>
    <w:div w:id="336345364">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59775516">
      <w:bodyDiv w:val="1"/>
      <w:marLeft w:val="0"/>
      <w:marRight w:val="0"/>
      <w:marTop w:val="0"/>
      <w:marBottom w:val="0"/>
      <w:divBdr>
        <w:top w:val="none" w:sz="0" w:space="0" w:color="auto"/>
        <w:left w:val="none" w:sz="0" w:space="0" w:color="auto"/>
        <w:bottom w:val="none" w:sz="0" w:space="0" w:color="auto"/>
        <w:right w:val="none" w:sz="0" w:space="0" w:color="auto"/>
      </w:divBdr>
    </w:div>
    <w:div w:id="699205593">
      <w:bodyDiv w:val="1"/>
      <w:marLeft w:val="0"/>
      <w:marRight w:val="0"/>
      <w:marTop w:val="0"/>
      <w:marBottom w:val="0"/>
      <w:divBdr>
        <w:top w:val="none" w:sz="0" w:space="0" w:color="auto"/>
        <w:left w:val="none" w:sz="0" w:space="0" w:color="auto"/>
        <w:bottom w:val="none" w:sz="0" w:space="0" w:color="auto"/>
        <w:right w:val="none" w:sz="0" w:space="0" w:color="auto"/>
      </w:divBdr>
    </w:div>
    <w:div w:id="817305060">
      <w:bodyDiv w:val="1"/>
      <w:marLeft w:val="0"/>
      <w:marRight w:val="0"/>
      <w:marTop w:val="0"/>
      <w:marBottom w:val="0"/>
      <w:divBdr>
        <w:top w:val="none" w:sz="0" w:space="0" w:color="auto"/>
        <w:left w:val="none" w:sz="0" w:space="0" w:color="auto"/>
        <w:bottom w:val="none" w:sz="0" w:space="0" w:color="auto"/>
        <w:right w:val="none" w:sz="0" w:space="0" w:color="auto"/>
      </w:divBdr>
    </w:div>
    <w:div w:id="822354664">
      <w:bodyDiv w:val="1"/>
      <w:marLeft w:val="0"/>
      <w:marRight w:val="0"/>
      <w:marTop w:val="0"/>
      <w:marBottom w:val="0"/>
      <w:divBdr>
        <w:top w:val="none" w:sz="0" w:space="0" w:color="auto"/>
        <w:left w:val="none" w:sz="0" w:space="0" w:color="auto"/>
        <w:bottom w:val="none" w:sz="0" w:space="0" w:color="auto"/>
        <w:right w:val="none" w:sz="0" w:space="0" w:color="auto"/>
      </w:divBdr>
    </w:div>
    <w:div w:id="849871308">
      <w:bodyDiv w:val="1"/>
      <w:marLeft w:val="0"/>
      <w:marRight w:val="0"/>
      <w:marTop w:val="0"/>
      <w:marBottom w:val="0"/>
      <w:divBdr>
        <w:top w:val="none" w:sz="0" w:space="0" w:color="auto"/>
        <w:left w:val="none" w:sz="0" w:space="0" w:color="auto"/>
        <w:bottom w:val="none" w:sz="0" w:space="0" w:color="auto"/>
        <w:right w:val="none" w:sz="0" w:space="0" w:color="auto"/>
      </w:divBdr>
    </w:div>
    <w:div w:id="938414808">
      <w:bodyDiv w:val="1"/>
      <w:marLeft w:val="0"/>
      <w:marRight w:val="0"/>
      <w:marTop w:val="0"/>
      <w:marBottom w:val="0"/>
      <w:divBdr>
        <w:top w:val="none" w:sz="0" w:space="0" w:color="auto"/>
        <w:left w:val="none" w:sz="0" w:space="0" w:color="auto"/>
        <w:bottom w:val="none" w:sz="0" w:space="0" w:color="auto"/>
        <w:right w:val="none" w:sz="0" w:space="0" w:color="auto"/>
      </w:divBdr>
      <w:divsChild>
        <w:div w:id="1045179767">
          <w:marLeft w:val="0"/>
          <w:marRight w:val="0"/>
          <w:marTop w:val="0"/>
          <w:marBottom w:val="0"/>
          <w:divBdr>
            <w:top w:val="none" w:sz="0" w:space="0" w:color="auto"/>
            <w:left w:val="none" w:sz="0" w:space="0" w:color="auto"/>
            <w:bottom w:val="none" w:sz="0" w:space="0" w:color="auto"/>
            <w:right w:val="none" w:sz="0" w:space="0" w:color="auto"/>
          </w:divBdr>
          <w:divsChild>
            <w:div w:id="881557131">
              <w:marLeft w:val="0"/>
              <w:marRight w:val="0"/>
              <w:marTop w:val="0"/>
              <w:marBottom w:val="0"/>
              <w:divBdr>
                <w:top w:val="none" w:sz="0" w:space="0" w:color="auto"/>
                <w:left w:val="none" w:sz="0" w:space="0" w:color="auto"/>
                <w:bottom w:val="none" w:sz="0" w:space="0" w:color="auto"/>
                <w:right w:val="none" w:sz="0" w:space="0" w:color="auto"/>
              </w:divBdr>
              <w:divsChild>
                <w:div w:id="44650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4405713">
      <w:bodyDiv w:val="1"/>
      <w:marLeft w:val="0"/>
      <w:marRight w:val="0"/>
      <w:marTop w:val="0"/>
      <w:marBottom w:val="0"/>
      <w:divBdr>
        <w:top w:val="none" w:sz="0" w:space="0" w:color="auto"/>
        <w:left w:val="none" w:sz="0" w:space="0" w:color="auto"/>
        <w:bottom w:val="none" w:sz="0" w:space="0" w:color="auto"/>
        <w:right w:val="none" w:sz="0" w:space="0" w:color="auto"/>
      </w:divBdr>
    </w:div>
    <w:div w:id="1148061063">
      <w:bodyDiv w:val="1"/>
      <w:marLeft w:val="0"/>
      <w:marRight w:val="0"/>
      <w:marTop w:val="0"/>
      <w:marBottom w:val="0"/>
      <w:divBdr>
        <w:top w:val="none" w:sz="0" w:space="0" w:color="auto"/>
        <w:left w:val="none" w:sz="0" w:space="0" w:color="auto"/>
        <w:bottom w:val="none" w:sz="0" w:space="0" w:color="auto"/>
        <w:right w:val="none" w:sz="0" w:space="0" w:color="auto"/>
      </w:divBdr>
    </w:div>
    <w:div w:id="1153251802">
      <w:bodyDiv w:val="1"/>
      <w:marLeft w:val="0"/>
      <w:marRight w:val="0"/>
      <w:marTop w:val="0"/>
      <w:marBottom w:val="0"/>
      <w:divBdr>
        <w:top w:val="none" w:sz="0" w:space="0" w:color="auto"/>
        <w:left w:val="none" w:sz="0" w:space="0" w:color="auto"/>
        <w:bottom w:val="none" w:sz="0" w:space="0" w:color="auto"/>
        <w:right w:val="none" w:sz="0" w:space="0" w:color="auto"/>
      </w:divBdr>
      <w:divsChild>
        <w:div w:id="1074549544">
          <w:marLeft w:val="0"/>
          <w:marRight w:val="0"/>
          <w:marTop w:val="0"/>
          <w:marBottom w:val="0"/>
          <w:divBdr>
            <w:top w:val="none" w:sz="0" w:space="0" w:color="auto"/>
            <w:left w:val="none" w:sz="0" w:space="0" w:color="auto"/>
            <w:bottom w:val="none" w:sz="0" w:space="0" w:color="auto"/>
            <w:right w:val="none" w:sz="0" w:space="0" w:color="auto"/>
          </w:divBdr>
          <w:divsChild>
            <w:div w:id="43529738">
              <w:marLeft w:val="0"/>
              <w:marRight w:val="0"/>
              <w:marTop w:val="0"/>
              <w:marBottom w:val="0"/>
              <w:divBdr>
                <w:top w:val="none" w:sz="0" w:space="0" w:color="auto"/>
                <w:left w:val="none" w:sz="0" w:space="0" w:color="auto"/>
                <w:bottom w:val="none" w:sz="0" w:space="0" w:color="auto"/>
                <w:right w:val="none" w:sz="0" w:space="0" w:color="auto"/>
              </w:divBdr>
              <w:divsChild>
                <w:div w:id="603341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196676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64">
          <w:marLeft w:val="0"/>
          <w:marRight w:val="0"/>
          <w:marTop w:val="0"/>
          <w:marBottom w:val="0"/>
          <w:divBdr>
            <w:top w:val="none" w:sz="0" w:space="0" w:color="auto"/>
            <w:left w:val="none" w:sz="0" w:space="0" w:color="auto"/>
            <w:bottom w:val="none" w:sz="0" w:space="0" w:color="auto"/>
            <w:right w:val="none" w:sz="0" w:space="0" w:color="auto"/>
          </w:divBdr>
          <w:divsChild>
            <w:div w:id="1827086034">
              <w:marLeft w:val="0"/>
              <w:marRight w:val="0"/>
              <w:marTop w:val="0"/>
              <w:marBottom w:val="0"/>
              <w:divBdr>
                <w:top w:val="none" w:sz="0" w:space="0" w:color="auto"/>
                <w:left w:val="none" w:sz="0" w:space="0" w:color="auto"/>
                <w:bottom w:val="none" w:sz="0" w:space="0" w:color="auto"/>
                <w:right w:val="none" w:sz="0" w:space="0" w:color="auto"/>
              </w:divBdr>
              <w:divsChild>
                <w:div w:id="214087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1664641">
      <w:bodyDiv w:val="1"/>
      <w:marLeft w:val="0"/>
      <w:marRight w:val="0"/>
      <w:marTop w:val="0"/>
      <w:marBottom w:val="0"/>
      <w:divBdr>
        <w:top w:val="none" w:sz="0" w:space="0" w:color="auto"/>
        <w:left w:val="none" w:sz="0" w:space="0" w:color="auto"/>
        <w:bottom w:val="none" w:sz="0" w:space="0" w:color="auto"/>
        <w:right w:val="none" w:sz="0" w:space="0" w:color="auto"/>
      </w:divBdr>
    </w:div>
    <w:div w:id="1359552274">
      <w:bodyDiv w:val="1"/>
      <w:marLeft w:val="0"/>
      <w:marRight w:val="0"/>
      <w:marTop w:val="0"/>
      <w:marBottom w:val="0"/>
      <w:divBdr>
        <w:top w:val="none" w:sz="0" w:space="0" w:color="auto"/>
        <w:left w:val="none" w:sz="0" w:space="0" w:color="auto"/>
        <w:bottom w:val="none" w:sz="0" w:space="0" w:color="auto"/>
        <w:right w:val="none" w:sz="0" w:space="0" w:color="auto"/>
      </w:divBdr>
    </w:div>
    <w:div w:id="1367943264">
      <w:bodyDiv w:val="1"/>
      <w:marLeft w:val="0"/>
      <w:marRight w:val="0"/>
      <w:marTop w:val="0"/>
      <w:marBottom w:val="0"/>
      <w:divBdr>
        <w:top w:val="none" w:sz="0" w:space="0" w:color="auto"/>
        <w:left w:val="none" w:sz="0" w:space="0" w:color="auto"/>
        <w:bottom w:val="none" w:sz="0" w:space="0" w:color="auto"/>
        <w:right w:val="none" w:sz="0" w:space="0" w:color="auto"/>
      </w:divBdr>
    </w:div>
    <w:div w:id="1389381309">
      <w:bodyDiv w:val="1"/>
      <w:marLeft w:val="0"/>
      <w:marRight w:val="0"/>
      <w:marTop w:val="0"/>
      <w:marBottom w:val="0"/>
      <w:divBdr>
        <w:top w:val="none" w:sz="0" w:space="0" w:color="auto"/>
        <w:left w:val="none" w:sz="0" w:space="0" w:color="auto"/>
        <w:bottom w:val="none" w:sz="0" w:space="0" w:color="auto"/>
        <w:right w:val="none" w:sz="0" w:space="0" w:color="auto"/>
      </w:divBdr>
    </w:div>
    <w:div w:id="1422606390">
      <w:bodyDiv w:val="1"/>
      <w:marLeft w:val="0"/>
      <w:marRight w:val="0"/>
      <w:marTop w:val="0"/>
      <w:marBottom w:val="0"/>
      <w:divBdr>
        <w:top w:val="none" w:sz="0" w:space="0" w:color="auto"/>
        <w:left w:val="none" w:sz="0" w:space="0" w:color="auto"/>
        <w:bottom w:val="none" w:sz="0" w:space="0" w:color="auto"/>
        <w:right w:val="none" w:sz="0" w:space="0" w:color="auto"/>
      </w:divBdr>
    </w:div>
    <w:div w:id="1520385128">
      <w:bodyDiv w:val="1"/>
      <w:marLeft w:val="0"/>
      <w:marRight w:val="0"/>
      <w:marTop w:val="0"/>
      <w:marBottom w:val="0"/>
      <w:divBdr>
        <w:top w:val="none" w:sz="0" w:space="0" w:color="auto"/>
        <w:left w:val="none" w:sz="0" w:space="0" w:color="auto"/>
        <w:bottom w:val="none" w:sz="0" w:space="0" w:color="auto"/>
        <w:right w:val="none" w:sz="0" w:space="0" w:color="auto"/>
      </w:divBdr>
    </w:div>
    <w:div w:id="1537621511">
      <w:bodyDiv w:val="1"/>
      <w:marLeft w:val="0"/>
      <w:marRight w:val="0"/>
      <w:marTop w:val="0"/>
      <w:marBottom w:val="0"/>
      <w:divBdr>
        <w:top w:val="none" w:sz="0" w:space="0" w:color="auto"/>
        <w:left w:val="none" w:sz="0" w:space="0" w:color="auto"/>
        <w:bottom w:val="none" w:sz="0" w:space="0" w:color="auto"/>
        <w:right w:val="none" w:sz="0" w:space="0" w:color="auto"/>
      </w:divBdr>
      <w:divsChild>
        <w:div w:id="1215194915">
          <w:marLeft w:val="0"/>
          <w:marRight w:val="0"/>
          <w:marTop w:val="0"/>
          <w:marBottom w:val="0"/>
          <w:divBdr>
            <w:top w:val="none" w:sz="0" w:space="0" w:color="auto"/>
            <w:left w:val="none" w:sz="0" w:space="0" w:color="auto"/>
            <w:bottom w:val="none" w:sz="0" w:space="0" w:color="auto"/>
            <w:right w:val="none" w:sz="0" w:space="0" w:color="auto"/>
          </w:divBdr>
          <w:divsChild>
            <w:div w:id="396437545">
              <w:marLeft w:val="0"/>
              <w:marRight w:val="0"/>
              <w:marTop w:val="0"/>
              <w:marBottom w:val="0"/>
              <w:divBdr>
                <w:top w:val="none" w:sz="0" w:space="0" w:color="auto"/>
                <w:left w:val="none" w:sz="0" w:space="0" w:color="auto"/>
                <w:bottom w:val="none" w:sz="0" w:space="0" w:color="auto"/>
                <w:right w:val="none" w:sz="0" w:space="0" w:color="auto"/>
              </w:divBdr>
              <w:divsChild>
                <w:div w:id="11998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4733569">
      <w:bodyDiv w:val="1"/>
      <w:marLeft w:val="0"/>
      <w:marRight w:val="0"/>
      <w:marTop w:val="0"/>
      <w:marBottom w:val="0"/>
      <w:divBdr>
        <w:top w:val="none" w:sz="0" w:space="0" w:color="auto"/>
        <w:left w:val="none" w:sz="0" w:space="0" w:color="auto"/>
        <w:bottom w:val="none" w:sz="0" w:space="0" w:color="auto"/>
        <w:right w:val="none" w:sz="0" w:space="0" w:color="auto"/>
      </w:divBdr>
    </w:div>
    <w:div w:id="1587574387">
      <w:bodyDiv w:val="1"/>
      <w:marLeft w:val="0"/>
      <w:marRight w:val="0"/>
      <w:marTop w:val="0"/>
      <w:marBottom w:val="0"/>
      <w:divBdr>
        <w:top w:val="none" w:sz="0" w:space="0" w:color="auto"/>
        <w:left w:val="none" w:sz="0" w:space="0" w:color="auto"/>
        <w:bottom w:val="none" w:sz="0" w:space="0" w:color="auto"/>
        <w:right w:val="none" w:sz="0" w:space="0" w:color="auto"/>
      </w:divBdr>
    </w:div>
    <w:div w:id="1605727577">
      <w:bodyDiv w:val="1"/>
      <w:marLeft w:val="0"/>
      <w:marRight w:val="0"/>
      <w:marTop w:val="0"/>
      <w:marBottom w:val="0"/>
      <w:divBdr>
        <w:top w:val="none" w:sz="0" w:space="0" w:color="auto"/>
        <w:left w:val="none" w:sz="0" w:space="0" w:color="auto"/>
        <w:bottom w:val="none" w:sz="0" w:space="0" w:color="auto"/>
        <w:right w:val="none" w:sz="0" w:space="0" w:color="auto"/>
      </w:divBdr>
    </w:div>
    <w:div w:id="1695885081">
      <w:bodyDiv w:val="1"/>
      <w:marLeft w:val="0"/>
      <w:marRight w:val="0"/>
      <w:marTop w:val="0"/>
      <w:marBottom w:val="0"/>
      <w:divBdr>
        <w:top w:val="none" w:sz="0" w:space="0" w:color="auto"/>
        <w:left w:val="none" w:sz="0" w:space="0" w:color="auto"/>
        <w:bottom w:val="none" w:sz="0" w:space="0" w:color="auto"/>
        <w:right w:val="none" w:sz="0" w:space="0" w:color="auto"/>
      </w:divBdr>
    </w:div>
    <w:div w:id="1854877468">
      <w:bodyDiv w:val="1"/>
      <w:marLeft w:val="0"/>
      <w:marRight w:val="0"/>
      <w:marTop w:val="0"/>
      <w:marBottom w:val="0"/>
      <w:divBdr>
        <w:top w:val="none" w:sz="0" w:space="0" w:color="auto"/>
        <w:left w:val="none" w:sz="0" w:space="0" w:color="auto"/>
        <w:bottom w:val="none" w:sz="0" w:space="0" w:color="auto"/>
        <w:right w:val="none" w:sz="0" w:space="0" w:color="auto"/>
      </w:divBdr>
    </w:div>
    <w:div w:id="1867330868">
      <w:bodyDiv w:val="1"/>
      <w:marLeft w:val="0"/>
      <w:marRight w:val="0"/>
      <w:marTop w:val="0"/>
      <w:marBottom w:val="0"/>
      <w:divBdr>
        <w:top w:val="none" w:sz="0" w:space="0" w:color="auto"/>
        <w:left w:val="none" w:sz="0" w:space="0" w:color="auto"/>
        <w:bottom w:val="none" w:sz="0" w:space="0" w:color="auto"/>
        <w:right w:val="none" w:sz="0" w:space="0" w:color="auto"/>
      </w:divBdr>
    </w:div>
    <w:div w:id="1989701959">
      <w:bodyDiv w:val="1"/>
      <w:marLeft w:val="0"/>
      <w:marRight w:val="0"/>
      <w:marTop w:val="0"/>
      <w:marBottom w:val="0"/>
      <w:divBdr>
        <w:top w:val="none" w:sz="0" w:space="0" w:color="auto"/>
        <w:left w:val="none" w:sz="0" w:space="0" w:color="auto"/>
        <w:bottom w:val="none" w:sz="0" w:space="0" w:color="auto"/>
        <w:right w:val="none" w:sz="0" w:space="0" w:color="auto"/>
      </w:divBdr>
    </w:div>
    <w:div w:id="2130850131">
      <w:bodyDiv w:val="1"/>
      <w:marLeft w:val="0"/>
      <w:marRight w:val="0"/>
      <w:marTop w:val="0"/>
      <w:marBottom w:val="0"/>
      <w:divBdr>
        <w:top w:val="none" w:sz="0" w:space="0" w:color="auto"/>
        <w:left w:val="none" w:sz="0" w:space="0" w:color="auto"/>
        <w:bottom w:val="none" w:sz="0" w:space="0" w:color="auto"/>
        <w:right w:val="none" w:sz="0" w:space="0" w:color="auto"/>
      </w:divBdr>
    </w:div>
    <w:div w:id="213898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ms_SecurityClassification xmlns="D88E0D57-8540-41DE-8175-D2056D2DA285" xsi:nil="true"/>
    <pdms_DocumentType xmlns="D88E0D57-8540-41DE-8175-D2056D2DA285" xsi:nil="true"/>
    <SecurityClassification xmlns="D88E0D57-8540-41DE-8175-D2056D2DA285" xsi:nil="true"/>
    <pdms_AttachedBy xmlns="D88E0D57-8540-41DE-8175-D2056D2DA285" xsi:nil="true"/>
    <pdms_Reason xmlns="D88E0D57-8540-41DE-8175-D2056D2DA2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A4D897D9BDB83A48A5AF9701C8D266CF" ma:contentTypeVersion="" ma:contentTypeDescription="PDMS Documentation Content Type" ma:contentTypeScope="" ma:versionID="7b86e1a016f6427f8a9a19ff671db32f">
  <xsd:schema xmlns:xsd="http://www.w3.org/2001/XMLSchema" xmlns:xs="http://www.w3.org/2001/XMLSchema" xmlns:p="http://schemas.microsoft.com/office/2006/metadata/properties" xmlns:ns2="D88E0D57-8540-41DE-8175-D2056D2DA285" targetNamespace="http://schemas.microsoft.com/office/2006/metadata/properties" ma:root="true" ma:fieldsID="0233c192d67408d8155e95d428ea3551" ns2:_="">
    <xsd:import namespace="D88E0D57-8540-41DE-8175-D2056D2DA285"/>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E0D57-8540-41DE-8175-D2056D2DA28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F014-C8BF-47B2-BE73-CAF51D4D53C2}">
  <ds:schemaRefs>
    <ds:schemaRef ds:uri="http://schemas.microsoft.com/office/2006/metadata/properties"/>
    <ds:schemaRef ds:uri="http://schemas.microsoft.com/office/infopath/2007/PartnerControls"/>
    <ds:schemaRef ds:uri="D88E0D57-8540-41DE-8175-D2056D2DA285"/>
  </ds:schemaRefs>
</ds:datastoreItem>
</file>

<file path=customXml/itemProps2.xml><?xml version="1.0" encoding="utf-8"?>
<ds:datastoreItem xmlns:ds="http://schemas.openxmlformats.org/officeDocument/2006/customXml" ds:itemID="{F7E249E1-9140-4196-9921-3A49FAB25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E0D57-8540-41DE-8175-D2056D2DA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A44FD-AEB7-49D6-A718-D574FD92E464}">
  <ds:schemaRefs>
    <ds:schemaRef ds:uri="http://schemas.microsoft.com/sharepoint/v3/contenttype/forms"/>
  </ds:schemaRefs>
</ds:datastoreItem>
</file>

<file path=customXml/itemProps4.xml><?xml version="1.0" encoding="utf-8"?>
<ds:datastoreItem xmlns:ds="http://schemas.openxmlformats.org/officeDocument/2006/customXml" ds:itemID="{D12E78F9-AAAC-4E04-8539-115997D5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Green</Template>
  <TotalTime>135</TotalTime>
  <Pages>13</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TREVERROW, Lisa</dc:creator>
  <cp:lastModifiedBy>TREVERROW, Lisa</cp:lastModifiedBy>
  <cp:revision>5</cp:revision>
  <cp:lastPrinted>2015-09-18T05:33:00Z</cp:lastPrinted>
  <dcterms:created xsi:type="dcterms:W3CDTF">2015-09-18T00:03:00Z</dcterms:created>
  <dcterms:modified xsi:type="dcterms:W3CDTF">2015-09-18T06:29:00Z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0x010100266966F133664895A6EE3632470D45F50100A4D897D9BDB83A48A5AF9701C8D266CF</vt:lpwstr>
  </property>
</Properties>
</file>