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3C5" w:rsidRDefault="00BD697E" w:rsidP="009234D8">
      <w:pPr>
        <w:pStyle w:val="AllensHeading3"/>
        <w:numPr>
          <w:ilvl w:val="0"/>
          <w:numId w:val="0"/>
        </w:numPr>
        <w:spacing w:before="0" w:line="240" w:lineRule="auto"/>
        <w:jc w:val="both"/>
        <w:rPr>
          <w:rFonts w:asciiTheme="minorHAnsi" w:hAnsiTheme="minorHAnsi"/>
          <w:b/>
          <w:sz w:val="24"/>
          <w:szCs w:val="24"/>
        </w:rPr>
      </w:pPr>
      <w:bookmarkStart w:id="0" w:name="_GoBack"/>
      <w:bookmarkEnd w:id="0"/>
      <w:r>
        <w:rPr>
          <w:rFonts w:asciiTheme="minorHAnsi" w:hAnsiTheme="minorHAnsi"/>
          <w:b/>
          <w:sz w:val="24"/>
          <w:szCs w:val="24"/>
        </w:rPr>
        <w:t xml:space="preserve">APPENDIX </w:t>
      </w:r>
      <w:r w:rsidR="002733F4">
        <w:rPr>
          <w:rFonts w:asciiTheme="minorHAnsi" w:hAnsiTheme="minorHAnsi"/>
          <w:b/>
          <w:sz w:val="24"/>
          <w:szCs w:val="24"/>
        </w:rPr>
        <w:t>2</w:t>
      </w:r>
      <w:r w:rsidR="009234D8">
        <w:rPr>
          <w:rFonts w:asciiTheme="minorHAnsi" w:hAnsiTheme="minorHAnsi"/>
          <w:b/>
          <w:sz w:val="24"/>
          <w:szCs w:val="24"/>
        </w:rPr>
        <w:t>:</w:t>
      </w:r>
      <w:r>
        <w:rPr>
          <w:rFonts w:asciiTheme="minorHAnsi" w:hAnsiTheme="minorHAnsi"/>
          <w:b/>
          <w:sz w:val="24"/>
          <w:szCs w:val="24"/>
        </w:rPr>
        <w:t xml:space="preserve"> </w:t>
      </w:r>
      <w:r w:rsidR="009234D8">
        <w:rPr>
          <w:rFonts w:asciiTheme="minorHAnsi" w:hAnsiTheme="minorHAnsi"/>
          <w:b/>
          <w:sz w:val="24"/>
          <w:szCs w:val="24"/>
        </w:rPr>
        <w:t>Factors that lead people to use illegal offshore wagering operators</w:t>
      </w:r>
    </w:p>
    <w:p w:rsidR="000B63C5" w:rsidRPr="007034C6" w:rsidRDefault="000B63C5" w:rsidP="000B63C5">
      <w:pPr>
        <w:pStyle w:val="AllensHeading3"/>
        <w:numPr>
          <w:ilvl w:val="0"/>
          <w:numId w:val="0"/>
        </w:numPr>
        <w:spacing w:before="0" w:line="240" w:lineRule="auto"/>
        <w:ind w:left="567" w:hanging="567"/>
        <w:jc w:val="both"/>
        <w:rPr>
          <w:rFonts w:asciiTheme="minorHAnsi" w:hAnsiTheme="minorHAnsi"/>
          <w:b/>
          <w:sz w:val="24"/>
          <w:szCs w:val="24"/>
        </w:rPr>
      </w:pPr>
    </w:p>
    <w:p w:rsidR="000B63C5" w:rsidRDefault="000B63C5" w:rsidP="009234D8">
      <w:pPr>
        <w:spacing w:after="0" w:line="240" w:lineRule="auto"/>
        <w:jc w:val="both"/>
        <w:rPr>
          <w:rFonts w:cs="Arial"/>
          <w:sz w:val="24"/>
          <w:szCs w:val="24"/>
        </w:rPr>
      </w:pPr>
      <w:r w:rsidRPr="00795453">
        <w:rPr>
          <w:rFonts w:cs="Arial"/>
          <w:sz w:val="24"/>
          <w:szCs w:val="24"/>
        </w:rPr>
        <w:t xml:space="preserve">Although there are numerous legal avenues </w:t>
      </w:r>
      <w:r>
        <w:rPr>
          <w:rFonts w:cs="Arial"/>
          <w:sz w:val="24"/>
          <w:szCs w:val="24"/>
        </w:rPr>
        <w:t>f</w:t>
      </w:r>
      <w:r w:rsidRPr="00795453">
        <w:rPr>
          <w:rFonts w:cs="Arial"/>
          <w:sz w:val="24"/>
          <w:szCs w:val="24"/>
        </w:rPr>
        <w:t>or Australian based punters to bet on Australian racing and sporting events, it has been shown that betting with illegal off-shore operators r</w:t>
      </w:r>
      <w:r w:rsidR="00934927">
        <w:rPr>
          <w:rFonts w:cs="Arial"/>
          <w:sz w:val="24"/>
          <w:szCs w:val="24"/>
        </w:rPr>
        <w:t xml:space="preserve">emains prevalent.  </w:t>
      </w:r>
      <w:proofErr w:type="gramStart"/>
      <w:r w:rsidR="00934927">
        <w:rPr>
          <w:rFonts w:cs="Arial"/>
          <w:sz w:val="24"/>
          <w:szCs w:val="24"/>
        </w:rPr>
        <w:t>The principal</w:t>
      </w:r>
      <w:r w:rsidRPr="00795453">
        <w:rPr>
          <w:rFonts w:cs="Arial"/>
          <w:sz w:val="24"/>
          <w:szCs w:val="24"/>
        </w:rPr>
        <w:t xml:space="preserve"> reason </w:t>
      </w:r>
      <w:r>
        <w:rPr>
          <w:rFonts w:cs="Arial"/>
          <w:sz w:val="24"/>
          <w:szCs w:val="24"/>
        </w:rPr>
        <w:t xml:space="preserve">being </w:t>
      </w:r>
      <w:r w:rsidRPr="00795453">
        <w:rPr>
          <w:rFonts w:cs="Arial"/>
          <w:sz w:val="24"/>
          <w:szCs w:val="24"/>
        </w:rPr>
        <w:t>that most illegal operators base their operations in jurisdictions with little or no regulatory oversight and with very limited taxation obligations.</w:t>
      </w:r>
      <w:proofErr w:type="gramEnd"/>
      <w:r w:rsidRPr="00795453">
        <w:rPr>
          <w:rFonts w:cs="Arial"/>
          <w:sz w:val="24"/>
          <w:szCs w:val="24"/>
        </w:rPr>
        <w:t xml:space="preserve">  Even if a limited form of regulation is imposed, the endemic corruption which is widespread in those jurisdictions limits the effectiveness of any regulatory action.</w:t>
      </w:r>
    </w:p>
    <w:p w:rsidR="000B63C5" w:rsidRPr="00795453" w:rsidRDefault="000B63C5" w:rsidP="000B63C5">
      <w:pPr>
        <w:spacing w:after="0" w:line="240" w:lineRule="auto"/>
        <w:ind w:left="567"/>
        <w:jc w:val="both"/>
        <w:rPr>
          <w:rFonts w:cs="Arial"/>
          <w:sz w:val="24"/>
          <w:szCs w:val="24"/>
        </w:rPr>
      </w:pPr>
    </w:p>
    <w:p w:rsidR="000B63C5" w:rsidRDefault="000B63C5" w:rsidP="009234D8">
      <w:pPr>
        <w:spacing w:after="0" w:line="240" w:lineRule="auto"/>
        <w:jc w:val="both"/>
        <w:rPr>
          <w:rFonts w:cs="Arial"/>
          <w:sz w:val="24"/>
          <w:szCs w:val="24"/>
        </w:rPr>
      </w:pPr>
      <w:r w:rsidRPr="00795453">
        <w:rPr>
          <w:rFonts w:cs="Arial"/>
          <w:sz w:val="24"/>
          <w:szCs w:val="24"/>
        </w:rPr>
        <w:t>Accordingly, the principle reasons Australian punters transact with these operators could be:</w:t>
      </w:r>
    </w:p>
    <w:p w:rsidR="000B63C5" w:rsidRPr="00795453" w:rsidRDefault="000B63C5" w:rsidP="009234D8">
      <w:pPr>
        <w:spacing w:after="0" w:line="240" w:lineRule="auto"/>
        <w:jc w:val="both"/>
        <w:rPr>
          <w:rFonts w:cs="Arial"/>
          <w:sz w:val="24"/>
          <w:szCs w:val="24"/>
        </w:rPr>
      </w:pPr>
    </w:p>
    <w:p w:rsidR="000B63C5" w:rsidRPr="00795453" w:rsidRDefault="000B63C5" w:rsidP="009234D8">
      <w:pPr>
        <w:pStyle w:val="ListParagraph"/>
        <w:numPr>
          <w:ilvl w:val="0"/>
          <w:numId w:val="10"/>
        </w:numPr>
        <w:spacing w:after="0" w:line="240" w:lineRule="auto"/>
        <w:ind w:left="568" w:hanging="284"/>
        <w:jc w:val="both"/>
        <w:rPr>
          <w:rFonts w:cs="Arial"/>
          <w:sz w:val="24"/>
          <w:szCs w:val="24"/>
        </w:rPr>
      </w:pPr>
      <w:r w:rsidRPr="00795453">
        <w:rPr>
          <w:rFonts w:cs="Arial"/>
          <w:sz w:val="24"/>
          <w:szCs w:val="24"/>
        </w:rPr>
        <w:t>The illegal operators are able to offer better odds and other incentives  because their operating margins are much higher given that they are not required to pay product fees to Australian Racing Authorities or taxation to the Governments  in the jurisdictions in which they are based;</w:t>
      </w:r>
    </w:p>
    <w:p w:rsidR="000B63C5" w:rsidRPr="00795453" w:rsidRDefault="000B63C5" w:rsidP="009234D8">
      <w:pPr>
        <w:pStyle w:val="ListParagraph"/>
        <w:spacing w:after="0" w:line="240" w:lineRule="auto"/>
        <w:ind w:left="568" w:hanging="284"/>
        <w:jc w:val="both"/>
        <w:rPr>
          <w:rFonts w:cs="Arial"/>
          <w:sz w:val="24"/>
          <w:szCs w:val="24"/>
        </w:rPr>
      </w:pPr>
    </w:p>
    <w:p w:rsidR="000B63C5" w:rsidRPr="00795453" w:rsidRDefault="000B63C5" w:rsidP="009234D8">
      <w:pPr>
        <w:pStyle w:val="ListParagraph"/>
        <w:numPr>
          <w:ilvl w:val="0"/>
          <w:numId w:val="10"/>
        </w:numPr>
        <w:spacing w:after="0" w:line="240" w:lineRule="auto"/>
        <w:ind w:left="568" w:hanging="284"/>
        <w:jc w:val="both"/>
        <w:rPr>
          <w:rFonts w:cs="Arial"/>
          <w:sz w:val="24"/>
          <w:szCs w:val="24"/>
        </w:rPr>
      </w:pPr>
      <w:r w:rsidRPr="00795453">
        <w:rPr>
          <w:rFonts w:cs="Arial"/>
          <w:sz w:val="24"/>
          <w:szCs w:val="24"/>
        </w:rPr>
        <w:t>The illegal operators are able to offer betting options or products which might not be available to Australian wagering operators, such as “</w:t>
      </w:r>
      <w:r w:rsidRPr="00795453">
        <w:rPr>
          <w:rFonts w:cs="Arial"/>
          <w:i/>
          <w:sz w:val="24"/>
          <w:szCs w:val="24"/>
        </w:rPr>
        <w:t>in the run</w:t>
      </w:r>
      <w:r w:rsidRPr="00795453">
        <w:rPr>
          <w:rFonts w:cs="Arial"/>
          <w:sz w:val="24"/>
          <w:szCs w:val="24"/>
        </w:rPr>
        <w:t>” betting.  They are also able to introduce new products immediately without seeking regulatory approval;</w:t>
      </w:r>
    </w:p>
    <w:p w:rsidR="000B63C5" w:rsidRPr="00795453" w:rsidRDefault="000B63C5" w:rsidP="009234D8">
      <w:pPr>
        <w:pStyle w:val="ListParagraph"/>
        <w:spacing w:after="0" w:line="240" w:lineRule="auto"/>
        <w:ind w:left="568" w:hanging="284"/>
        <w:jc w:val="both"/>
        <w:rPr>
          <w:rFonts w:cs="Arial"/>
          <w:sz w:val="24"/>
          <w:szCs w:val="24"/>
        </w:rPr>
      </w:pPr>
    </w:p>
    <w:p w:rsidR="000B63C5" w:rsidRPr="00795453" w:rsidRDefault="000B63C5" w:rsidP="009234D8">
      <w:pPr>
        <w:pStyle w:val="ListParagraph"/>
        <w:numPr>
          <w:ilvl w:val="0"/>
          <w:numId w:val="10"/>
        </w:numPr>
        <w:spacing w:after="0" w:line="240" w:lineRule="auto"/>
        <w:ind w:left="568" w:hanging="284"/>
        <w:jc w:val="both"/>
        <w:rPr>
          <w:rFonts w:cs="Arial"/>
          <w:sz w:val="24"/>
          <w:szCs w:val="24"/>
        </w:rPr>
      </w:pPr>
      <w:r w:rsidRPr="00795453">
        <w:rPr>
          <w:rFonts w:cs="Arial"/>
          <w:sz w:val="24"/>
          <w:szCs w:val="24"/>
        </w:rPr>
        <w:t>Punters who are not able to secure credit with legal operators in Australia because of regulatory prohibitions or bad credit records may be able to obtain credit from overseas operators;</w:t>
      </w:r>
    </w:p>
    <w:p w:rsidR="000B63C5" w:rsidRPr="00795453" w:rsidRDefault="000B63C5" w:rsidP="009234D8">
      <w:pPr>
        <w:pStyle w:val="ListParagraph"/>
        <w:spacing w:after="0" w:line="240" w:lineRule="auto"/>
        <w:ind w:left="568" w:hanging="284"/>
        <w:jc w:val="both"/>
        <w:rPr>
          <w:rFonts w:cs="Arial"/>
          <w:sz w:val="24"/>
          <w:szCs w:val="24"/>
        </w:rPr>
      </w:pPr>
    </w:p>
    <w:p w:rsidR="000B63C5" w:rsidRPr="00795453" w:rsidRDefault="000B63C5" w:rsidP="009234D8">
      <w:pPr>
        <w:pStyle w:val="ListParagraph"/>
        <w:numPr>
          <w:ilvl w:val="0"/>
          <w:numId w:val="10"/>
        </w:numPr>
        <w:spacing w:after="0" w:line="240" w:lineRule="auto"/>
        <w:ind w:left="568" w:hanging="284"/>
        <w:jc w:val="both"/>
        <w:rPr>
          <w:rFonts w:cs="Arial"/>
          <w:sz w:val="24"/>
          <w:szCs w:val="24"/>
        </w:rPr>
      </w:pPr>
      <w:r w:rsidRPr="00795453">
        <w:rPr>
          <w:rFonts w:cs="Arial"/>
          <w:sz w:val="24"/>
          <w:szCs w:val="24"/>
        </w:rPr>
        <w:t>Punters who have had their accounts closed by Australian based operators or punters who are unable to get set for the required amount of their bets might be able to be accommodated by  overseas bookmakers;</w:t>
      </w:r>
    </w:p>
    <w:p w:rsidR="000B63C5" w:rsidRPr="00795453" w:rsidRDefault="000B63C5" w:rsidP="009234D8">
      <w:pPr>
        <w:pStyle w:val="ListParagraph"/>
        <w:spacing w:after="0" w:line="240" w:lineRule="auto"/>
        <w:ind w:left="568" w:hanging="284"/>
        <w:jc w:val="both"/>
        <w:rPr>
          <w:rFonts w:cs="Arial"/>
          <w:sz w:val="24"/>
          <w:szCs w:val="24"/>
        </w:rPr>
      </w:pPr>
    </w:p>
    <w:p w:rsidR="000B63C5" w:rsidRPr="00795453" w:rsidRDefault="000B63C5" w:rsidP="009234D8">
      <w:pPr>
        <w:pStyle w:val="ListParagraph"/>
        <w:numPr>
          <w:ilvl w:val="0"/>
          <w:numId w:val="10"/>
        </w:numPr>
        <w:spacing w:after="0" w:line="240" w:lineRule="auto"/>
        <w:ind w:left="568" w:hanging="284"/>
        <w:jc w:val="both"/>
        <w:rPr>
          <w:rFonts w:cs="Arial"/>
          <w:sz w:val="24"/>
          <w:szCs w:val="24"/>
        </w:rPr>
      </w:pPr>
      <w:r w:rsidRPr="00795453">
        <w:rPr>
          <w:rFonts w:cs="Arial"/>
          <w:sz w:val="24"/>
          <w:szCs w:val="24"/>
        </w:rPr>
        <w:t>Large punters or punting syndicates may be attracted to the larger critical mass in overseas betting exchanges where they will be able to back and lay horses/sporting teams for much larger amounts;</w:t>
      </w:r>
    </w:p>
    <w:p w:rsidR="000B63C5" w:rsidRPr="00795453" w:rsidRDefault="000B63C5" w:rsidP="009234D8">
      <w:pPr>
        <w:pStyle w:val="ListParagraph"/>
        <w:spacing w:after="0" w:line="240" w:lineRule="auto"/>
        <w:ind w:left="568" w:hanging="284"/>
        <w:jc w:val="both"/>
        <w:rPr>
          <w:rFonts w:cs="Arial"/>
          <w:sz w:val="24"/>
          <w:szCs w:val="24"/>
        </w:rPr>
      </w:pPr>
    </w:p>
    <w:p w:rsidR="000B63C5" w:rsidRPr="00795453" w:rsidRDefault="000B63C5" w:rsidP="009234D8">
      <w:pPr>
        <w:pStyle w:val="ListParagraph"/>
        <w:numPr>
          <w:ilvl w:val="0"/>
          <w:numId w:val="10"/>
        </w:numPr>
        <w:spacing w:after="0" w:line="240" w:lineRule="auto"/>
        <w:ind w:left="568" w:hanging="284"/>
        <w:jc w:val="both"/>
        <w:rPr>
          <w:rFonts w:cs="Arial"/>
          <w:sz w:val="24"/>
          <w:szCs w:val="24"/>
        </w:rPr>
      </w:pPr>
      <w:r w:rsidRPr="00795453">
        <w:rPr>
          <w:rFonts w:cs="Arial"/>
          <w:sz w:val="24"/>
          <w:szCs w:val="24"/>
        </w:rPr>
        <w:t>Large betting syndicates will always look to access all available betting pools/exchanges irrespective of their location or legality;</w:t>
      </w:r>
    </w:p>
    <w:p w:rsidR="000B63C5" w:rsidRPr="00795453" w:rsidRDefault="000B63C5" w:rsidP="000B63C5">
      <w:pPr>
        <w:pStyle w:val="ListParagraph"/>
        <w:spacing w:after="0" w:line="240" w:lineRule="auto"/>
        <w:ind w:left="1287"/>
        <w:jc w:val="both"/>
        <w:rPr>
          <w:rFonts w:cs="Arial"/>
          <w:sz w:val="24"/>
          <w:szCs w:val="24"/>
        </w:rPr>
      </w:pPr>
    </w:p>
    <w:p w:rsidR="000B63C5" w:rsidRPr="00795453" w:rsidRDefault="000B63C5" w:rsidP="009234D8">
      <w:pPr>
        <w:pStyle w:val="ListParagraph"/>
        <w:numPr>
          <w:ilvl w:val="0"/>
          <w:numId w:val="10"/>
        </w:numPr>
        <w:spacing w:after="0" w:line="240" w:lineRule="auto"/>
        <w:ind w:left="568" w:hanging="284"/>
        <w:jc w:val="both"/>
        <w:rPr>
          <w:rFonts w:cs="Arial"/>
          <w:sz w:val="24"/>
          <w:szCs w:val="24"/>
        </w:rPr>
      </w:pPr>
      <w:r w:rsidRPr="00795453">
        <w:rPr>
          <w:rFonts w:cs="Arial"/>
          <w:sz w:val="24"/>
          <w:szCs w:val="24"/>
        </w:rPr>
        <w:t>The betting records of Illegal overseas bookmakers and betting exchanges are not accessible by Australian regulators or racing and sporting authorities.  Therefore:</w:t>
      </w:r>
    </w:p>
    <w:p w:rsidR="000B63C5" w:rsidRPr="00795453" w:rsidRDefault="000B63C5" w:rsidP="000B63C5">
      <w:pPr>
        <w:pStyle w:val="ListParagraph"/>
        <w:spacing w:after="0" w:line="240" w:lineRule="auto"/>
        <w:ind w:left="851" w:hanging="284"/>
        <w:jc w:val="both"/>
        <w:rPr>
          <w:rFonts w:cs="Arial"/>
          <w:sz w:val="24"/>
          <w:szCs w:val="24"/>
        </w:rPr>
      </w:pPr>
    </w:p>
    <w:p w:rsidR="000B63C5" w:rsidRPr="00795453" w:rsidRDefault="000B63C5" w:rsidP="009234D8">
      <w:pPr>
        <w:pStyle w:val="ListParagraph"/>
        <w:numPr>
          <w:ilvl w:val="1"/>
          <w:numId w:val="11"/>
        </w:numPr>
        <w:spacing w:after="0" w:line="240" w:lineRule="auto"/>
        <w:ind w:left="852" w:hanging="284"/>
        <w:jc w:val="both"/>
        <w:rPr>
          <w:rFonts w:cs="Arial"/>
          <w:sz w:val="24"/>
          <w:szCs w:val="24"/>
        </w:rPr>
      </w:pPr>
      <w:r w:rsidRPr="00795453">
        <w:rPr>
          <w:rFonts w:cs="Arial"/>
          <w:sz w:val="24"/>
          <w:szCs w:val="24"/>
        </w:rPr>
        <w:t>persons who would otherwise be prohibited from betting on racing and sporting events (jockeys, football players, etc.) are able to place bets without fear of detection,</w:t>
      </w:r>
    </w:p>
    <w:p w:rsidR="000B63C5" w:rsidRPr="00795453" w:rsidRDefault="000B63C5" w:rsidP="009234D8">
      <w:pPr>
        <w:pStyle w:val="ListParagraph"/>
        <w:spacing w:after="0" w:line="240" w:lineRule="auto"/>
        <w:ind w:left="852" w:hanging="284"/>
        <w:jc w:val="both"/>
        <w:rPr>
          <w:rFonts w:cs="Arial"/>
          <w:sz w:val="24"/>
          <w:szCs w:val="24"/>
        </w:rPr>
      </w:pPr>
    </w:p>
    <w:p w:rsidR="000B63C5" w:rsidRPr="00795453" w:rsidRDefault="000B63C5" w:rsidP="009234D8">
      <w:pPr>
        <w:pStyle w:val="ListParagraph"/>
        <w:numPr>
          <w:ilvl w:val="1"/>
          <w:numId w:val="11"/>
        </w:numPr>
        <w:spacing w:after="0" w:line="240" w:lineRule="auto"/>
        <w:ind w:left="852" w:hanging="284"/>
        <w:jc w:val="both"/>
        <w:rPr>
          <w:rFonts w:cs="Arial"/>
          <w:sz w:val="24"/>
          <w:szCs w:val="24"/>
        </w:rPr>
      </w:pPr>
      <w:r w:rsidRPr="00795453">
        <w:rPr>
          <w:rFonts w:cs="Arial"/>
          <w:sz w:val="24"/>
          <w:szCs w:val="24"/>
        </w:rPr>
        <w:t>Persons who might be involved in race fixing or match fixing are more readily able to avoid detection from policing authorities and industry regulators</w:t>
      </w:r>
    </w:p>
    <w:p w:rsidR="000B63C5" w:rsidRPr="00795453" w:rsidRDefault="000B63C5" w:rsidP="000B63C5">
      <w:pPr>
        <w:pStyle w:val="ListParagraph"/>
        <w:spacing w:after="0" w:line="240" w:lineRule="auto"/>
        <w:ind w:left="1135" w:hanging="284"/>
        <w:jc w:val="both"/>
        <w:rPr>
          <w:rFonts w:cs="Arial"/>
          <w:sz w:val="24"/>
          <w:szCs w:val="24"/>
        </w:rPr>
      </w:pPr>
    </w:p>
    <w:p w:rsidR="000B63C5" w:rsidRPr="00795453" w:rsidRDefault="000B63C5" w:rsidP="009234D8">
      <w:pPr>
        <w:pStyle w:val="ListParagraph"/>
        <w:numPr>
          <w:ilvl w:val="1"/>
          <w:numId w:val="11"/>
        </w:numPr>
        <w:spacing w:after="0" w:line="240" w:lineRule="auto"/>
        <w:ind w:left="852" w:hanging="284"/>
        <w:jc w:val="both"/>
        <w:rPr>
          <w:rFonts w:cs="Arial"/>
          <w:sz w:val="24"/>
          <w:szCs w:val="24"/>
        </w:rPr>
      </w:pPr>
      <w:r w:rsidRPr="00795453">
        <w:rPr>
          <w:rFonts w:cs="Arial"/>
          <w:sz w:val="24"/>
          <w:szCs w:val="24"/>
        </w:rPr>
        <w:lastRenderedPageBreak/>
        <w:t>Other persons who may wish to retain secrecy over their betting activities because of their employment and business associations are also able to place bets without their betting activities becoming public or known to their employers and business associates.</w:t>
      </w:r>
    </w:p>
    <w:p w:rsidR="000B63C5" w:rsidRPr="00795453" w:rsidRDefault="000B63C5" w:rsidP="000B63C5">
      <w:pPr>
        <w:pStyle w:val="ListParagraph"/>
        <w:spacing w:after="0" w:line="240" w:lineRule="auto"/>
        <w:ind w:left="1004"/>
        <w:jc w:val="both"/>
        <w:rPr>
          <w:rFonts w:cs="Arial"/>
          <w:sz w:val="24"/>
          <w:szCs w:val="24"/>
        </w:rPr>
      </w:pPr>
    </w:p>
    <w:p w:rsidR="000B63C5" w:rsidRPr="00795453" w:rsidRDefault="000B63C5" w:rsidP="009234D8">
      <w:pPr>
        <w:pStyle w:val="ListParagraph"/>
        <w:numPr>
          <w:ilvl w:val="0"/>
          <w:numId w:val="12"/>
        </w:numPr>
        <w:spacing w:after="0" w:line="240" w:lineRule="auto"/>
        <w:ind w:left="567" w:hanging="283"/>
        <w:jc w:val="both"/>
        <w:rPr>
          <w:rFonts w:cs="Arial"/>
          <w:sz w:val="24"/>
          <w:szCs w:val="24"/>
        </w:rPr>
      </w:pPr>
      <w:r w:rsidRPr="00795453">
        <w:rPr>
          <w:rFonts w:cs="Arial"/>
          <w:sz w:val="24"/>
          <w:szCs w:val="24"/>
        </w:rPr>
        <w:t>Persons may find it convenient to utilise the lay and bet sides of an unregulated betting exchange to launder money.</w:t>
      </w:r>
    </w:p>
    <w:p w:rsidR="000B63C5" w:rsidRPr="00795453" w:rsidRDefault="000B63C5" w:rsidP="000B63C5">
      <w:pPr>
        <w:pStyle w:val="ListParagraph"/>
        <w:spacing w:after="0" w:line="240" w:lineRule="auto"/>
        <w:jc w:val="both"/>
        <w:rPr>
          <w:rFonts w:cs="Arial"/>
          <w:sz w:val="24"/>
          <w:szCs w:val="24"/>
        </w:rPr>
      </w:pPr>
    </w:p>
    <w:sectPr w:rsidR="000B63C5" w:rsidRPr="00795453" w:rsidSect="0079552C">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729A"/>
    <w:multiLevelType w:val="hybridMultilevel"/>
    <w:tmpl w:val="5106C6F8"/>
    <w:lvl w:ilvl="0" w:tplc="9C1A3C4A">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nsid w:val="00421A58"/>
    <w:multiLevelType w:val="hybridMultilevel"/>
    <w:tmpl w:val="C714C708"/>
    <w:lvl w:ilvl="0" w:tplc="7684451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nsid w:val="014A1605"/>
    <w:multiLevelType w:val="hybridMultilevel"/>
    <w:tmpl w:val="9D543898"/>
    <w:lvl w:ilvl="0" w:tplc="B8FC2396">
      <w:start w:val="1"/>
      <w:numFmt w:val="lowerLetter"/>
      <w:lvlText w:val="(%1)"/>
      <w:lvlJc w:val="left"/>
      <w:pPr>
        <w:ind w:left="1364"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3">
    <w:nsid w:val="05E8507D"/>
    <w:multiLevelType w:val="hybridMultilevel"/>
    <w:tmpl w:val="49D6F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2B0712"/>
    <w:multiLevelType w:val="hybridMultilevel"/>
    <w:tmpl w:val="5EFAF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8C4172"/>
    <w:multiLevelType w:val="hybridMultilevel"/>
    <w:tmpl w:val="291EB3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ACD57EE"/>
    <w:multiLevelType w:val="hybridMultilevel"/>
    <w:tmpl w:val="530411AC"/>
    <w:lvl w:ilvl="0" w:tplc="AE8017A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ED2279B"/>
    <w:multiLevelType w:val="hybridMultilevel"/>
    <w:tmpl w:val="2BF83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8D2D2D"/>
    <w:multiLevelType w:val="hybridMultilevel"/>
    <w:tmpl w:val="1B1C67B2"/>
    <w:lvl w:ilvl="0" w:tplc="F91E8740">
      <w:start w:val="1"/>
      <w:numFmt w:val="lowerLetter"/>
      <w:lvlText w:val="(%1)"/>
      <w:lvlJc w:val="left"/>
      <w:pPr>
        <w:ind w:left="1364"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9">
    <w:nsid w:val="1FF8300A"/>
    <w:multiLevelType w:val="hybridMultilevel"/>
    <w:tmpl w:val="666A6F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30FC6254"/>
    <w:multiLevelType w:val="hybridMultilevel"/>
    <w:tmpl w:val="DA9293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34A8405E"/>
    <w:multiLevelType w:val="hybridMultilevel"/>
    <w:tmpl w:val="4C5CCF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3D5A7286"/>
    <w:multiLevelType w:val="multilevel"/>
    <w:tmpl w:val="CC02137E"/>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rPr>
    </w:lvl>
    <w:lvl w:ilvl="2">
      <w:start w:val="1"/>
      <w:numFmt w:val="lowerLetter"/>
      <w:pStyle w:val="AllensHeading3"/>
      <w:lvlText w:val="(%3)"/>
      <w:lvlJc w:val="left"/>
      <w:pPr>
        <w:tabs>
          <w:tab w:val="num" w:pos="1418"/>
        </w:tabs>
        <w:ind w:left="1418" w:hanging="709"/>
      </w:pPr>
      <w:rPr>
        <w:rFonts w:hint="default"/>
      </w:rPr>
    </w:lvl>
    <w:lvl w:ilvl="3">
      <w:start w:val="1"/>
      <w:numFmt w:val="lowerRoman"/>
      <w:pStyle w:val="AllensHeading4"/>
      <w:lvlText w:val="(%4)"/>
      <w:lvlJc w:val="left"/>
      <w:pPr>
        <w:tabs>
          <w:tab w:val="num" w:pos="2126"/>
        </w:tabs>
        <w:ind w:left="2126" w:hanging="708"/>
      </w:pPr>
      <w:rPr>
        <w:rFonts w:hint="default"/>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421201B7"/>
    <w:multiLevelType w:val="hybridMultilevel"/>
    <w:tmpl w:val="F5541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A166ACD"/>
    <w:multiLevelType w:val="hybridMultilevel"/>
    <w:tmpl w:val="45FC2C46"/>
    <w:lvl w:ilvl="0" w:tplc="EBBE6782">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nsid w:val="4B512FB5"/>
    <w:multiLevelType w:val="hybridMultilevel"/>
    <w:tmpl w:val="024676C8"/>
    <w:lvl w:ilvl="0" w:tplc="43989494">
      <w:start w:val="1"/>
      <w:numFmt w:val="bullet"/>
      <w:lvlText w:val=""/>
      <w:lvlJc w:val="left"/>
      <w:pPr>
        <w:ind w:left="720" w:hanging="360"/>
      </w:pPr>
      <w:rPr>
        <w:rFonts w:ascii="Symbol" w:hAnsi="Symbol" w:hint="default"/>
      </w:rPr>
    </w:lvl>
    <w:lvl w:ilvl="1" w:tplc="4398949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FA20B77"/>
    <w:multiLevelType w:val="hybridMultilevel"/>
    <w:tmpl w:val="F03A9506"/>
    <w:lvl w:ilvl="0" w:tplc="F8D23BF8">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12"/>
  </w:num>
  <w:num w:numId="2">
    <w:abstractNumId w:val="5"/>
  </w:num>
  <w:num w:numId="3">
    <w:abstractNumId w:val="9"/>
  </w:num>
  <w:num w:numId="4">
    <w:abstractNumId w:val="3"/>
  </w:num>
  <w:num w:numId="5">
    <w:abstractNumId w:val="6"/>
  </w:num>
  <w:num w:numId="6">
    <w:abstractNumId w:val="11"/>
  </w:num>
  <w:num w:numId="7">
    <w:abstractNumId w:val="2"/>
  </w:num>
  <w:num w:numId="8">
    <w:abstractNumId w:val="8"/>
  </w:num>
  <w:num w:numId="9">
    <w:abstractNumId w:val="7"/>
  </w:num>
  <w:num w:numId="10">
    <w:abstractNumId w:val="4"/>
  </w:num>
  <w:num w:numId="11">
    <w:abstractNumId w:val="15"/>
  </w:num>
  <w:num w:numId="12">
    <w:abstractNumId w:val="13"/>
  </w:num>
  <w:num w:numId="13">
    <w:abstractNumId w:val="10"/>
  </w:num>
  <w:num w:numId="14">
    <w:abstractNumId w:val="14"/>
  </w:num>
  <w:num w:numId="15">
    <w:abstractNumId w:val="16"/>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C5"/>
    <w:rsid w:val="000B63C5"/>
    <w:rsid w:val="002733F4"/>
    <w:rsid w:val="00310515"/>
    <w:rsid w:val="00465C6B"/>
    <w:rsid w:val="006C1EFD"/>
    <w:rsid w:val="007E5989"/>
    <w:rsid w:val="009234D8"/>
    <w:rsid w:val="00933EF8"/>
    <w:rsid w:val="00934927"/>
    <w:rsid w:val="00AC3A07"/>
    <w:rsid w:val="00BD697E"/>
    <w:rsid w:val="00F964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3C5"/>
    <w:pPr>
      <w:ind w:left="720"/>
      <w:contextualSpacing/>
    </w:pPr>
  </w:style>
  <w:style w:type="paragraph" w:customStyle="1" w:styleId="AllensHeading1">
    <w:name w:val="Allens Heading 1"/>
    <w:basedOn w:val="Normal"/>
    <w:next w:val="AllensHeading2"/>
    <w:qFormat/>
    <w:rsid w:val="000B63C5"/>
    <w:pPr>
      <w:keepNext/>
      <w:numPr>
        <w:numId w:val="1"/>
      </w:numPr>
      <w:spacing w:before="200" w:after="0" w:line="288" w:lineRule="auto"/>
      <w:outlineLvl w:val="0"/>
    </w:pPr>
    <w:rPr>
      <w:rFonts w:ascii="Arial" w:eastAsia="Times New Roman" w:hAnsi="Arial" w:cs="Times New Roman"/>
      <w:b/>
      <w:szCs w:val="20"/>
      <w:lang w:eastAsia="en-AU"/>
    </w:rPr>
  </w:style>
  <w:style w:type="paragraph" w:customStyle="1" w:styleId="AllensHeading2">
    <w:name w:val="Allens Heading 2"/>
    <w:basedOn w:val="Normal"/>
    <w:next w:val="NormalIndent"/>
    <w:qFormat/>
    <w:rsid w:val="000B63C5"/>
    <w:pPr>
      <w:keepNext/>
      <w:numPr>
        <w:ilvl w:val="1"/>
        <w:numId w:val="1"/>
      </w:numPr>
      <w:spacing w:before="160" w:after="0" w:line="288" w:lineRule="auto"/>
      <w:outlineLvl w:val="1"/>
    </w:pPr>
    <w:rPr>
      <w:rFonts w:ascii="Arial" w:eastAsia="Times New Roman" w:hAnsi="Arial" w:cs="Times New Roman"/>
      <w:b/>
      <w:sz w:val="21"/>
      <w:szCs w:val="20"/>
      <w:lang w:eastAsia="en-AU"/>
    </w:rPr>
  </w:style>
  <w:style w:type="paragraph" w:customStyle="1" w:styleId="AllensHeading3">
    <w:name w:val="Allens Heading 3"/>
    <w:basedOn w:val="Normal"/>
    <w:qFormat/>
    <w:rsid w:val="000B63C5"/>
    <w:pPr>
      <w:numPr>
        <w:ilvl w:val="2"/>
        <w:numId w:val="1"/>
      </w:numPr>
      <w:spacing w:before="100" w:after="0" w:line="288" w:lineRule="auto"/>
    </w:pPr>
    <w:rPr>
      <w:rFonts w:ascii="Arial" w:eastAsia="Times New Roman" w:hAnsi="Arial" w:cs="Times New Roman"/>
      <w:sz w:val="20"/>
      <w:szCs w:val="20"/>
      <w:lang w:eastAsia="en-AU"/>
    </w:rPr>
  </w:style>
  <w:style w:type="paragraph" w:customStyle="1" w:styleId="AllensHeading4">
    <w:name w:val="Allens Heading 4"/>
    <w:basedOn w:val="Normal"/>
    <w:qFormat/>
    <w:rsid w:val="000B63C5"/>
    <w:pPr>
      <w:numPr>
        <w:ilvl w:val="3"/>
        <w:numId w:val="1"/>
      </w:numPr>
      <w:spacing w:before="100" w:after="0" w:line="288" w:lineRule="auto"/>
    </w:pPr>
    <w:rPr>
      <w:rFonts w:ascii="Arial" w:eastAsia="Times New Roman" w:hAnsi="Arial" w:cs="Times New Roman"/>
      <w:sz w:val="20"/>
      <w:szCs w:val="20"/>
      <w:lang w:eastAsia="en-AU"/>
    </w:rPr>
  </w:style>
  <w:style w:type="paragraph" w:customStyle="1" w:styleId="AllensHeading5">
    <w:name w:val="Allens Heading 5"/>
    <w:basedOn w:val="Normal"/>
    <w:qFormat/>
    <w:rsid w:val="000B63C5"/>
    <w:pPr>
      <w:numPr>
        <w:ilvl w:val="4"/>
        <w:numId w:val="1"/>
      </w:numPr>
      <w:spacing w:before="100" w:after="0" w:line="288" w:lineRule="auto"/>
    </w:pPr>
    <w:rPr>
      <w:rFonts w:ascii="Arial" w:eastAsia="Times New Roman" w:hAnsi="Arial" w:cs="Times New Roman"/>
      <w:sz w:val="20"/>
      <w:szCs w:val="20"/>
      <w:lang w:eastAsia="en-AU"/>
    </w:rPr>
  </w:style>
  <w:style w:type="paragraph" w:customStyle="1" w:styleId="AllensHeading6">
    <w:name w:val="Allens Heading 6"/>
    <w:basedOn w:val="Normal"/>
    <w:qFormat/>
    <w:rsid w:val="000B63C5"/>
    <w:pPr>
      <w:numPr>
        <w:ilvl w:val="5"/>
        <w:numId w:val="1"/>
      </w:numPr>
      <w:spacing w:before="100" w:after="0" w:line="288" w:lineRule="auto"/>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0B63C5"/>
    <w:rPr>
      <w:color w:val="0000FF" w:themeColor="hyperlink"/>
      <w:u w:val="single"/>
    </w:rPr>
  </w:style>
  <w:style w:type="paragraph" w:styleId="NormalIndent">
    <w:name w:val="Normal Indent"/>
    <w:basedOn w:val="Normal"/>
    <w:uiPriority w:val="99"/>
    <w:semiHidden/>
    <w:unhideWhenUsed/>
    <w:rsid w:val="000B63C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3C5"/>
    <w:pPr>
      <w:ind w:left="720"/>
      <w:contextualSpacing/>
    </w:pPr>
  </w:style>
  <w:style w:type="paragraph" w:customStyle="1" w:styleId="AllensHeading1">
    <w:name w:val="Allens Heading 1"/>
    <w:basedOn w:val="Normal"/>
    <w:next w:val="AllensHeading2"/>
    <w:qFormat/>
    <w:rsid w:val="000B63C5"/>
    <w:pPr>
      <w:keepNext/>
      <w:numPr>
        <w:numId w:val="1"/>
      </w:numPr>
      <w:spacing w:before="200" w:after="0" w:line="288" w:lineRule="auto"/>
      <w:outlineLvl w:val="0"/>
    </w:pPr>
    <w:rPr>
      <w:rFonts w:ascii="Arial" w:eastAsia="Times New Roman" w:hAnsi="Arial" w:cs="Times New Roman"/>
      <w:b/>
      <w:szCs w:val="20"/>
      <w:lang w:eastAsia="en-AU"/>
    </w:rPr>
  </w:style>
  <w:style w:type="paragraph" w:customStyle="1" w:styleId="AllensHeading2">
    <w:name w:val="Allens Heading 2"/>
    <w:basedOn w:val="Normal"/>
    <w:next w:val="NormalIndent"/>
    <w:qFormat/>
    <w:rsid w:val="000B63C5"/>
    <w:pPr>
      <w:keepNext/>
      <w:numPr>
        <w:ilvl w:val="1"/>
        <w:numId w:val="1"/>
      </w:numPr>
      <w:spacing w:before="160" w:after="0" w:line="288" w:lineRule="auto"/>
      <w:outlineLvl w:val="1"/>
    </w:pPr>
    <w:rPr>
      <w:rFonts w:ascii="Arial" w:eastAsia="Times New Roman" w:hAnsi="Arial" w:cs="Times New Roman"/>
      <w:b/>
      <w:sz w:val="21"/>
      <w:szCs w:val="20"/>
      <w:lang w:eastAsia="en-AU"/>
    </w:rPr>
  </w:style>
  <w:style w:type="paragraph" w:customStyle="1" w:styleId="AllensHeading3">
    <w:name w:val="Allens Heading 3"/>
    <w:basedOn w:val="Normal"/>
    <w:qFormat/>
    <w:rsid w:val="000B63C5"/>
    <w:pPr>
      <w:numPr>
        <w:ilvl w:val="2"/>
        <w:numId w:val="1"/>
      </w:numPr>
      <w:spacing w:before="100" w:after="0" w:line="288" w:lineRule="auto"/>
    </w:pPr>
    <w:rPr>
      <w:rFonts w:ascii="Arial" w:eastAsia="Times New Roman" w:hAnsi="Arial" w:cs="Times New Roman"/>
      <w:sz w:val="20"/>
      <w:szCs w:val="20"/>
      <w:lang w:eastAsia="en-AU"/>
    </w:rPr>
  </w:style>
  <w:style w:type="paragraph" w:customStyle="1" w:styleId="AllensHeading4">
    <w:name w:val="Allens Heading 4"/>
    <w:basedOn w:val="Normal"/>
    <w:qFormat/>
    <w:rsid w:val="000B63C5"/>
    <w:pPr>
      <w:numPr>
        <w:ilvl w:val="3"/>
        <w:numId w:val="1"/>
      </w:numPr>
      <w:spacing w:before="100" w:after="0" w:line="288" w:lineRule="auto"/>
    </w:pPr>
    <w:rPr>
      <w:rFonts w:ascii="Arial" w:eastAsia="Times New Roman" w:hAnsi="Arial" w:cs="Times New Roman"/>
      <w:sz w:val="20"/>
      <w:szCs w:val="20"/>
      <w:lang w:eastAsia="en-AU"/>
    </w:rPr>
  </w:style>
  <w:style w:type="paragraph" w:customStyle="1" w:styleId="AllensHeading5">
    <w:name w:val="Allens Heading 5"/>
    <w:basedOn w:val="Normal"/>
    <w:qFormat/>
    <w:rsid w:val="000B63C5"/>
    <w:pPr>
      <w:numPr>
        <w:ilvl w:val="4"/>
        <w:numId w:val="1"/>
      </w:numPr>
      <w:spacing w:before="100" w:after="0" w:line="288" w:lineRule="auto"/>
    </w:pPr>
    <w:rPr>
      <w:rFonts w:ascii="Arial" w:eastAsia="Times New Roman" w:hAnsi="Arial" w:cs="Times New Roman"/>
      <w:sz w:val="20"/>
      <w:szCs w:val="20"/>
      <w:lang w:eastAsia="en-AU"/>
    </w:rPr>
  </w:style>
  <w:style w:type="paragraph" w:customStyle="1" w:styleId="AllensHeading6">
    <w:name w:val="Allens Heading 6"/>
    <w:basedOn w:val="Normal"/>
    <w:qFormat/>
    <w:rsid w:val="000B63C5"/>
    <w:pPr>
      <w:numPr>
        <w:ilvl w:val="5"/>
        <w:numId w:val="1"/>
      </w:numPr>
      <w:spacing w:before="100" w:after="0" w:line="288" w:lineRule="auto"/>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0B63C5"/>
    <w:rPr>
      <w:color w:val="0000FF" w:themeColor="hyperlink"/>
      <w:u w:val="single"/>
    </w:rPr>
  </w:style>
  <w:style w:type="paragraph" w:styleId="NormalIndent">
    <w:name w:val="Normal Indent"/>
    <w:basedOn w:val="Normal"/>
    <w:uiPriority w:val="99"/>
    <w:semiHidden/>
    <w:unhideWhenUsed/>
    <w:rsid w:val="000B63C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Capuano</dc:creator>
  <cp:lastModifiedBy>SIDEBOTTOM, Matthew</cp:lastModifiedBy>
  <cp:revision>2</cp:revision>
  <dcterms:created xsi:type="dcterms:W3CDTF">2015-11-17T00:33:00Z</dcterms:created>
  <dcterms:modified xsi:type="dcterms:W3CDTF">2015-11-17T00:33:00Z</dcterms:modified>
</cp:coreProperties>
</file>