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3C5" w:rsidRPr="00F437BF" w:rsidRDefault="009234D8" w:rsidP="00F437BF">
      <w:pPr>
        <w:pStyle w:val="AllensHeading3"/>
        <w:numPr>
          <w:ilvl w:val="0"/>
          <w:numId w:val="0"/>
        </w:numPr>
        <w:spacing w:before="0" w:line="240" w:lineRule="auto"/>
        <w:jc w:val="both"/>
        <w:rPr>
          <w:rFonts w:asciiTheme="minorHAnsi" w:hAnsiTheme="minorHAnsi"/>
          <w:b/>
          <w:color w:val="000000"/>
          <w:sz w:val="24"/>
          <w:szCs w:val="24"/>
        </w:rPr>
      </w:pPr>
      <w:bookmarkStart w:id="0" w:name="_GoBack"/>
      <w:bookmarkEnd w:id="0"/>
      <w:r w:rsidRPr="00F437BF">
        <w:rPr>
          <w:rFonts w:asciiTheme="minorHAnsi" w:hAnsiTheme="minorHAnsi"/>
          <w:b/>
          <w:sz w:val="24"/>
          <w:szCs w:val="24"/>
        </w:rPr>
        <w:t xml:space="preserve">APPENDIX </w:t>
      </w:r>
      <w:r w:rsidR="00732647">
        <w:rPr>
          <w:rFonts w:asciiTheme="minorHAnsi" w:hAnsiTheme="minorHAnsi"/>
          <w:b/>
          <w:sz w:val="24"/>
          <w:szCs w:val="24"/>
        </w:rPr>
        <w:t>3</w:t>
      </w:r>
      <w:r w:rsidRPr="00F437BF">
        <w:rPr>
          <w:rFonts w:asciiTheme="minorHAnsi" w:hAnsiTheme="minorHAnsi"/>
          <w:b/>
          <w:sz w:val="24"/>
          <w:szCs w:val="24"/>
        </w:rPr>
        <w:t xml:space="preserve">: </w:t>
      </w:r>
      <w:r w:rsidR="00603A80" w:rsidRPr="00F437BF">
        <w:rPr>
          <w:rFonts w:asciiTheme="minorHAnsi" w:hAnsiTheme="minorHAnsi"/>
          <w:b/>
          <w:color w:val="000000"/>
          <w:sz w:val="24"/>
          <w:szCs w:val="24"/>
        </w:rPr>
        <w:t>E</w:t>
      </w:r>
      <w:r w:rsidR="000B63C5" w:rsidRPr="00F437BF">
        <w:rPr>
          <w:rFonts w:asciiTheme="minorHAnsi" w:hAnsiTheme="minorHAnsi"/>
          <w:b/>
          <w:color w:val="000000"/>
          <w:sz w:val="24"/>
          <w:szCs w:val="24"/>
        </w:rPr>
        <w:t>ducation and awareness initiatives that could be implemented by industry, consumer groups or government to alert Australians to the risks associated w</w:t>
      </w:r>
      <w:r w:rsidR="00603A80" w:rsidRPr="00F437BF">
        <w:rPr>
          <w:rFonts w:asciiTheme="minorHAnsi" w:hAnsiTheme="minorHAnsi"/>
          <w:b/>
          <w:color w:val="000000"/>
          <w:sz w:val="24"/>
          <w:szCs w:val="24"/>
        </w:rPr>
        <w:t>ith offshore gambling operators</w:t>
      </w:r>
      <w:r w:rsidR="000B63C5" w:rsidRPr="00F437BF">
        <w:rPr>
          <w:rFonts w:asciiTheme="minorHAnsi" w:hAnsiTheme="minorHAnsi"/>
          <w:b/>
          <w:color w:val="000000"/>
          <w:sz w:val="24"/>
          <w:szCs w:val="24"/>
        </w:rPr>
        <w:t xml:space="preserve"> </w:t>
      </w:r>
    </w:p>
    <w:p w:rsidR="000B63C5" w:rsidRPr="00F437BF" w:rsidRDefault="000B63C5" w:rsidP="000B63C5">
      <w:pPr>
        <w:autoSpaceDE w:val="0"/>
        <w:autoSpaceDN w:val="0"/>
        <w:adjustRightInd w:val="0"/>
        <w:spacing w:after="0" w:line="240" w:lineRule="auto"/>
        <w:jc w:val="both"/>
        <w:rPr>
          <w:rFonts w:cs="Times New Roman"/>
          <w:color w:val="000000"/>
          <w:sz w:val="16"/>
          <w:szCs w:val="16"/>
        </w:rPr>
      </w:pPr>
    </w:p>
    <w:p w:rsidR="00080A5F" w:rsidRDefault="00080A5F" w:rsidP="00080A5F">
      <w:pPr>
        <w:spacing w:after="0" w:line="240" w:lineRule="auto"/>
        <w:jc w:val="both"/>
        <w:rPr>
          <w:sz w:val="24"/>
          <w:szCs w:val="24"/>
        </w:rPr>
      </w:pPr>
      <w:r w:rsidRPr="00080A5F">
        <w:rPr>
          <w:sz w:val="24"/>
          <w:szCs w:val="24"/>
        </w:rPr>
        <w:t>Unlicensed offshore wagering operators are not subject to the checks and balances imposed on legal operators by Australian law, and so pose a threat to the welfare of Australian consumers (particularly vulnerable consumers such as problem gamblers and minors).</w:t>
      </w:r>
    </w:p>
    <w:p w:rsidR="00080A5F" w:rsidRPr="00080A5F" w:rsidRDefault="00080A5F" w:rsidP="00080A5F">
      <w:pPr>
        <w:spacing w:after="0" w:line="240" w:lineRule="auto"/>
        <w:jc w:val="both"/>
        <w:rPr>
          <w:sz w:val="24"/>
          <w:szCs w:val="24"/>
        </w:rPr>
      </w:pPr>
    </w:p>
    <w:p w:rsidR="000B63C5" w:rsidRDefault="000B63C5" w:rsidP="00FD0C94">
      <w:pPr>
        <w:spacing w:after="0" w:line="240" w:lineRule="auto"/>
        <w:jc w:val="both"/>
        <w:rPr>
          <w:rFonts w:cs="Arial"/>
          <w:sz w:val="24"/>
          <w:szCs w:val="24"/>
        </w:rPr>
      </w:pPr>
      <w:r w:rsidRPr="00795453">
        <w:rPr>
          <w:rFonts w:cs="Arial"/>
          <w:sz w:val="24"/>
          <w:szCs w:val="24"/>
        </w:rPr>
        <w:t>Although unlicensed wagering operators based in jurisdictions outside of Australia are banned from advertising in most, if not all, Australian States and Territories, they are able to access various data bases and make direct contact with Australian punters via spam email messages.  These messages offer attractive incentives, including free bets and inflated odds to encourage punters to open accounts with those operators.</w:t>
      </w:r>
    </w:p>
    <w:p w:rsidR="000B63C5" w:rsidRPr="00795453" w:rsidRDefault="000B63C5" w:rsidP="00FD0C94">
      <w:pPr>
        <w:spacing w:after="0" w:line="240" w:lineRule="auto"/>
        <w:jc w:val="both"/>
        <w:rPr>
          <w:rFonts w:cs="Arial"/>
          <w:sz w:val="24"/>
          <w:szCs w:val="24"/>
        </w:rPr>
      </w:pPr>
    </w:p>
    <w:p w:rsidR="000B63C5" w:rsidRDefault="000B63C5" w:rsidP="00FD0C94">
      <w:pPr>
        <w:spacing w:after="0" w:line="240" w:lineRule="auto"/>
        <w:jc w:val="both"/>
        <w:rPr>
          <w:rFonts w:cs="Arial"/>
          <w:sz w:val="24"/>
          <w:szCs w:val="24"/>
        </w:rPr>
      </w:pPr>
      <w:r w:rsidRPr="00795453">
        <w:rPr>
          <w:rFonts w:cs="Arial"/>
          <w:sz w:val="24"/>
          <w:szCs w:val="24"/>
        </w:rPr>
        <w:t>There is little doubt that most Australian punters would be unaware that overseas bookmakers and betting exchanges are illegal and, at least in New South Wales, betting with them is also illegal.</w:t>
      </w:r>
    </w:p>
    <w:p w:rsidR="000B63C5" w:rsidRPr="00795453" w:rsidRDefault="000B63C5" w:rsidP="00FD0C94">
      <w:pPr>
        <w:spacing w:after="0" w:line="240" w:lineRule="auto"/>
        <w:jc w:val="both"/>
        <w:rPr>
          <w:rFonts w:cs="Arial"/>
          <w:sz w:val="24"/>
          <w:szCs w:val="24"/>
        </w:rPr>
      </w:pPr>
    </w:p>
    <w:p w:rsidR="000B63C5" w:rsidRDefault="000B63C5" w:rsidP="00FD0C94">
      <w:pPr>
        <w:spacing w:after="0" w:line="240" w:lineRule="auto"/>
        <w:jc w:val="both"/>
        <w:rPr>
          <w:rFonts w:cs="Arial"/>
          <w:sz w:val="24"/>
          <w:szCs w:val="24"/>
        </w:rPr>
      </w:pPr>
      <w:r w:rsidRPr="00795453">
        <w:rPr>
          <w:rFonts w:cs="Arial"/>
          <w:sz w:val="24"/>
          <w:szCs w:val="24"/>
        </w:rPr>
        <w:t xml:space="preserve">Punters probably see these operations as not being dissimilar to Northern Territory based corporate bookmakers and the Tasmanian based </w:t>
      </w:r>
      <w:proofErr w:type="spellStart"/>
      <w:r w:rsidRPr="00795453">
        <w:rPr>
          <w:rFonts w:cs="Arial"/>
          <w:sz w:val="24"/>
          <w:szCs w:val="24"/>
        </w:rPr>
        <w:t>Betfair</w:t>
      </w:r>
      <w:proofErr w:type="spellEnd"/>
      <w:r w:rsidRPr="00795453">
        <w:rPr>
          <w:rFonts w:cs="Arial"/>
          <w:sz w:val="24"/>
          <w:szCs w:val="24"/>
        </w:rPr>
        <w:t>. Therefore they would be unaware that their rights are not protected under Australian legislation or Industry Rules of Racing and Betting and that there is no guarantee they will be paid amounts owing to them.  In fact, there have been numerous instances reported of punters being denied payment of winning bets.</w:t>
      </w:r>
    </w:p>
    <w:p w:rsidR="000B63C5" w:rsidRPr="00795453" w:rsidRDefault="000B63C5" w:rsidP="00FD0C94">
      <w:pPr>
        <w:spacing w:after="0" w:line="240" w:lineRule="auto"/>
        <w:jc w:val="both"/>
        <w:rPr>
          <w:rFonts w:cs="Arial"/>
          <w:sz w:val="24"/>
          <w:szCs w:val="24"/>
        </w:rPr>
      </w:pPr>
    </w:p>
    <w:p w:rsidR="000B63C5" w:rsidRDefault="000B63C5" w:rsidP="00FD0C94">
      <w:pPr>
        <w:spacing w:after="0" w:line="240" w:lineRule="auto"/>
        <w:jc w:val="both"/>
        <w:rPr>
          <w:rFonts w:cs="Arial"/>
          <w:sz w:val="24"/>
          <w:szCs w:val="24"/>
        </w:rPr>
      </w:pPr>
      <w:r w:rsidRPr="00795453">
        <w:rPr>
          <w:rFonts w:cs="Arial"/>
          <w:sz w:val="24"/>
          <w:szCs w:val="24"/>
        </w:rPr>
        <w:t>It is felt therefore that there should be a coordinated advertising campaign by Governments (Federal and State), racing authorities and sporting bodies advising of:</w:t>
      </w:r>
    </w:p>
    <w:p w:rsidR="000B63C5" w:rsidRPr="00F437BF" w:rsidRDefault="000B63C5" w:rsidP="000B63C5">
      <w:pPr>
        <w:spacing w:after="0" w:line="240" w:lineRule="auto"/>
        <w:jc w:val="both"/>
        <w:rPr>
          <w:rFonts w:cs="Arial"/>
          <w:sz w:val="16"/>
          <w:szCs w:val="16"/>
        </w:rPr>
      </w:pPr>
    </w:p>
    <w:p w:rsidR="000B63C5" w:rsidRDefault="000B63C5" w:rsidP="00FD0C94">
      <w:pPr>
        <w:pStyle w:val="ListParagraph"/>
        <w:numPr>
          <w:ilvl w:val="0"/>
          <w:numId w:val="9"/>
        </w:numPr>
        <w:spacing w:after="0" w:line="240" w:lineRule="auto"/>
        <w:ind w:left="567" w:hanging="283"/>
        <w:jc w:val="both"/>
        <w:rPr>
          <w:rFonts w:cs="Arial"/>
          <w:sz w:val="24"/>
          <w:szCs w:val="24"/>
        </w:rPr>
      </w:pPr>
      <w:r w:rsidRPr="00795453">
        <w:rPr>
          <w:rFonts w:cs="Arial"/>
          <w:sz w:val="24"/>
          <w:szCs w:val="24"/>
        </w:rPr>
        <w:t>The illegality of such betting particularly if it becomes an offence for an Australian punter to bet with illegal overseas operators (Unlawful gambling)</w:t>
      </w:r>
    </w:p>
    <w:p w:rsidR="000B63C5" w:rsidRPr="00F437BF" w:rsidRDefault="000B63C5" w:rsidP="00FD0C94">
      <w:pPr>
        <w:pStyle w:val="ListParagraph"/>
        <w:spacing w:after="0" w:line="240" w:lineRule="auto"/>
        <w:ind w:left="567" w:hanging="283"/>
        <w:jc w:val="both"/>
        <w:rPr>
          <w:rFonts w:cs="Arial"/>
          <w:sz w:val="16"/>
          <w:szCs w:val="16"/>
        </w:rPr>
      </w:pPr>
    </w:p>
    <w:p w:rsidR="000B63C5" w:rsidRDefault="000B63C5" w:rsidP="00FD0C94">
      <w:pPr>
        <w:pStyle w:val="ListParagraph"/>
        <w:numPr>
          <w:ilvl w:val="0"/>
          <w:numId w:val="9"/>
        </w:numPr>
        <w:spacing w:after="0" w:line="240" w:lineRule="auto"/>
        <w:ind w:left="567" w:hanging="283"/>
        <w:jc w:val="both"/>
        <w:rPr>
          <w:rFonts w:cs="Arial"/>
          <w:sz w:val="24"/>
          <w:szCs w:val="24"/>
        </w:rPr>
      </w:pPr>
      <w:r w:rsidRPr="00795453">
        <w:rPr>
          <w:rFonts w:cs="Arial"/>
          <w:sz w:val="24"/>
          <w:szCs w:val="24"/>
        </w:rPr>
        <w:t>The inability of punters to collect winning bets</w:t>
      </w:r>
    </w:p>
    <w:p w:rsidR="000B63C5" w:rsidRPr="00F437BF" w:rsidRDefault="000B63C5" w:rsidP="00FD0C94">
      <w:pPr>
        <w:spacing w:after="0" w:line="240" w:lineRule="auto"/>
        <w:ind w:left="567" w:hanging="283"/>
        <w:jc w:val="both"/>
        <w:rPr>
          <w:rFonts w:cs="Arial"/>
          <w:sz w:val="16"/>
          <w:szCs w:val="16"/>
        </w:rPr>
      </w:pPr>
    </w:p>
    <w:p w:rsidR="000B63C5" w:rsidRDefault="000B63C5" w:rsidP="00FD0C94">
      <w:pPr>
        <w:pStyle w:val="ListParagraph"/>
        <w:numPr>
          <w:ilvl w:val="0"/>
          <w:numId w:val="9"/>
        </w:numPr>
        <w:spacing w:after="0" w:line="240" w:lineRule="auto"/>
        <w:ind w:left="567" w:hanging="283"/>
        <w:jc w:val="both"/>
        <w:rPr>
          <w:rFonts w:cs="Arial"/>
          <w:sz w:val="24"/>
          <w:szCs w:val="24"/>
        </w:rPr>
      </w:pPr>
      <w:r w:rsidRPr="00795453">
        <w:rPr>
          <w:rFonts w:cs="Arial"/>
          <w:sz w:val="24"/>
          <w:szCs w:val="24"/>
        </w:rPr>
        <w:t>The inability for punters to use Australian legal system to collect moneys owed</w:t>
      </w:r>
    </w:p>
    <w:p w:rsidR="000B63C5" w:rsidRPr="00F437BF" w:rsidRDefault="000B63C5" w:rsidP="00FD0C94">
      <w:pPr>
        <w:spacing w:after="0" w:line="240" w:lineRule="auto"/>
        <w:ind w:left="567" w:hanging="283"/>
        <w:jc w:val="both"/>
        <w:rPr>
          <w:rFonts w:cs="Arial"/>
          <w:sz w:val="16"/>
          <w:szCs w:val="16"/>
        </w:rPr>
      </w:pPr>
    </w:p>
    <w:p w:rsidR="000B63C5" w:rsidRDefault="000B63C5" w:rsidP="00FD0C94">
      <w:pPr>
        <w:pStyle w:val="ListParagraph"/>
        <w:numPr>
          <w:ilvl w:val="0"/>
          <w:numId w:val="9"/>
        </w:numPr>
        <w:spacing w:after="0" w:line="240" w:lineRule="auto"/>
        <w:ind w:left="567" w:hanging="283"/>
        <w:jc w:val="both"/>
        <w:rPr>
          <w:rFonts w:cs="Arial"/>
          <w:sz w:val="24"/>
          <w:szCs w:val="24"/>
        </w:rPr>
      </w:pPr>
      <w:r w:rsidRPr="00795453">
        <w:rPr>
          <w:rFonts w:cs="Arial"/>
          <w:sz w:val="24"/>
          <w:szCs w:val="24"/>
        </w:rPr>
        <w:t>The fact that many overseas wagering operations are conducted by criminal elements, and</w:t>
      </w:r>
    </w:p>
    <w:p w:rsidR="000B63C5" w:rsidRPr="00F437BF" w:rsidRDefault="000B63C5" w:rsidP="00FD0C94">
      <w:pPr>
        <w:spacing w:after="0" w:line="240" w:lineRule="auto"/>
        <w:ind w:left="567" w:hanging="283"/>
        <w:jc w:val="both"/>
        <w:rPr>
          <w:rFonts w:cs="Arial"/>
          <w:sz w:val="16"/>
          <w:szCs w:val="16"/>
        </w:rPr>
      </w:pPr>
    </w:p>
    <w:p w:rsidR="000B63C5" w:rsidRPr="00795453" w:rsidRDefault="000B63C5" w:rsidP="00FD0C94">
      <w:pPr>
        <w:pStyle w:val="ListParagraph"/>
        <w:numPr>
          <w:ilvl w:val="0"/>
          <w:numId w:val="9"/>
        </w:numPr>
        <w:spacing w:after="0" w:line="240" w:lineRule="auto"/>
        <w:ind w:left="567" w:hanging="283"/>
        <w:jc w:val="both"/>
        <w:rPr>
          <w:rFonts w:cs="Arial"/>
          <w:sz w:val="24"/>
          <w:szCs w:val="24"/>
        </w:rPr>
      </w:pPr>
      <w:r w:rsidRPr="00795453">
        <w:rPr>
          <w:rFonts w:cs="Arial"/>
          <w:sz w:val="24"/>
          <w:szCs w:val="24"/>
        </w:rPr>
        <w:t>The effect on the viability and integrity of racing and sport.</w:t>
      </w:r>
    </w:p>
    <w:p w:rsidR="000B63C5" w:rsidRPr="00F437BF" w:rsidRDefault="000B63C5" w:rsidP="000B63C5">
      <w:pPr>
        <w:spacing w:after="0" w:line="240" w:lineRule="auto"/>
        <w:jc w:val="both"/>
        <w:rPr>
          <w:rFonts w:cs="Arial"/>
          <w:sz w:val="16"/>
          <w:szCs w:val="16"/>
        </w:rPr>
      </w:pPr>
    </w:p>
    <w:p w:rsidR="000B63C5" w:rsidRDefault="000B63C5" w:rsidP="00FD0C94">
      <w:pPr>
        <w:spacing w:after="0" w:line="240" w:lineRule="auto"/>
        <w:jc w:val="both"/>
        <w:rPr>
          <w:rFonts w:cs="Arial"/>
          <w:sz w:val="24"/>
          <w:szCs w:val="24"/>
        </w:rPr>
      </w:pPr>
      <w:r w:rsidRPr="00795453">
        <w:rPr>
          <w:rFonts w:cs="Arial"/>
          <w:sz w:val="24"/>
          <w:szCs w:val="24"/>
        </w:rPr>
        <w:t xml:space="preserve">There already exists a precedent for action of this kind. In the early 2000’s the NSW Government, joined with racing clubs and authorities, </w:t>
      </w:r>
      <w:proofErr w:type="spellStart"/>
      <w:r w:rsidRPr="00795453">
        <w:rPr>
          <w:rFonts w:cs="Arial"/>
          <w:sz w:val="24"/>
          <w:szCs w:val="24"/>
        </w:rPr>
        <w:t>Tabcorp</w:t>
      </w:r>
      <w:proofErr w:type="spellEnd"/>
      <w:r w:rsidRPr="00795453">
        <w:rPr>
          <w:rFonts w:cs="Arial"/>
          <w:sz w:val="24"/>
          <w:szCs w:val="24"/>
        </w:rPr>
        <w:t xml:space="preserve"> and licensed bookmakers to conduct an advertising campaign outlining the pitfalls of betting with illegal overseas operators.  This campaign involved the placement of advertisements in racing publications and form guides, race books and on racing specific television and radio stations as well as signage at all NSW race courses.</w:t>
      </w:r>
    </w:p>
    <w:p w:rsidR="000B63C5" w:rsidRPr="00795453" w:rsidRDefault="000B63C5" w:rsidP="000B63C5">
      <w:pPr>
        <w:spacing w:after="0" w:line="240" w:lineRule="auto"/>
        <w:ind w:left="567"/>
        <w:jc w:val="both"/>
        <w:rPr>
          <w:rFonts w:cs="Arial"/>
          <w:sz w:val="24"/>
          <w:szCs w:val="24"/>
        </w:rPr>
      </w:pPr>
    </w:p>
    <w:p w:rsidR="000B63C5" w:rsidRDefault="000B63C5" w:rsidP="00FD0C94">
      <w:pPr>
        <w:spacing w:after="0" w:line="240" w:lineRule="auto"/>
        <w:jc w:val="both"/>
        <w:rPr>
          <w:rFonts w:cs="Arial"/>
          <w:sz w:val="24"/>
          <w:szCs w:val="24"/>
        </w:rPr>
      </w:pPr>
      <w:r w:rsidRPr="00795453">
        <w:rPr>
          <w:rFonts w:cs="Arial"/>
          <w:sz w:val="24"/>
          <w:szCs w:val="24"/>
        </w:rPr>
        <w:lastRenderedPageBreak/>
        <w:t>While there is no clear-cut evidence of the success of this campaign, anecdotal evidence from certain off shore operatives indicated that it had a significant effect on the opening up of new accounts from Australian residents.</w:t>
      </w:r>
    </w:p>
    <w:p w:rsidR="00FD0C94" w:rsidRPr="00795453" w:rsidRDefault="00FD0C94" w:rsidP="00FD0C94">
      <w:pPr>
        <w:spacing w:after="0" w:line="240" w:lineRule="auto"/>
        <w:jc w:val="both"/>
        <w:rPr>
          <w:rFonts w:cs="Arial"/>
          <w:sz w:val="24"/>
          <w:szCs w:val="24"/>
        </w:rPr>
      </w:pPr>
    </w:p>
    <w:p w:rsidR="00933EF8" w:rsidRPr="00F437BF" w:rsidRDefault="000B63C5" w:rsidP="00F437BF">
      <w:pPr>
        <w:spacing w:after="0" w:line="240" w:lineRule="auto"/>
        <w:jc w:val="both"/>
        <w:rPr>
          <w:rFonts w:cs="Arial"/>
          <w:sz w:val="24"/>
          <w:szCs w:val="24"/>
        </w:rPr>
      </w:pPr>
      <w:r w:rsidRPr="00795453">
        <w:rPr>
          <w:rFonts w:cs="Arial"/>
          <w:sz w:val="24"/>
          <w:szCs w:val="24"/>
        </w:rPr>
        <w:t>Accordingly, it is advocated that the current review recommend the establishment of a campaign along the above lines</w:t>
      </w:r>
      <w:r w:rsidR="00297D08">
        <w:rPr>
          <w:rFonts w:cs="Arial"/>
          <w:sz w:val="24"/>
          <w:szCs w:val="24"/>
        </w:rPr>
        <w:t xml:space="preserve"> to</w:t>
      </w:r>
      <w:r w:rsidRPr="00795453">
        <w:rPr>
          <w:rFonts w:cs="Arial"/>
          <w:sz w:val="24"/>
          <w:szCs w:val="24"/>
        </w:rPr>
        <w:t xml:space="preserve"> be coordinated by the Federal Government.</w:t>
      </w:r>
    </w:p>
    <w:sectPr w:rsidR="00933EF8" w:rsidRPr="00F437BF" w:rsidSect="0079552C">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729A"/>
    <w:multiLevelType w:val="hybridMultilevel"/>
    <w:tmpl w:val="5106C6F8"/>
    <w:lvl w:ilvl="0" w:tplc="9C1A3C4A">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nsid w:val="00421A58"/>
    <w:multiLevelType w:val="hybridMultilevel"/>
    <w:tmpl w:val="C714C708"/>
    <w:lvl w:ilvl="0" w:tplc="76844510">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nsid w:val="014A1605"/>
    <w:multiLevelType w:val="hybridMultilevel"/>
    <w:tmpl w:val="9D543898"/>
    <w:lvl w:ilvl="0" w:tplc="B8FC2396">
      <w:start w:val="1"/>
      <w:numFmt w:val="lowerLetter"/>
      <w:lvlText w:val="(%1)"/>
      <w:lvlJc w:val="left"/>
      <w:pPr>
        <w:ind w:left="1364" w:hanging="360"/>
      </w:pPr>
      <w:rPr>
        <w:rFonts w:hint="default"/>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3">
    <w:nsid w:val="05E8507D"/>
    <w:multiLevelType w:val="hybridMultilevel"/>
    <w:tmpl w:val="49D6F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2B0712"/>
    <w:multiLevelType w:val="hybridMultilevel"/>
    <w:tmpl w:val="5EFAF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E618C2"/>
    <w:multiLevelType w:val="hybridMultilevel"/>
    <w:tmpl w:val="FF481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8C4172"/>
    <w:multiLevelType w:val="hybridMultilevel"/>
    <w:tmpl w:val="291EB3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ACD57EE"/>
    <w:multiLevelType w:val="hybridMultilevel"/>
    <w:tmpl w:val="530411AC"/>
    <w:lvl w:ilvl="0" w:tplc="AE8017A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ED2279B"/>
    <w:multiLevelType w:val="hybridMultilevel"/>
    <w:tmpl w:val="2BF83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F8D2D2D"/>
    <w:multiLevelType w:val="hybridMultilevel"/>
    <w:tmpl w:val="1B1C67B2"/>
    <w:lvl w:ilvl="0" w:tplc="F91E8740">
      <w:start w:val="1"/>
      <w:numFmt w:val="lowerLetter"/>
      <w:lvlText w:val="(%1)"/>
      <w:lvlJc w:val="left"/>
      <w:pPr>
        <w:ind w:left="1364" w:hanging="360"/>
      </w:pPr>
      <w:rPr>
        <w:rFonts w:hint="default"/>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0">
    <w:nsid w:val="1FF8300A"/>
    <w:multiLevelType w:val="hybridMultilevel"/>
    <w:tmpl w:val="666A6F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0FC6254"/>
    <w:multiLevelType w:val="hybridMultilevel"/>
    <w:tmpl w:val="DA9293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34A8405E"/>
    <w:multiLevelType w:val="hybridMultilevel"/>
    <w:tmpl w:val="4C5CCF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3D5A7286"/>
    <w:multiLevelType w:val="multilevel"/>
    <w:tmpl w:val="CC02137E"/>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rPr>
    </w:lvl>
    <w:lvl w:ilvl="2">
      <w:start w:val="1"/>
      <w:numFmt w:val="lowerLetter"/>
      <w:pStyle w:val="AllensHeading3"/>
      <w:lvlText w:val="(%3)"/>
      <w:lvlJc w:val="left"/>
      <w:pPr>
        <w:tabs>
          <w:tab w:val="num" w:pos="1418"/>
        </w:tabs>
        <w:ind w:left="1418" w:hanging="709"/>
      </w:pPr>
      <w:rPr>
        <w:rFonts w:hint="default"/>
      </w:rPr>
    </w:lvl>
    <w:lvl w:ilvl="3">
      <w:start w:val="1"/>
      <w:numFmt w:val="lowerRoman"/>
      <w:pStyle w:val="AllensHeading4"/>
      <w:lvlText w:val="(%4)"/>
      <w:lvlJc w:val="left"/>
      <w:pPr>
        <w:tabs>
          <w:tab w:val="num" w:pos="2126"/>
        </w:tabs>
        <w:ind w:left="2126" w:hanging="708"/>
      </w:pPr>
      <w:rPr>
        <w:rFonts w:hint="default"/>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nsid w:val="421201B7"/>
    <w:multiLevelType w:val="hybridMultilevel"/>
    <w:tmpl w:val="F5541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A166ACD"/>
    <w:multiLevelType w:val="hybridMultilevel"/>
    <w:tmpl w:val="45FC2C46"/>
    <w:lvl w:ilvl="0" w:tplc="EBBE6782">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nsid w:val="4B512FB5"/>
    <w:multiLevelType w:val="hybridMultilevel"/>
    <w:tmpl w:val="024676C8"/>
    <w:lvl w:ilvl="0" w:tplc="43989494">
      <w:start w:val="1"/>
      <w:numFmt w:val="bullet"/>
      <w:lvlText w:val=""/>
      <w:lvlJc w:val="left"/>
      <w:pPr>
        <w:ind w:left="720" w:hanging="360"/>
      </w:pPr>
      <w:rPr>
        <w:rFonts w:ascii="Symbol" w:hAnsi="Symbol" w:hint="default"/>
      </w:rPr>
    </w:lvl>
    <w:lvl w:ilvl="1" w:tplc="4398949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FA20B77"/>
    <w:multiLevelType w:val="hybridMultilevel"/>
    <w:tmpl w:val="F03A9506"/>
    <w:lvl w:ilvl="0" w:tplc="F8D23BF8">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13"/>
  </w:num>
  <w:num w:numId="2">
    <w:abstractNumId w:val="6"/>
  </w:num>
  <w:num w:numId="3">
    <w:abstractNumId w:val="10"/>
  </w:num>
  <w:num w:numId="4">
    <w:abstractNumId w:val="3"/>
  </w:num>
  <w:num w:numId="5">
    <w:abstractNumId w:val="7"/>
  </w:num>
  <w:num w:numId="6">
    <w:abstractNumId w:val="12"/>
  </w:num>
  <w:num w:numId="7">
    <w:abstractNumId w:val="2"/>
  </w:num>
  <w:num w:numId="8">
    <w:abstractNumId w:val="9"/>
  </w:num>
  <w:num w:numId="9">
    <w:abstractNumId w:val="8"/>
  </w:num>
  <w:num w:numId="10">
    <w:abstractNumId w:val="4"/>
  </w:num>
  <w:num w:numId="11">
    <w:abstractNumId w:val="16"/>
  </w:num>
  <w:num w:numId="12">
    <w:abstractNumId w:val="14"/>
  </w:num>
  <w:num w:numId="13">
    <w:abstractNumId w:val="11"/>
  </w:num>
  <w:num w:numId="14">
    <w:abstractNumId w:val="15"/>
  </w:num>
  <w:num w:numId="15">
    <w:abstractNumId w:val="17"/>
  </w:num>
  <w:num w:numId="16">
    <w:abstractNumId w:val="1"/>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3C5"/>
    <w:rsid w:val="00080A5F"/>
    <w:rsid w:val="000B63C5"/>
    <w:rsid w:val="001D4665"/>
    <w:rsid w:val="0022342E"/>
    <w:rsid w:val="002503EF"/>
    <w:rsid w:val="00297D08"/>
    <w:rsid w:val="00310515"/>
    <w:rsid w:val="00465C6B"/>
    <w:rsid w:val="00603A80"/>
    <w:rsid w:val="00732647"/>
    <w:rsid w:val="007E5989"/>
    <w:rsid w:val="009234D8"/>
    <w:rsid w:val="00933EF8"/>
    <w:rsid w:val="00AC3A07"/>
    <w:rsid w:val="00D074A3"/>
    <w:rsid w:val="00D634DD"/>
    <w:rsid w:val="00F437BF"/>
    <w:rsid w:val="00FD0C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3C5"/>
    <w:pPr>
      <w:ind w:left="720"/>
      <w:contextualSpacing/>
    </w:pPr>
  </w:style>
  <w:style w:type="paragraph" w:customStyle="1" w:styleId="AllensHeading1">
    <w:name w:val="Allens Heading 1"/>
    <w:basedOn w:val="Normal"/>
    <w:next w:val="AllensHeading2"/>
    <w:qFormat/>
    <w:rsid w:val="000B63C5"/>
    <w:pPr>
      <w:keepNext/>
      <w:numPr>
        <w:numId w:val="1"/>
      </w:numPr>
      <w:spacing w:before="200" w:after="0" w:line="288" w:lineRule="auto"/>
      <w:outlineLvl w:val="0"/>
    </w:pPr>
    <w:rPr>
      <w:rFonts w:ascii="Arial" w:eastAsia="Times New Roman" w:hAnsi="Arial" w:cs="Times New Roman"/>
      <w:b/>
      <w:szCs w:val="20"/>
      <w:lang w:eastAsia="en-AU"/>
    </w:rPr>
  </w:style>
  <w:style w:type="paragraph" w:customStyle="1" w:styleId="AllensHeading2">
    <w:name w:val="Allens Heading 2"/>
    <w:basedOn w:val="Normal"/>
    <w:next w:val="NormalIndent"/>
    <w:qFormat/>
    <w:rsid w:val="000B63C5"/>
    <w:pPr>
      <w:keepNext/>
      <w:numPr>
        <w:ilvl w:val="1"/>
        <w:numId w:val="1"/>
      </w:numPr>
      <w:spacing w:before="160" w:after="0" w:line="288" w:lineRule="auto"/>
      <w:outlineLvl w:val="1"/>
    </w:pPr>
    <w:rPr>
      <w:rFonts w:ascii="Arial" w:eastAsia="Times New Roman" w:hAnsi="Arial" w:cs="Times New Roman"/>
      <w:b/>
      <w:sz w:val="21"/>
      <w:szCs w:val="20"/>
      <w:lang w:eastAsia="en-AU"/>
    </w:rPr>
  </w:style>
  <w:style w:type="paragraph" w:customStyle="1" w:styleId="AllensHeading3">
    <w:name w:val="Allens Heading 3"/>
    <w:basedOn w:val="Normal"/>
    <w:qFormat/>
    <w:rsid w:val="000B63C5"/>
    <w:pPr>
      <w:numPr>
        <w:ilvl w:val="2"/>
        <w:numId w:val="1"/>
      </w:numPr>
      <w:spacing w:before="100" w:after="0" w:line="288" w:lineRule="auto"/>
    </w:pPr>
    <w:rPr>
      <w:rFonts w:ascii="Arial" w:eastAsia="Times New Roman" w:hAnsi="Arial" w:cs="Times New Roman"/>
      <w:sz w:val="20"/>
      <w:szCs w:val="20"/>
      <w:lang w:eastAsia="en-AU"/>
    </w:rPr>
  </w:style>
  <w:style w:type="paragraph" w:customStyle="1" w:styleId="AllensHeading4">
    <w:name w:val="Allens Heading 4"/>
    <w:basedOn w:val="Normal"/>
    <w:qFormat/>
    <w:rsid w:val="000B63C5"/>
    <w:pPr>
      <w:numPr>
        <w:ilvl w:val="3"/>
        <w:numId w:val="1"/>
      </w:numPr>
      <w:spacing w:before="100" w:after="0" w:line="288" w:lineRule="auto"/>
    </w:pPr>
    <w:rPr>
      <w:rFonts w:ascii="Arial" w:eastAsia="Times New Roman" w:hAnsi="Arial" w:cs="Times New Roman"/>
      <w:sz w:val="20"/>
      <w:szCs w:val="20"/>
      <w:lang w:eastAsia="en-AU"/>
    </w:rPr>
  </w:style>
  <w:style w:type="paragraph" w:customStyle="1" w:styleId="AllensHeading5">
    <w:name w:val="Allens Heading 5"/>
    <w:basedOn w:val="Normal"/>
    <w:qFormat/>
    <w:rsid w:val="000B63C5"/>
    <w:pPr>
      <w:numPr>
        <w:ilvl w:val="4"/>
        <w:numId w:val="1"/>
      </w:numPr>
      <w:spacing w:before="100" w:after="0" w:line="288" w:lineRule="auto"/>
    </w:pPr>
    <w:rPr>
      <w:rFonts w:ascii="Arial" w:eastAsia="Times New Roman" w:hAnsi="Arial" w:cs="Times New Roman"/>
      <w:sz w:val="20"/>
      <w:szCs w:val="20"/>
      <w:lang w:eastAsia="en-AU"/>
    </w:rPr>
  </w:style>
  <w:style w:type="paragraph" w:customStyle="1" w:styleId="AllensHeading6">
    <w:name w:val="Allens Heading 6"/>
    <w:basedOn w:val="Normal"/>
    <w:qFormat/>
    <w:rsid w:val="000B63C5"/>
    <w:pPr>
      <w:numPr>
        <w:ilvl w:val="5"/>
        <w:numId w:val="1"/>
      </w:numPr>
      <w:spacing w:before="100" w:after="0" w:line="288" w:lineRule="auto"/>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0B63C5"/>
    <w:rPr>
      <w:color w:val="0000FF" w:themeColor="hyperlink"/>
      <w:u w:val="single"/>
    </w:rPr>
  </w:style>
  <w:style w:type="paragraph" w:styleId="NormalIndent">
    <w:name w:val="Normal Indent"/>
    <w:basedOn w:val="Normal"/>
    <w:uiPriority w:val="99"/>
    <w:semiHidden/>
    <w:unhideWhenUsed/>
    <w:rsid w:val="000B63C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3C5"/>
    <w:pPr>
      <w:ind w:left="720"/>
      <w:contextualSpacing/>
    </w:pPr>
  </w:style>
  <w:style w:type="paragraph" w:customStyle="1" w:styleId="AllensHeading1">
    <w:name w:val="Allens Heading 1"/>
    <w:basedOn w:val="Normal"/>
    <w:next w:val="AllensHeading2"/>
    <w:qFormat/>
    <w:rsid w:val="000B63C5"/>
    <w:pPr>
      <w:keepNext/>
      <w:numPr>
        <w:numId w:val="1"/>
      </w:numPr>
      <w:spacing w:before="200" w:after="0" w:line="288" w:lineRule="auto"/>
      <w:outlineLvl w:val="0"/>
    </w:pPr>
    <w:rPr>
      <w:rFonts w:ascii="Arial" w:eastAsia="Times New Roman" w:hAnsi="Arial" w:cs="Times New Roman"/>
      <w:b/>
      <w:szCs w:val="20"/>
      <w:lang w:eastAsia="en-AU"/>
    </w:rPr>
  </w:style>
  <w:style w:type="paragraph" w:customStyle="1" w:styleId="AllensHeading2">
    <w:name w:val="Allens Heading 2"/>
    <w:basedOn w:val="Normal"/>
    <w:next w:val="NormalIndent"/>
    <w:qFormat/>
    <w:rsid w:val="000B63C5"/>
    <w:pPr>
      <w:keepNext/>
      <w:numPr>
        <w:ilvl w:val="1"/>
        <w:numId w:val="1"/>
      </w:numPr>
      <w:spacing w:before="160" w:after="0" w:line="288" w:lineRule="auto"/>
      <w:outlineLvl w:val="1"/>
    </w:pPr>
    <w:rPr>
      <w:rFonts w:ascii="Arial" w:eastAsia="Times New Roman" w:hAnsi="Arial" w:cs="Times New Roman"/>
      <w:b/>
      <w:sz w:val="21"/>
      <w:szCs w:val="20"/>
      <w:lang w:eastAsia="en-AU"/>
    </w:rPr>
  </w:style>
  <w:style w:type="paragraph" w:customStyle="1" w:styleId="AllensHeading3">
    <w:name w:val="Allens Heading 3"/>
    <w:basedOn w:val="Normal"/>
    <w:qFormat/>
    <w:rsid w:val="000B63C5"/>
    <w:pPr>
      <w:numPr>
        <w:ilvl w:val="2"/>
        <w:numId w:val="1"/>
      </w:numPr>
      <w:spacing w:before="100" w:after="0" w:line="288" w:lineRule="auto"/>
    </w:pPr>
    <w:rPr>
      <w:rFonts w:ascii="Arial" w:eastAsia="Times New Roman" w:hAnsi="Arial" w:cs="Times New Roman"/>
      <w:sz w:val="20"/>
      <w:szCs w:val="20"/>
      <w:lang w:eastAsia="en-AU"/>
    </w:rPr>
  </w:style>
  <w:style w:type="paragraph" w:customStyle="1" w:styleId="AllensHeading4">
    <w:name w:val="Allens Heading 4"/>
    <w:basedOn w:val="Normal"/>
    <w:qFormat/>
    <w:rsid w:val="000B63C5"/>
    <w:pPr>
      <w:numPr>
        <w:ilvl w:val="3"/>
        <w:numId w:val="1"/>
      </w:numPr>
      <w:spacing w:before="100" w:after="0" w:line="288" w:lineRule="auto"/>
    </w:pPr>
    <w:rPr>
      <w:rFonts w:ascii="Arial" w:eastAsia="Times New Roman" w:hAnsi="Arial" w:cs="Times New Roman"/>
      <w:sz w:val="20"/>
      <w:szCs w:val="20"/>
      <w:lang w:eastAsia="en-AU"/>
    </w:rPr>
  </w:style>
  <w:style w:type="paragraph" w:customStyle="1" w:styleId="AllensHeading5">
    <w:name w:val="Allens Heading 5"/>
    <w:basedOn w:val="Normal"/>
    <w:qFormat/>
    <w:rsid w:val="000B63C5"/>
    <w:pPr>
      <w:numPr>
        <w:ilvl w:val="4"/>
        <w:numId w:val="1"/>
      </w:numPr>
      <w:spacing w:before="100" w:after="0" w:line="288" w:lineRule="auto"/>
    </w:pPr>
    <w:rPr>
      <w:rFonts w:ascii="Arial" w:eastAsia="Times New Roman" w:hAnsi="Arial" w:cs="Times New Roman"/>
      <w:sz w:val="20"/>
      <w:szCs w:val="20"/>
      <w:lang w:eastAsia="en-AU"/>
    </w:rPr>
  </w:style>
  <w:style w:type="paragraph" w:customStyle="1" w:styleId="AllensHeading6">
    <w:name w:val="Allens Heading 6"/>
    <w:basedOn w:val="Normal"/>
    <w:qFormat/>
    <w:rsid w:val="000B63C5"/>
    <w:pPr>
      <w:numPr>
        <w:ilvl w:val="5"/>
        <w:numId w:val="1"/>
      </w:numPr>
      <w:spacing w:before="100" w:after="0" w:line="288" w:lineRule="auto"/>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0B63C5"/>
    <w:rPr>
      <w:color w:val="0000FF" w:themeColor="hyperlink"/>
      <w:u w:val="single"/>
    </w:rPr>
  </w:style>
  <w:style w:type="paragraph" w:styleId="NormalIndent">
    <w:name w:val="Normal Indent"/>
    <w:basedOn w:val="Normal"/>
    <w:uiPriority w:val="99"/>
    <w:semiHidden/>
    <w:unhideWhenUsed/>
    <w:rsid w:val="000B63C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Capuano</dc:creator>
  <cp:lastModifiedBy>SIDEBOTTOM, Matthew</cp:lastModifiedBy>
  <cp:revision>2</cp:revision>
  <dcterms:created xsi:type="dcterms:W3CDTF">2015-11-17T00:34:00Z</dcterms:created>
  <dcterms:modified xsi:type="dcterms:W3CDTF">2015-11-17T00:34:00Z</dcterms:modified>
</cp:coreProperties>
</file>