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53" w:rsidRPr="00FE050D" w:rsidRDefault="008170C3" w:rsidP="00F05153">
      <w:pPr>
        <w:spacing w:after="0" w:line="240" w:lineRule="auto"/>
        <w:ind w:left="284" w:hanging="284"/>
        <w:rPr>
          <w:b/>
          <w:sz w:val="24"/>
          <w:szCs w:val="24"/>
        </w:rPr>
      </w:pPr>
      <w:bookmarkStart w:id="0" w:name="_GoBack"/>
      <w:bookmarkEnd w:id="0"/>
      <w:r>
        <w:rPr>
          <w:b/>
          <w:sz w:val="24"/>
          <w:szCs w:val="24"/>
        </w:rPr>
        <w:t xml:space="preserve">APPENDIX </w:t>
      </w:r>
      <w:r w:rsidR="00232D93">
        <w:rPr>
          <w:b/>
          <w:sz w:val="24"/>
          <w:szCs w:val="24"/>
        </w:rPr>
        <w:t>5</w:t>
      </w:r>
      <w:r>
        <w:rPr>
          <w:b/>
          <w:sz w:val="24"/>
          <w:szCs w:val="24"/>
        </w:rPr>
        <w:t xml:space="preserve">: </w:t>
      </w:r>
      <w:r w:rsidR="00F05153">
        <w:rPr>
          <w:b/>
          <w:sz w:val="24"/>
          <w:szCs w:val="24"/>
        </w:rPr>
        <w:t>S</w:t>
      </w:r>
      <w:r w:rsidR="00232D93">
        <w:rPr>
          <w:b/>
          <w:sz w:val="24"/>
          <w:szCs w:val="24"/>
        </w:rPr>
        <w:t>cope and contribution of Australian thoroughbred racing</w:t>
      </w:r>
    </w:p>
    <w:p w:rsidR="00F05153" w:rsidRPr="00FE050D" w:rsidRDefault="00F05153" w:rsidP="00F05153">
      <w:pPr>
        <w:spacing w:after="0" w:line="240" w:lineRule="auto"/>
        <w:rPr>
          <w:b/>
          <w:sz w:val="24"/>
          <w:szCs w:val="24"/>
        </w:rPr>
      </w:pPr>
    </w:p>
    <w:p w:rsidR="00F05153" w:rsidRPr="00FE050D" w:rsidRDefault="00F05153" w:rsidP="008170C3">
      <w:pPr>
        <w:pStyle w:val="Default"/>
        <w:ind w:left="284" w:hanging="284"/>
        <w:jc w:val="both"/>
        <w:rPr>
          <w:rFonts w:asciiTheme="minorHAnsi" w:hAnsiTheme="minorHAnsi"/>
          <w:b/>
        </w:rPr>
      </w:pPr>
      <w:r w:rsidRPr="00FE050D">
        <w:rPr>
          <w:rFonts w:asciiTheme="minorHAnsi" w:hAnsiTheme="minorHAnsi"/>
          <w:b/>
        </w:rPr>
        <w:t>1</w:t>
      </w:r>
      <w:r w:rsidR="008170C3">
        <w:rPr>
          <w:rFonts w:asciiTheme="minorHAnsi" w:hAnsiTheme="minorHAnsi"/>
          <w:b/>
        </w:rPr>
        <w:t>.</w:t>
      </w:r>
      <w:r w:rsidRPr="00FE050D">
        <w:rPr>
          <w:rFonts w:asciiTheme="minorHAnsi" w:hAnsiTheme="minorHAnsi"/>
          <w:b/>
        </w:rPr>
        <w:tab/>
        <w:t>Overview</w:t>
      </w:r>
    </w:p>
    <w:p w:rsidR="00F05153" w:rsidRPr="00FE050D" w:rsidRDefault="00F05153" w:rsidP="00F05153">
      <w:pPr>
        <w:pStyle w:val="Default"/>
        <w:ind w:left="284"/>
        <w:jc w:val="both"/>
        <w:rPr>
          <w:rFonts w:asciiTheme="minorHAnsi" w:hAnsiTheme="minorHAnsi"/>
        </w:rPr>
      </w:pPr>
    </w:p>
    <w:p w:rsidR="00F05153" w:rsidRPr="00FE050D" w:rsidRDefault="00F05153" w:rsidP="008170C3">
      <w:pPr>
        <w:pStyle w:val="Default"/>
        <w:ind w:left="284"/>
        <w:jc w:val="both"/>
        <w:rPr>
          <w:rFonts w:asciiTheme="minorHAnsi" w:hAnsiTheme="minorHAnsi"/>
        </w:rPr>
      </w:pPr>
      <w:r w:rsidRPr="00FE050D">
        <w:rPr>
          <w:rFonts w:asciiTheme="minorHAnsi" w:hAnsiTheme="minorHAnsi"/>
        </w:rPr>
        <w:t>The Thoroughbred Racing Industry</w:t>
      </w:r>
      <w:r>
        <w:rPr>
          <w:rFonts w:asciiTheme="minorHAnsi" w:hAnsiTheme="minorHAnsi"/>
        </w:rPr>
        <w:t xml:space="preserve"> (TRI)</w:t>
      </w:r>
      <w:r w:rsidRPr="00FE050D">
        <w:rPr>
          <w:rFonts w:asciiTheme="minorHAnsi" w:hAnsiTheme="minorHAnsi"/>
        </w:rPr>
        <w:t xml:space="preserve"> plays an integral role in the sporting life, cultural traditions and the economy of Australia. Racing spans both the calendar and continent: over 19,000 thoroughbred races are held each year, staged in almost every part of Australia. Here we provide a snapshot of the size and scope of the</w:t>
      </w:r>
      <w:r>
        <w:rPr>
          <w:rFonts w:asciiTheme="minorHAnsi" w:hAnsiTheme="minorHAnsi"/>
        </w:rPr>
        <w:t xml:space="preserve"> </w:t>
      </w:r>
      <w:r w:rsidRPr="00FE050D">
        <w:rPr>
          <w:rFonts w:asciiTheme="minorHAnsi" w:hAnsiTheme="minorHAnsi"/>
        </w:rPr>
        <w:t>TRI, illustrating the remarkable extent of its influence on Australia’s economic and social life.</w:t>
      </w:r>
    </w:p>
    <w:p w:rsidR="00F05153" w:rsidRPr="00FE050D" w:rsidRDefault="00F05153" w:rsidP="008170C3">
      <w:pPr>
        <w:spacing w:after="0" w:line="240" w:lineRule="auto"/>
        <w:ind w:left="284"/>
        <w:rPr>
          <w:b/>
          <w:sz w:val="24"/>
          <w:szCs w:val="24"/>
        </w:rPr>
      </w:pPr>
    </w:p>
    <w:p w:rsidR="00F05153" w:rsidRPr="00FE050D" w:rsidRDefault="00F05153" w:rsidP="008170C3">
      <w:pPr>
        <w:pStyle w:val="Default"/>
        <w:ind w:left="284"/>
        <w:jc w:val="both"/>
        <w:rPr>
          <w:rFonts w:asciiTheme="minorHAnsi" w:hAnsiTheme="minorHAnsi"/>
          <w:b/>
        </w:rPr>
      </w:pPr>
      <w:r w:rsidRPr="00FE050D">
        <w:rPr>
          <w:rFonts w:asciiTheme="minorHAnsi" w:hAnsiTheme="minorHAnsi"/>
          <w:b/>
        </w:rPr>
        <w:t>Participation</w:t>
      </w:r>
    </w:p>
    <w:p w:rsidR="00F05153" w:rsidRPr="00FE050D" w:rsidRDefault="00F05153" w:rsidP="008170C3">
      <w:pPr>
        <w:pStyle w:val="Default"/>
        <w:ind w:left="284"/>
        <w:jc w:val="both"/>
        <w:rPr>
          <w:rFonts w:asciiTheme="minorHAnsi" w:hAnsiTheme="minorHAnsi"/>
          <w:b/>
        </w:rPr>
      </w:pPr>
    </w:p>
    <w:p w:rsidR="00F05153" w:rsidRPr="00FE050D" w:rsidRDefault="00F05153" w:rsidP="008170C3">
      <w:pPr>
        <w:pStyle w:val="Default"/>
        <w:numPr>
          <w:ilvl w:val="0"/>
          <w:numId w:val="1"/>
        </w:numPr>
        <w:ind w:left="284" w:firstLine="0"/>
        <w:jc w:val="both"/>
        <w:rPr>
          <w:rFonts w:asciiTheme="minorHAnsi" w:hAnsiTheme="minorHAnsi"/>
          <w:b/>
        </w:rPr>
      </w:pPr>
      <w:r w:rsidRPr="00FE050D">
        <w:rPr>
          <w:rFonts w:asciiTheme="minorHAnsi" w:hAnsiTheme="minorHAnsi"/>
        </w:rPr>
        <w:t>184,000+ starters in Australian races every year</w:t>
      </w:r>
    </w:p>
    <w:p w:rsidR="00F05153" w:rsidRPr="00FE050D" w:rsidRDefault="00F05153" w:rsidP="008170C3">
      <w:pPr>
        <w:pStyle w:val="Default"/>
        <w:numPr>
          <w:ilvl w:val="0"/>
          <w:numId w:val="1"/>
        </w:numPr>
        <w:ind w:left="284" w:firstLine="0"/>
        <w:jc w:val="both"/>
        <w:rPr>
          <w:rFonts w:asciiTheme="minorHAnsi" w:hAnsiTheme="minorHAnsi"/>
          <w:b/>
        </w:rPr>
      </w:pPr>
      <w:r w:rsidRPr="00FE050D">
        <w:rPr>
          <w:rFonts w:asciiTheme="minorHAnsi" w:hAnsiTheme="minorHAnsi"/>
        </w:rPr>
        <w:t>371 Australian Racing Clubs</w:t>
      </w:r>
    </w:p>
    <w:p w:rsidR="00F05153" w:rsidRPr="00FE050D" w:rsidRDefault="00F05153" w:rsidP="008170C3">
      <w:pPr>
        <w:pStyle w:val="Default"/>
        <w:numPr>
          <w:ilvl w:val="0"/>
          <w:numId w:val="1"/>
        </w:numPr>
        <w:ind w:left="284" w:firstLine="0"/>
        <w:jc w:val="both"/>
        <w:rPr>
          <w:rFonts w:asciiTheme="minorHAnsi" w:hAnsiTheme="minorHAnsi"/>
          <w:b/>
        </w:rPr>
      </w:pPr>
      <w:r w:rsidRPr="00FE050D">
        <w:rPr>
          <w:rFonts w:asciiTheme="minorHAnsi" w:hAnsiTheme="minorHAnsi"/>
        </w:rPr>
        <w:t>4.5+ million attendances at race meetings every year</w:t>
      </w:r>
    </w:p>
    <w:p w:rsidR="00F05153" w:rsidRPr="00FE050D" w:rsidRDefault="00F05153" w:rsidP="008170C3">
      <w:pPr>
        <w:pStyle w:val="Default"/>
        <w:numPr>
          <w:ilvl w:val="0"/>
          <w:numId w:val="1"/>
        </w:numPr>
        <w:ind w:left="284" w:firstLine="0"/>
        <w:jc w:val="both"/>
        <w:rPr>
          <w:rFonts w:asciiTheme="minorHAnsi" w:hAnsiTheme="minorHAnsi"/>
          <w:b/>
        </w:rPr>
      </w:pPr>
      <w:r w:rsidRPr="00FE050D">
        <w:rPr>
          <w:rFonts w:asciiTheme="minorHAnsi" w:hAnsiTheme="minorHAnsi"/>
        </w:rPr>
        <w:t>100,000+ racing club members</w:t>
      </w:r>
    </w:p>
    <w:p w:rsidR="00F05153" w:rsidRPr="00FE050D" w:rsidRDefault="00F05153" w:rsidP="008170C3">
      <w:pPr>
        <w:pStyle w:val="Default"/>
        <w:numPr>
          <w:ilvl w:val="0"/>
          <w:numId w:val="1"/>
        </w:numPr>
        <w:ind w:left="284" w:firstLine="0"/>
        <w:jc w:val="both"/>
        <w:rPr>
          <w:rFonts w:asciiTheme="minorHAnsi" w:hAnsiTheme="minorHAnsi"/>
          <w:b/>
        </w:rPr>
      </w:pPr>
      <w:r w:rsidRPr="00FE050D">
        <w:rPr>
          <w:rFonts w:asciiTheme="minorHAnsi" w:hAnsiTheme="minorHAnsi"/>
        </w:rPr>
        <w:t>230,000+ employees, participants and volunteers</w:t>
      </w:r>
    </w:p>
    <w:p w:rsidR="00F05153" w:rsidRPr="00FE050D" w:rsidRDefault="00F05153" w:rsidP="008170C3">
      <w:pPr>
        <w:pStyle w:val="Default"/>
        <w:ind w:left="284"/>
        <w:jc w:val="both"/>
        <w:rPr>
          <w:rFonts w:asciiTheme="minorHAnsi" w:hAnsiTheme="minorHAnsi"/>
        </w:rPr>
      </w:pPr>
    </w:p>
    <w:p w:rsidR="00F05153" w:rsidRPr="00FE050D" w:rsidRDefault="00F05153" w:rsidP="008170C3">
      <w:pPr>
        <w:pStyle w:val="Default"/>
        <w:ind w:left="284"/>
        <w:jc w:val="both"/>
        <w:rPr>
          <w:rFonts w:asciiTheme="minorHAnsi" w:hAnsiTheme="minorHAnsi"/>
          <w:b/>
        </w:rPr>
      </w:pPr>
      <w:r w:rsidRPr="00FE050D">
        <w:rPr>
          <w:rFonts w:asciiTheme="minorHAnsi" w:hAnsiTheme="minorHAnsi"/>
          <w:b/>
        </w:rPr>
        <w:t>Economy</w:t>
      </w:r>
    </w:p>
    <w:p w:rsidR="00F05153" w:rsidRPr="00FE050D" w:rsidRDefault="00F05153" w:rsidP="008170C3">
      <w:pPr>
        <w:pStyle w:val="Default"/>
        <w:ind w:left="284"/>
        <w:jc w:val="both"/>
        <w:rPr>
          <w:rFonts w:asciiTheme="minorHAnsi" w:hAnsiTheme="minorHAnsi"/>
          <w:b/>
        </w:rPr>
      </w:pPr>
    </w:p>
    <w:p w:rsidR="00F05153" w:rsidRPr="00FE050D" w:rsidRDefault="00F05153" w:rsidP="008170C3">
      <w:pPr>
        <w:pStyle w:val="Default"/>
        <w:numPr>
          <w:ilvl w:val="0"/>
          <w:numId w:val="2"/>
        </w:numPr>
        <w:ind w:left="284" w:firstLine="0"/>
        <w:jc w:val="both"/>
        <w:rPr>
          <w:rFonts w:asciiTheme="minorHAnsi" w:hAnsiTheme="minorHAnsi"/>
          <w:b/>
        </w:rPr>
      </w:pPr>
      <w:r w:rsidRPr="00FE050D">
        <w:rPr>
          <w:rFonts w:asciiTheme="minorHAnsi" w:hAnsiTheme="minorHAnsi"/>
        </w:rPr>
        <w:t>5.0+ billion in value added</w:t>
      </w:r>
    </w:p>
    <w:p w:rsidR="00F05153" w:rsidRPr="00FE050D" w:rsidRDefault="00F05153" w:rsidP="008170C3">
      <w:pPr>
        <w:pStyle w:val="Default"/>
        <w:numPr>
          <w:ilvl w:val="0"/>
          <w:numId w:val="2"/>
        </w:numPr>
        <w:ind w:left="284" w:firstLine="0"/>
        <w:jc w:val="both"/>
        <w:rPr>
          <w:rFonts w:asciiTheme="minorHAnsi" w:hAnsiTheme="minorHAnsi"/>
          <w:b/>
        </w:rPr>
      </w:pPr>
      <w:r w:rsidRPr="00FE050D">
        <w:rPr>
          <w:rFonts w:asciiTheme="minorHAnsi" w:hAnsiTheme="minorHAnsi"/>
        </w:rPr>
        <w:t>49,000+ full time equivalent jobs</w:t>
      </w:r>
    </w:p>
    <w:p w:rsidR="00F05153" w:rsidRPr="00FE050D" w:rsidRDefault="00F05153" w:rsidP="008170C3">
      <w:pPr>
        <w:pStyle w:val="Default"/>
        <w:numPr>
          <w:ilvl w:val="0"/>
          <w:numId w:val="2"/>
        </w:numPr>
        <w:ind w:left="284" w:firstLine="0"/>
        <w:jc w:val="both"/>
        <w:rPr>
          <w:rFonts w:asciiTheme="minorHAnsi" w:hAnsiTheme="minorHAnsi"/>
          <w:b/>
        </w:rPr>
      </w:pPr>
      <w:r w:rsidRPr="00FE050D">
        <w:rPr>
          <w:rFonts w:asciiTheme="minorHAnsi" w:hAnsiTheme="minorHAnsi"/>
        </w:rPr>
        <w:t>$610+ million in taxes paid to State Governments</w:t>
      </w:r>
    </w:p>
    <w:p w:rsidR="00F05153" w:rsidRPr="00FE050D" w:rsidRDefault="00F05153" w:rsidP="008170C3">
      <w:pPr>
        <w:pStyle w:val="Default"/>
        <w:numPr>
          <w:ilvl w:val="0"/>
          <w:numId w:val="2"/>
        </w:numPr>
        <w:ind w:left="284" w:firstLine="0"/>
        <w:jc w:val="both"/>
        <w:rPr>
          <w:rFonts w:asciiTheme="minorHAnsi" w:hAnsiTheme="minorHAnsi"/>
          <w:b/>
        </w:rPr>
      </w:pPr>
      <w:r w:rsidRPr="00FE050D">
        <w:rPr>
          <w:rFonts w:asciiTheme="minorHAnsi" w:hAnsiTheme="minorHAnsi"/>
        </w:rPr>
        <w:t>$560+ million in taxes paid to Federal Governments</w:t>
      </w:r>
    </w:p>
    <w:p w:rsidR="00F05153" w:rsidRPr="00FE050D" w:rsidRDefault="00F05153" w:rsidP="008170C3">
      <w:pPr>
        <w:pStyle w:val="Default"/>
        <w:ind w:left="284"/>
        <w:jc w:val="both"/>
        <w:rPr>
          <w:rFonts w:asciiTheme="minorHAnsi" w:hAnsiTheme="minorHAnsi"/>
          <w:b/>
        </w:rPr>
      </w:pPr>
    </w:p>
    <w:p w:rsidR="00F05153" w:rsidRPr="00FE050D" w:rsidRDefault="00F05153" w:rsidP="008170C3">
      <w:pPr>
        <w:pStyle w:val="Default"/>
        <w:ind w:left="284"/>
        <w:jc w:val="both"/>
        <w:rPr>
          <w:rFonts w:asciiTheme="minorHAnsi" w:hAnsiTheme="minorHAnsi"/>
          <w:b/>
        </w:rPr>
      </w:pPr>
      <w:r w:rsidRPr="00FE050D">
        <w:rPr>
          <w:rFonts w:asciiTheme="minorHAnsi" w:hAnsiTheme="minorHAnsi"/>
          <w:b/>
        </w:rPr>
        <w:t>Global Reach</w:t>
      </w:r>
    </w:p>
    <w:p w:rsidR="00F05153" w:rsidRPr="00FE050D" w:rsidRDefault="00F05153" w:rsidP="008170C3">
      <w:pPr>
        <w:pStyle w:val="Default"/>
        <w:ind w:left="284"/>
        <w:jc w:val="both"/>
        <w:rPr>
          <w:rFonts w:asciiTheme="minorHAnsi" w:hAnsiTheme="minorHAnsi"/>
          <w:b/>
        </w:rPr>
      </w:pPr>
    </w:p>
    <w:p w:rsidR="00F05153" w:rsidRPr="00FE050D" w:rsidRDefault="00F05153" w:rsidP="008170C3">
      <w:pPr>
        <w:pStyle w:val="Default"/>
        <w:numPr>
          <w:ilvl w:val="0"/>
          <w:numId w:val="3"/>
        </w:numPr>
        <w:ind w:left="284" w:firstLine="0"/>
        <w:jc w:val="both"/>
        <w:rPr>
          <w:rFonts w:asciiTheme="minorHAnsi" w:hAnsiTheme="minorHAnsi"/>
          <w:b/>
        </w:rPr>
      </w:pPr>
      <w:r w:rsidRPr="00FE050D">
        <w:rPr>
          <w:rFonts w:asciiTheme="minorHAnsi" w:hAnsiTheme="minorHAnsi"/>
        </w:rPr>
        <w:t>700+ million Worldwide audience for the Melbourne Cup</w:t>
      </w:r>
    </w:p>
    <w:p w:rsidR="00F05153" w:rsidRPr="00FE050D" w:rsidRDefault="00F05153" w:rsidP="008170C3">
      <w:pPr>
        <w:pStyle w:val="Default"/>
        <w:numPr>
          <w:ilvl w:val="0"/>
          <w:numId w:val="3"/>
        </w:numPr>
        <w:ind w:left="284" w:firstLine="0"/>
        <w:jc w:val="both"/>
        <w:rPr>
          <w:rFonts w:asciiTheme="minorHAnsi" w:hAnsiTheme="minorHAnsi"/>
          <w:b/>
        </w:rPr>
      </w:pPr>
      <w:r w:rsidRPr="00FE050D">
        <w:rPr>
          <w:rFonts w:asciiTheme="minorHAnsi" w:hAnsiTheme="minorHAnsi"/>
        </w:rPr>
        <w:t xml:space="preserve">22 countries importing Australian </w:t>
      </w:r>
      <w:r>
        <w:rPr>
          <w:rFonts w:asciiTheme="minorHAnsi" w:hAnsiTheme="minorHAnsi"/>
        </w:rPr>
        <w:t>r</w:t>
      </w:r>
      <w:r w:rsidRPr="00FE050D">
        <w:rPr>
          <w:rFonts w:asciiTheme="minorHAnsi" w:hAnsiTheme="minorHAnsi"/>
        </w:rPr>
        <w:t>acehorses</w:t>
      </w:r>
    </w:p>
    <w:p w:rsidR="00F05153" w:rsidRPr="00FE050D" w:rsidRDefault="00F05153" w:rsidP="008170C3">
      <w:pPr>
        <w:pStyle w:val="Default"/>
        <w:numPr>
          <w:ilvl w:val="0"/>
          <w:numId w:val="3"/>
        </w:numPr>
        <w:ind w:hanging="436"/>
        <w:jc w:val="both"/>
        <w:rPr>
          <w:rFonts w:asciiTheme="minorHAnsi" w:hAnsiTheme="minorHAnsi"/>
          <w:b/>
        </w:rPr>
      </w:pPr>
      <w:r w:rsidRPr="00FE050D">
        <w:rPr>
          <w:rFonts w:asciiTheme="minorHAnsi" w:hAnsiTheme="minorHAnsi"/>
        </w:rPr>
        <w:t>20+ northern hemisphere international horses compete in the Melbourne Spring and Sydney Autumn Carnivals combined</w:t>
      </w:r>
    </w:p>
    <w:p w:rsidR="00F05153" w:rsidRPr="00FE050D" w:rsidRDefault="00F05153" w:rsidP="008170C3">
      <w:pPr>
        <w:pStyle w:val="Default"/>
        <w:numPr>
          <w:ilvl w:val="0"/>
          <w:numId w:val="3"/>
        </w:numPr>
        <w:ind w:left="284" w:firstLine="0"/>
        <w:jc w:val="both"/>
        <w:rPr>
          <w:rFonts w:asciiTheme="minorHAnsi" w:hAnsiTheme="minorHAnsi"/>
          <w:b/>
        </w:rPr>
      </w:pPr>
      <w:r w:rsidRPr="00FE050D">
        <w:rPr>
          <w:rFonts w:asciiTheme="minorHAnsi" w:hAnsiTheme="minorHAnsi"/>
        </w:rPr>
        <w:t>$750+ million international exports</w:t>
      </w:r>
    </w:p>
    <w:p w:rsidR="00F05153" w:rsidRPr="00FE050D" w:rsidRDefault="00F05153" w:rsidP="008170C3">
      <w:pPr>
        <w:pStyle w:val="Default"/>
        <w:ind w:left="284"/>
        <w:jc w:val="both"/>
        <w:rPr>
          <w:rFonts w:asciiTheme="minorHAnsi" w:hAnsiTheme="minorHAnsi"/>
        </w:rPr>
      </w:pPr>
    </w:p>
    <w:p w:rsidR="00F05153" w:rsidRPr="00FE050D" w:rsidRDefault="00F05153" w:rsidP="008170C3">
      <w:pPr>
        <w:pStyle w:val="Default"/>
        <w:ind w:left="284"/>
        <w:jc w:val="both"/>
        <w:rPr>
          <w:rFonts w:asciiTheme="minorHAnsi" w:hAnsiTheme="minorHAnsi"/>
          <w:b/>
        </w:rPr>
      </w:pPr>
      <w:r w:rsidRPr="00FE050D">
        <w:rPr>
          <w:rFonts w:asciiTheme="minorHAnsi" w:hAnsiTheme="minorHAnsi"/>
          <w:b/>
        </w:rPr>
        <w:t>Investment</w:t>
      </w:r>
    </w:p>
    <w:p w:rsidR="00F05153" w:rsidRPr="00FE050D" w:rsidRDefault="00F05153" w:rsidP="008170C3">
      <w:pPr>
        <w:pStyle w:val="Default"/>
        <w:ind w:left="284"/>
        <w:jc w:val="both"/>
        <w:rPr>
          <w:rFonts w:asciiTheme="minorHAnsi" w:hAnsiTheme="minorHAnsi"/>
          <w:b/>
        </w:rPr>
      </w:pPr>
    </w:p>
    <w:p w:rsidR="00F05153" w:rsidRPr="00FE050D" w:rsidRDefault="00F05153" w:rsidP="008170C3">
      <w:pPr>
        <w:pStyle w:val="Default"/>
        <w:numPr>
          <w:ilvl w:val="0"/>
          <w:numId w:val="4"/>
        </w:numPr>
        <w:ind w:left="284" w:firstLine="0"/>
        <w:jc w:val="both"/>
        <w:rPr>
          <w:rFonts w:asciiTheme="minorHAnsi" w:hAnsiTheme="minorHAnsi"/>
          <w:b/>
        </w:rPr>
      </w:pPr>
      <w:r w:rsidRPr="00FE050D">
        <w:rPr>
          <w:rFonts w:asciiTheme="minorHAnsi" w:hAnsiTheme="minorHAnsi"/>
        </w:rPr>
        <w:t>$1.1+ billion invested annually by breeders, owners and trainers</w:t>
      </w:r>
    </w:p>
    <w:p w:rsidR="00F05153" w:rsidRPr="00FE050D" w:rsidRDefault="00F05153" w:rsidP="008170C3">
      <w:pPr>
        <w:pStyle w:val="Default"/>
        <w:numPr>
          <w:ilvl w:val="0"/>
          <w:numId w:val="4"/>
        </w:numPr>
        <w:ind w:left="284" w:firstLine="0"/>
        <w:jc w:val="both"/>
        <w:rPr>
          <w:rFonts w:asciiTheme="minorHAnsi" w:hAnsiTheme="minorHAnsi"/>
          <w:b/>
        </w:rPr>
      </w:pPr>
      <w:r w:rsidRPr="00FE050D">
        <w:rPr>
          <w:rFonts w:asciiTheme="minorHAnsi" w:hAnsiTheme="minorHAnsi"/>
        </w:rPr>
        <w:t xml:space="preserve">100,000+ racehorse owners investing in Australian </w:t>
      </w:r>
      <w:r>
        <w:rPr>
          <w:rFonts w:asciiTheme="minorHAnsi" w:hAnsiTheme="minorHAnsi"/>
        </w:rPr>
        <w:t>r</w:t>
      </w:r>
      <w:r w:rsidRPr="00FE050D">
        <w:rPr>
          <w:rFonts w:asciiTheme="minorHAnsi" w:hAnsiTheme="minorHAnsi"/>
        </w:rPr>
        <w:t>acing</w:t>
      </w:r>
    </w:p>
    <w:p w:rsidR="00F05153" w:rsidRDefault="00F05153" w:rsidP="00F05153">
      <w:pPr>
        <w:rPr>
          <w:rFonts w:eastAsia="Times New Roman" w:cs="Times New Roman"/>
          <w:color w:val="000000"/>
          <w:lang w:val="en-US"/>
        </w:rPr>
      </w:pPr>
      <w:r>
        <w:br w:type="page"/>
      </w:r>
    </w:p>
    <w:p w:rsidR="00F05153" w:rsidRPr="00FE050D" w:rsidRDefault="008170C3" w:rsidP="008170C3">
      <w:pPr>
        <w:pStyle w:val="Heading6"/>
        <w:spacing w:before="0" w:line="240" w:lineRule="auto"/>
        <w:ind w:left="851" w:hanging="567"/>
        <w:jc w:val="both"/>
        <w:rPr>
          <w:rFonts w:asciiTheme="minorHAnsi" w:hAnsiTheme="minorHAnsi"/>
          <w:sz w:val="24"/>
          <w:szCs w:val="24"/>
        </w:rPr>
      </w:pPr>
      <w:r>
        <w:rPr>
          <w:rFonts w:asciiTheme="minorHAnsi" w:hAnsiTheme="minorHAnsi"/>
          <w:sz w:val="24"/>
          <w:szCs w:val="24"/>
        </w:rPr>
        <w:lastRenderedPageBreak/>
        <w:t>1.1</w:t>
      </w:r>
      <w:r w:rsidR="00F05153" w:rsidRPr="00FE050D">
        <w:rPr>
          <w:rFonts w:asciiTheme="minorHAnsi" w:hAnsiTheme="minorHAnsi"/>
          <w:sz w:val="24"/>
          <w:szCs w:val="24"/>
        </w:rPr>
        <w:tab/>
        <w:t xml:space="preserve">Significance of </w:t>
      </w:r>
      <w:r w:rsidR="00F05153">
        <w:rPr>
          <w:rFonts w:asciiTheme="minorHAnsi" w:hAnsiTheme="minorHAnsi"/>
          <w:sz w:val="24"/>
          <w:szCs w:val="24"/>
        </w:rPr>
        <w:t xml:space="preserve">the </w:t>
      </w:r>
      <w:r w:rsidR="00F05153" w:rsidRPr="00FE050D">
        <w:rPr>
          <w:rFonts w:asciiTheme="minorHAnsi" w:hAnsiTheme="minorHAnsi"/>
          <w:sz w:val="24"/>
          <w:szCs w:val="24"/>
        </w:rPr>
        <w:t xml:space="preserve">Thoroughbred </w:t>
      </w:r>
      <w:r w:rsidR="00F05153">
        <w:rPr>
          <w:rFonts w:asciiTheme="minorHAnsi" w:hAnsiTheme="minorHAnsi"/>
          <w:sz w:val="24"/>
          <w:szCs w:val="24"/>
        </w:rPr>
        <w:t>industry</w:t>
      </w:r>
      <w:r w:rsidR="00F05153" w:rsidRPr="00FE050D">
        <w:rPr>
          <w:rFonts w:asciiTheme="minorHAnsi" w:hAnsiTheme="minorHAnsi"/>
          <w:sz w:val="24"/>
          <w:szCs w:val="24"/>
        </w:rPr>
        <w:t xml:space="preserve"> to Australia</w:t>
      </w:r>
    </w:p>
    <w:p w:rsidR="00F05153" w:rsidRPr="00FE050D" w:rsidRDefault="00F05153" w:rsidP="00F05153">
      <w:pPr>
        <w:pStyle w:val="Heading6"/>
        <w:spacing w:before="0" w:line="240" w:lineRule="auto"/>
        <w:jc w:val="both"/>
        <w:rPr>
          <w:rFonts w:asciiTheme="minorHAnsi" w:hAnsiTheme="minorHAnsi"/>
          <w:sz w:val="24"/>
          <w:szCs w:val="24"/>
        </w:rPr>
      </w:pPr>
    </w:p>
    <w:p w:rsidR="00F05153" w:rsidRPr="00FE050D" w:rsidRDefault="00F05153" w:rsidP="008170C3">
      <w:pPr>
        <w:pStyle w:val="Heading6"/>
        <w:spacing w:before="0" w:line="240" w:lineRule="auto"/>
        <w:ind w:left="851"/>
        <w:jc w:val="both"/>
        <w:rPr>
          <w:rFonts w:asciiTheme="minorHAnsi" w:hAnsiTheme="minorHAnsi"/>
          <w:sz w:val="24"/>
          <w:szCs w:val="24"/>
        </w:rPr>
      </w:pPr>
      <w:r w:rsidRPr="00FE050D">
        <w:rPr>
          <w:rFonts w:asciiTheme="minorHAnsi" w:hAnsiTheme="minorHAnsi"/>
          <w:sz w:val="24"/>
          <w:szCs w:val="24"/>
        </w:rPr>
        <w:t>Employment</w:t>
      </w:r>
    </w:p>
    <w:p w:rsidR="00F05153" w:rsidRPr="00FE050D" w:rsidRDefault="00F05153" w:rsidP="008170C3">
      <w:pPr>
        <w:spacing w:after="0" w:line="240" w:lineRule="auto"/>
        <w:ind w:left="720"/>
        <w:jc w:val="both"/>
        <w:rPr>
          <w:sz w:val="24"/>
          <w:szCs w:val="24"/>
        </w:rPr>
      </w:pPr>
    </w:p>
    <w:p w:rsidR="00F05153" w:rsidRPr="00FE050D" w:rsidRDefault="00F05153" w:rsidP="008170C3">
      <w:pPr>
        <w:spacing w:after="0" w:line="240" w:lineRule="auto"/>
        <w:ind w:left="851"/>
        <w:jc w:val="both"/>
        <w:rPr>
          <w:sz w:val="24"/>
          <w:szCs w:val="24"/>
        </w:rPr>
      </w:pPr>
      <w:r w:rsidRPr="00FE050D">
        <w:rPr>
          <w:sz w:val="24"/>
          <w:szCs w:val="24"/>
        </w:rPr>
        <w:t>IER’s assessment found that the set of activities associated with, breeding, training, racing and wagering, directly accounted for an estimated 48,680 full-time equivalent (FTE) jobs in 2005-06. An estimated 9,900 breeders employed 17,990 staff, 80 percent of who were based in non-metropolitan areas. An estimated 1,280 trainers (from a total of 4,700 trainers Australia-wide) and their 3,100 staff were also concentrated in non-metropolitan Australia. 1,500 full-time staff, 12,000 part-time staff and 1,000 jockeys were employed in delivering the race day product.  Bookmakers totalled 700 and they employed an additional 1,400 people.  TAB wagering staff totalled an estimated 4,700. IER’s study found that racing and breeding also help to sustain employment in other areas of the economy, such as feed merchants, veterinarians, farriers, transport companies, caterers, hoteliers, and the fashion industry.</w:t>
      </w:r>
    </w:p>
    <w:p w:rsidR="00F05153" w:rsidRPr="00FE050D" w:rsidRDefault="00F05153" w:rsidP="008170C3">
      <w:pPr>
        <w:pStyle w:val="Heading6"/>
        <w:spacing w:before="0" w:line="240" w:lineRule="auto"/>
        <w:ind w:left="131"/>
        <w:jc w:val="both"/>
        <w:rPr>
          <w:rFonts w:asciiTheme="minorHAnsi" w:hAnsiTheme="minorHAnsi"/>
          <w:sz w:val="24"/>
          <w:szCs w:val="24"/>
        </w:rPr>
      </w:pPr>
    </w:p>
    <w:p w:rsidR="00F05153" w:rsidRPr="00FE050D" w:rsidRDefault="00F05153" w:rsidP="008170C3">
      <w:pPr>
        <w:pStyle w:val="Heading6"/>
        <w:spacing w:before="0" w:line="240" w:lineRule="auto"/>
        <w:ind w:left="851"/>
        <w:jc w:val="both"/>
        <w:rPr>
          <w:rFonts w:asciiTheme="minorHAnsi" w:hAnsiTheme="minorHAnsi"/>
          <w:sz w:val="24"/>
          <w:szCs w:val="24"/>
        </w:rPr>
      </w:pPr>
      <w:r w:rsidRPr="00FE050D">
        <w:rPr>
          <w:rFonts w:asciiTheme="minorHAnsi" w:hAnsiTheme="minorHAnsi"/>
          <w:sz w:val="24"/>
          <w:szCs w:val="24"/>
        </w:rPr>
        <w:t>Participation</w:t>
      </w:r>
    </w:p>
    <w:p w:rsidR="00F05153" w:rsidRPr="00FE050D" w:rsidRDefault="00F05153" w:rsidP="008170C3">
      <w:pPr>
        <w:spacing w:after="0" w:line="240" w:lineRule="auto"/>
        <w:ind w:left="131"/>
        <w:rPr>
          <w:sz w:val="24"/>
          <w:szCs w:val="24"/>
        </w:rPr>
      </w:pPr>
    </w:p>
    <w:p w:rsidR="00F05153" w:rsidRPr="00FE050D" w:rsidRDefault="00F05153" w:rsidP="008170C3">
      <w:pPr>
        <w:spacing w:after="0" w:line="240" w:lineRule="auto"/>
        <w:ind w:left="851"/>
        <w:jc w:val="both"/>
        <w:rPr>
          <w:sz w:val="24"/>
          <w:szCs w:val="24"/>
        </w:rPr>
      </w:pPr>
      <w:r w:rsidRPr="00FE050D">
        <w:rPr>
          <w:sz w:val="24"/>
          <w:szCs w:val="24"/>
        </w:rPr>
        <w:t>People participate in three main ways: producing and delivering the ‘racing product’; attending race meetings; and wagering on horse racing.</w:t>
      </w:r>
    </w:p>
    <w:p w:rsidR="00F05153" w:rsidRPr="00FE050D" w:rsidRDefault="00F05153" w:rsidP="008170C3">
      <w:pPr>
        <w:spacing w:after="0" w:line="240" w:lineRule="auto"/>
        <w:ind w:left="131"/>
        <w:jc w:val="both"/>
        <w:rPr>
          <w:sz w:val="24"/>
          <w:szCs w:val="24"/>
        </w:rPr>
      </w:pPr>
    </w:p>
    <w:p w:rsidR="00F05153" w:rsidRPr="00FE050D" w:rsidRDefault="00F05153" w:rsidP="008170C3">
      <w:pPr>
        <w:spacing w:after="0" w:line="240" w:lineRule="auto"/>
        <w:ind w:left="851"/>
        <w:jc w:val="both"/>
        <w:rPr>
          <w:sz w:val="24"/>
          <w:szCs w:val="24"/>
        </w:rPr>
      </w:pPr>
      <w:r w:rsidRPr="00FE050D">
        <w:rPr>
          <w:sz w:val="24"/>
          <w:szCs w:val="24"/>
        </w:rPr>
        <w:t xml:space="preserve">The total number of people involved in producing the race product is much larger than the 48,680 FTE employees recorded above because of the considerable extent of part-time, casual and unpaid work.  In fact, closer to 230,000 people are involved in the TRI, two-thirds of </w:t>
      </w:r>
      <w:proofErr w:type="gramStart"/>
      <w:r w:rsidRPr="00FE050D">
        <w:rPr>
          <w:sz w:val="24"/>
          <w:szCs w:val="24"/>
        </w:rPr>
        <w:t>whom</w:t>
      </w:r>
      <w:proofErr w:type="gramEnd"/>
      <w:r w:rsidRPr="00FE050D">
        <w:rPr>
          <w:sz w:val="24"/>
          <w:szCs w:val="24"/>
        </w:rPr>
        <w:t xml:space="preserve"> are tied to provincial and country racing.</w:t>
      </w:r>
    </w:p>
    <w:p w:rsidR="00F05153" w:rsidRPr="00FE050D" w:rsidRDefault="00F05153" w:rsidP="008170C3">
      <w:pPr>
        <w:spacing w:after="0" w:line="240" w:lineRule="auto"/>
        <w:ind w:left="851"/>
        <w:jc w:val="both"/>
        <w:rPr>
          <w:sz w:val="24"/>
          <w:szCs w:val="24"/>
        </w:rPr>
      </w:pPr>
      <w:r w:rsidRPr="00FE050D">
        <w:rPr>
          <w:sz w:val="24"/>
          <w:szCs w:val="24"/>
        </w:rPr>
        <w:t xml:space="preserve">  </w:t>
      </w:r>
    </w:p>
    <w:p w:rsidR="00F05153" w:rsidRPr="00FE050D" w:rsidRDefault="00F05153" w:rsidP="008170C3">
      <w:pPr>
        <w:pStyle w:val="Default"/>
        <w:ind w:left="851"/>
        <w:jc w:val="both"/>
        <w:rPr>
          <w:rFonts w:asciiTheme="minorHAnsi" w:hAnsiTheme="minorHAnsi"/>
        </w:rPr>
      </w:pPr>
      <w:r w:rsidRPr="00FE050D">
        <w:rPr>
          <w:rFonts w:asciiTheme="minorHAnsi" w:hAnsiTheme="minorHAnsi"/>
        </w:rPr>
        <w:t>Horse racing is one of Australia’s oldest and most popular sports. The first organized thoroughbred race meeting in this country was held in Hyde Park, Sydney, in 1810, with Governor Macquarie in attendance. Today, about 2 million Australians attend a thoroughbred race meeting at least once per year, ranking it second only to AFL in terms of attendance</w:t>
      </w:r>
      <w:r w:rsidRPr="00FE050D">
        <w:rPr>
          <w:rFonts w:asciiTheme="minorHAnsi" w:hAnsiTheme="minorHAnsi"/>
          <w:vertAlign w:val="superscript"/>
        </w:rPr>
        <w:t>1</w:t>
      </w:r>
      <w:r w:rsidRPr="00FE050D">
        <w:rPr>
          <w:rFonts w:asciiTheme="minorHAnsi" w:hAnsiTheme="minorHAnsi"/>
        </w:rPr>
        <w:t xml:space="preserve">. While racing’s best known event, the Melbourne Cup, is now an international spectacle viewed by 700 million people, at the same time racing continues largely unchanged in picnic meetings run throughout country Australia where almost every place big enough to be called a town – as well as in some that are not – has its own racetrack. For many rural communities, their Cup race day remains one of the social highlights of the year. </w:t>
      </w:r>
    </w:p>
    <w:p w:rsidR="00F05153" w:rsidRPr="00FE050D" w:rsidRDefault="00F05153" w:rsidP="00F05153">
      <w:pPr>
        <w:pStyle w:val="Default"/>
        <w:ind w:left="131"/>
        <w:jc w:val="both"/>
      </w:pPr>
    </w:p>
    <w:p w:rsidR="00F05153" w:rsidRPr="00FE050D" w:rsidRDefault="00F05153" w:rsidP="008170C3">
      <w:pPr>
        <w:spacing w:after="0" w:line="240" w:lineRule="auto"/>
        <w:ind w:left="851"/>
        <w:jc w:val="both"/>
        <w:rPr>
          <w:sz w:val="24"/>
          <w:szCs w:val="24"/>
          <w:lang w:val="en-US"/>
        </w:rPr>
      </w:pPr>
      <w:r w:rsidRPr="00FE050D">
        <w:rPr>
          <w:sz w:val="24"/>
          <w:szCs w:val="24"/>
          <w:lang w:val="en-US"/>
        </w:rPr>
        <w:t>It can be said that Australia has three truly national days: ANZAC Day; Australia Day; and the Melbourne Cup.</w:t>
      </w:r>
    </w:p>
    <w:p w:rsidR="00F05153" w:rsidRDefault="00F05153" w:rsidP="00F05153">
      <w:pPr>
        <w:spacing w:after="0" w:line="240" w:lineRule="auto"/>
        <w:ind w:left="851"/>
        <w:jc w:val="both"/>
        <w:rPr>
          <w:lang w:val="en-US"/>
        </w:rPr>
      </w:pPr>
    </w:p>
    <w:p w:rsidR="00F05153" w:rsidRDefault="00F05153" w:rsidP="00F05153">
      <w:pPr>
        <w:spacing w:after="0" w:line="240" w:lineRule="auto"/>
        <w:ind w:left="851"/>
        <w:jc w:val="both"/>
        <w:rPr>
          <w:lang w:val="en-US"/>
        </w:rPr>
      </w:pPr>
    </w:p>
    <w:p w:rsidR="00F05153" w:rsidRDefault="00F05153" w:rsidP="00F05153">
      <w:pPr>
        <w:spacing w:after="0" w:line="240" w:lineRule="auto"/>
        <w:ind w:left="851"/>
        <w:jc w:val="both"/>
        <w:rPr>
          <w:lang w:val="en-US"/>
        </w:rPr>
      </w:pPr>
    </w:p>
    <w:p w:rsidR="00F05153" w:rsidRDefault="00F05153" w:rsidP="00F05153">
      <w:pPr>
        <w:spacing w:after="0" w:line="240" w:lineRule="auto"/>
        <w:ind w:left="851"/>
        <w:jc w:val="both"/>
        <w:rPr>
          <w:lang w:val="en-US"/>
        </w:rPr>
      </w:pPr>
    </w:p>
    <w:p w:rsidR="00F05153" w:rsidRDefault="00F05153" w:rsidP="00F05153">
      <w:pPr>
        <w:spacing w:after="0" w:line="240" w:lineRule="auto"/>
        <w:ind w:left="851"/>
        <w:jc w:val="both"/>
        <w:rPr>
          <w:lang w:val="en-US"/>
        </w:rPr>
      </w:pPr>
    </w:p>
    <w:p w:rsidR="00F05153" w:rsidRPr="0079552C" w:rsidRDefault="00F05153" w:rsidP="00F05153">
      <w:pPr>
        <w:pBdr>
          <w:top w:val="single" w:sz="4" w:space="1" w:color="auto"/>
        </w:pBdr>
        <w:spacing w:after="0" w:line="240" w:lineRule="auto"/>
        <w:ind w:left="851"/>
        <w:jc w:val="both"/>
        <w:rPr>
          <w:sz w:val="20"/>
          <w:szCs w:val="20"/>
          <w:lang w:val="en-US"/>
        </w:rPr>
      </w:pPr>
      <w:proofErr w:type="gramStart"/>
      <w:r w:rsidRPr="0079552C">
        <w:rPr>
          <w:sz w:val="20"/>
          <w:szCs w:val="20"/>
          <w:vertAlign w:val="superscript"/>
          <w:lang w:val="en-US"/>
        </w:rPr>
        <w:t>1</w:t>
      </w:r>
      <w:r>
        <w:rPr>
          <w:sz w:val="20"/>
          <w:szCs w:val="20"/>
          <w:lang w:val="en-US"/>
        </w:rPr>
        <w:t xml:space="preserve">  ABS</w:t>
      </w:r>
      <w:proofErr w:type="gramEnd"/>
      <w:r>
        <w:rPr>
          <w:sz w:val="20"/>
          <w:szCs w:val="20"/>
          <w:lang w:val="en-US"/>
        </w:rPr>
        <w:t xml:space="preserve"> A</w:t>
      </w:r>
      <w:r w:rsidRPr="0079552C">
        <w:rPr>
          <w:sz w:val="20"/>
          <w:szCs w:val="20"/>
          <w:lang w:val="en-US"/>
        </w:rPr>
        <w:t xml:space="preserve">ttendance of </w:t>
      </w:r>
      <w:r>
        <w:rPr>
          <w:sz w:val="20"/>
          <w:szCs w:val="20"/>
          <w:lang w:val="en-US"/>
        </w:rPr>
        <w:t>S</w:t>
      </w:r>
      <w:r w:rsidRPr="0079552C">
        <w:rPr>
          <w:sz w:val="20"/>
          <w:szCs w:val="20"/>
          <w:lang w:val="en-US"/>
        </w:rPr>
        <w:t>port</w:t>
      </w:r>
    </w:p>
    <w:p w:rsidR="008170C3" w:rsidRDefault="008170C3" w:rsidP="008170C3">
      <w:pPr>
        <w:ind w:left="1440"/>
        <w:rPr>
          <w:b/>
          <w:sz w:val="24"/>
          <w:szCs w:val="24"/>
        </w:rPr>
      </w:pPr>
    </w:p>
    <w:p w:rsidR="00F05153" w:rsidRPr="00FE050D" w:rsidRDefault="00F05153" w:rsidP="008170C3">
      <w:pPr>
        <w:ind w:left="851"/>
        <w:rPr>
          <w:sz w:val="24"/>
          <w:szCs w:val="24"/>
        </w:rPr>
      </w:pPr>
      <w:r w:rsidRPr="00FE050D">
        <w:rPr>
          <w:b/>
          <w:sz w:val="24"/>
          <w:szCs w:val="24"/>
        </w:rPr>
        <w:lastRenderedPageBreak/>
        <w:t>Taxation revenue</w:t>
      </w:r>
    </w:p>
    <w:p w:rsidR="00F05153" w:rsidRPr="00FE050D" w:rsidRDefault="00F05153" w:rsidP="008170C3">
      <w:pPr>
        <w:spacing w:after="0" w:line="240" w:lineRule="auto"/>
        <w:ind w:left="851"/>
        <w:jc w:val="both"/>
        <w:rPr>
          <w:sz w:val="24"/>
          <w:szCs w:val="24"/>
        </w:rPr>
      </w:pPr>
      <w:r>
        <w:rPr>
          <w:sz w:val="24"/>
          <w:szCs w:val="24"/>
        </w:rPr>
        <w:t>T</w:t>
      </w:r>
      <w:r w:rsidRPr="00FE050D">
        <w:rPr>
          <w:sz w:val="24"/>
          <w:szCs w:val="24"/>
        </w:rPr>
        <w:t>he TRI generate</w:t>
      </w:r>
      <w:r>
        <w:rPr>
          <w:sz w:val="24"/>
          <w:szCs w:val="24"/>
        </w:rPr>
        <w:t>s</w:t>
      </w:r>
      <w:r w:rsidRPr="00FE050D">
        <w:rPr>
          <w:sz w:val="24"/>
          <w:szCs w:val="24"/>
        </w:rPr>
        <w:t xml:space="preserve"> nearly $1.2 billion in </w:t>
      </w:r>
      <w:r>
        <w:rPr>
          <w:sz w:val="24"/>
          <w:szCs w:val="24"/>
        </w:rPr>
        <w:t xml:space="preserve">Federal and State </w:t>
      </w:r>
      <w:r w:rsidRPr="00FE050D">
        <w:rPr>
          <w:sz w:val="24"/>
          <w:szCs w:val="24"/>
        </w:rPr>
        <w:t xml:space="preserve">taxes each year. Taxes on wagering comprised almost half of this amount, with GST the next largest component. </w:t>
      </w:r>
    </w:p>
    <w:p w:rsidR="00F05153" w:rsidRDefault="00F05153" w:rsidP="00F05153">
      <w:pPr>
        <w:spacing w:after="0" w:line="240" w:lineRule="auto"/>
        <w:rPr>
          <w:rFonts w:eastAsia="Times New Roman" w:cs="Times New Roman"/>
          <w:color w:val="000000"/>
          <w:u w:val="single"/>
          <w:lang w:val="en-US"/>
        </w:rPr>
      </w:pPr>
    </w:p>
    <w:p w:rsidR="00F05153" w:rsidRPr="008170C3" w:rsidRDefault="008170C3" w:rsidP="008170C3">
      <w:pPr>
        <w:pStyle w:val="Heading2"/>
      </w:pPr>
      <w:r w:rsidRPr="008170C3">
        <w:t>1.2</w:t>
      </w:r>
      <w:r w:rsidRPr="008170C3">
        <w:tab/>
      </w:r>
      <w:r w:rsidR="00F05153" w:rsidRPr="008170C3">
        <w:t>International significance of Australian Thoroughbred Racing</w:t>
      </w:r>
    </w:p>
    <w:p w:rsidR="00F05153" w:rsidRPr="00FE050D" w:rsidRDefault="00F05153" w:rsidP="00F05153">
      <w:pPr>
        <w:spacing w:after="0" w:line="240" w:lineRule="auto"/>
        <w:rPr>
          <w:sz w:val="24"/>
          <w:szCs w:val="24"/>
        </w:rPr>
      </w:pPr>
    </w:p>
    <w:p w:rsidR="00F05153" w:rsidRPr="00FE050D" w:rsidRDefault="00F05153" w:rsidP="00F05153">
      <w:pPr>
        <w:spacing w:after="0" w:line="240" w:lineRule="auto"/>
        <w:ind w:left="851"/>
        <w:jc w:val="both"/>
        <w:rPr>
          <w:sz w:val="24"/>
          <w:szCs w:val="24"/>
        </w:rPr>
      </w:pPr>
      <w:r w:rsidRPr="00FE050D">
        <w:rPr>
          <w:sz w:val="24"/>
          <w:szCs w:val="24"/>
        </w:rPr>
        <w:t>There are 371 race clubs in Australia, which is more than any other country in the world.</w:t>
      </w:r>
    </w:p>
    <w:p w:rsidR="00F05153" w:rsidRPr="00FE050D" w:rsidRDefault="00F05153" w:rsidP="00F05153">
      <w:pPr>
        <w:spacing w:after="0" w:line="240" w:lineRule="auto"/>
        <w:ind w:left="1440"/>
        <w:jc w:val="both"/>
        <w:rPr>
          <w:sz w:val="24"/>
          <w:szCs w:val="24"/>
        </w:rPr>
      </w:pPr>
    </w:p>
    <w:p w:rsidR="00F05153" w:rsidRPr="00FE050D" w:rsidRDefault="00F05153" w:rsidP="00F05153">
      <w:pPr>
        <w:spacing w:after="0" w:line="240" w:lineRule="auto"/>
        <w:ind w:left="851"/>
        <w:jc w:val="both"/>
        <w:rPr>
          <w:sz w:val="24"/>
          <w:szCs w:val="24"/>
        </w:rPr>
      </w:pPr>
      <w:r w:rsidRPr="00FE050D">
        <w:rPr>
          <w:sz w:val="24"/>
          <w:szCs w:val="24"/>
        </w:rPr>
        <w:t xml:space="preserve">On a per capita, basis Australia has arguably the strongest racing industry in the world. Even in aggregate terms the TRI ranks in the top 3 racing industries in the world on all industry indicators notwithstanding its much smaller population and economy </w:t>
      </w:r>
      <w:r w:rsidRPr="00FE050D">
        <w:rPr>
          <w:i/>
          <w:sz w:val="24"/>
          <w:szCs w:val="24"/>
        </w:rPr>
        <w:t>vis a vis</w:t>
      </w:r>
      <w:r w:rsidRPr="00FE050D">
        <w:rPr>
          <w:sz w:val="24"/>
          <w:szCs w:val="24"/>
        </w:rPr>
        <w:t xml:space="preserve"> competitors such as the US, Japan, Great Britain and France.</w:t>
      </w:r>
    </w:p>
    <w:p w:rsidR="00F05153" w:rsidRPr="00FE050D" w:rsidRDefault="00F05153" w:rsidP="00F05153">
      <w:pPr>
        <w:spacing w:after="0" w:line="240" w:lineRule="auto"/>
        <w:jc w:val="both"/>
        <w:rPr>
          <w:sz w:val="24"/>
          <w:szCs w:val="24"/>
        </w:rPr>
      </w:pPr>
    </w:p>
    <w:p w:rsidR="00F05153" w:rsidRDefault="00F05153" w:rsidP="008170C3">
      <w:pPr>
        <w:pStyle w:val="Caption"/>
        <w:spacing w:before="0" w:after="0" w:line="240" w:lineRule="auto"/>
        <w:ind w:left="851"/>
        <w:rPr>
          <w:rFonts w:asciiTheme="minorHAnsi" w:hAnsiTheme="minorHAnsi"/>
          <w:sz w:val="24"/>
          <w:szCs w:val="24"/>
        </w:rPr>
      </w:pPr>
      <w:bookmarkStart w:id="1" w:name="_Ref200314751"/>
      <w:r w:rsidRPr="00FE050D">
        <w:rPr>
          <w:rFonts w:asciiTheme="minorHAnsi" w:hAnsiTheme="minorHAnsi"/>
          <w:sz w:val="24"/>
          <w:szCs w:val="24"/>
        </w:rPr>
        <w:t>Australian Thoroughbred racing on a world stage</w:t>
      </w:r>
      <w:bookmarkEnd w:id="1"/>
    </w:p>
    <w:p w:rsidR="00F05153" w:rsidRPr="00DB3D16" w:rsidRDefault="00F05153" w:rsidP="00F05153">
      <w:pPr>
        <w:spacing w:after="0" w:line="240" w:lineRule="auto"/>
        <w:rPr>
          <w:sz w:val="16"/>
          <w:szCs w:val="16"/>
        </w:rPr>
      </w:pPr>
    </w:p>
    <w:tbl>
      <w:tblPr>
        <w:tblW w:w="8931" w:type="dxa"/>
        <w:tblInd w:w="7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00"/>
        <w:gridCol w:w="1863"/>
        <w:gridCol w:w="2056"/>
        <w:gridCol w:w="2056"/>
        <w:gridCol w:w="2056"/>
      </w:tblGrid>
      <w:tr w:rsidR="00F05153" w:rsidRPr="000874CD" w:rsidTr="00AD5815">
        <w:trPr>
          <w:trHeight w:val="80"/>
          <w:tblHeader/>
        </w:trPr>
        <w:tc>
          <w:tcPr>
            <w:tcW w:w="900" w:type="dxa"/>
            <w:tcBorders>
              <w:top w:val="nil"/>
              <w:left w:val="nil"/>
              <w:bottom w:val="single" w:sz="12" w:space="0" w:color="177B57"/>
              <w:right w:val="nil"/>
            </w:tcBorders>
          </w:tcPr>
          <w:p w:rsidR="00F05153" w:rsidRPr="00FE050D" w:rsidRDefault="00F05153" w:rsidP="00AD5815">
            <w:pPr>
              <w:pStyle w:val="TableHeading1"/>
              <w:spacing w:before="0" w:after="0" w:line="240" w:lineRule="auto"/>
              <w:rPr>
                <w:rFonts w:asciiTheme="minorHAnsi" w:hAnsiTheme="minorHAnsi"/>
                <w:sz w:val="24"/>
                <w:szCs w:val="24"/>
              </w:rPr>
            </w:pPr>
            <w:r w:rsidRPr="00FE050D">
              <w:rPr>
                <w:rFonts w:asciiTheme="minorHAnsi" w:hAnsiTheme="minorHAnsi"/>
                <w:sz w:val="24"/>
                <w:szCs w:val="24"/>
              </w:rPr>
              <w:t>Rank</w:t>
            </w:r>
          </w:p>
        </w:tc>
        <w:tc>
          <w:tcPr>
            <w:tcW w:w="1863" w:type="dxa"/>
            <w:tcBorders>
              <w:top w:val="nil"/>
              <w:left w:val="nil"/>
              <w:bottom w:val="single" w:sz="12" w:space="0" w:color="177B57"/>
              <w:right w:val="nil"/>
            </w:tcBorders>
          </w:tcPr>
          <w:p w:rsidR="00F05153" w:rsidRPr="00FE050D" w:rsidRDefault="00F05153" w:rsidP="00AD5815">
            <w:pPr>
              <w:pStyle w:val="TableHeading1"/>
              <w:spacing w:before="0" w:after="0" w:line="240" w:lineRule="auto"/>
              <w:rPr>
                <w:rFonts w:asciiTheme="minorHAnsi" w:hAnsiTheme="minorHAnsi"/>
                <w:sz w:val="24"/>
                <w:szCs w:val="24"/>
              </w:rPr>
            </w:pPr>
            <w:r w:rsidRPr="00FE050D">
              <w:rPr>
                <w:rFonts w:asciiTheme="minorHAnsi" w:hAnsiTheme="minorHAnsi"/>
                <w:sz w:val="24"/>
                <w:szCs w:val="24"/>
              </w:rPr>
              <w:t>Starts</w:t>
            </w:r>
          </w:p>
        </w:tc>
        <w:tc>
          <w:tcPr>
            <w:tcW w:w="2056" w:type="dxa"/>
            <w:tcBorders>
              <w:top w:val="nil"/>
              <w:left w:val="nil"/>
              <w:bottom w:val="single" w:sz="12" w:space="0" w:color="177B57"/>
              <w:right w:val="nil"/>
            </w:tcBorders>
          </w:tcPr>
          <w:p w:rsidR="00F05153" w:rsidRPr="00FE050D" w:rsidRDefault="00F05153" w:rsidP="00AD5815">
            <w:pPr>
              <w:pStyle w:val="TableHeading1"/>
              <w:spacing w:before="0" w:after="0" w:line="240" w:lineRule="auto"/>
              <w:rPr>
                <w:rFonts w:asciiTheme="minorHAnsi" w:hAnsiTheme="minorHAnsi"/>
                <w:sz w:val="24"/>
                <w:szCs w:val="24"/>
              </w:rPr>
            </w:pPr>
            <w:r w:rsidRPr="00FE050D">
              <w:rPr>
                <w:rFonts w:asciiTheme="minorHAnsi" w:hAnsiTheme="minorHAnsi"/>
                <w:sz w:val="24"/>
                <w:szCs w:val="24"/>
              </w:rPr>
              <w:t>Black type races</w:t>
            </w:r>
          </w:p>
        </w:tc>
        <w:tc>
          <w:tcPr>
            <w:tcW w:w="2056" w:type="dxa"/>
            <w:tcBorders>
              <w:top w:val="nil"/>
              <w:left w:val="nil"/>
              <w:bottom w:val="single" w:sz="12" w:space="0" w:color="177B57"/>
              <w:right w:val="nil"/>
            </w:tcBorders>
            <w:shd w:val="clear" w:color="auto" w:fill="auto"/>
          </w:tcPr>
          <w:p w:rsidR="00F05153" w:rsidRPr="00FE050D" w:rsidRDefault="00F05153" w:rsidP="00AD5815">
            <w:pPr>
              <w:pStyle w:val="TableHeading1"/>
              <w:spacing w:before="0" w:after="0" w:line="240" w:lineRule="auto"/>
              <w:rPr>
                <w:rFonts w:asciiTheme="minorHAnsi" w:hAnsiTheme="minorHAnsi"/>
                <w:sz w:val="24"/>
                <w:szCs w:val="24"/>
              </w:rPr>
            </w:pPr>
            <w:r w:rsidRPr="00FE050D">
              <w:rPr>
                <w:rFonts w:asciiTheme="minorHAnsi" w:hAnsiTheme="minorHAnsi"/>
                <w:sz w:val="24"/>
                <w:szCs w:val="24"/>
              </w:rPr>
              <w:t>Prize money</w:t>
            </w:r>
          </w:p>
        </w:tc>
        <w:tc>
          <w:tcPr>
            <w:tcW w:w="2056" w:type="dxa"/>
            <w:tcBorders>
              <w:top w:val="nil"/>
              <w:left w:val="nil"/>
              <w:bottom w:val="single" w:sz="12" w:space="0" w:color="177B57"/>
              <w:right w:val="nil"/>
            </w:tcBorders>
            <w:shd w:val="clear" w:color="auto" w:fill="auto"/>
          </w:tcPr>
          <w:p w:rsidR="00F05153" w:rsidRPr="00FE050D" w:rsidRDefault="00F05153" w:rsidP="00AD5815">
            <w:pPr>
              <w:pStyle w:val="TableHeading1"/>
              <w:spacing w:before="0" w:after="0" w:line="240" w:lineRule="auto"/>
              <w:rPr>
                <w:rFonts w:asciiTheme="minorHAnsi" w:hAnsiTheme="minorHAnsi"/>
                <w:sz w:val="24"/>
                <w:szCs w:val="24"/>
              </w:rPr>
            </w:pPr>
            <w:r w:rsidRPr="00FE050D">
              <w:rPr>
                <w:rFonts w:asciiTheme="minorHAnsi" w:hAnsiTheme="minorHAnsi"/>
                <w:sz w:val="24"/>
                <w:szCs w:val="24"/>
              </w:rPr>
              <w:t>Foals born</w:t>
            </w:r>
          </w:p>
        </w:tc>
      </w:tr>
      <w:tr w:rsidR="00F05153" w:rsidRPr="000874CD" w:rsidTr="00AD5815">
        <w:trPr>
          <w:trHeight w:val="20"/>
        </w:trPr>
        <w:tc>
          <w:tcPr>
            <w:tcW w:w="900" w:type="dxa"/>
            <w:tcBorders>
              <w:top w:val="single" w:sz="12" w:space="0" w:color="177B57"/>
              <w:left w:val="nil"/>
              <w:bottom w:val="single" w:sz="6" w:space="0" w:color="999999"/>
              <w:right w:val="nil"/>
            </w:tcBorders>
            <w:vAlign w:val="center"/>
          </w:tcPr>
          <w:p w:rsidR="00F05153" w:rsidRPr="00FE050D" w:rsidRDefault="00F05153" w:rsidP="00AD5815">
            <w:pPr>
              <w:spacing w:after="0" w:line="240" w:lineRule="auto"/>
              <w:jc w:val="center"/>
              <w:rPr>
                <w:b/>
                <w:sz w:val="24"/>
                <w:szCs w:val="24"/>
              </w:rPr>
            </w:pPr>
            <w:r w:rsidRPr="00FE050D">
              <w:rPr>
                <w:b/>
                <w:sz w:val="24"/>
                <w:szCs w:val="24"/>
              </w:rPr>
              <w:t>1</w:t>
            </w:r>
          </w:p>
        </w:tc>
        <w:tc>
          <w:tcPr>
            <w:tcW w:w="1863" w:type="dxa"/>
            <w:tcBorders>
              <w:top w:val="single" w:sz="12" w:space="0" w:color="177B57"/>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USA</w:t>
            </w:r>
          </w:p>
        </w:tc>
        <w:tc>
          <w:tcPr>
            <w:tcW w:w="2056" w:type="dxa"/>
            <w:tcBorders>
              <w:top w:val="single" w:sz="12" w:space="0" w:color="177B57"/>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USA</w:t>
            </w:r>
          </w:p>
        </w:tc>
        <w:tc>
          <w:tcPr>
            <w:tcW w:w="2056" w:type="dxa"/>
            <w:tcBorders>
              <w:top w:val="single" w:sz="12" w:space="0" w:color="177B57"/>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USA</w:t>
            </w:r>
          </w:p>
        </w:tc>
        <w:tc>
          <w:tcPr>
            <w:tcW w:w="2056" w:type="dxa"/>
            <w:tcBorders>
              <w:top w:val="single" w:sz="12" w:space="0" w:color="177B57"/>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USA</w:t>
            </w:r>
          </w:p>
        </w:tc>
      </w:tr>
      <w:tr w:rsidR="00F05153" w:rsidRPr="000874CD" w:rsidTr="00AD5815">
        <w:trPr>
          <w:trHeight w:val="20"/>
        </w:trPr>
        <w:tc>
          <w:tcPr>
            <w:tcW w:w="900"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b/>
                <w:sz w:val="24"/>
                <w:szCs w:val="24"/>
              </w:rPr>
            </w:pPr>
            <w:r w:rsidRPr="00FE050D">
              <w:rPr>
                <w:b/>
                <w:sz w:val="24"/>
                <w:szCs w:val="24"/>
              </w:rPr>
              <w:t>2</w:t>
            </w:r>
          </w:p>
        </w:tc>
        <w:tc>
          <w:tcPr>
            <w:tcW w:w="1863"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Australia</w:t>
            </w:r>
          </w:p>
        </w:tc>
        <w:tc>
          <w:tcPr>
            <w:tcW w:w="2056"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Australia</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Japan</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Australia</w:t>
            </w:r>
          </w:p>
        </w:tc>
      </w:tr>
      <w:tr w:rsidR="00F05153" w:rsidRPr="000874CD" w:rsidTr="00AD5815">
        <w:trPr>
          <w:trHeight w:val="20"/>
        </w:trPr>
        <w:tc>
          <w:tcPr>
            <w:tcW w:w="900"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b/>
                <w:sz w:val="24"/>
                <w:szCs w:val="24"/>
              </w:rPr>
            </w:pPr>
            <w:r w:rsidRPr="00FE050D">
              <w:rPr>
                <w:b/>
                <w:sz w:val="24"/>
                <w:szCs w:val="24"/>
              </w:rPr>
              <w:t>3</w:t>
            </w:r>
          </w:p>
        </w:tc>
        <w:tc>
          <w:tcPr>
            <w:tcW w:w="1863"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Japan</w:t>
            </w:r>
          </w:p>
        </w:tc>
        <w:tc>
          <w:tcPr>
            <w:tcW w:w="2056"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Great Britain</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Australia</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Ireland</w:t>
            </w:r>
          </w:p>
        </w:tc>
      </w:tr>
      <w:tr w:rsidR="00F05153" w:rsidRPr="000874CD" w:rsidTr="00AD5815">
        <w:trPr>
          <w:trHeight w:val="20"/>
        </w:trPr>
        <w:tc>
          <w:tcPr>
            <w:tcW w:w="900"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b/>
                <w:sz w:val="24"/>
                <w:szCs w:val="24"/>
              </w:rPr>
            </w:pPr>
            <w:r w:rsidRPr="00FE050D">
              <w:rPr>
                <w:b/>
                <w:sz w:val="24"/>
                <w:szCs w:val="24"/>
              </w:rPr>
              <w:t>4</w:t>
            </w:r>
          </w:p>
        </w:tc>
        <w:tc>
          <w:tcPr>
            <w:tcW w:w="1863"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Great Britain</w:t>
            </w:r>
          </w:p>
        </w:tc>
        <w:tc>
          <w:tcPr>
            <w:tcW w:w="2056"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France</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France</w:t>
            </w:r>
          </w:p>
        </w:tc>
        <w:tc>
          <w:tcPr>
            <w:tcW w:w="2056" w:type="dxa"/>
            <w:vAlign w:val="center"/>
          </w:tcPr>
          <w:p w:rsidR="00F05153" w:rsidRPr="00FE050D" w:rsidRDefault="00F05153" w:rsidP="00AD5815">
            <w:pPr>
              <w:spacing w:after="0" w:line="240" w:lineRule="auto"/>
              <w:jc w:val="center"/>
              <w:rPr>
                <w:sz w:val="24"/>
                <w:szCs w:val="24"/>
              </w:rPr>
            </w:pPr>
            <w:r w:rsidRPr="00FE050D">
              <w:rPr>
                <w:sz w:val="24"/>
                <w:szCs w:val="24"/>
              </w:rPr>
              <w:t>Japan</w:t>
            </w:r>
          </w:p>
        </w:tc>
      </w:tr>
      <w:tr w:rsidR="00F05153" w:rsidRPr="000874CD" w:rsidTr="00AD5815">
        <w:trPr>
          <w:trHeight w:val="20"/>
        </w:trPr>
        <w:tc>
          <w:tcPr>
            <w:tcW w:w="900"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b/>
                <w:sz w:val="24"/>
                <w:szCs w:val="24"/>
              </w:rPr>
            </w:pPr>
            <w:r w:rsidRPr="00FE050D">
              <w:rPr>
                <w:b/>
                <w:sz w:val="24"/>
                <w:szCs w:val="24"/>
              </w:rPr>
              <w:t>5</w:t>
            </w:r>
          </w:p>
        </w:tc>
        <w:tc>
          <w:tcPr>
            <w:tcW w:w="1863"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France</w:t>
            </w:r>
          </w:p>
        </w:tc>
        <w:tc>
          <w:tcPr>
            <w:tcW w:w="2056"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Argentina</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Great Britain</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Argentina</w:t>
            </w:r>
          </w:p>
        </w:tc>
      </w:tr>
      <w:tr w:rsidR="00F05153" w:rsidRPr="000874CD" w:rsidTr="00AD5815">
        <w:trPr>
          <w:trHeight w:val="20"/>
        </w:trPr>
        <w:tc>
          <w:tcPr>
            <w:tcW w:w="900"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b/>
                <w:sz w:val="24"/>
                <w:szCs w:val="24"/>
              </w:rPr>
            </w:pPr>
            <w:r w:rsidRPr="00FE050D">
              <w:rPr>
                <w:b/>
                <w:sz w:val="24"/>
                <w:szCs w:val="24"/>
              </w:rPr>
              <w:t>6</w:t>
            </w:r>
          </w:p>
        </w:tc>
        <w:tc>
          <w:tcPr>
            <w:tcW w:w="1863"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Chile</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Japan</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Korea</w:t>
            </w:r>
          </w:p>
        </w:tc>
        <w:tc>
          <w:tcPr>
            <w:tcW w:w="2056" w:type="dxa"/>
            <w:vAlign w:val="center"/>
          </w:tcPr>
          <w:p w:rsidR="00F05153" w:rsidRPr="00FE050D" w:rsidRDefault="00F05153" w:rsidP="00AD5815">
            <w:pPr>
              <w:spacing w:after="0" w:line="240" w:lineRule="auto"/>
              <w:jc w:val="center"/>
              <w:rPr>
                <w:sz w:val="24"/>
                <w:szCs w:val="24"/>
              </w:rPr>
            </w:pPr>
            <w:r w:rsidRPr="00FE050D">
              <w:rPr>
                <w:sz w:val="24"/>
                <w:szCs w:val="24"/>
              </w:rPr>
              <w:t>Great Britain</w:t>
            </w:r>
          </w:p>
        </w:tc>
      </w:tr>
      <w:tr w:rsidR="00F05153" w:rsidRPr="000874CD" w:rsidTr="00AD5815">
        <w:trPr>
          <w:trHeight w:val="20"/>
        </w:trPr>
        <w:tc>
          <w:tcPr>
            <w:tcW w:w="900"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b/>
                <w:sz w:val="24"/>
                <w:szCs w:val="24"/>
              </w:rPr>
            </w:pPr>
            <w:r w:rsidRPr="00FE050D">
              <w:rPr>
                <w:b/>
                <w:sz w:val="24"/>
                <w:szCs w:val="24"/>
              </w:rPr>
              <w:t>7</w:t>
            </w:r>
          </w:p>
        </w:tc>
        <w:tc>
          <w:tcPr>
            <w:tcW w:w="1863"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Argentina</w:t>
            </w:r>
          </w:p>
        </w:tc>
        <w:tc>
          <w:tcPr>
            <w:tcW w:w="2056"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South Africa</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Turkey</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France</w:t>
            </w:r>
          </w:p>
        </w:tc>
      </w:tr>
      <w:tr w:rsidR="00F05153" w:rsidRPr="000874CD" w:rsidTr="00AD5815">
        <w:trPr>
          <w:trHeight w:val="20"/>
        </w:trPr>
        <w:tc>
          <w:tcPr>
            <w:tcW w:w="900"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b/>
                <w:sz w:val="24"/>
                <w:szCs w:val="24"/>
              </w:rPr>
            </w:pPr>
            <w:r w:rsidRPr="00FE050D">
              <w:rPr>
                <w:b/>
                <w:sz w:val="24"/>
                <w:szCs w:val="24"/>
              </w:rPr>
              <w:t>8</w:t>
            </w:r>
          </w:p>
        </w:tc>
        <w:tc>
          <w:tcPr>
            <w:tcW w:w="1863"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Italy</w:t>
            </w:r>
          </w:p>
        </w:tc>
        <w:tc>
          <w:tcPr>
            <w:tcW w:w="2056"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Brazil</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Hong Kong</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New Zealand</w:t>
            </w:r>
          </w:p>
        </w:tc>
      </w:tr>
      <w:tr w:rsidR="00F05153" w:rsidRPr="000874CD" w:rsidTr="00AD5815">
        <w:trPr>
          <w:trHeight w:val="20"/>
        </w:trPr>
        <w:tc>
          <w:tcPr>
            <w:tcW w:w="900"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b/>
                <w:sz w:val="24"/>
                <w:szCs w:val="24"/>
              </w:rPr>
            </w:pPr>
            <w:r w:rsidRPr="00FE050D">
              <w:rPr>
                <w:b/>
                <w:sz w:val="24"/>
                <w:szCs w:val="24"/>
              </w:rPr>
              <w:t>9</w:t>
            </w:r>
          </w:p>
        </w:tc>
        <w:tc>
          <w:tcPr>
            <w:tcW w:w="1863"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South Africa</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New Zealand</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Ireland</w:t>
            </w:r>
          </w:p>
        </w:tc>
        <w:tc>
          <w:tcPr>
            <w:tcW w:w="2056" w:type="dxa"/>
            <w:vAlign w:val="center"/>
          </w:tcPr>
          <w:p w:rsidR="00F05153" w:rsidRPr="00FE050D" w:rsidRDefault="00F05153" w:rsidP="00AD5815">
            <w:pPr>
              <w:spacing w:after="0" w:line="240" w:lineRule="auto"/>
              <w:jc w:val="center"/>
              <w:rPr>
                <w:sz w:val="24"/>
                <w:szCs w:val="24"/>
              </w:rPr>
            </w:pPr>
            <w:r w:rsidRPr="00FE050D">
              <w:rPr>
                <w:sz w:val="24"/>
                <w:szCs w:val="24"/>
              </w:rPr>
              <w:t>Brazil</w:t>
            </w:r>
          </w:p>
        </w:tc>
      </w:tr>
      <w:tr w:rsidR="00F05153" w:rsidRPr="000874CD" w:rsidTr="00AD5815">
        <w:trPr>
          <w:trHeight w:val="20"/>
        </w:trPr>
        <w:tc>
          <w:tcPr>
            <w:tcW w:w="900"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b/>
                <w:sz w:val="24"/>
                <w:szCs w:val="24"/>
              </w:rPr>
            </w:pPr>
            <w:r w:rsidRPr="00FE050D">
              <w:rPr>
                <w:b/>
                <w:sz w:val="24"/>
                <w:szCs w:val="24"/>
              </w:rPr>
              <w:t>10</w:t>
            </w:r>
          </w:p>
        </w:tc>
        <w:tc>
          <w:tcPr>
            <w:tcW w:w="1863"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New Zealand</w:t>
            </w:r>
          </w:p>
        </w:tc>
        <w:tc>
          <w:tcPr>
            <w:tcW w:w="2056" w:type="dxa"/>
            <w:tcBorders>
              <w:top w:val="single" w:sz="6" w:space="0" w:color="999999"/>
              <w:left w:val="nil"/>
              <w:bottom w:val="single" w:sz="6" w:space="0" w:color="999999"/>
              <w:right w:val="nil"/>
            </w:tcBorders>
            <w:vAlign w:val="center"/>
          </w:tcPr>
          <w:p w:rsidR="00F05153" w:rsidRPr="00FE050D" w:rsidRDefault="00F05153" w:rsidP="00AD5815">
            <w:pPr>
              <w:spacing w:after="0" w:line="240" w:lineRule="auto"/>
              <w:jc w:val="center"/>
              <w:rPr>
                <w:sz w:val="24"/>
                <w:szCs w:val="24"/>
              </w:rPr>
            </w:pPr>
            <w:r w:rsidRPr="00FE050D">
              <w:rPr>
                <w:sz w:val="24"/>
                <w:szCs w:val="24"/>
              </w:rPr>
              <w:t>Ireland</w:t>
            </w:r>
          </w:p>
        </w:tc>
        <w:tc>
          <w:tcPr>
            <w:tcW w:w="2056" w:type="dxa"/>
            <w:tcBorders>
              <w:top w:val="single" w:sz="6" w:space="0" w:color="999999"/>
              <w:left w:val="nil"/>
              <w:bottom w:val="single" w:sz="6" w:space="0" w:color="999999"/>
              <w:right w:val="nil"/>
            </w:tcBorders>
            <w:shd w:val="clear" w:color="auto" w:fill="auto"/>
            <w:vAlign w:val="center"/>
          </w:tcPr>
          <w:p w:rsidR="00F05153" w:rsidRPr="00FE050D" w:rsidRDefault="00F05153" w:rsidP="00AD5815">
            <w:pPr>
              <w:spacing w:after="0" w:line="240" w:lineRule="auto"/>
              <w:jc w:val="center"/>
              <w:rPr>
                <w:sz w:val="24"/>
                <w:szCs w:val="24"/>
              </w:rPr>
            </w:pPr>
            <w:r w:rsidRPr="00FE050D">
              <w:rPr>
                <w:sz w:val="24"/>
                <w:szCs w:val="24"/>
              </w:rPr>
              <w:t>Italy</w:t>
            </w:r>
          </w:p>
        </w:tc>
        <w:tc>
          <w:tcPr>
            <w:tcW w:w="2056" w:type="dxa"/>
            <w:vAlign w:val="center"/>
          </w:tcPr>
          <w:p w:rsidR="00F05153" w:rsidRPr="00FE050D" w:rsidRDefault="00F05153" w:rsidP="00AD5815">
            <w:pPr>
              <w:spacing w:after="0" w:line="240" w:lineRule="auto"/>
              <w:jc w:val="center"/>
              <w:rPr>
                <w:sz w:val="24"/>
                <w:szCs w:val="24"/>
              </w:rPr>
            </w:pPr>
            <w:r w:rsidRPr="00FE050D">
              <w:rPr>
                <w:sz w:val="24"/>
                <w:szCs w:val="24"/>
              </w:rPr>
              <w:t>Canada</w:t>
            </w:r>
          </w:p>
        </w:tc>
      </w:tr>
    </w:tbl>
    <w:p w:rsidR="00F05153" w:rsidRPr="00FE050D" w:rsidRDefault="00F05153" w:rsidP="008170C3">
      <w:pPr>
        <w:pStyle w:val="Heading2"/>
      </w:pPr>
      <w:bookmarkStart w:id="2" w:name="_Toc202334269"/>
    </w:p>
    <w:p w:rsidR="00F05153" w:rsidRPr="00FE050D" w:rsidRDefault="008170C3" w:rsidP="008170C3">
      <w:pPr>
        <w:pStyle w:val="Heading2"/>
      </w:pPr>
      <w:r>
        <w:t>1.3</w:t>
      </w:r>
      <w:r>
        <w:tab/>
      </w:r>
      <w:r w:rsidR="00F05153" w:rsidRPr="00FE050D">
        <w:t>Conclusion</w:t>
      </w:r>
      <w:bookmarkEnd w:id="2"/>
    </w:p>
    <w:p w:rsidR="00F05153" w:rsidRPr="00FE050D" w:rsidRDefault="00F05153" w:rsidP="00F05153">
      <w:pPr>
        <w:spacing w:after="0" w:line="240" w:lineRule="auto"/>
        <w:jc w:val="both"/>
        <w:rPr>
          <w:sz w:val="24"/>
          <w:szCs w:val="24"/>
        </w:rPr>
      </w:pPr>
    </w:p>
    <w:p w:rsidR="00F05153" w:rsidRPr="00FE050D" w:rsidRDefault="00F05153" w:rsidP="008170C3">
      <w:pPr>
        <w:spacing w:after="0" w:line="240" w:lineRule="auto"/>
        <w:ind w:left="720"/>
        <w:jc w:val="both"/>
        <w:rPr>
          <w:sz w:val="24"/>
          <w:szCs w:val="24"/>
        </w:rPr>
      </w:pPr>
      <w:r w:rsidRPr="00FE050D">
        <w:rPr>
          <w:sz w:val="24"/>
          <w:szCs w:val="24"/>
        </w:rPr>
        <w:t>The TRI spans a network of activities that starts with people choosing to wager on thoroughbred horse racing which creates the demand for the bloodstock industry.  Wagering provides the prize money to horse owners who fund breeding and training, the success of which affects the scale and quality of thoroughbred racing events, which in turn affects wagering demand.</w:t>
      </w:r>
    </w:p>
    <w:p w:rsidR="00F05153" w:rsidRPr="00FE050D" w:rsidRDefault="00F05153" w:rsidP="008170C3">
      <w:pPr>
        <w:spacing w:after="0" w:line="240" w:lineRule="auto"/>
        <w:jc w:val="both"/>
        <w:rPr>
          <w:sz w:val="24"/>
          <w:szCs w:val="24"/>
        </w:rPr>
      </w:pPr>
    </w:p>
    <w:p w:rsidR="00F05153" w:rsidRPr="00FE050D" w:rsidRDefault="00F05153" w:rsidP="008170C3">
      <w:pPr>
        <w:spacing w:after="0" w:line="240" w:lineRule="auto"/>
        <w:ind w:left="720"/>
        <w:jc w:val="both"/>
        <w:rPr>
          <w:rFonts w:cs="Arial"/>
          <w:sz w:val="24"/>
          <w:szCs w:val="24"/>
        </w:rPr>
      </w:pPr>
      <w:r w:rsidRPr="00FE050D">
        <w:rPr>
          <w:sz w:val="24"/>
          <w:szCs w:val="24"/>
        </w:rPr>
        <w:t>The TRI makes significant contributions to the Australian economy through employment, valued added, and tax paid. A large part of the Australian population participates in thoroughbred racing, directly by producing and delivering the racing product, or indirectly by attending race meetings and wagering.  Any decline in funding that led to a contraction in the size of the Thoroughbred racing industry would have wide flow-on effects.</w:t>
      </w:r>
    </w:p>
    <w:p w:rsidR="00933EF8" w:rsidRPr="00465C6B" w:rsidRDefault="00933EF8">
      <w:pPr>
        <w:rPr>
          <w:rFonts w:ascii="Arial" w:hAnsi="Arial" w:cs="Arial"/>
        </w:rPr>
      </w:pPr>
    </w:p>
    <w:sectPr w:rsidR="00933EF8" w:rsidRPr="00465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nderson BCG Serif">
    <w:altName w:val="Georgia"/>
    <w:charset w:val="00"/>
    <w:family w:val="roman"/>
    <w:pitch w:val="variable"/>
    <w:sig w:usb0="A000006F" w:usb1="D000E06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113C"/>
    <w:multiLevelType w:val="hybridMultilevel"/>
    <w:tmpl w:val="D7CE8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A21284"/>
    <w:multiLevelType w:val="hybridMultilevel"/>
    <w:tmpl w:val="04720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8B01E0"/>
    <w:multiLevelType w:val="hybridMultilevel"/>
    <w:tmpl w:val="4E244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4AC31C9"/>
    <w:multiLevelType w:val="hybridMultilevel"/>
    <w:tmpl w:val="70447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53"/>
    <w:rsid w:val="00164EA2"/>
    <w:rsid w:val="00232D93"/>
    <w:rsid w:val="00310515"/>
    <w:rsid w:val="00416DD2"/>
    <w:rsid w:val="00465C6B"/>
    <w:rsid w:val="007A7DC8"/>
    <w:rsid w:val="008170C3"/>
    <w:rsid w:val="00933EF8"/>
    <w:rsid w:val="00AC3A07"/>
    <w:rsid w:val="00F05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53"/>
    <w:pPr>
      <w:spacing w:after="160" w:line="259" w:lineRule="auto"/>
    </w:pPr>
  </w:style>
  <w:style w:type="paragraph" w:styleId="Heading2">
    <w:name w:val="heading 2"/>
    <w:basedOn w:val="Normal"/>
    <w:next w:val="Normal"/>
    <w:link w:val="Heading2Char"/>
    <w:autoRedefine/>
    <w:qFormat/>
    <w:rsid w:val="008170C3"/>
    <w:pPr>
      <w:keepNext/>
      <w:keepLines/>
      <w:spacing w:after="0" w:line="240" w:lineRule="auto"/>
      <w:ind w:left="567" w:hanging="283"/>
      <w:outlineLvl w:val="1"/>
    </w:pPr>
    <w:rPr>
      <w:rFonts w:eastAsia="Times New Roman" w:cs="Times New Roman"/>
      <w:b/>
      <w:sz w:val="24"/>
      <w:szCs w:val="24"/>
    </w:rPr>
  </w:style>
  <w:style w:type="paragraph" w:styleId="Heading6">
    <w:name w:val="heading 6"/>
    <w:basedOn w:val="Normal"/>
    <w:next w:val="Normal"/>
    <w:link w:val="Heading6Char"/>
    <w:qFormat/>
    <w:rsid w:val="00F05153"/>
    <w:pPr>
      <w:keepNext/>
      <w:keepLines/>
      <w:spacing w:before="240" w:after="0" w:line="288" w:lineRule="auto"/>
      <w:outlineLvl w:val="5"/>
    </w:pPr>
    <w:rPr>
      <w:rFonts w:ascii="Henderson BCG Serif" w:eastAsia="Times New Roman" w:hAnsi="Henderson BCG Serif"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70C3"/>
    <w:rPr>
      <w:rFonts w:eastAsia="Times New Roman" w:cs="Times New Roman"/>
      <w:b/>
      <w:sz w:val="24"/>
      <w:szCs w:val="24"/>
    </w:rPr>
  </w:style>
  <w:style w:type="character" w:customStyle="1" w:styleId="Heading6Char">
    <w:name w:val="Heading 6 Char"/>
    <w:basedOn w:val="DefaultParagraphFont"/>
    <w:link w:val="Heading6"/>
    <w:rsid w:val="00F05153"/>
    <w:rPr>
      <w:rFonts w:ascii="Henderson BCG Serif" w:eastAsia="Times New Roman" w:hAnsi="Henderson BCG Serif" w:cs="Times New Roman"/>
      <w:b/>
      <w:szCs w:val="20"/>
    </w:rPr>
  </w:style>
  <w:style w:type="paragraph" w:customStyle="1" w:styleId="Default">
    <w:name w:val="Default"/>
    <w:rsid w:val="00F051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qFormat/>
    <w:rsid w:val="00F05153"/>
    <w:pPr>
      <w:keepNext/>
      <w:keepLines/>
      <w:spacing w:before="240" w:after="120" w:line="288" w:lineRule="auto"/>
    </w:pPr>
    <w:rPr>
      <w:rFonts w:ascii="Henderson BCG Serif" w:eastAsia="Times New Roman" w:hAnsi="Henderson BCG Serif" w:cs="Times New Roman"/>
      <w:b/>
      <w:bCs/>
      <w:sz w:val="20"/>
      <w:szCs w:val="20"/>
    </w:rPr>
  </w:style>
  <w:style w:type="paragraph" w:customStyle="1" w:styleId="TableHeading1">
    <w:name w:val="Table Heading 1"/>
    <w:basedOn w:val="Normal"/>
    <w:next w:val="Normal"/>
    <w:rsid w:val="00F05153"/>
    <w:pPr>
      <w:keepNext/>
      <w:keepLines/>
      <w:spacing w:before="20" w:after="20" w:line="288" w:lineRule="auto"/>
      <w:jc w:val="center"/>
    </w:pPr>
    <w:rPr>
      <w:rFonts w:ascii="Henderson BCG Serif" w:eastAsia="Times New Roman" w:hAnsi="Henderson BCG Serif" w:cs="Times New Roman"/>
      <w:b/>
      <w:bCs/>
      <w:color w:val="177B57"/>
      <w:sz w:val="20"/>
      <w:szCs w:val="20"/>
    </w:rPr>
  </w:style>
  <w:style w:type="paragraph" w:styleId="BalloonText">
    <w:name w:val="Balloon Text"/>
    <w:basedOn w:val="Normal"/>
    <w:link w:val="BalloonTextChar"/>
    <w:uiPriority w:val="99"/>
    <w:semiHidden/>
    <w:unhideWhenUsed/>
    <w:rsid w:val="0023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53"/>
    <w:pPr>
      <w:spacing w:after="160" w:line="259" w:lineRule="auto"/>
    </w:pPr>
  </w:style>
  <w:style w:type="paragraph" w:styleId="Heading2">
    <w:name w:val="heading 2"/>
    <w:basedOn w:val="Normal"/>
    <w:next w:val="Normal"/>
    <w:link w:val="Heading2Char"/>
    <w:autoRedefine/>
    <w:qFormat/>
    <w:rsid w:val="008170C3"/>
    <w:pPr>
      <w:keepNext/>
      <w:keepLines/>
      <w:spacing w:after="0" w:line="240" w:lineRule="auto"/>
      <w:ind w:left="567" w:hanging="283"/>
      <w:outlineLvl w:val="1"/>
    </w:pPr>
    <w:rPr>
      <w:rFonts w:eastAsia="Times New Roman" w:cs="Times New Roman"/>
      <w:b/>
      <w:sz w:val="24"/>
      <w:szCs w:val="24"/>
    </w:rPr>
  </w:style>
  <w:style w:type="paragraph" w:styleId="Heading6">
    <w:name w:val="heading 6"/>
    <w:basedOn w:val="Normal"/>
    <w:next w:val="Normal"/>
    <w:link w:val="Heading6Char"/>
    <w:qFormat/>
    <w:rsid w:val="00F05153"/>
    <w:pPr>
      <w:keepNext/>
      <w:keepLines/>
      <w:spacing w:before="240" w:after="0" w:line="288" w:lineRule="auto"/>
      <w:outlineLvl w:val="5"/>
    </w:pPr>
    <w:rPr>
      <w:rFonts w:ascii="Henderson BCG Serif" w:eastAsia="Times New Roman" w:hAnsi="Henderson BCG Serif"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70C3"/>
    <w:rPr>
      <w:rFonts w:eastAsia="Times New Roman" w:cs="Times New Roman"/>
      <w:b/>
      <w:sz w:val="24"/>
      <w:szCs w:val="24"/>
    </w:rPr>
  </w:style>
  <w:style w:type="character" w:customStyle="1" w:styleId="Heading6Char">
    <w:name w:val="Heading 6 Char"/>
    <w:basedOn w:val="DefaultParagraphFont"/>
    <w:link w:val="Heading6"/>
    <w:rsid w:val="00F05153"/>
    <w:rPr>
      <w:rFonts w:ascii="Henderson BCG Serif" w:eastAsia="Times New Roman" w:hAnsi="Henderson BCG Serif" w:cs="Times New Roman"/>
      <w:b/>
      <w:szCs w:val="20"/>
    </w:rPr>
  </w:style>
  <w:style w:type="paragraph" w:customStyle="1" w:styleId="Default">
    <w:name w:val="Default"/>
    <w:rsid w:val="00F051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qFormat/>
    <w:rsid w:val="00F05153"/>
    <w:pPr>
      <w:keepNext/>
      <w:keepLines/>
      <w:spacing w:before="240" w:after="120" w:line="288" w:lineRule="auto"/>
    </w:pPr>
    <w:rPr>
      <w:rFonts w:ascii="Henderson BCG Serif" w:eastAsia="Times New Roman" w:hAnsi="Henderson BCG Serif" w:cs="Times New Roman"/>
      <w:b/>
      <w:bCs/>
      <w:sz w:val="20"/>
      <w:szCs w:val="20"/>
    </w:rPr>
  </w:style>
  <w:style w:type="paragraph" w:customStyle="1" w:styleId="TableHeading1">
    <w:name w:val="Table Heading 1"/>
    <w:basedOn w:val="Normal"/>
    <w:next w:val="Normal"/>
    <w:rsid w:val="00F05153"/>
    <w:pPr>
      <w:keepNext/>
      <w:keepLines/>
      <w:spacing w:before="20" w:after="20" w:line="288" w:lineRule="auto"/>
      <w:jc w:val="center"/>
    </w:pPr>
    <w:rPr>
      <w:rFonts w:ascii="Henderson BCG Serif" w:eastAsia="Times New Roman" w:hAnsi="Henderson BCG Serif" w:cs="Times New Roman"/>
      <w:b/>
      <w:bCs/>
      <w:color w:val="177B57"/>
      <w:sz w:val="20"/>
      <w:szCs w:val="20"/>
    </w:rPr>
  </w:style>
  <w:style w:type="paragraph" w:styleId="BalloonText">
    <w:name w:val="Balloon Text"/>
    <w:basedOn w:val="Normal"/>
    <w:link w:val="BalloonTextChar"/>
    <w:uiPriority w:val="99"/>
    <w:semiHidden/>
    <w:unhideWhenUsed/>
    <w:rsid w:val="0023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Capuano</dc:creator>
  <cp:lastModifiedBy>SIDEBOTTOM, Matthew</cp:lastModifiedBy>
  <cp:revision>2</cp:revision>
  <cp:lastPrinted>2015-11-12T02:07:00Z</cp:lastPrinted>
  <dcterms:created xsi:type="dcterms:W3CDTF">2015-11-17T00:35:00Z</dcterms:created>
  <dcterms:modified xsi:type="dcterms:W3CDTF">2015-11-17T00:35:00Z</dcterms:modified>
</cp:coreProperties>
</file>