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2970F" w14:textId="77777777" w:rsidR="000E0235" w:rsidRPr="00954A54" w:rsidRDefault="000E0235" w:rsidP="001D103F">
      <w:pPr>
        <w:pStyle w:val="Heading3"/>
        <w:jc w:val="center"/>
        <w:rPr>
          <w:rFonts w:asciiTheme="minorHAnsi" w:hAnsiTheme="minorHAnsi"/>
          <w:color w:val="1F497D" w:themeColor="text2"/>
          <w:sz w:val="24"/>
        </w:rPr>
      </w:pPr>
      <w:bookmarkStart w:id="0" w:name="_Toc431464375"/>
      <w:r w:rsidRPr="00954A54">
        <w:rPr>
          <w:rFonts w:asciiTheme="minorHAnsi" w:hAnsiTheme="minorHAnsi"/>
          <w:color w:val="1F497D" w:themeColor="text2"/>
          <w:sz w:val="24"/>
        </w:rPr>
        <w:t xml:space="preserve">ESSA Response: </w:t>
      </w:r>
      <w:r w:rsidR="00AC789E" w:rsidRPr="00954A54">
        <w:rPr>
          <w:rFonts w:asciiTheme="minorHAnsi" w:hAnsiTheme="minorHAnsi"/>
          <w:color w:val="1F497D" w:themeColor="text2"/>
          <w:sz w:val="24"/>
        </w:rPr>
        <w:t xml:space="preserve">Australian Gambling </w:t>
      </w:r>
      <w:r w:rsidR="00E75F48">
        <w:rPr>
          <w:rFonts w:asciiTheme="minorHAnsi" w:hAnsiTheme="minorHAnsi"/>
          <w:color w:val="1F497D" w:themeColor="text2"/>
          <w:sz w:val="24"/>
        </w:rPr>
        <w:t xml:space="preserve">Law </w:t>
      </w:r>
      <w:r w:rsidR="00AC789E" w:rsidRPr="00954A54">
        <w:rPr>
          <w:rFonts w:asciiTheme="minorHAnsi" w:hAnsiTheme="minorHAnsi"/>
          <w:color w:val="1F497D" w:themeColor="text2"/>
          <w:sz w:val="24"/>
        </w:rPr>
        <w:t>Review</w:t>
      </w:r>
    </w:p>
    <w:p w14:paraId="10A9E41B" w14:textId="77777777" w:rsidR="00635769" w:rsidRDefault="00635769" w:rsidP="00635769">
      <w:pPr>
        <w:rPr>
          <w:lang w:eastAsia="en-GB"/>
        </w:rPr>
      </w:pPr>
    </w:p>
    <w:p w14:paraId="60A0A87D" w14:textId="77777777" w:rsidR="00635769" w:rsidRPr="00954A54" w:rsidRDefault="00635769" w:rsidP="00635769">
      <w:pPr>
        <w:rPr>
          <w:b/>
          <w:color w:val="1F497D" w:themeColor="text2"/>
          <w:lang w:eastAsia="en-GB"/>
        </w:rPr>
      </w:pPr>
      <w:r w:rsidRPr="00954A54">
        <w:rPr>
          <w:b/>
          <w:color w:val="1F497D" w:themeColor="text2"/>
          <w:lang w:eastAsia="en-GB"/>
        </w:rPr>
        <w:t>Introduction</w:t>
      </w:r>
    </w:p>
    <w:p w14:paraId="0E6CA498" w14:textId="77777777" w:rsidR="00EF745B" w:rsidRPr="002B78C7" w:rsidRDefault="00BC404C" w:rsidP="00B91E35">
      <w:pPr>
        <w:pStyle w:val="Heading3"/>
        <w:numPr>
          <w:ilvl w:val="0"/>
          <w:numId w:val="2"/>
        </w:numPr>
        <w:rPr>
          <w:rFonts w:asciiTheme="minorHAnsi" w:hAnsiTheme="minorHAnsi"/>
          <w:b w:val="0"/>
          <w:color w:val="auto"/>
          <w:szCs w:val="22"/>
        </w:rPr>
      </w:pPr>
      <w:r w:rsidRPr="002B78C7">
        <w:rPr>
          <w:rFonts w:asciiTheme="minorHAnsi" w:hAnsiTheme="minorHAnsi"/>
          <w:b w:val="0"/>
          <w:color w:val="auto"/>
          <w:szCs w:val="22"/>
        </w:rPr>
        <w:t xml:space="preserve">ESSA </w:t>
      </w:r>
      <w:r w:rsidR="00B91E35" w:rsidRPr="002B78C7">
        <w:rPr>
          <w:rFonts w:asciiTheme="minorHAnsi" w:hAnsiTheme="minorHAnsi"/>
          <w:b w:val="0"/>
          <w:color w:val="auto"/>
          <w:szCs w:val="22"/>
        </w:rPr>
        <w:t xml:space="preserve">is a global </w:t>
      </w:r>
      <w:r w:rsidR="00E261F6">
        <w:rPr>
          <w:rFonts w:asciiTheme="minorHAnsi" w:hAnsiTheme="minorHAnsi"/>
          <w:b w:val="0"/>
          <w:color w:val="auto"/>
          <w:szCs w:val="22"/>
        </w:rPr>
        <w:t xml:space="preserve">betting </w:t>
      </w:r>
      <w:r w:rsidR="00B91E35" w:rsidRPr="002B78C7">
        <w:rPr>
          <w:rFonts w:asciiTheme="minorHAnsi" w:hAnsiTheme="minorHAnsi"/>
          <w:b w:val="0"/>
          <w:color w:val="auto"/>
          <w:szCs w:val="22"/>
        </w:rPr>
        <w:t xml:space="preserve">integrity body </w:t>
      </w:r>
      <w:r w:rsidR="00B428EC">
        <w:rPr>
          <w:rFonts w:asciiTheme="minorHAnsi" w:hAnsiTheme="minorHAnsi"/>
          <w:b w:val="0"/>
          <w:color w:val="auto"/>
          <w:szCs w:val="22"/>
        </w:rPr>
        <w:t xml:space="preserve">that </w:t>
      </w:r>
      <w:r w:rsidRPr="002B78C7">
        <w:rPr>
          <w:rFonts w:asciiTheme="minorHAnsi" w:hAnsiTheme="minorHAnsi"/>
          <w:b w:val="0"/>
          <w:color w:val="auto"/>
          <w:szCs w:val="22"/>
        </w:rPr>
        <w:t xml:space="preserve">represents </w:t>
      </w:r>
      <w:r w:rsidR="00B91E35" w:rsidRPr="002B78C7">
        <w:rPr>
          <w:rFonts w:asciiTheme="minorHAnsi" w:hAnsiTheme="minorHAnsi"/>
          <w:b w:val="0"/>
          <w:color w:val="auto"/>
          <w:szCs w:val="22"/>
        </w:rPr>
        <w:t xml:space="preserve">many of the </w:t>
      </w:r>
      <w:r w:rsidR="002B78C7" w:rsidRPr="002B78C7">
        <w:rPr>
          <w:rFonts w:asciiTheme="minorHAnsi" w:hAnsiTheme="minorHAnsi"/>
          <w:b w:val="0"/>
          <w:color w:val="auto"/>
          <w:szCs w:val="22"/>
        </w:rPr>
        <w:t>largest</w:t>
      </w:r>
      <w:r w:rsidR="00B91E35" w:rsidRPr="002B78C7">
        <w:rPr>
          <w:rFonts w:asciiTheme="minorHAnsi" w:hAnsiTheme="minorHAnsi"/>
          <w:b w:val="0"/>
          <w:color w:val="auto"/>
          <w:szCs w:val="22"/>
        </w:rPr>
        <w:t xml:space="preserve"> regulated sports betting operators</w:t>
      </w:r>
      <w:r w:rsidR="00AF5CE4">
        <w:rPr>
          <w:rFonts w:asciiTheme="minorHAnsi" w:hAnsiTheme="minorHAnsi"/>
          <w:b w:val="0"/>
          <w:color w:val="auto"/>
          <w:szCs w:val="22"/>
        </w:rPr>
        <w:t xml:space="preserve"> </w:t>
      </w:r>
      <w:r w:rsidR="008263CC">
        <w:rPr>
          <w:rFonts w:asciiTheme="minorHAnsi" w:hAnsiTheme="minorHAnsi"/>
          <w:b w:val="0"/>
          <w:color w:val="auto"/>
          <w:szCs w:val="22"/>
        </w:rPr>
        <w:t xml:space="preserve">and </w:t>
      </w:r>
      <w:r w:rsidR="00AF5CE4">
        <w:rPr>
          <w:rFonts w:asciiTheme="minorHAnsi" w:hAnsiTheme="minorHAnsi"/>
          <w:b w:val="0"/>
          <w:color w:val="auto"/>
          <w:szCs w:val="22"/>
        </w:rPr>
        <w:t>which</w:t>
      </w:r>
      <w:r w:rsidR="00EF745B" w:rsidRPr="002B78C7">
        <w:rPr>
          <w:rFonts w:asciiTheme="minorHAnsi" w:hAnsiTheme="minorHAnsi"/>
          <w:b w:val="0"/>
          <w:color w:val="auto"/>
          <w:szCs w:val="22"/>
        </w:rPr>
        <w:t xml:space="preserve"> </w:t>
      </w:r>
      <w:r w:rsidR="00AF5CE4">
        <w:rPr>
          <w:rFonts w:asciiTheme="minorHAnsi" w:hAnsiTheme="minorHAnsi"/>
          <w:b w:val="0"/>
          <w:color w:val="auto"/>
        </w:rPr>
        <w:t>serve</w:t>
      </w:r>
      <w:r w:rsidR="00EF745B" w:rsidRPr="002B78C7">
        <w:rPr>
          <w:rFonts w:asciiTheme="minorHAnsi" w:hAnsiTheme="minorHAnsi"/>
          <w:b w:val="0"/>
          <w:color w:val="auto"/>
        </w:rPr>
        <w:t xml:space="preserve"> over 40 million consumers in the EU alone</w:t>
      </w:r>
      <w:r w:rsidR="00EF745B" w:rsidRPr="002B78C7">
        <w:rPr>
          <w:rFonts w:asciiTheme="minorHAnsi" w:hAnsiTheme="minorHAnsi"/>
          <w:b w:val="0"/>
          <w:color w:val="auto"/>
          <w:szCs w:val="22"/>
        </w:rPr>
        <w:t>.</w:t>
      </w:r>
    </w:p>
    <w:p w14:paraId="78F3253F" w14:textId="77777777" w:rsidR="00EF745B" w:rsidRPr="002B78C7" w:rsidRDefault="00EF745B" w:rsidP="00EF745B">
      <w:pPr>
        <w:rPr>
          <w:lang w:eastAsia="en-GB"/>
        </w:rPr>
      </w:pPr>
    </w:p>
    <w:p w14:paraId="22E8CD69" w14:textId="77777777" w:rsidR="00EF745B" w:rsidRPr="002B78C7" w:rsidRDefault="00EF745B" w:rsidP="00592760">
      <w:pPr>
        <w:pStyle w:val="ListParagraph"/>
        <w:numPr>
          <w:ilvl w:val="0"/>
          <w:numId w:val="2"/>
        </w:numPr>
        <w:jc w:val="both"/>
        <w:rPr>
          <w:rFonts w:eastAsia="Times New Roman" w:cs="Arial"/>
          <w:lang w:eastAsia="en-GB"/>
        </w:rPr>
      </w:pPr>
      <w:r w:rsidRPr="002B78C7">
        <w:rPr>
          <w:rFonts w:asciiTheme="minorHAnsi" w:hAnsiTheme="minorHAnsi"/>
        </w:rPr>
        <w:t xml:space="preserve">It is a key player in the fight against betting related match-fixing and </w:t>
      </w:r>
      <w:r w:rsidR="00323E50">
        <w:rPr>
          <w:rFonts w:asciiTheme="minorHAnsi" w:hAnsiTheme="minorHAnsi"/>
        </w:rPr>
        <w:t xml:space="preserve">acts for </w:t>
      </w:r>
      <w:r w:rsidRPr="002B78C7">
        <w:rPr>
          <w:lang w:val="en-US"/>
        </w:rPr>
        <w:t xml:space="preserve">the regulated betting sector at national and international match-fixing policy </w:t>
      </w:r>
      <w:r w:rsidR="00C93038">
        <w:rPr>
          <w:lang w:val="en-US"/>
        </w:rPr>
        <w:t xml:space="preserve">discussion </w:t>
      </w:r>
      <w:r w:rsidRPr="002B78C7">
        <w:rPr>
          <w:lang w:val="en-US"/>
        </w:rPr>
        <w:t>forums.</w:t>
      </w:r>
    </w:p>
    <w:p w14:paraId="581D01CC" w14:textId="77777777" w:rsidR="00EF745B" w:rsidRPr="002B78C7" w:rsidRDefault="00EF745B" w:rsidP="00EF745B">
      <w:pPr>
        <w:pStyle w:val="ListParagraph"/>
        <w:rPr>
          <w:lang w:val="en-US"/>
        </w:rPr>
      </w:pPr>
    </w:p>
    <w:p w14:paraId="6BDAC1FA" w14:textId="77777777" w:rsidR="00EF745B" w:rsidRPr="002B78C7" w:rsidRDefault="00EF745B" w:rsidP="00592760">
      <w:pPr>
        <w:pStyle w:val="ListParagraph"/>
        <w:numPr>
          <w:ilvl w:val="0"/>
          <w:numId w:val="2"/>
        </w:numPr>
        <w:jc w:val="both"/>
        <w:rPr>
          <w:rFonts w:eastAsia="Times New Roman" w:cs="Arial"/>
          <w:lang w:eastAsia="en-GB"/>
        </w:rPr>
      </w:pPr>
      <w:r w:rsidRPr="002B78C7">
        <w:rPr>
          <w:lang w:val="en-US"/>
        </w:rPr>
        <w:t xml:space="preserve">In </w:t>
      </w:r>
      <w:r w:rsidR="00983972">
        <w:rPr>
          <w:lang w:val="en-US"/>
        </w:rPr>
        <w:t>particular, the organisation holds</w:t>
      </w:r>
      <w:r w:rsidRPr="002B78C7">
        <w:rPr>
          <w:lang w:val="en-US"/>
        </w:rPr>
        <w:t xml:space="preserve"> positions on </w:t>
      </w:r>
      <w:r w:rsidR="0064714F">
        <w:rPr>
          <w:lang w:val="en-US"/>
        </w:rPr>
        <w:t xml:space="preserve">important </w:t>
      </w:r>
      <w:r w:rsidRPr="002B78C7">
        <w:rPr>
          <w:lang w:val="en-US"/>
        </w:rPr>
        <w:t>working groups at the European Commission, Council of Europe and the International Olympic Committee (IOC).</w:t>
      </w:r>
    </w:p>
    <w:p w14:paraId="42508FFA" w14:textId="77777777" w:rsidR="00EF745B" w:rsidRPr="002B78C7" w:rsidRDefault="00EF745B" w:rsidP="00EF745B">
      <w:pPr>
        <w:pStyle w:val="ListParagraph"/>
      </w:pPr>
    </w:p>
    <w:p w14:paraId="27B042E9" w14:textId="77777777" w:rsidR="00592760" w:rsidRPr="002B78C7" w:rsidRDefault="00592760" w:rsidP="00592760">
      <w:pPr>
        <w:pStyle w:val="ListParagraph"/>
        <w:numPr>
          <w:ilvl w:val="0"/>
          <w:numId w:val="2"/>
        </w:numPr>
        <w:jc w:val="both"/>
        <w:rPr>
          <w:rFonts w:eastAsia="Times New Roman" w:cs="Arial"/>
          <w:lang w:eastAsia="en-GB"/>
        </w:rPr>
      </w:pPr>
      <w:r w:rsidRPr="002B78C7">
        <w:t>The organisation’s principal goal is to protect sports, consumers and betting operators from potential fraud caused by the unfair manipulation sporting events and associated betting.</w:t>
      </w:r>
    </w:p>
    <w:p w14:paraId="3003BD5C" w14:textId="77777777" w:rsidR="00592760" w:rsidRPr="002B78C7" w:rsidRDefault="00592760" w:rsidP="000204FB"/>
    <w:p w14:paraId="1A844EA9" w14:textId="1612F7F9" w:rsidR="00261A25" w:rsidRPr="002B78C7" w:rsidRDefault="00592760" w:rsidP="00261A25">
      <w:pPr>
        <w:pStyle w:val="ListParagraph"/>
        <w:numPr>
          <w:ilvl w:val="0"/>
          <w:numId w:val="2"/>
        </w:numPr>
        <w:jc w:val="both"/>
        <w:rPr>
          <w:rFonts w:eastAsia="Times New Roman" w:cs="Arial"/>
          <w:lang w:eastAsia="en-GB"/>
        </w:rPr>
      </w:pPr>
      <w:r w:rsidRPr="002B78C7">
        <w:t xml:space="preserve">ESSA helps to combat this fraud with evidence-based intelligence, principally obtained from its </w:t>
      </w:r>
      <w:r w:rsidR="00D65980">
        <w:t>alert</w:t>
      </w:r>
      <w:r w:rsidRPr="002B78C7">
        <w:t xml:space="preserve"> system which </w:t>
      </w:r>
      <w:r w:rsidR="00F4510B" w:rsidRPr="002B78C7">
        <w:t>identifies</w:t>
      </w:r>
      <w:r w:rsidRPr="002B78C7">
        <w:t xml:space="preserve"> suspicious</w:t>
      </w:r>
      <w:r w:rsidR="00F4510B" w:rsidRPr="002B78C7">
        <w:t xml:space="preserve"> activity on its members’ betting markets</w:t>
      </w:r>
      <w:r w:rsidRPr="002B78C7">
        <w:t>.</w:t>
      </w:r>
    </w:p>
    <w:p w14:paraId="60CA73DF" w14:textId="77777777" w:rsidR="00261A25" w:rsidRPr="002B78C7" w:rsidRDefault="00261A25" w:rsidP="00261A25">
      <w:pPr>
        <w:pStyle w:val="ListParagraph"/>
        <w:rPr>
          <w:rFonts w:eastAsia="Times New Roman" w:cs="Arial"/>
          <w:lang w:eastAsia="en-GB"/>
        </w:rPr>
      </w:pPr>
    </w:p>
    <w:p w14:paraId="51CC20FB" w14:textId="221E1F16" w:rsidR="00261A25" w:rsidRPr="002B78C7" w:rsidRDefault="008D235A" w:rsidP="0025313A">
      <w:pPr>
        <w:pStyle w:val="ListParagraph"/>
        <w:numPr>
          <w:ilvl w:val="0"/>
          <w:numId w:val="2"/>
        </w:numPr>
        <w:jc w:val="both"/>
        <w:rPr>
          <w:rFonts w:eastAsia="Times New Roman" w:cs="Arial"/>
          <w:lang w:eastAsia="en-GB"/>
        </w:rPr>
      </w:pPr>
      <w:r w:rsidRPr="002B78C7">
        <w:rPr>
          <w:rFonts w:eastAsia="Times New Roman" w:cs="Arial"/>
          <w:lang w:eastAsia="en-GB"/>
        </w:rPr>
        <w:t>Th</w:t>
      </w:r>
      <w:r w:rsidR="00D65980">
        <w:rPr>
          <w:rFonts w:eastAsia="Times New Roman" w:cs="Arial"/>
          <w:lang w:eastAsia="en-GB"/>
        </w:rPr>
        <w:t>is</w:t>
      </w:r>
      <w:r w:rsidRPr="002B78C7">
        <w:rPr>
          <w:rFonts w:eastAsia="Times New Roman" w:cs="Arial"/>
          <w:lang w:eastAsia="en-GB"/>
        </w:rPr>
        <w:t xml:space="preserve"> </w:t>
      </w:r>
      <w:r w:rsidR="00B32EFA" w:rsidRPr="002B78C7">
        <w:rPr>
          <w:rFonts w:eastAsia="Times New Roman" w:cs="Arial"/>
          <w:lang w:eastAsia="en-GB"/>
        </w:rPr>
        <w:t xml:space="preserve">includes </w:t>
      </w:r>
      <w:r w:rsidR="00261A25" w:rsidRPr="002B78C7">
        <w:rPr>
          <w:rFonts w:eastAsia="Times New Roman" w:cs="Arial"/>
          <w:lang w:eastAsia="en-GB"/>
        </w:rPr>
        <w:t xml:space="preserve">crucial information on </w:t>
      </w:r>
      <w:r w:rsidR="001948F8">
        <w:t>consumer</w:t>
      </w:r>
      <w:r w:rsidR="00261A25" w:rsidRPr="002B78C7">
        <w:t xml:space="preserve"> identities, locations and other transactional information which is not available via other platforms. </w:t>
      </w:r>
    </w:p>
    <w:p w14:paraId="1F1A1766" w14:textId="77777777" w:rsidR="00EF745B" w:rsidRPr="002B78C7" w:rsidRDefault="00EF745B" w:rsidP="00EF745B">
      <w:pPr>
        <w:rPr>
          <w:lang w:eastAsia="en-GB"/>
        </w:rPr>
      </w:pPr>
    </w:p>
    <w:p w14:paraId="47007234" w14:textId="77777777" w:rsidR="00B91E35" w:rsidRPr="002B78C7" w:rsidRDefault="00C86A3F" w:rsidP="00592760">
      <w:pPr>
        <w:pStyle w:val="ListParagraph"/>
        <w:numPr>
          <w:ilvl w:val="0"/>
          <w:numId w:val="2"/>
        </w:numPr>
        <w:jc w:val="both"/>
        <w:rPr>
          <w:rFonts w:eastAsia="Times New Roman" w:cs="Arial"/>
          <w:lang w:eastAsia="en-GB"/>
        </w:rPr>
      </w:pPr>
      <w:r>
        <w:t xml:space="preserve">ESSA has </w:t>
      </w:r>
      <w:r w:rsidR="00B91E35" w:rsidRPr="002B78C7">
        <w:t>i</w:t>
      </w:r>
      <w:r w:rsidR="00592760" w:rsidRPr="002B78C7">
        <w:t>nformation sharing arrangement</w:t>
      </w:r>
      <w:r w:rsidR="0040387E">
        <w:t>s</w:t>
      </w:r>
      <w:r w:rsidR="00BE3E10">
        <w:t xml:space="preserve"> with </w:t>
      </w:r>
      <w:r w:rsidR="00B91E35" w:rsidRPr="002B78C7">
        <w:t xml:space="preserve">a number of </w:t>
      </w:r>
      <w:r w:rsidR="00592760" w:rsidRPr="002B78C7">
        <w:t xml:space="preserve">gambling </w:t>
      </w:r>
      <w:r w:rsidR="00BE3E10">
        <w:t xml:space="preserve">regulatory bodies and sports governing </w:t>
      </w:r>
      <w:r w:rsidR="00B91E35" w:rsidRPr="002B78C7">
        <w:t>authorities</w:t>
      </w:r>
      <w:r w:rsidR="003D7E16" w:rsidRPr="002B78C7">
        <w:t>,</w:t>
      </w:r>
      <w:r w:rsidR="00E10D62" w:rsidRPr="002B78C7">
        <w:t xml:space="preserve"> through which it disseminates data relating to </w:t>
      </w:r>
      <w:r w:rsidR="003D7E16" w:rsidRPr="002B78C7">
        <w:t xml:space="preserve">any relevant </w:t>
      </w:r>
      <w:r w:rsidR="00E10D62" w:rsidRPr="002B78C7">
        <w:t>suspicious betting activity it has identified</w:t>
      </w:r>
      <w:r w:rsidR="00B91E35" w:rsidRPr="002B78C7">
        <w:t xml:space="preserve">. </w:t>
      </w:r>
    </w:p>
    <w:p w14:paraId="772A2009" w14:textId="77777777" w:rsidR="003D7E16" w:rsidRPr="002B78C7" w:rsidRDefault="003D7E16" w:rsidP="003D7E16">
      <w:pPr>
        <w:pStyle w:val="ListParagraph"/>
        <w:rPr>
          <w:rFonts w:eastAsia="Times New Roman" w:cs="Arial"/>
          <w:lang w:eastAsia="en-GB"/>
        </w:rPr>
      </w:pPr>
    </w:p>
    <w:p w14:paraId="261BEFBC" w14:textId="05726403" w:rsidR="003D7E16" w:rsidRPr="002B78C7" w:rsidRDefault="003D7E16" w:rsidP="00592760">
      <w:pPr>
        <w:pStyle w:val="ListParagraph"/>
        <w:numPr>
          <w:ilvl w:val="0"/>
          <w:numId w:val="2"/>
        </w:numPr>
        <w:jc w:val="both"/>
        <w:rPr>
          <w:lang w:eastAsia="en-GB"/>
        </w:rPr>
      </w:pPr>
      <w:r w:rsidRPr="002B78C7">
        <w:rPr>
          <w:rFonts w:eastAsia="Times New Roman" w:cs="Arial"/>
          <w:lang w:eastAsia="en-GB"/>
        </w:rPr>
        <w:t xml:space="preserve">The </w:t>
      </w:r>
      <w:r w:rsidRPr="002B78C7">
        <w:t>association</w:t>
      </w:r>
      <w:r w:rsidR="00AE1722" w:rsidRPr="002B78C7">
        <w:t xml:space="preserve">’s members invest over €50m </w:t>
      </w:r>
      <w:r w:rsidR="006D6656" w:rsidRPr="002B78C7">
        <w:t xml:space="preserve">(around </w:t>
      </w:r>
      <w:r w:rsidR="000422D8">
        <w:t>Aus$76m</w:t>
      </w:r>
      <w:r w:rsidR="006D6656" w:rsidRPr="002B78C7">
        <w:t xml:space="preserve">) </w:t>
      </w:r>
      <w:r w:rsidR="00AE1722" w:rsidRPr="002B78C7">
        <w:t xml:space="preserve">in compliance and internal security systems </w:t>
      </w:r>
      <w:r w:rsidR="00BB5BEB">
        <w:t xml:space="preserve">every year </w:t>
      </w:r>
      <w:r w:rsidR="00AE1722" w:rsidRPr="002B78C7">
        <w:t>in order to help combat betting related fraud</w:t>
      </w:r>
      <w:r w:rsidR="00BB5BEB">
        <w:t xml:space="preserve"> in sport</w:t>
      </w:r>
      <w:r w:rsidR="00AE1722" w:rsidRPr="002B78C7">
        <w:t>.</w:t>
      </w:r>
    </w:p>
    <w:p w14:paraId="18C8B985" w14:textId="77777777" w:rsidR="00E81C64" w:rsidRPr="002B78C7" w:rsidRDefault="00E81C64" w:rsidP="00E81C64">
      <w:pPr>
        <w:pStyle w:val="ListParagraph"/>
        <w:rPr>
          <w:lang w:eastAsia="en-GB"/>
        </w:rPr>
      </w:pPr>
    </w:p>
    <w:p w14:paraId="6781DBF6" w14:textId="77777777" w:rsidR="00E81C64" w:rsidRDefault="00E81C64" w:rsidP="00592760">
      <w:pPr>
        <w:pStyle w:val="ListParagraph"/>
        <w:numPr>
          <w:ilvl w:val="0"/>
          <w:numId w:val="2"/>
        </w:numPr>
        <w:jc w:val="both"/>
        <w:rPr>
          <w:lang w:eastAsia="en-GB"/>
        </w:rPr>
      </w:pPr>
      <w:r w:rsidRPr="002B78C7">
        <w:rPr>
          <w:lang w:eastAsia="en-GB"/>
        </w:rPr>
        <w:t xml:space="preserve">We also help co-fund a </w:t>
      </w:r>
      <w:r w:rsidR="00B0783B" w:rsidRPr="002B78C7">
        <w:rPr>
          <w:lang w:eastAsia="en-GB"/>
        </w:rPr>
        <w:t xml:space="preserve">multi-jurisdictional </w:t>
      </w:r>
      <w:r w:rsidRPr="002B78C7">
        <w:rPr>
          <w:lang w:eastAsia="en-GB"/>
        </w:rPr>
        <w:t xml:space="preserve">player betting education programme with EU Athletes, the European Commission and other partners from the regulated betting </w:t>
      </w:r>
      <w:r>
        <w:rPr>
          <w:lang w:eastAsia="en-GB"/>
        </w:rPr>
        <w:t>sector</w:t>
      </w:r>
      <w:r>
        <w:rPr>
          <w:rStyle w:val="FootnoteReference"/>
          <w:lang w:eastAsia="en-GB"/>
        </w:rPr>
        <w:footnoteReference w:id="1"/>
      </w:r>
      <w:r>
        <w:rPr>
          <w:lang w:eastAsia="en-GB"/>
        </w:rPr>
        <w:t>.</w:t>
      </w:r>
    </w:p>
    <w:p w14:paraId="7BE0527E" w14:textId="77777777" w:rsidR="0025313A" w:rsidRDefault="0025313A" w:rsidP="0025313A">
      <w:pPr>
        <w:pStyle w:val="ListParagraph"/>
        <w:rPr>
          <w:lang w:eastAsia="en-GB"/>
        </w:rPr>
      </w:pPr>
    </w:p>
    <w:p w14:paraId="67C99BB7" w14:textId="77777777" w:rsidR="0040387E" w:rsidRPr="0040387E" w:rsidRDefault="0025313A" w:rsidP="0040387E">
      <w:pPr>
        <w:pStyle w:val="ListParagraph"/>
        <w:numPr>
          <w:ilvl w:val="0"/>
          <w:numId w:val="2"/>
        </w:numPr>
        <w:jc w:val="both"/>
        <w:rPr>
          <w:rFonts w:eastAsia="Times New Roman" w:cs="Arial"/>
          <w:lang w:eastAsia="en-GB"/>
        </w:rPr>
      </w:pPr>
      <w:r>
        <w:t>That investment</w:t>
      </w:r>
      <w:r w:rsidRPr="008F3389">
        <w:t xml:space="preserve"> has been successful in </w:t>
      </w:r>
      <w:r>
        <w:t>helping to drive</w:t>
      </w:r>
      <w:r w:rsidR="003B0F08">
        <w:t xml:space="preserve"> </w:t>
      </w:r>
      <w:r w:rsidRPr="008F3389">
        <w:t xml:space="preserve">criminals away from regulated </w:t>
      </w:r>
      <w:r>
        <w:t xml:space="preserve">betting </w:t>
      </w:r>
      <w:r w:rsidRPr="008F3389">
        <w:t>market</w:t>
      </w:r>
      <w:r>
        <w:t>s</w:t>
      </w:r>
      <w:r w:rsidRPr="008F3389">
        <w:t xml:space="preserve">, creating a safe </w:t>
      </w:r>
      <w:r w:rsidRPr="00CE4CD2">
        <w:t xml:space="preserve">and secure environment </w:t>
      </w:r>
      <w:r w:rsidRPr="0025313A">
        <w:rPr>
          <w:rFonts w:cs="ArialMT"/>
        </w:rPr>
        <w:t>for our customers and sports</w:t>
      </w:r>
      <w:r>
        <w:rPr>
          <w:rFonts w:cs="ArialMT"/>
        </w:rPr>
        <w:t>.</w:t>
      </w:r>
    </w:p>
    <w:p w14:paraId="3C67A3B5" w14:textId="77777777" w:rsidR="0040387E" w:rsidRPr="0040387E" w:rsidRDefault="0040387E" w:rsidP="0040387E">
      <w:pPr>
        <w:pStyle w:val="Heading3"/>
        <w:numPr>
          <w:ilvl w:val="0"/>
          <w:numId w:val="2"/>
        </w:numPr>
        <w:rPr>
          <w:rFonts w:asciiTheme="minorHAnsi" w:hAnsiTheme="minorHAnsi"/>
          <w:b w:val="0"/>
          <w:color w:val="auto"/>
          <w:szCs w:val="22"/>
        </w:rPr>
      </w:pPr>
      <w:r w:rsidRPr="002B78C7">
        <w:rPr>
          <w:rFonts w:asciiTheme="minorHAnsi" w:hAnsiTheme="minorHAnsi"/>
          <w:b w:val="0"/>
          <w:color w:val="auto"/>
          <w:szCs w:val="22"/>
        </w:rPr>
        <w:t xml:space="preserve">Many of our members are licensed and operate within the regulatory framework </w:t>
      </w:r>
      <w:r>
        <w:rPr>
          <w:rFonts w:asciiTheme="minorHAnsi" w:hAnsiTheme="minorHAnsi"/>
          <w:b w:val="0"/>
          <w:color w:val="auto"/>
          <w:szCs w:val="22"/>
        </w:rPr>
        <w:t xml:space="preserve">for gambling </w:t>
      </w:r>
      <w:r w:rsidRPr="002B78C7">
        <w:rPr>
          <w:rFonts w:asciiTheme="minorHAnsi" w:hAnsiTheme="minorHAnsi"/>
          <w:b w:val="0"/>
          <w:color w:val="auto"/>
          <w:szCs w:val="22"/>
        </w:rPr>
        <w:t xml:space="preserve">managed by </w:t>
      </w:r>
      <w:r w:rsidR="003A575B">
        <w:rPr>
          <w:rFonts w:asciiTheme="minorHAnsi" w:hAnsiTheme="minorHAnsi"/>
          <w:b w:val="0"/>
          <w:color w:val="auto"/>
          <w:szCs w:val="22"/>
        </w:rPr>
        <w:t xml:space="preserve">the </w:t>
      </w:r>
      <w:r w:rsidR="001B186D">
        <w:rPr>
          <w:rFonts w:asciiTheme="minorHAnsi" w:hAnsiTheme="minorHAnsi"/>
          <w:b w:val="0"/>
          <w:color w:val="auto"/>
          <w:szCs w:val="22"/>
        </w:rPr>
        <w:t xml:space="preserve">various </w:t>
      </w:r>
      <w:r w:rsidR="00791ACC">
        <w:rPr>
          <w:rFonts w:asciiTheme="minorHAnsi" w:hAnsiTheme="minorHAnsi"/>
          <w:b w:val="0"/>
          <w:color w:val="auto"/>
          <w:szCs w:val="22"/>
        </w:rPr>
        <w:t>states and t</w:t>
      </w:r>
      <w:r>
        <w:rPr>
          <w:rFonts w:asciiTheme="minorHAnsi" w:hAnsiTheme="minorHAnsi"/>
          <w:b w:val="0"/>
          <w:color w:val="auto"/>
          <w:szCs w:val="22"/>
        </w:rPr>
        <w:t>erritories within Australia</w:t>
      </w:r>
      <w:r w:rsidRPr="002B78C7">
        <w:rPr>
          <w:rFonts w:asciiTheme="minorHAnsi" w:hAnsiTheme="minorHAnsi"/>
          <w:b w:val="0"/>
          <w:color w:val="auto"/>
          <w:szCs w:val="22"/>
        </w:rPr>
        <w:t>.</w:t>
      </w:r>
    </w:p>
    <w:p w14:paraId="6F0023A1" w14:textId="77777777" w:rsidR="00B91E35" w:rsidRDefault="00B91E35" w:rsidP="00B91E35">
      <w:pPr>
        <w:pStyle w:val="ListParagraph"/>
        <w:jc w:val="both"/>
        <w:rPr>
          <w:lang w:eastAsia="en-GB"/>
        </w:rPr>
      </w:pPr>
    </w:p>
    <w:p w14:paraId="7363BF43" w14:textId="77777777" w:rsidR="001D103F" w:rsidRDefault="003D7E16" w:rsidP="001D103F">
      <w:pPr>
        <w:pStyle w:val="ListParagraph"/>
        <w:numPr>
          <w:ilvl w:val="0"/>
          <w:numId w:val="2"/>
        </w:numPr>
        <w:jc w:val="both"/>
        <w:rPr>
          <w:lang w:eastAsia="en-GB"/>
        </w:rPr>
      </w:pPr>
      <w:r>
        <w:rPr>
          <w:lang w:eastAsia="en-GB"/>
        </w:rPr>
        <w:t>ESSA</w:t>
      </w:r>
      <w:r w:rsidR="00B91E35">
        <w:rPr>
          <w:lang w:eastAsia="en-GB"/>
        </w:rPr>
        <w:t>, and its members, th</w:t>
      </w:r>
      <w:r w:rsidR="00F27EEC">
        <w:rPr>
          <w:lang w:eastAsia="en-GB"/>
        </w:rPr>
        <w:t xml:space="preserve">erefore have an interest in </w:t>
      </w:r>
      <w:r w:rsidR="0040387E">
        <w:rPr>
          <w:lang w:eastAsia="en-GB"/>
        </w:rPr>
        <w:t>the review of Australia’s current gambling framework, most notably with regard to sports betting integrity issues</w:t>
      </w:r>
      <w:r w:rsidR="00B91E35">
        <w:rPr>
          <w:lang w:eastAsia="en-GB"/>
        </w:rPr>
        <w:t xml:space="preserve">. </w:t>
      </w:r>
    </w:p>
    <w:p w14:paraId="54AD5D35" w14:textId="77777777" w:rsidR="001D103F" w:rsidRDefault="001D103F" w:rsidP="001D103F">
      <w:pPr>
        <w:pStyle w:val="ListParagraph"/>
        <w:rPr>
          <w:lang w:eastAsia="en-GB"/>
        </w:rPr>
      </w:pPr>
    </w:p>
    <w:p w14:paraId="19DD9B70" w14:textId="77777777" w:rsidR="001D103F" w:rsidRPr="00954A54" w:rsidRDefault="004F5D20" w:rsidP="001D103F">
      <w:pPr>
        <w:jc w:val="both"/>
        <w:rPr>
          <w:b/>
          <w:color w:val="1F497D" w:themeColor="text2"/>
          <w:lang w:eastAsia="en-GB"/>
        </w:rPr>
      </w:pPr>
      <w:r>
        <w:rPr>
          <w:b/>
          <w:color w:val="1F497D" w:themeColor="text2"/>
          <w:lang w:eastAsia="en-GB"/>
        </w:rPr>
        <w:t>B</w:t>
      </w:r>
      <w:r w:rsidR="001D103F" w:rsidRPr="00954A54">
        <w:rPr>
          <w:b/>
          <w:color w:val="1F497D" w:themeColor="text2"/>
          <w:lang w:eastAsia="en-GB"/>
        </w:rPr>
        <w:t xml:space="preserve">etting </w:t>
      </w:r>
      <w:r>
        <w:rPr>
          <w:b/>
          <w:color w:val="1F497D" w:themeColor="text2"/>
          <w:lang w:eastAsia="en-GB"/>
        </w:rPr>
        <w:t xml:space="preserve">integrity </w:t>
      </w:r>
      <w:r w:rsidR="005E4717">
        <w:rPr>
          <w:b/>
          <w:color w:val="1F497D" w:themeColor="text2"/>
          <w:lang w:eastAsia="en-GB"/>
        </w:rPr>
        <w:t>framework</w:t>
      </w:r>
    </w:p>
    <w:p w14:paraId="65A0E1B7" w14:textId="77777777" w:rsidR="001D103F" w:rsidRDefault="001D103F" w:rsidP="001D103F">
      <w:pPr>
        <w:jc w:val="both"/>
        <w:rPr>
          <w:lang w:eastAsia="en-GB"/>
        </w:rPr>
      </w:pPr>
    </w:p>
    <w:p w14:paraId="68001500" w14:textId="77777777" w:rsidR="001D103F" w:rsidRDefault="001D103F" w:rsidP="001D103F">
      <w:pPr>
        <w:pStyle w:val="ListParagraph"/>
        <w:numPr>
          <w:ilvl w:val="0"/>
          <w:numId w:val="2"/>
        </w:numPr>
        <w:jc w:val="both"/>
        <w:rPr>
          <w:lang w:eastAsia="en-GB"/>
        </w:rPr>
      </w:pPr>
      <w:r>
        <w:t xml:space="preserve">Modern technological advances have opened new global channels of interaction between businesses and consumers; the betting and sports sectors are no different in that regard. </w:t>
      </w:r>
    </w:p>
    <w:p w14:paraId="663293F0" w14:textId="77777777" w:rsidR="00D65980" w:rsidRDefault="00D65980" w:rsidP="007333DC">
      <w:pPr>
        <w:jc w:val="both"/>
        <w:rPr>
          <w:lang w:eastAsia="en-GB"/>
        </w:rPr>
      </w:pPr>
    </w:p>
    <w:p w14:paraId="3D625074" w14:textId="77777777" w:rsidR="00D65980" w:rsidRDefault="00D65980" w:rsidP="007333DC">
      <w:pPr>
        <w:jc w:val="both"/>
        <w:rPr>
          <w:lang w:eastAsia="en-GB"/>
        </w:rPr>
      </w:pPr>
    </w:p>
    <w:p w14:paraId="7FB54C0D" w14:textId="77777777" w:rsidR="001D103F" w:rsidRDefault="001D103F" w:rsidP="001D103F">
      <w:pPr>
        <w:pStyle w:val="ListParagraph"/>
        <w:jc w:val="both"/>
      </w:pPr>
    </w:p>
    <w:p w14:paraId="69338DB9" w14:textId="77777777" w:rsidR="001D103F" w:rsidRPr="001D103F" w:rsidRDefault="001D103F" w:rsidP="001D103F">
      <w:pPr>
        <w:pStyle w:val="ListParagraph"/>
        <w:numPr>
          <w:ilvl w:val="0"/>
          <w:numId w:val="2"/>
        </w:numPr>
        <w:jc w:val="both"/>
        <w:rPr>
          <w:lang w:eastAsia="en-GB"/>
        </w:rPr>
      </w:pPr>
      <w:r w:rsidRPr="002658CF">
        <w:t xml:space="preserve">It is important that national legislation is able to adequately cater for and </w:t>
      </w:r>
      <w:r>
        <w:t xml:space="preserve">readily </w:t>
      </w:r>
      <w:r w:rsidRPr="002658CF">
        <w:t>adapt to new commercial developments</w:t>
      </w:r>
      <w:r w:rsidR="0008100C">
        <w:t xml:space="preserve"> and any regulatory challenges </w:t>
      </w:r>
      <w:r w:rsidR="00072B71">
        <w:t>that may accompany tho</w:t>
      </w:r>
      <w:r w:rsidR="0008100C">
        <w:t>se</w:t>
      </w:r>
      <w:r w:rsidRPr="002658CF">
        <w:t>.</w:t>
      </w:r>
      <w:r w:rsidRPr="001D103F">
        <w:rPr>
          <w:b/>
        </w:rPr>
        <w:t xml:space="preserve"> </w:t>
      </w:r>
    </w:p>
    <w:p w14:paraId="79D0EDE9" w14:textId="77777777" w:rsidR="001D103F" w:rsidRDefault="001D103F" w:rsidP="001D103F">
      <w:pPr>
        <w:pStyle w:val="ListParagraph"/>
        <w:jc w:val="both"/>
      </w:pPr>
    </w:p>
    <w:p w14:paraId="5F43FF93" w14:textId="77777777" w:rsidR="001D103F" w:rsidRDefault="001D103F" w:rsidP="001725A7">
      <w:pPr>
        <w:pStyle w:val="ListParagraph"/>
        <w:numPr>
          <w:ilvl w:val="0"/>
          <w:numId w:val="2"/>
        </w:numPr>
        <w:jc w:val="both"/>
        <w:rPr>
          <w:lang w:eastAsia="en-GB"/>
        </w:rPr>
      </w:pPr>
      <w:r>
        <w:t>The a</w:t>
      </w:r>
      <w:r w:rsidRPr="00AC5BBF">
        <w:t>doption of legislation providing the regulator</w:t>
      </w:r>
      <w:r>
        <w:t>y authority</w:t>
      </w:r>
      <w:r w:rsidRPr="00AC5BBF">
        <w:t xml:space="preserve"> with the power to determine, amend and </w:t>
      </w:r>
      <w:r>
        <w:t xml:space="preserve">fully </w:t>
      </w:r>
      <w:r w:rsidRPr="00AC5BBF">
        <w:t xml:space="preserve">enforce </w:t>
      </w:r>
      <w:r w:rsidR="001725A7">
        <w:t xml:space="preserve">appropriate </w:t>
      </w:r>
      <w:r w:rsidRPr="00AC5BBF">
        <w:t xml:space="preserve">betting integrity licence conditions </w:t>
      </w:r>
      <w:r>
        <w:t xml:space="preserve">is thus paramount. </w:t>
      </w:r>
    </w:p>
    <w:p w14:paraId="4EB09506" w14:textId="77777777" w:rsidR="001D103F" w:rsidRDefault="001D103F" w:rsidP="001D103F">
      <w:pPr>
        <w:pStyle w:val="ListParagraph"/>
        <w:jc w:val="both"/>
      </w:pPr>
    </w:p>
    <w:p w14:paraId="6751F339" w14:textId="77777777" w:rsidR="001D103F" w:rsidRDefault="001D103F" w:rsidP="000D7BE0">
      <w:pPr>
        <w:pStyle w:val="ListParagraph"/>
        <w:numPr>
          <w:ilvl w:val="0"/>
          <w:numId w:val="2"/>
        </w:numPr>
        <w:jc w:val="both"/>
        <w:rPr>
          <w:lang w:eastAsia="en-GB"/>
        </w:rPr>
      </w:pPr>
      <w:r>
        <w:t xml:space="preserve">The </w:t>
      </w:r>
      <w:r w:rsidR="000D7BE0">
        <w:t>UK</w:t>
      </w:r>
      <w:r>
        <w:t xml:space="preserve"> was one of the first jurisdictions to implement such legislation. This provides a clear regulatory framework, but is flexible enough to adapt </w:t>
      </w:r>
      <w:r w:rsidR="003F558A">
        <w:t xml:space="preserve">quickly </w:t>
      </w:r>
      <w:r>
        <w:t>to changing circumstances.</w:t>
      </w:r>
      <w:r w:rsidR="003F558A">
        <w:t xml:space="preserve"> Other countries such as Denmark</w:t>
      </w:r>
      <w:r>
        <w:t xml:space="preserve"> and Spain have adopted a similar approach. </w:t>
      </w:r>
    </w:p>
    <w:p w14:paraId="4DECCF10" w14:textId="77777777" w:rsidR="00E04E42" w:rsidRDefault="00E04E42" w:rsidP="00E04E42"/>
    <w:p w14:paraId="10D06E3C" w14:textId="77777777" w:rsidR="00E140D9" w:rsidRDefault="000938B5" w:rsidP="00E140D9">
      <w:pPr>
        <w:pStyle w:val="ListParagraph"/>
        <w:numPr>
          <w:ilvl w:val="0"/>
          <w:numId w:val="2"/>
        </w:numPr>
        <w:jc w:val="both"/>
      </w:pPr>
      <w:r w:rsidRPr="00B85806">
        <w:rPr>
          <w:lang w:eastAsia="en-GB"/>
        </w:rPr>
        <w:t xml:space="preserve">The </w:t>
      </w:r>
      <w:r>
        <w:rPr>
          <w:lang w:eastAsia="en-GB"/>
        </w:rPr>
        <w:t xml:space="preserve">British Gambling </w:t>
      </w:r>
      <w:r w:rsidRPr="00B85806">
        <w:rPr>
          <w:lang w:eastAsia="en-GB"/>
        </w:rPr>
        <w:t>Commission’s regulatory structure, cross-sector partnership working and ev</w:t>
      </w:r>
      <w:r>
        <w:rPr>
          <w:lang w:eastAsia="en-GB"/>
        </w:rPr>
        <w:t>idence-based approach to policy</w:t>
      </w:r>
      <w:r w:rsidR="007F2FA5">
        <w:rPr>
          <w:lang w:eastAsia="en-GB"/>
        </w:rPr>
        <w:t xml:space="preserve"> </w:t>
      </w:r>
      <w:r w:rsidRPr="00B85806">
        <w:rPr>
          <w:lang w:eastAsia="en-GB"/>
        </w:rPr>
        <w:t>making</w:t>
      </w:r>
      <w:r>
        <w:rPr>
          <w:lang w:eastAsia="en-GB"/>
        </w:rPr>
        <w:t xml:space="preserve"> on integrity</w:t>
      </w:r>
      <w:r w:rsidRPr="00B85806">
        <w:rPr>
          <w:lang w:eastAsia="en-GB"/>
        </w:rPr>
        <w:t xml:space="preserve"> </w:t>
      </w:r>
      <w:r w:rsidR="007F2FA5">
        <w:rPr>
          <w:lang w:eastAsia="en-GB"/>
        </w:rPr>
        <w:t xml:space="preserve">issues </w:t>
      </w:r>
      <w:r>
        <w:rPr>
          <w:lang w:eastAsia="en-GB"/>
        </w:rPr>
        <w:t>represents</w:t>
      </w:r>
      <w:r w:rsidRPr="00B85806">
        <w:rPr>
          <w:lang w:eastAsia="en-GB"/>
        </w:rPr>
        <w:t xml:space="preserve"> one of the more advanced, fair and effective </w:t>
      </w:r>
      <w:r>
        <w:rPr>
          <w:lang w:eastAsia="en-GB"/>
        </w:rPr>
        <w:t>betting</w:t>
      </w:r>
      <w:r w:rsidRPr="00B85806">
        <w:rPr>
          <w:lang w:eastAsia="en-GB"/>
        </w:rPr>
        <w:t xml:space="preserve"> frameworks</w:t>
      </w:r>
      <w:r w:rsidR="007F2FA5">
        <w:rPr>
          <w:lang w:eastAsia="en-GB"/>
        </w:rPr>
        <w:t xml:space="preserve"> </w:t>
      </w:r>
      <w:r w:rsidR="00E04E42">
        <w:rPr>
          <w:lang w:eastAsia="en-GB"/>
        </w:rPr>
        <w:t xml:space="preserve">currently </w:t>
      </w:r>
      <w:r w:rsidR="007F2FA5">
        <w:rPr>
          <w:lang w:eastAsia="en-GB"/>
        </w:rPr>
        <w:t xml:space="preserve">in </w:t>
      </w:r>
      <w:r>
        <w:rPr>
          <w:lang w:eastAsia="en-GB"/>
        </w:rPr>
        <w:t>operation</w:t>
      </w:r>
      <w:r w:rsidR="00E140D9">
        <w:rPr>
          <w:lang w:eastAsia="en-GB"/>
        </w:rPr>
        <w:t>.</w:t>
      </w:r>
    </w:p>
    <w:p w14:paraId="2721A9F9" w14:textId="77777777" w:rsidR="00E140D9" w:rsidRDefault="00E140D9" w:rsidP="00E140D9">
      <w:pPr>
        <w:pStyle w:val="ListParagraph"/>
      </w:pPr>
    </w:p>
    <w:p w14:paraId="51827572" w14:textId="77777777" w:rsidR="00E140D9" w:rsidRDefault="008A4FB6" w:rsidP="00E140D9">
      <w:pPr>
        <w:pStyle w:val="ListParagraph"/>
        <w:numPr>
          <w:ilvl w:val="0"/>
          <w:numId w:val="2"/>
        </w:numPr>
        <w:jc w:val="both"/>
      </w:pPr>
      <w:r>
        <w:t xml:space="preserve">The </w:t>
      </w:r>
      <w:r w:rsidR="009A6288">
        <w:t>Commission’s licensing conditions require</w:t>
      </w:r>
      <w:r>
        <w:t xml:space="preserve"> its regulated </w:t>
      </w:r>
      <w:r w:rsidR="009A6288">
        <w:t xml:space="preserve">betting </w:t>
      </w:r>
      <w:r>
        <w:t xml:space="preserve">operators to report any suspicious betting activity </w:t>
      </w:r>
      <w:r w:rsidR="009A6288">
        <w:t>(</w:t>
      </w:r>
      <w:r w:rsidR="00E140D9">
        <w:t xml:space="preserve">section 15.1 of the </w:t>
      </w:r>
      <w:r w:rsidR="009A6288">
        <w:t>l</w:t>
      </w:r>
      <w:r w:rsidR="00E140D9" w:rsidRPr="00E140D9">
        <w:t>icence conditions and codes of practice</w:t>
      </w:r>
      <w:r w:rsidR="00E140D9">
        <w:rPr>
          <w:rStyle w:val="FootnoteReference"/>
        </w:rPr>
        <w:footnoteReference w:id="2"/>
      </w:r>
      <w:r w:rsidR="00E140D9">
        <w:t xml:space="preserve">) and </w:t>
      </w:r>
      <w:r w:rsidR="009A6288">
        <w:t xml:space="preserve">it </w:t>
      </w:r>
      <w:r w:rsidR="00E140D9">
        <w:t xml:space="preserve">has established a specific Sports Betting Intelligence Unit (SBIU) to investigate reports. </w:t>
      </w:r>
    </w:p>
    <w:p w14:paraId="14E074E7" w14:textId="77777777" w:rsidR="009C2A61" w:rsidRDefault="009C2A61" w:rsidP="009C2A61">
      <w:pPr>
        <w:pStyle w:val="ListParagraph"/>
      </w:pPr>
    </w:p>
    <w:p w14:paraId="01F17745" w14:textId="77777777" w:rsidR="00754636" w:rsidRDefault="009C2A61" w:rsidP="00C52E45">
      <w:pPr>
        <w:pStyle w:val="ListParagraph"/>
        <w:numPr>
          <w:ilvl w:val="0"/>
          <w:numId w:val="2"/>
        </w:numPr>
        <w:jc w:val="both"/>
      </w:pPr>
      <w:r>
        <w:t xml:space="preserve">The legislation </w:t>
      </w:r>
      <w:r w:rsidR="008C5626">
        <w:t xml:space="preserve">also </w:t>
      </w:r>
      <w:r>
        <w:t>provides the Commission with the ability to void bets, sha</w:t>
      </w:r>
      <w:r w:rsidR="008C5626">
        <w:t>re information with sport</w:t>
      </w:r>
      <w:r>
        <w:t xml:space="preserve">s, law enforcement and other parties, as well as utilise an offence of cheating, and </w:t>
      </w:r>
      <w:r w:rsidR="001873B5">
        <w:t xml:space="preserve">it </w:t>
      </w:r>
      <w:r>
        <w:t xml:space="preserve">has </w:t>
      </w:r>
      <w:r w:rsidR="000A0CCD">
        <w:t xml:space="preserve">set out </w:t>
      </w:r>
      <w:r>
        <w:t>clear guidance covering its betting integrity decision making framework</w:t>
      </w:r>
      <w:r>
        <w:rPr>
          <w:rStyle w:val="FootnoteReference"/>
        </w:rPr>
        <w:footnoteReference w:id="3"/>
      </w:r>
      <w:r>
        <w:t>.</w:t>
      </w:r>
    </w:p>
    <w:p w14:paraId="27795222" w14:textId="77777777" w:rsidR="00E12A03" w:rsidRDefault="00E12A03" w:rsidP="00E12A03">
      <w:pPr>
        <w:pStyle w:val="ListParagraph"/>
      </w:pPr>
    </w:p>
    <w:p w14:paraId="7450A171" w14:textId="77777777" w:rsidR="00E12A03" w:rsidRDefault="00E12A03" w:rsidP="00E12A03">
      <w:pPr>
        <w:pStyle w:val="ListParagraph"/>
        <w:numPr>
          <w:ilvl w:val="0"/>
          <w:numId w:val="2"/>
        </w:numPr>
        <w:jc w:val="both"/>
      </w:pPr>
      <w:r>
        <w:t xml:space="preserve">Such provisions have been employed to positive effect in the UK and have resulted in successful prosecutions using offences under gambling legislation and separate bribery laws. </w:t>
      </w:r>
    </w:p>
    <w:p w14:paraId="544E5AA5" w14:textId="77777777" w:rsidR="00E12A03" w:rsidRDefault="00E12A03" w:rsidP="00E12A03">
      <w:pPr>
        <w:jc w:val="both"/>
      </w:pPr>
    </w:p>
    <w:p w14:paraId="5CF849AD" w14:textId="77777777" w:rsidR="00E12A03" w:rsidRDefault="00E12A03" w:rsidP="00E12A03">
      <w:pPr>
        <w:pStyle w:val="ListParagraph"/>
        <w:numPr>
          <w:ilvl w:val="0"/>
          <w:numId w:val="2"/>
        </w:numPr>
        <w:jc w:val="both"/>
      </w:pPr>
      <w:r>
        <w:t>A small number of countries, such as Russia and Japan, and the state of New South Wales</w:t>
      </w:r>
      <w:r w:rsidR="00B908C4">
        <w:t>,</w:t>
      </w:r>
      <w:r>
        <w:t xml:space="preserve"> have also </w:t>
      </w:r>
      <w:r w:rsidRPr="002467BB">
        <w:t>enacted s</w:t>
      </w:r>
      <w:r>
        <w:t xml:space="preserve">pecific match-fixing offences. Whether such explicit legislation and offence is necessary is an issue for each government within its criminal justice framework. </w:t>
      </w:r>
    </w:p>
    <w:p w14:paraId="3C2F549B" w14:textId="77777777" w:rsidR="00E12A03" w:rsidRDefault="00E12A03" w:rsidP="00E12A03">
      <w:pPr>
        <w:jc w:val="both"/>
      </w:pPr>
    </w:p>
    <w:p w14:paraId="784AB921" w14:textId="77777777" w:rsidR="007333DC" w:rsidRDefault="00E12A03" w:rsidP="007333DC">
      <w:pPr>
        <w:pStyle w:val="ListParagraph"/>
        <w:numPr>
          <w:ilvl w:val="0"/>
          <w:numId w:val="2"/>
        </w:numPr>
        <w:jc w:val="both"/>
      </w:pPr>
      <w:r>
        <w:t>However, what is vitally important is that suitably robust criminal sanctions are available and applied consistently and with due vigour. From our experience, the UK model, overseen by the British Gambling Commission</w:t>
      </w:r>
      <w:r w:rsidR="00EB6E30">
        <w:t>,</w:t>
      </w:r>
      <w:r>
        <w:t xml:space="preserve"> has one of the most effective approaches</w:t>
      </w:r>
      <w:r w:rsidR="00FA165C">
        <w:t xml:space="preserve"> in this regard</w:t>
      </w:r>
      <w:r>
        <w:t>.</w:t>
      </w:r>
    </w:p>
    <w:p w14:paraId="3CD12B0D" w14:textId="77777777" w:rsidR="007333DC" w:rsidRDefault="007333DC" w:rsidP="007333DC">
      <w:pPr>
        <w:pStyle w:val="ListParagraph"/>
      </w:pPr>
    </w:p>
    <w:p w14:paraId="36AA24A8" w14:textId="77777777" w:rsidR="005441B4" w:rsidRDefault="00316F11" w:rsidP="005441B4">
      <w:pPr>
        <w:pStyle w:val="ListParagraph"/>
        <w:numPr>
          <w:ilvl w:val="0"/>
          <w:numId w:val="2"/>
        </w:numPr>
        <w:jc w:val="both"/>
      </w:pPr>
      <w:r>
        <w:t>It has been identified as</w:t>
      </w:r>
      <w:r w:rsidR="001A25CB">
        <w:t xml:space="preserve"> incorporating a comprehensive list of </w:t>
      </w:r>
      <w:r w:rsidR="00542717">
        <w:t>preventative provisions</w:t>
      </w:r>
      <w:r w:rsidR="001A25CB">
        <w:t xml:space="preserve"> on betting-related match-fixing in sports in an independent assessment of </w:t>
      </w:r>
      <w:r w:rsidR="00B908C4">
        <w:t xml:space="preserve">best practices enacted by </w:t>
      </w:r>
      <w:r w:rsidR="00565460">
        <w:t>national a</w:t>
      </w:r>
      <w:r w:rsidR="00B908C4">
        <w:t xml:space="preserve">uthorities </w:t>
      </w:r>
      <w:r w:rsidR="001A25CB">
        <w:t>in this area for the European Commission in 2014</w:t>
      </w:r>
      <w:r w:rsidR="001A25CB">
        <w:rPr>
          <w:rStyle w:val="FootnoteReference"/>
        </w:rPr>
        <w:footnoteReference w:id="4"/>
      </w:r>
      <w:r w:rsidR="001A25CB">
        <w:t>.</w:t>
      </w:r>
    </w:p>
    <w:p w14:paraId="009C93BB" w14:textId="77777777" w:rsidR="005441B4" w:rsidRDefault="005441B4" w:rsidP="005441B4">
      <w:pPr>
        <w:pStyle w:val="ListParagraph"/>
      </w:pPr>
    </w:p>
    <w:p w14:paraId="6CA894BF" w14:textId="384D17F3" w:rsidR="007333DC" w:rsidRDefault="007333DC" w:rsidP="005441B4">
      <w:pPr>
        <w:pStyle w:val="ListParagraph"/>
        <w:numPr>
          <w:ilvl w:val="0"/>
          <w:numId w:val="2"/>
        </w:numPr>
        <w:jc w:val="both"/>
      </w:pPr>
      <w:r>
        <w:t>T</w:t>
      </w:r>
      <w:r w:rsidR="002917B5">
        <w:t xml:space="preserve">he </w:t>
      </w:r>
      <w:r w:rsidR="00FC5F89">
        <w:t xml:space="preserve">Gambling </w:t>
      </w:r>
      <w:r w:rsidR="002917B5">
        <w:t xml:space="preserve">Commission has </w:t>
      </w:r>
      <w:r w:rsidR="00546D22">
        <w:t xml:space="preserve">also </w:t>
      </w:r>
      <w:r w:rsidR="002917B5">
        <w:t xml:space="preserve">established important information sharing agreements with a range of parties, including ESSA, which allow it to benefit from betting integrity </w:t>
      </w:r>
      <w:r w:rsidR="00F87C61">
        <w:t>data</w:t>
      </w:r>
      <w:r w:rsidR="002917B5">
        <w:t xml:space="preserve"> from markets outside of its licensing structure, recognising that this is a transnational issue.</w:t>
      </w:r>
    </w:p>
    <w:p w14:paraId="55B374D5" w14:textId="77777777" w:rsidR="005441B4" w:rsidRDefault="005441B4" w:rsidP="005441B4">
      <w:pPr>
        <w:pStyle w:val="ListParagraph"/>
      </w:pPr>
    </w:p>
    <w:p w14:paraId="6A3FC5C1" w14:textId="1A5F501C" w:rsidR="002917B5" w:rsidRDefault="00500774" w:rsidP="007333DC">
      <w:pPr>
        <w:pStyle w:val="ListParagraph"/>
        <w:numPr>
          <w:ilvl w:val="0"/>
          <w:numId w:val="2"/>
        </w:numPr>
        <w:jc w:val="both"/>
      </w:pPr>
      <w:r>
        <w:lastRenderedPageBreak/>
        <w:t>Importantly, i</w:t>
      </w:r>
      <w:r w:rsidR="00FC5F89">
        <w:t>t engages with stakeholders in an open and transparent manner, employing an evidence-based approach. Along with ESSA</w:t>
      </w:r>
      <w:r w:rsidR="00FC5F89">
        <w:rPr>
          <w:rStyle w:val="FootnoteReference"/>
        </w:rPr>
        <w:footnoteReference w:id="5"/>
      </w:r>
      <w:r w:rsidR="00FC5F89">
        <w:t>, it is one of the few bodies (and only regulatory authority) to regularly publish betting integrity statistics</w:t>
      </w:r>
      <w:r w:rsidR="00FC5F89">
        <w:rPr>
          <w:rStyle w:val="FootnoteReference"/>
        </w:rPr>
        <w:footnoteReference w:id="6"/>
      </w:r>
      <w:r w:rsidR="00106910">
        <w:t xml:space="preserve"> covering its </w:t>
      </w:r>
      <w:r w:rsidR="00EB2112">
        <w:t xml:space="preserve">licensed </w:t>
      </w:r>
      <w:r w:rsidR="00106910">
        <w:t>operators</w:t>
      </w:r>
      <w:r w:rsidR="00FC5F89">
        <w:t xml:space="preserve">. </w:t>
      </w:r>
    </w:p>
    <w:p w14:paraId="2B92608B" w14:textId="77777777" w:rsidR="006167C2" w:rsidRDefault="006167C2" w:rsidP="006167C2">
      <w:pPr>
        <w:pStyle w:val="ListParagraph"/>
        <w:jc w:val="both"/>
      </w:pPr>
    </w:p>
    <w:p w14:paraId="298E8FC3" w14:textId="77777777" w:rsidR="00C52E45" w:rsidRDefault="00754636" w:rsidP="00C52E45">
      <w:pPr>
        <w:pStyle w:val="ListParagraph"/>
        <w:numPr>
          <w:ilvl w:val="0"/>
          <w:numId w:val="2"/>
        </w:numPr>
        <w:jc w:val="both"/>
      </w:pPr>
      <w:r>
        <w:t>The Comm</w:t>
      </w:r>
      <w:r w:rsidR="00E76F2A">
        <w:t>ission’s betting integrity work</w:t>
      </w:r>
      <w:r>
        <w:t xml:space="preserve"> alongside the Olympic authorities and betting operators for the London 2012 Olympic Games</w:t>
      </w:r>
      <w:r w:rsidR="00E76F2A">
        <w:t>,</w:t>
      </w:r>
      <w:r>
        <w:t xml:space="preserve"> and </w:t>
      </w:r>
      <w:r w:rsidR="00E76F2A">
        <w:t>the establishment of a</w:t>
      </w:r>
      <w:r>
        <w:t xml:space="preserve"> Joint Assessment Unit (JAU)</w:t>
      </w:r>
      <w:r w:rsidR="00434BB9">
        <w:t>,</w:t>
      </w:r>
      <w:r>
        <w:t xml:space="preserve"> has become the ba</w:t>
      </w:r>
      <w:r w:rsidR="00434BB9">
        <w:t>sis for betting integrity practices</w:t>
      </w:r>
      <w:r>
        <w:t xml:space="preserve"> at future </w:t>
      </w:r>
      <w:r w:rsidR="00F162CC">
        <w:t xml:space="preserve">Olympic </w:t>
      </w:r>
      <w:r>
        <w:t>Games</w:t>
      </w:r>
      <w:r>
        <w:rPr>
          <w:rStyle w:val="FootnoteReference"/>
        </w:rPr>
        <w:footnoteReference w:id="7"/>
      </w:r>
      <w:r>
        <w:t>.</w:t>
      </w:r>
    </w:p>
    <w:p w14:paraId="5D2DE875" w14:textId="77777777" w:rsidR="00C52E45" w:rsidRDefault="00C52E45" w:rsidP="00C52E45">
      <w:pPr>
        <w:pStyle w:val="ListParagraph"/>
      </w:pPr>
    </w:p>
    <w:p w14:paraId="453BA852" w14:textId="77777777" w:rsidR="00C52E45" w:rsidRDefault="00327A7C" w:rsidP="00C52E45">
      <w:pPr>
        <w:pStyle w:val="ListParagraph"/>
        <w:numPr>
          <w:ilvl w:val="0"/>
          <w:numId w:val="2"/>
        </w:numPr>
        <w:jc w:val="both"/>
        <w:rPr>
          <w:lang w:eastAsia="en-GB"/>
        </w:rPr>
      </w:pPr>
      <w:r>
        <w:t xml:space="preserve">In September 2015, the </w:t>
      </w:r>
      <w:r w:rsidR="00DA49EF">
        <w:t xml:space="preserve">UK </w:t>
      </w:r>
      <w:r>
        <w:t>announced th</w:t>
      </w:r>
      <w:r w:rsidR="00C52E45">
        <w:t xml:space="preserve">e publication of its </w:t>
      </w:r>
      <w:r w:rsidR="00E76F2A">
        <w:t xml:space="preserve">national </w:t>
      </w:r>
      <w:r w:rsidR="00C52E45" w:rsidRPr="00C52E45">
        <w:rPr>
          <w:lang w:eastAsia="en-GB"/>
        </w:rPr>
        <w:t>Sport</w:t>
      </w:r>
      <w:r w:rsidR="00C52E45">
        <w:rPr>
          <w:lang w:eastAsia="en-GB"/>
        </w:rPr>
        <w:t xml:space="preserve"> </w:t>
      </w:r>
      <w:r w:rsidR="00C52E45" w:rsidRPr="00C52E45">
        <w:rPr>
          <w:lang w:eastAsia="en-GB"/>
        </w:rPr>
        <w:t xml:space="preserve">and Sports Betting Integrity Action </w:t>
      </w:r>
      <w:r w:rsidR="00C52E45">
        <w:rPr>
          <w:lang w:eastAsia="en-GB"/>
        </w:rPr>
        <w:t>P</w:t>
      </w:r>
      <w:r w:rsidR="00C52E45" w:rsidRPr="00C52E45">
        <w:rPr>
          <w:lang w:eastAsia="en-GB"/>
        </w:rPr>
        <w:t>lan</w:t>
      </w:r>
      <w:r w:rsidR="00C52E45">
        <w:rPr>
          <w:rStyle w:val="FootnoteReference"/>
          <w:lang w:eastAsia="en-GB"/>
        </w:rPr>
        <w:footnoteReference w:id="8"/>
      </w:r>
      <w:r w:rsidR="00C52E45">
        <w:rPr>
          <w:lang w:eastAsia="en-GB"/>
        </w:rPr>
        <w:t xml:space="preserve"> developed by the British Gambling Commission, law enforcement authorities, sports bodies and the regulated betting sector. </w:t>
      </w:r>
    </w:p>
    <w:p w14:paraId="1CB52723" w14:textId="77777777" w:rsidR="00C52E45" w:rsidRDefault="00C52E45" w:rsidP="00C52E45">
      <w:pPr>
        <w:pStyle w:val="ListParagraph"/>
        <w:rPr>
          <w:lang w:eastAsia="en-GB"/>
        </w:rPr>
      </w:pPr>
    </w:p>
    <w:p w14:paraId="6CAB18EB" w14:textId="77777777" w:rsidR="00C046E8" w:rsidRDefault="00C52E45" w:rsidP="00C52E45">
      <w:pPr>
        <w:pStyle w:val="ListParagraph"/>
        <w:numPr>
          <w:ilvl w:val="0"/>
          <w:numId w:val="2"/>
        </w:numPr>
        <w:jc w:val="both"/>
      </w:pPr>
      <w:r>
        <w:rPr>
          <w:lang w:eastAsia="en-GB"/>
        </w:rPr>
        <w:t xml:space="preserve">It sets out a </w:t>
      </w:r>
      <w:r w:rsidRPr="00C52E45">
        <w:rPr>
          <w:lang w:eastAsia="en-GB"/>
        </w:rPr>
        <w:t xml:space="preserve">detailed strategic joint approach across all sectors </w:t>
      </w:r>
      <w:r>
        <w:rPr>
          <w:lang w:eastAsia="en-GB"/>
        </w:rPr>
        <w:t xml:space="preserve">and is a </w:t>
      </w:r>
      <w:r w:rsidR="00C046E8" w:rsidRPr="00C046E8">
        <w:rPr>
          <w:lang w:eastAsia="en-GB"/>
        </w:rPr>
        <w:t>blueprint of good practice and effective detection and enforcement me</w:t>
      </w:r>
      <w:r w:rsidR="00C046E8">
        <w:rPr>
          <w:lang w:eastAsia="en-GB"/>
        </w:rPr>
        <w:t>asures to protect sport</w:t>
      </w:r>
      <w:r w:rsidR="00C046E8" w:rsidRPr="00C046E8">
        <w:rPr>
          <w:lang w:eastAsia="en-GB"/>
        </w:rPr>
        <w:t>s, consumers and regulated betting operators from the negative impact of betting related match-fixing.</w:t>
      </w:r>
    </w:p>
    <w:p w14:paraId="7AE7D9D7" w14:textId="77777777" w:rsidR="00C046E8" w:rsidRDefault="00C046E8" w:rsidP="00C046E8">
      <w:pPr>
        <w:jc w:val="both"/>
      </w:pPr>
    </w:p>
    <w:p w14:paraId="2B9D11A8" w14:textId="77777777" w:rsidR="008A4FB6" w:rsidRDefault="008A4FB6" w:rsidP="00C046E8">
      <w:pPr>
        <w:pStyle w:val="ListParagraph"/>
        <w:numPr>
          <w:ilvl w:val="0"/>
          <w:numId w:val="2"/>
        </w:numPr>
        <w:jc w:val="both"/>
      </w:pPr>
      <w:r>
        <w:t>The Commission has allocated significant resources t</w:t>
      </w:r>
      <w:r w:rsidR="00C52E45">
        <w:t>o its betting integrity</w:t>
      </w:r>
      <w:r w:rsidR="00E140D9">
        <w:t xml:space="preserve"> </w:t>
      </w:r>
      <w:r w:rsidR="00D75BC6">
        <w:t xml:space="preserve">regulatory </w:t>
      </w:r>
      <w:r w:rsidR="00C046E8">
        <w:t>activity - i</w:t>
      </w:r>
      <w:r>
        <w:t xml:space="preserve">n 2015/16 it plans to spend around </w:t>
      </w:r>
      <w:r w:rsidR="00D87C65">
        <w:t xml:space="preserve">£1.2m or </w:t>
      </w:r>
      <w:r>
        <w:t>6% of its budget on betting integrity issues</w:t>
      </w:r>
      <w:r w:rsidR="00D87C65">
        <w:rPr>
          <w:rStyle w:val="FootnoteReference"/>
        </w:rPr>
        <w:footnoteReference w:id="9"/>
      </w:r>
      <w:r w:rsidR="00D87C65">
        <w:t>.</w:t>
      </w:r>
    </w:p>
    <w:p w14:paraId="43BB19F2" w14:textId="77777777" w:rsidR="00F162CC" w:rsidRDefault="00F162CC" w:rsidP="00F162CC">
      <w:pPr>
        <w:pStyle w:val="ListParagraph"/>
      </w:pPr>
    </w:p>
    <w:p w14:paraId="7BDF306D" w14:textId="77777777" w:rsidR="001B0210" w:rsidRDefault="001B0210" w:rsidP="001B0210">
      <w:pPr>
        <w:pStyle w:val="ListParagraph"/>
        <w:numPr>
          <w:ilvl w:val="0"/>
          <w:numId w:val="2"/>
        </w:numPr>
        <w:jc w:val="both"/>
      </w:pPr>
      <w:r>
        <w:t>Licence fees from regulated betting operators are the central means of meeting those costs and protecting markets, consumers and, by association, sporting events from corrupt activities.</w:t>
      </w:r>
      <w:r w:rsidR="009F2DA7">
        <w:t xml:space="preserve"> </w:t>
      </w:r>
      <w:r w:rsidR="0061265D">
        <w:t>However, any integrity cost</w:t>
      </w:r>
      <w:r w:rsidR="00134837">
        <w:t>s</w:t>
      </w:r>
      <w:r w:rsidR="009F2DA7">
        <w:t xml:space="preserve"> must be</w:t>
      </w:r>
      <w:r w:rsidR="007F51FD">
        <w:t xml:space="preserve"> justified and not an over-burdensome</w:t>
      </w:r>
      <w:r w:rsidR="009F2DA7">
        <w:t>.</w:t>
      </w:r>
    </w:p>
    <w:p w14:paraId="3C51CBCB" w14:textId="77777777" w:rsidR="001B0210" w:rsidRDefault="001B0210" w:rsidP="001B0210">
      <w:pPr>
        <w:pStyle w:val="ListParagraph"/>
      </w:pPr>
    </w:p>
    <w:p w14:paraId="290410E0" w14:textId="77777777" w:rsidR="001B0210" w:rsidRDefault="001B0210" w:rsidP="001B0210">
      <w:pPr>
        <w:pStyle w:val="ListParagraph"/>
        <w:numPr>
          <w:ilvl w:val="0"/>
          <w:numId w:val="2"/>
        </w:numPr>
        <w:jc w:val="both"/>
      </w:pPr>
      <w:r>
        <w:t>Indeed, other stakeholders such as sports bodies also need to show that they are contributing to the protection of their events. This is most notably achieved through the developmental and enforcement of suitable betting integrity rules and player education.</w:t>
      </w:r>
    </w:p>
    <w:p w14:paraId="1C082AF5" w14:textId="77777777" w:rsidR="001B0210" w:rsidRDefault="001B0210" w:rsidP="001B0210">
      <w:pPr>
        <w:pStyle w:val="ListParagraph"/>
      </w:pPr>
    </w:p>
    <w:p w14:paraId="0064BAB8" w14:textId="77777777" w:rsidR="001B0210" w:rsidRDefault="007F51FD" w:rsidP="007F51FD">
      <w:pPr>
        <w:pStyle w:val="ListParagraph"/>
        <w:numPr>
          <w:ilvl w:val="0"/>
          <w:numId w:val="2"/>
        </w:numPr>
        <w:jc w:val="both"/>
        <w:rPr>
          <w:lang w:eastAsia="en-GB"/>
        </w:rPr>
      </w:pPr>
      <w:r>
        <w:rPr>
          <w:lang w:eastAsia="en-GB"/>
        </w:rPr>
        <w:t xml:space="preserve">There are some good examples of this led by the International Olympic Committee (IOC) and others such as the </w:t>
      </w:r>
      <w:r>
        <w:t>World Professional Billiards and Snooker Association (WPBSA)</w:t>
      </w:r>
      <w:r>
        <w:rPr>
          <w:lang w:eastAsia="en-GB"/>
        </w:rPr>
        <w:t>.</w:t>
      </w:r>
    </w:p>
    <w:p w14:paraId="335BE3C9" w14:textId="77777777" w:rsidR="007F51FD" w:rsidRDefault="007F51FD" w:rsidP="007F51FD">
      <w:pPr>
        <w:pStyle w:val="ListParagraph"/>
        <w:rPr>
          <w:lang w:eastAsia="en-GB"/>
        </w:rPr>
      </w:pPr>
    </w:p>
    <w:p w14:paraId="673E5FAC" w14:textId="77777777" w:rsidR="007F51FD" w:rsidRDefault="007F51FD" w:rsidP="007F51FD">
      <w:pPr>
        <w:pStyle w:val="ListParagraph"/>
        <w:numPr>
          <w:ilvl w:val="0"/>
          <w:numId w:val="2"/>
        </w:numPr>
        <w:jc w:val="both"/>
        <w:rPr>
          <w:lang w:eastAsia="en-GB"/>
        </w:rPr>
      </w:pPr>
      <w:r>
        <w:rPr>
          <w:lang w:eastAsia="en-GB"/>
        </w:rPr>
        <w:t xml:space="preserve">However, there are also many sports which have not sought to prioritise mitigating actions covering the manipulation of sporting events in same way they would in other areas. </w:t>
      </w:r>
      <w:r w:rsidR="0061265D">
        <w:rPr>
          <w:lang w:eastAsia="en-GB"/>
        </w:rPr>
        <w:t xml:space="preserve">This </w:t>
      </w:r>
      <w:r w:rsidR="00942224">
        <w:rPr>
          <w:lang w:eastAsia="en-GB"/>
        </w:rPr>
        <w:t xml:space="preserve">inactivity and </w:t>
      </w:r>
      <w:r w:rsidR="0061265D">
        <w:rPr>
          <w:lang w:eastAsia="en-GB"/>
        </w:rPr>
        <w:t>poor governance creates an environment where corruption can flourish.</w:t>
      </w:r>
    </w:p>
    <w:p w14:paraId="5EE946EA" w14:textId="77777777" w:rsidR="0061265D" w:rsidRDefault="0061265D" w:rsidP="0061265D">
      <w:pPr>
        <w:pStyle w:val="ListParagraph"/>
        <w:rPr>
          <w:lang w:eastAsia="en-GB"/>
        </w:rPr>
      </w:pPr>
    </w:p>
    <w:p w14:paraId="36525B65" w14:textId="77777777" w:rsidR="0061265D" w:rsidRDefault="0061265D" w:rsidP="0061265D">
      <w:pPr>
        <w:pStyle w:val="ListParagraph"/>
        <w:numPr>
          <w:ilvl w:val="0"/>
          <w:numId w:val="2"/>
        </w:numPr>
        <w:jc w:val="both"/>
        <w:rPr>
          <w:lang w:eastAsia="en-GB"/>
        </w:rPr>
      </w:pPr>
      <w:r>
        <w:rPr>
          <w:lang w:eastAsia="en-GB"/>
        </w:rPr>
        <w:t>ESSA draws you</w:t>
      </w:r>
      <w:r w:rsidR="00DE4DD4">
        <w:rPr>
          <w:lang w:eastAsia="en-GB"/>
        </w:rPr>
        <w:t>r</w:t>
      </w:r>
      <w:r>
        <w:rPr>
          <w:lang w:eastAsia="en-GB"/>
        </w:rPr>
        <w:t xml:space="preserve"> attention to the </w:t>
      </w:r>
      <w:proofErr w:type="spellStart"/>
      <w:r>
        <w:rPr>
          <w:lang w:eastAsia="en-GB"/>
        </w:rPr>
        <w:t>FIFPro</w:t>
      </w:r>
      <w:proofErr w:type="spellEnd"/>
      <w:r>
        <w:rPr>
          <w:lang w:eastAsia="en-GB"/>
        </w:rPr>
        <w:t xml:space="preserve"> report 2012</w:t>
      </w:r>
      <w:r>
        <w:rPr>
          <w:rStyle w:val="FootnoteReference"/>
          <w:lang w:eastAsia="en-GB"/>
        </w:rPr>
        <w:footnoteReference w:id="10"/>
      </w:r>
      <w:r>
        <w:rPr>
          <w:lang w:eastAsia="en-GB"/>
        </w:rPr>
        <w:t xml:space="preserve"> </w:t>
      </w:r>
      <w:r>
        <w:t>which details the impact of poor financial practices in sport as a facilitator of match-fixing,</w:t>
      </w:r>
      <w:r>
        <w:rPr>
          <w:lang w:eastAsia="en-GB"/>
        </w:rPr>
        <w:t xml:space="preserve"> and the 2014 Bangladesh</w:t>
      </w:r>
      <w:r w:rsidRPr="007045C9">
        <w:t xml:space="preserve"> </w:t>
      </w:r>
      <w:r>
        <w:t xml:space="preserve">match-fixing </w:t>
      </w:r>
      <w:r w:rsidRPr="00C40CF1">
        <w:t>tribunal</w:t>
      </w:r>
      <w:r>
        <w:t xml:space="preserve"> which found that </w:t>
      </w:r>
      <w:r w:rsidRPr="00C40CF1">
        <w:t>“more often than not, sports regulators do not stop matches or events even where they have information about corruption in the match or event.”</w:t>
      </w:r>
      <w:r>
        <w:rPr>
          <w:rStyle w:val="FootnoteReference"/>
        </w:rPr>
        <w:footnoteReference w:id="11"/>
      </w:r>
    </w:p>
    <w:p w14:paraId="10890A1C" w14:textId="77777777" w:rsidR="007F51FD" w:rsidRDefault="007F51FD" w:rsidP="007F51FD">
      <w:pPr>
        <w:pStyle w:val="ListParagraph"/>
        <w:rPr>
          <w:lang w:eastAsia="en-GB"/>
        </w:rPr>
      </w:pPr>
    </w:p>
    <w:p w14:paraId="74559488" w14:textId="77777777" w:rsidR="007F51FD" w:rsidRDefault="007F51FD" w:rsidP="007F51FD">
      <w:pPr>
        <w:pStyle w:val="ListParagraph"/>
        <w:numPr>
          <w:ilvl w:val="0"/>
          <w:numId w:val="2"/>
        </w:numPr>
        <w:jc w:val="both"/>
        <w:rPr>
          <w:lang w:eastAsia="en-GB"/>
        </w:rPr>
      </w:pPr>
      <w:r>
        <w:rPr>
          <w:lang w:eastAsia="en-GB"/>
        </w:rPr>
        <w:t>Whilst the sports sector claims that betting creates risk</w:t>
      </w:r>
      <w:r w:rsidR="0061265D">
        <w:rPr>
          <w:lang w:eastAsia="en-GB"/>
        </w:rPr>
        <w:t>s</w:t>
      </w:r>
      <w:r>
        <w:rPr>
          <w:lang w:eastAsia="en-GB"/>
        </w:rPr>
        <w:t xml:space="preserve"> for them, it should be noted that corrupt sports personnel and poor sports governance actually creates increased risk and associated regulatory costs for betting operators, who are often the focus of sports fraud. </w:t>
      </w:r>
    </w:p>
    <w:p w14:paraId="123026BC" w14:textId="77777777" w:rsidR="0061265D" w:rsidRDefault="0061265D" w:rsidP="0061265D">
      <w:pPr>
        <w:pStyle w:val="ListParagraph"/>
        <w:rPr>
          <w:lang w:eastAsia="en-GB"/>
        </w:rPr>
      </w:pPr>
    </w:p>
    <w:p w14:paraId="5C4AC18D" w14:textId="77777777" w:rsidR="0061265D" w:rsidRDefault="0061265D" w:rsidP="0061265D">
      <w:pPr>
        <w:pStyle w:val="ListParagraph"/>
        <w:numPr>
          <w:ilvl w:val="0"/>
          <w:numId w:val="2"/>
        </w:numPr>
        <w:jc w:val="both"/>
        <w:rPr>
          <w:lang w:eastAsia="en-GB"/>
        </w:rPr>
      </w:pPr>
      <w:r>
        <w:rPr>
          <w:lang w:eastAsia="en-GB"/>
        </w:rPr>
        <w:lastRenderedPageBreak/>
        <w:t xml:space="preserve">Betting related match-fixing is fundamentally the product of corrupt sports people either alone, or colluding with criminal elements, to unfairly manipulate sporting events to financially defraud betting operators (regulated or unregulated) and their consumers. </w:t>
      </w:r>
    </w:p>
    <w:p w14:paraId="3AF03476" w14:textId="77777777" w:rsidR="006E7C61" w:rsidRDefault="006E7C61" w:rsidP="006E7C61">
      <w:pPr>
        <w:pStyle w:val="ListParagraph"/>
        <w:rPr>
          <w:lang w:eastAsia="en-GB"/>
        </w:rPr>
      </w:pPr>
    </w:p>
    <w:p w14:paraId="2C195E79" w14:textId="77777777" w:rsidR="00BB2044" w:rsidRDefault="006E7C61" w:rsidP="0061265D">
      <w:pPr>
        <w:pStyle w:val="ListParagraph"/>
        <w:numPr>
          <w:ilvl w:val="0"/>
          <w:numId w:val="2"/>
        </w:numPr>
        <w:jc w:val="both"/>
        <w:rPr>
          <w:lang w:eastAsia="en-GB"/>
        </w:rPr>
      </w:pPr>
      <w:r>
        <w:rPr>
          <w:lang w:eastAsia="en-GB"/>
        </w:rPr>
        <w:t xml:space="preserve">For any </w:t>
      </w:r>
      <w:r w:rsidR="00546BE9">
        <w:rPr>
          <w:lang w:eastAsia="en-GB"/>
        </w:rPr>
        <w:t xml:space="preserve">sports betting </w:t>
      </w:r>
      <w:r>
        <w:rPr>
          <w:lang w:eastAsia="en-GB"/>
        </w:rPr>
        <w:t>integrity framework to be effective, it must include requirements on all stakeholders, including the sports sector</w:t>
      </w:r>
      <w:r w:rsidR="000E35D2">
        <w:rPr>
          <w:lang w:eastAsia="en-GB"/>
        </w:rPr>
        <w:t>, and sanctions if those are not implemented</w:t>
      </w:r>
      <w:r>
        <w:rPr>
          <w:lang w:eastAsia="en-GB"/>
        </w:rPr>
        <w:t xml:space="preserve">.  </w:t>
      </w:r>
    </w:p>
    <w:p w14:paraId="644A05FF" w14:textId="77777777" w:rsidR="00BB2044" w:rsidRDefault="00BB2044" w:rsidP="00BB2044">
      <w:pPr>
        <w:pStyle w:val="ListParagraph"/>
        <w:rPr>
          <w:lang w:eastAsia="en-GB"/>
        </w:rPr>
      </w:pPr>
    </w:p>
    <w:p w14:paraId="06D4F0C4" w14:textId="10738210" w:rsidR="000E35D2" w:rsidRDefault="006E7C61" w:rsidP="000E35D2">
      <w:pPr>
        <w:pStyle w:val="ListParagraph"/>
        <w:numPr>
          <w:ilvl w:val="0"/>
          <w:numId w:val="2"/>
        </w:numPr>
        <w:jc w:val="both"/>
        <w:rPr>
          <w:lang w:eastAsia="en-GB"/>
        </w:rPr>
      </w:pPr>
      <w:r>
        <w:rPr>
          <w:lang w:eastAsia="en-GB"/>
        </w:rPr>
        <w:t xml:space="preserve">The </w:t>
      </w:r>
      <w:r w:rsidR="00546BE9">
        <w:rPr>
          <w:lang w:eastAsia="en-GB"/>
        </w:rPr>
        <w:t xml:space="preserve">Council </w:t>
      </w:r>
      <w:r w:rsidR="00546BE9">
        <w:t xml:space="preserve">of Europe Convention on the Manipulation of Sports Competitions, </w:t>
      </w:r>
      <w:r w:rsidR="00BB2044">
        <w:rPr>
          <w:lang w:eastAsia="en-GB"/>
        </w:rPr>
        <w:t xml:space="preserve">which ESSA was involved in developing </w:t>
      </w:r>
      <w:r>
        <w:rPr>
          <w:lang w:eastAsia="en-GB"/>
        </w:rPr>
        <w:t xml:space="preserve">proposes that </w:t>
      </w:r>
      <w:r w:rsidR="000E35D2">
        <w:rPr>
          <w:lang w:eastAsia="en-GB"/>
        </w:rPr>
        <w:t>governments</w:t>
      </w:r>
      <w:r w:rsidR="00544442">
        <w:rPr>
          <w:lang w:eastAsia="en-GB"/>
        </w:rPr>
        <w:t>:</w:t>
      </w:r>
      <w:r w:rsidR="00C51B02">
        <w:rPr>
          <w:lang w:eastAsia="en-GB"/>
        </w:rPr>
        <w:t xml:space="preserve"> </w:t>
      </w:r>
      <w:r w:rsidR="000E35D2">
        <w:rPr>
          <w:lang w:eastAsia="en-GB"/>
        </w:rPr>
        <w:t>“</w:t>
      </w:r>
      <w:r w:rsidR="000E35D2" w:rsidRPr="000E35D2">
        <w:rPr>
          <w:lang w:eastAsia="en-GB"/>
        </w:rPr>
        <w:t>withhold some or all financial or other sport-related support from any sports organisations that do not effectively apply regulations for combating manipulation of sports competitions</w:t>
      </w:r>
      <w:r w:rsidR="000E35D2">
        <w:rPr>
          <w:lang w:eastAsia="en-GB"/>
        </w:rPr>
        <w:t>.”</w:t>
      </w:r>
      <w:r w:rsidR="0098068F">
        <w:rPr>
          <w:rStyle w:val="FootnoteReference"/>
          <w:lang w:eastAsia="en-GB"/>
        </w:rPr>
        <w:footnoteReference w:id="12"/>
      </w:r>
    </w:p>
    <w:p w14:paraId="32253C9C" w14:textId="77777777" w:rsidR="000E35D2" w:rsidRDefault="000E35D2" w:rsidP="0008100C">
      <w:pPr>
        <w:jc w:val="both"/>
        <w:rPr>
          <w:lang w:eastAsia="en-GB"/>
        </w:rPr>
      </w:pPr>
    </w:p>
    <w:p w14:paraId="5993095B" w14:textId="77777777" w:rsidR="0008100C" w:rsidRPr="00954A54" w:rsidRDefault="00CF762A" w:rsidP="0008100C">
      <w:pPr>
        <w:jc w:val="both"/>
        <w:rPr>
          <w:b/>
          <w:color w:val="1F497D" w:themeColor="text2"/>
          <w:lang w:eastAsia="en-GB"/>
        </w:rPr>
      </w:pPr>
      <w:r w:rsidRPr="00954A54">
        <w:rPr>
          <w:b/>
          <w:color w:val="1F497D" w:themeColor="text2"/>
          <w:lang w:eastAsia="en-GB"/>
        </w:rPr>
        <w:t>Availability of</w:t>
      </w:r>
      <w:r w:rsidR="0008100C" w:rsidRPr="00954A54">
        <w:rPr>
          <w:b/>
          <w:color w:val="1F497D" w:themeColor="text2"/>
          <w:lang w:eastAsia="en-GB"/>
        </w:rPr>
        <w:t xml:space="preserve"> </w:t>
      </w:r>
      <w:r w:rsidRPr="00954A54">
        <w:rPr>
          <w:b/>
          <w:color w:val="1F497D" w:themeColor="text2"/>
          <w:lang w:eastAsia="en-GB"/>
        </w:rPr>
        <w:t xml:space="preserve">regulated </w:t>
      </w:r>
      <w:r w:rsidR="0008100C" w:rsidRPr="00954A54">
        <w:rPr>
          <w:b/>
          <w:color w:val="1F497D" w:themeColor="text2"/>
          <w:lang w:eastAsia="en-GB"/>
        </w:rPr>
        <w:t>betting products</w:t>
      </w:r>
    </w:p>
    <w:p w14:paraId="78DADC58" w14:textId="77777777" w:rsidR="0008100C" w:rsidRDefault="0008100C" w:rsidP="0008100C">
      <w:pPr>
        <w:jc w:val="both"/>
      </w:pPr>
    </w:p>
    <w:p w14:paraId="7F441892" w14:textId="3A51516A" w:rsidR="0008100C" w:rsidRDefault="0008100C" w:rsidP="00357F2F">
      <w:pPr>
        <w:pStyle w:val="ListParagraph"/>
        <w:numPr>
          <w:ilvl w:val="0"/>
          <w:numId w:val="2"/>
        </w:numPr>
        <w:jc w:val="both"/>
      </w:pPr>
      <w:r>
        <w:t>It is fundamental to the viability of regulated betting operators and their markets that they are able to offer a wide range of products. Imposing restrictions invariably leads to consumers seeking prohibited products through other markets, including unregulated</w:t>
      </w:r>
      <w:r w:rsidR="00D65980">
        <w:t xml:space="preserve"> channels. </w:t>
      </w:r>
    </w:p>
    <w:p w14:paraId="726F9BF0" w14:textId="77777777" w:rsidR="0008100C" w:rsidRDefault="0008100C" w:rsidP="0008100C">
      <w:pPr>
        <w:pStyle w:val="ListParagraph"/>
        <w:jc w:val="both"/>
      </w:pPr>
    </w:p>
    <w:p w14:paraId="3EBE2C9D" w14:textId="77777777" w:rsidR="0008100C" w:rsidRDefault="0008100C" w:rsidP="0008100C">
      <w:pPr>
        <w:pStyle w:val="ListParagraph"/>
        <w:numPr>
          <w:ilvl w:val="0"/>
          <w:numId w:val="2"/>
        </w:numPr>
        <w:jc w:val="both"/>
      </w:pPr>
      <w:r>
        <w:t xml:space="preserve">Some sports bodies and others have pressed for </w:t>
      </w:r>
      <w:r w:rsidR="00BB1051">
        <w:t>certain</w:t>
      </w:r>
      <w:r>
        <w:t xml:space="preserve"> types of bets to be </w:t>
      </w:r>
      <w:r w:rsidR="00AE20CB">
        <w:t>prohibited</w:t>
      </w:r>
      <w:r>
        <w:t xml:space="preserve"> on sporting integrity grounds.</w:t>
      </w:r>
      <w:r w:rsidR="00357F2F">
        <w:t xml:space="preserve"> </w:t>
      </w:r>
      <w:r>
        <w:t>Th</w:t>
      </w:r>
      <w:r w:rsidR="00AE20CB">
        <w:t xml:space="preserve">ey believe that these </w:t>
      </w:r>
      <w:r>
        <w:t>products</w:t>
      </w:r>
      <w:r w:rsidR="00AE20CB">
        <w:t>, such as in-play betting,</w:t>
      </w:r>
      <w:r>
        <w:t xml:space="preserve"> are detrimental to the integrity of sport, although no </w:t>
      </w:r>
      <w:r w:rsidR="0080643C">
        <w:t xml:space="preserve">clear </w:t>
      </w:r>
      <w:r w:rsidR="00064139">
        <w:t xml:space="preserve">supporting </w:t>
      </w:r>
      <w:r>
        <w:t>evidence has been shown.</w:t>
      </w:r>
    </w:p>
    <w:p w14:paraId="20C26891" w14:textId="77777777" w:rsidR="0008100C" w:rsidRDefault="0008100C" w:rsidP="0008100C">
      <w:pPr>
        <w:pStyle w:val="ListParagraph"/>
      </w:pPr>
    </w:p>
    <w:p w14:paraId="5D323ADF" w14:textId="77777777" w:rsidR="0008100C" w:rsidRDefault="002826E4" w:rsidP="0008100C">
      <w:pPr>
        <w:pStyle w:val="ListParagraph"/>
        <w:numPr>
          <w:ilvl w:val="0"/>
          <w:numId w:val="2"/>
        </w:numPr>
        <w:jc w:val="both"/>
      </w:pPr>
      <w:r>
        <w:t>Indeed, law enforcement</w:t>
      </w:r>
      <w:r w:rsidR="0008100C">
        <w:t xml:space="preserve"> bodies such as INTERPOL and Europol have stated that match-fixing is not primarily focused</w:t>
      </w:r>
      <w:r>
        <w:t xml:space="preserve"> on regulated</w:t>
      </w:r>
      <w:r w:rsidR="001077C7">
        <w:t>,</w:t>
      </w:r>
      <w:r>
        <w:t xml:space="preserve"> but unregulated operators</w:t>
      </w:r>
      <w:r w:rsidR="001077C7">
        <w:t>,</w:t>
      </w:r>
      <w:r w:rsidR="0008100C">
        <w:t xml:space="preserve"> mainly in Asia</w:t>
      </w:r>
      <w:r w:rsidR="003826F9">
        <w:rPr>
          <w:rStyle w:val="FootnoteReference"/>
        </w:rPr>
        <w:footnoteReference w:id="13"/>
      </w:r>
      <w:r w:rsidR="0008100C">
        <w:t>.</w:t>
      </w:r>
    </w:p>
    <w:p w14:paraId="6B095FB1" w14:textId="77777777" w:rsidR="0008100C" w:rsidRDefault="0008100C" w:rsidP="0008100C">
      <w:pPr>
        <w:pStyle w:val="ListParagraph"/>
        <w:jc w:val="both"/>
      </w:pPr>
    </w:p>
    <w:p w14:paraId="61A8EB9B" w14:textId="7094A177" w:rsidR="0008100C" w:rsidRDefault="0008100C" w:rsidP="0008100C">
      <w:pPr>
        <w:pStyle w:val="ListParagraph"/>
        <w:numPr>
          <w:ilvl w:val="0"/>
          <w:numId w:val="2"/>
        </w:numPr>
        <w:jc w:val="both"/>
      </w:pPr>
      <w:r>
        <w:t xml:space="preserve">Corruptors are also known to focus on the more mainstream traditional betting markets, such as the final result, </w:t>
      </w:r>
      <w:r w:rsidR="000422D8">
        <w:t xml:space="preserve">which have </w:t>
      </w:r>
      <w:r w:rsidR="000422D8">
        <w:t>higher levels of liquidity and offer greater opportunity to mask illicit activities</w:t>
      </w:r>
      <w:r w:rsidR="000422D8">
        <w:t xml:space="preserve">, </w:t>
      </w:r>
      <w:r>
        <w:t>rather than newer forms of betting such as in-play (</w:t>
      </w:r>
      <w:r w:rsidR="00555765">
        <w:t xml:space="preserve">or </w:t>
      </w:r>
      <w:r>
        <w:t>live)</w:t>
      </w:r>
      <w:r w:rsidR="00555765">
        <w:t xml:space="preserve"> betting</w:t>
      </w:r>
      <w:r w:rsidR="000422D8">
        <w:t>.</w:t>
      </w:r>
      <w:r>
        <w:t xml:space="preserve"> </w:t>
      </w:r>
    </w:p>
    <w:p w14:paraId="28637F23" w14:textId="77777777" w:rsidR="00951224" w:rsidRDefault="00951224" w:rsidP="00951224">
      <w:pPr>
        <w:pStyle w:val="ListParagraph"/>
      </w:pPr>
    </w:p>
    <w:p w14:paraId="0C1135CA" w14:textId="77777777" w:rsidR="00761A41" w:rsidRDefault="00951224" w:rsidP="00761A41">
      <w:pPr>
        <w:pStyle w:val="ListParagraph"/>
        <w:numPr>
          <w:ilvl w:val="0"/>
          <w:numId w:val="2"/>
        </w:numPr>
        <w:jc w:val="both"/>
      </w:pPr>
      <w:r>
        <w:t>An independent report</w:t>
      </w:r>
      <w:r w:rsidR="00DE1442">
        <w:rPr>
          <w:rStyle w:val="FootnoteReference"/>
        </w:rPr>
        <w:footnoteReference w:id="14"/>
      </w:r>
      <w:r>
        <w:t xml:space="preserve"> </w:t>
      </w:r>
      <w:r w:rsidR="00DE1442">
        <w:t xml:space="preserve">published </w:t>
      </w:r>
      <w:r>
        <w:t xml:space="preserve">by the ASSER </w:t>
      </w:r>
      <w:r w:rsidR="00DE1442">
        <w:t>I</w:t>
      </w:r>
      <w:r>
        <w:t>nstitute</w:t>
      </w:r>
      <w:r w:rsidR="00DE1442">
        <w:t>, which assess</w:t>
      </w:r>
      <w:r w:rsidR="00D35C93">
        <w:t>ed</w:t>
      </w:r>
      <w:r w:rsidR="00DE1442">
        <w:t xml:space="preserve"> the integrity risks of certain sports bets on the basis of quantitative empirical evidence, supports this position.</w:t>
      </w:r>
    </w:p>
    <w:p w14:paraId="0B493238" w14:textId="77777777" w:rsidR="00761A41" w:rsidRDefault="00761A41" w:rsidP="00761A41">
      <w:pPr>
        <w:pStyle w:val="ListParagraph"/>
      </w:pPr>
    </w:p>
    <w:p w14:paraId="12184BCA" w14:textId="77777777" w:rsidR="00E97045" w:rsidRDefault="00DE1442" w:rsidP="00E97045">
      <w:pPr>
        <w:pStyle w:val="ListParagraph"/>
        <w:numPr>
          <w:ilvl w:val="0"/>
          <w:numId w:val="2"/>
        </w:numPr>
        <w:jc w:val="both"/>
      </w:pPr>
      <w:r>
        <w:t xml:space="preserve">Published in January 2015, </w:t>
      </w:r>
      <w:r w:rsidR="00761A41">
        <w:t>the report analysed a detailed set of betting data covering football matches likely to have been manipulated for betting purposes over a period of five years (May 2009-November 2014) to assess the impact of pre-match and in-play betting.</w:t>
      </w:r>
    </w:p>
    <w:p w14:paraId="492035C3" w14:textId="77777777" w:rsidR="00E97045" w:rsidRDefault="00E97045" w:rsidP="00E97045">
      <w:pPr>
        <w:pStyle w:val="ListParagraph"/>
      </w:pPr>
    </w:p>
    <w:p w14:paraId="73BB4836" w14:textId="77777777" w:rsidR="00E97045" w:rsidRDefault="00761A41" w:rsidP="00E97045">
      <w:pPr>
        <w:pStyle w:val="ListParagraph"/>
        <w:numPr>
          <w:ilvl w:val="0"/>
          <w:numId w:val="2"/>
        </w:numPr>
        <w:jc w:val="both"/>
      </w:pPr>
      <w:r>
        <w:t>T</w:t>
      </w:r>
      <w:r w:rsidR="00DE1442">
        <w:t xml:space="preserve">he report </w:t>
      </w:r>
      <w:r>
        <w:t>shows that match-</w:t>
      </w:r>
      <w:r w:rsidRPr="003C7E62">
        <w:t>fixers</w:t>
      </w:r>
      <w:r w:rsidR="00D35C93">
        <w:t xml:space="preserve"> primarily</w:t>
      </w:r>
      <w:r w:rsidR="00555765">
        <w:t xml:space="preserve"> take advantage of high</w:t>
      </w:r>
      <w:r w:rsidRPr="003C7E62">
        <w:t xml:space="preserve"> liquid</w:t>
      </w:r>
      <w:r w:rsidR="00555765">
        <w:t>ity betting markets and that</w:t>
      </w:r>
      <w:r w:rsidR="00E97045" w:rsidRPr="00E97045">
        <w:t xml:space="preserve"> </w:t>
      </w:r>
      <w:r w:rsidR="00E97045" w:rsidRPr="003C7E62">
        <w:t>almost all suspicious betting patterns were observed in the main betting markets</w:t>
      </w:r>
      <w:r w:rsidR="00E97045" w:rsidRPr="00E97045">
        <w:t xml:space="preserve"> </w:t>
      </w:r>
      <w:r w:rsidR="00555765">
        <w:t xml:space="preserve">which relate to the final outcome of a match </w:t>
      </w:r>
      <w:r w:rsidR="00E97045">
        <w:t>(with only 0.4% in side markets).</w:t>
      </w:r>
    </w:p>
    <w:p w14:paraId="72CE3FAB" w14:textId="77777777" w:rsidR="00E97045" w:rsidRDefault="00E97045" w:rsidP="00E97045">
      <w:pPr>
        <w:pStyle w:val="ListParagraph"/>
      </w:pPr>
    </w:p>
    <w:p w14:paraId="6D6D6D4B" w14:textId="77777777" w:rsidR="00E97045" w:rsidRDefault="00E97045" w:rsidP="00E97045">
      <w:pPr>
        <w:pStyle w:val="ListParagraph"/>
        <w:numPr>
          <w:ilvl w:val="0"/>
          <w:numId w:val="2"/>
        </w:numPr>
        <w:jc w:val="both"/>
      </w:pPr>
      <w:r>
        <w:t>The</w:t>
      </w:r>
      <w:r w:rsidRPr="00052E38">
        <w:t xml:space="preserve"> </w:t>
      </w:r>
      <w:r>
        <w:t xml:space="preserve">report concluded that the </w:t>
      </w:r>
      <w:r w:rsidRPr="00052E38">
        <w:t>evidence does not support the claim that live bet</w:t>
      </w:r>
      <w:r>
        <w:t>ting</w:t>
      </w:r>
      <w:r w:rsidR="00E27B40">
        <w:t>,</w:t>
      </w:r>
      <w:r w:rsidRPr="00E97045">
        <w:t xml:space="preserve"> </w:t>
      </w:r>
      <w:r w:rsidRPr="00052E38">
        <w:t>in comparison to pre-match be</w:t>
      </w:r>
      <w:bookmarkStart w:id="1" w:name="_GoBack"/>
      <w:bookmarkEnd w:id="1"/>
      <w:r w:rsidRPr="00052E38">
        <w:t>tting</w:t>
      </w:r>
      <w:r>
        <w:t xml:space="preserve">, </w:t>
      </w:r>
      <w:r w:rsidRPr="00052E38">
        <w:t>significantly encourage</w:t>
      </w:r>
      <w:r>
        <w:t xml:space="preserve">s corruption </w:t>
      </w:r>
      <w:r w:rsidR="00D35C93">
        <w:t xml:space="preserve">in </w:t>
      </w:r>
      <w:r>
        <w:t>sport</w:t>
      </w:r>
      <w:r w:rsidRPr="00052E38">
        <w:t>.</w:t>
      </w:r>
      <w:r>
        <w:t xml:space="preserve"> The study therefore f</w:t>
      </w:r>
      <w:r w:rsidR="00E27B40">
        <w:t>ound no correlation</w:t>
      </w:r>
      <w:r w:rsidRPr="002D6CD5">
        <w:t xml:space="preserve"> between live betting or side betting and possible ins</w:t>
      </w:r>
      <w:r>
        <w:t>tances of betting-related match-</w:t>
      </w:r>
      <w:r w:rsidR="00E27B40">
        <w:t xml:space="preserve">fixing </w:t>
      </w:r>
      <w:r w:rsidRPr="002D6CD5">
        <w:t xml:space="preserve">that would justify a prohibition of these bet types. </w:t>
      </w:r>
    </w:p>
    <w:p w14:paraId="1A06BEEC" w14:textId="77777777" w:rsidR="00E97045" w:rsidRDefault="00E97045" w:rsidP="00E97045">
      <w:pPr>
        <w:pStyle w:val="ListParagraph"/>
        <w:rPr>
          <w:lang w:eastAsia="en-GB"/>
        </w:rPr>
      </w:pPr>
    </w:p>
    <w:p w14:paraId="0FD73423" w14:textId="77777777" w:rsidR="00E97045" w:rsidRDefault="002B0120" w:rsidP="00E97045">
      <w:pPr>
        <w:pStyle w:val="ListParagraph"/>
        <w:numPr>
          <w:ilvl w:val="0"/>
          <w:numId w:val="2"/>
        </w:numPr>
        <w:jc w:val="both"/>
      </w:pPr>
      <w:r>
        <w:rPr>
          <w:lang w:eastAsia="en-GB"/>
        </w:rPr>
        <w:t xml:space="preserve">The assessment of risk and product availability is </w:t>
      </w:r>
      <w:r w:rsidR="00C831E3">
        <w:rPr>
          <w:lang w:eastAsia="en-GB"/>
        </w:rPr>
        <w:t xml:space="preserve">of course </w:t>
      </w:r>
      <w:r>
        <w:rPr>
          <w:lang w:eastAsia="en-GB"/>
        </w:rPr>
        <w:t>an issue for national legislators and regulatory authorities to determine</w:t>
      </w:r>
      <w:r w:rsidR="00C1412B">
        <w:rPr>
          <w:lang w:eastAsia="en-GB"/>
        </w:rPr>
        <w:t>,</w:t>
      </w:r>
      <w:r>
        <w:rPr>
          <w:lang w:eastAsia="en-GB"/>
        </w:rPr>
        <w:t xml:space="preserve"> and where all stakeholders</w:t>
      </w:r>
      <w:r w:rsidR="00B667BA">
        <w:rPr>
          <w:lang w:eastAsia="en-GB"/>
        </w:rPr>
        <w:t xml:space="preserve"> should be</w:t>
      </w:r>
      <w:r>
        <w:rPr>
          <w:lang w:eastAsia="en-GB"/>
        </w:rPr>
        <w:t xml:space="preserve"> involved in </w:t>
      </w:r>
      <w:r w:rsidR="00C831E3">
        <w:rPr>
          <w:lang w:eastAsia="en-GB"/>
        </w:rPr>
        <w:t xml:space="preserve">evidence-based </w:t>
      </w:r>
      <w:r w:rsidR="00B667BA">
        <w:rPr>
          <w:lang w:eastAsia="en-GB"/>
        </w:rPr>
        <w:t xml:space="preserve">policy </w:t>
      </w:r>
      <w:r>
        <w:rPr>
          <w:lang w:eastAsia="en-GB"/>
        </w:rPr>
        <w:t xml:space="preserve">discussions regarding the associated betting market framework. </w:t>
      </w:r>
    </w:p>
    <w:p w14:paraId="4DF7D25E" w14:textId="77777777" w:rsidR="00E97045" w:rsidRDefault="00E97045" w:rsidP="00E97045">
      <w:pPr>
        <w:pStyle w:val="ListParagraph"/>
      </w:pPr>
    </w:p>
    <w:p w14:paraId="374E4E12" w14:textId="77777777" w:rsidR="00E97045" w:rsidRPr="00E97045" w:rsidRDefault="002B0120" w:rsidP="00E97045">
      <w:pPr>
        <w:pStyle w:val="ListParagraph"/>
        <w:numPr>
          <w:ilvl w:val="0"/>
          <w:numId w:val="2"/>
        </w:numPr>
        <w:jc w:val="both"/>
      </w:pPr>
      <w:r>
        <w:t xml:space="preserve">The British Gambling Commission has taken such an approach and, after a detailed </w:t>
      </w:r>
      <w:r w:rsidRPr="0062113A">
        <w:t xml:space="preserve">consideration of stakeholder positions and market analysis, published its </w:t>
      </w:r>
      <w:r w:rsidR="001957D9">
        <w:t xml:space="preserve">initial position </w:t>
      </w:r>
      <w:r w:rsidRPr="0062113A">
        <w:t>in 2009</w:t>
      </w:r>
      <w:r w:rsidR="00E27B40">
        <w:t>; i</w:t>
      </w:r>
      <w:r w:rsidRPr="0062113A">
        <w:t xml:space="preserve">t has continually reassessed this important matter and its </w:t>
      </w:r>
      <w:r>
        <w:t xml:space="preserve">policy </w:t>
      </w:r>
      <w:r w:rsidRPr="0062113A">
        <w:t>since that time</w:t>
      </w:r>
      <w:r w:rsidRPr="00E97045">
        <w:rPr>
          <w:color w:val="FF0000"/>
        </w:rPr>
        <w:t xml:space="preserve">. </w:t>
      </w:r>
    </w:p>
    <w:p w14:paraId="5215CDEC" w14:textId="77777777" w:rsidR="00E97045" w:rsidRDefault="00E97045" w:rsidP="00E97045">
      <w:pPr>
        <w:pStyle w:val="ListParagraph"/>
      </w:pPr>
    </w:p>
    <w:p w14:paraId="2989B838" w14:textId="77777777" w:rsidR="00E97045" w:rsidRDefault="002B0120" w:rsidP="00E97045">
      <w:pPr>
        <w:pStyle w:val="ListParagraph"/>
        <w:numPr>
          <w:ilvl w:val="0"/>
          <w:numId w:val="2"/>
        </w:numPr>
        <w:jc w:val="both"/>
      </w:pPr>
      <w:r>
        <w:t>The regulator</w:t>
      </w:r>
      <w:r w:rsidR="001957D9">
        <w:t xml:space="preserve">, which </w:t>
      </w:r>
      <w:r>
        <w:t xml:space="preserve">has </w:t>
      </w:r>
      <w:r w:rsidR="007570ED">
        <w:t xml:space="preserve">detailed </w:t>
      </w:r>
      <w:r>
        <w:t>data from one of t</w:t>
      </w:r>
      <w:r w:rsidR="001957D9">
        <w:t xml:space="preserve">he largest betting </w:t>
      </w:r>
      <w:r>
        <w:t>markets and</w:t>
      </w:r>
      <w:r w:rsidRPr="00F05A3D">
        <w:t xml:space="preserve"> “</w:t>
      </w:r>
      <w:r w:rsidRPr="00E97045">
        <w:rPr>
          <w:rFonts w:eastAsia="Times New Roman" w:cs="Arial"/>
          <w:lang w:eastAsia="en-GB"/>
        </w:rPr>
        <w:t>works on the principle of risk-based regulation and must act in a proportionate manner”</w:t>
      </w:r>
      <w:r w:rsidR="007570ED">
        <w:t xml:space="preserve">, </w:t>
      </w:r>
      <w:r>
        <w:t xml:space="preserve">was “not persuaded </w:t>
      </w:r>
      <w:r w:rsidRPr="00F05A3D">
        <w:t>that there is a sufficient case for restricting types of bets”</w:t>
      </w:r>
      <w:r>
        <w:t>.</w:t>
      </w:r>
      <w:r w:rsidRPr="00F05A3D">
        <w:rPr>
          <w:rStyle w:val="FootnoteReference"/>
        </w:rPr>
        <w:footnoteReference w:id="15"/>
      </w:r>
    </w:p>
    <w:p w14:paraId="236CFBE3" w14:textId="77777777" w:rsidR="00E97045" w:rsidRDefault="00E97045" w:rsidP="00E97045">
      <w:pPr>
        <w:pStyle w:val="ListParagraph"/>
      </w:pPr>
    </w:p>
    <w:p w14:paraId="2707E824" w14:textId="77777777" w:rsidR="00E97045" w:rsidRDefault="002B0120" w:rsidP="00E97045">
      <w:pPr>
        <w:pStyle w:val="ListParagraph"/>
        <w:numPr>
          <w:ilvl w:val="0"/>
          <w:numId w:val="2"/>
        </w:numPr>
        <w:jc w:val="both"/>
      </w:pPr>
      <w:r>
        <w:t xml:space="preserve">The British gambling regulatory body has since reiterated this stance following the European Parliament’s Resolution </w:t>
      </w:r>
      <w:r w:rsidRPr="00E97045">
        <w:rPr>
          <w:shd w:val="clear" w:color="auto" w:fill="FFFFFF"/>
        </w:rPr>
        <w:t>Online Gambling adopted in September 2013</w:t>
      </w:r>
      <w:r w:rsidR="00190DC7">
        <w:rPr>
          <w:shd w:val="clear" w:color="auto" w:fill="FFFFFF"/>
        </w:rPr>
        <w:t>,</w:t>
      </w:r>
      <w:r w:rsidRPr="00E97045">
        <w:rPr>
          <w:shd w:val="clear" w:color="auto" w:fill="FFFFFF"/>
        </w:rPr>
        <w:t xml:space="preserve"> which proposed the prohibition of certain types of bets, such as in-play betting, stating that </w:t>
      </w:r>
      <w:r w:rsidRPr="00D25E56">
        <w:t>“any threat to sports betting integrity can be managed without the need to ban what is a very popular activity.”</w:t>
      </w:r>
      <w:r>
        <w:rPr>
          <w:rStyle w:val="FootnoteReference"/>
        </w:rPr>
        <w:footnoteReference w:id="16"/>
      </w:r>
    </w:p>
    <w:p w14:paraId="75617B27" w14:textId="77777777" w:rsidR="00E97045" w:rsidRDefault="00E97045" w:rsidP="00E97045">
      <w:pPr>
        <w:pStyle w:val="ListParagraph"/>
      </w:pPr>
    </w:p>
    <w:p w14:paraId="37BE6B59" w14:textId="77777777" w:rsidR="00E97045" w:rsidRDefault="002B0120" w:rsidP="00E97045">
      <w:pPr>
        <w:pStyle w:val="ListParagraph"/>
        <w:numPr>
          <w:ilvl w:val="0"/>
          <w:numId w:val="2"/>
        </w:numPr>
        <w:jc w:val="both"/>
      </w:pPr>
      <w:r w:rsidRPr="00D472A4">
        <w:t>In its subsequent October 2013 position paper entitled “Protecting betting integrity” the British Gambling Commission further commented that it is “</w:t>
      </w:r>
      <w:r w:rsidRPr="00D472A4">
        <w:rPr>
          <w:lang w:eastAsia="en-GB"/>
        </w:rPr>
        <w:t>familiar with methods used in other countries to promote betting integrity such as restricting the types of bets offered or approving sports governing bodies’ rules before allowing betting on those sports.”</w:t>
      </w:r>
      <w:r w:rsidRPr="00D472A4">
        <w:rPr>
          <w:rStyle w:val="FootnoteReference"/>
          <w:lang w:eastAsia="en-GB"/>
        </w:rPr>
        <w:footnoteReference w:id="17"/>
      </w:r>
    </w:p>
    <w:p w14:paraId="1F2909A1" w14:textId="77777777" w:rsidR="00E97045" w:rsidRDefault="00E97045" w:rsidP="00E97045">
      <w:pPr>
        <w:pStyle w:val="ListParagraph"/>
        <w:rPr>
          <w:lang w:eastAsia="en-GB"/>
        </w:rPr>
      </w:pPr>
    </w:p>
    <w:p w14:paraId="0463263B" w14:textId="77777777" w:rsidR="00E97045" w:rsidRDefault="002B0120" w:rsidP="00E97045">
      <w:pPr>
        <w:pStyle w:val="ListParagraph"/>
        <w:numPr>
          <w:ilvl w:val="0"/>
          <w:numId w:val="2"/>
        </w:numPr>
        <w:jc w:val="both"/>
      </w:pPr>
      <w:r w:rsidRPr="00D472A4">
        <w:rPr>
          <w:lang w:eastAsia="en-GB"/>
        </w:rPr>
        <w:t xml:space="preserve">The </w:t>
      </w:r>
      <w:r w:rsidR="003838C1">
        <w:rPr>
          <w:lang w:eastAsia="en-GB"/>
        </w:rPr>
        <w:t>regulator</w:t>
      </w:r>
      <w:r w:rsidRPr="00D472A4">
        <w:rPr>
          <w:lang w:eastAsia="en-GB"/>
        </w:rPr>
        <w:t xml:space="preserve"> importantly noted that the</w:t>
      </w:r>
      <w:r w:rsidR="003838C1">
        <w:rPr>
          <w:lang w:eastAsia="en-GB"/>
        </w:rPr>
        <w:t>:</w:t>
      </w:r>
      <w:r w:rsidRPr="00D472A4">
        <w:rPr>
          <w:lang w:eastAsia="en-GB"/>
        </w:rPr>
        <w:t xml:space="preserve"> “Commission has the power to impose such restrictions. However, the Commission does not consider, based on the available evidence, that such intrusive or resource intensive methods are warranted or would be effective”.</w:t>
      </w:r>
      <w:r w:rsidRPr="00D472A4">
        <w:rPr>
          <w:rStyle w:val="FootnoteReference"/>
          <w:lang w:eastAsia="en-GB"/>
        </w:rPr>
        <w:footnoteReference w:id="18"/>
      </w:r>
    </w:p>
    <w:p w14:paraId="6ABE5682" w14:textId="77777777" w:rsidR="00E97045" w:rsidRDefault="00E97045" w:rsidP="00E97045">
      <w:pPr>
        <w:pStyle w:val="ListParagraph"/>
      </w:pPr>
    </w:p>
    <w:p w14:paraId="2309B875" w14:textId="77777777" w:rsidR="00E97045" w:rsidRDefault="0008100C" w:rsidP="00E97045">
      <w:pPr>
        <w:pStyle w:val="ListParagraph"/>
        <w:numPr>
          <w:ilvl w:val="0"/>
          <w:numId w:val="2"/>
        </w:numPr>
        <w:jc w:val="both"/>
      </w:pPr>
      <w:r>
        <w:t>Indeed, most countries that regulate betting on sporting events</w:t>
      </w:r>
      <w:r w:rsidR="000B7551">
        <w:t xml:space="preserve"> </w:t>
      </w:r>
      <w:r>
        <w:t>do not currently impose significant restrictions on bet types or events</w:t>
      </w:r>
      <w:r w:rsidR="006B55DE">
        <w:t xml:space="preserve">, with operators </w:t>
      </w:r>
      <w:r>
        <w:t>able to offer a wide range of products and services</w:t>
      </w:r>
      <w:r w:rsidR="006B55DE">
        <w:t xml:space="preserve"> and</w:t>
      </w:r>
      <w:r w:rsidR="000B7551">
        <w:t xml:space="preserve"> employing</w:t>
      </w:r>
      <w:r>
        <w:t xml:space="preserve"> risk-based security systems to monitor their markets</w:t>
      </w:r>
      <w:r w:rsidR="00357F2F">
        <w:t>.</w:t>
      </w:r>
    </w:p>
    <w:p w14:paraId="46F62450" w14:textId="77777777" w:rsidR="00E97045" w:rsidRDefault="00E97045" w:rsidP="00E97045">
      <w:pPr>
        <w:pStyle w:val="ListParagraph"/>
      </w:pPr>
    </w:p>
    <w:p w14:paraId="6BDBF9A9" w14:textId="77777777" w:rsidR="00E97045" w:rsidRDefault="006B55DE" w:rsidP="00E97045">
      <w:pPr>
        <w:pStyle w:val="ListParagraph"/>
        <w:numPr>
          <w:ilvl w:val="0"/>
          <w:numId w:val="2"/>
        </w:numPr>
        <w:jc w:val="both"/>
      </w:pPr>
      <w:r>
        <w:t>Significant product restrictions are therefore only enforced in a small number of jurisdictions and there is no evidence to suggest that the sporting events taking place in these countries are any less susceptible to c</w:t>
      </w:r>
      <w:r w:rsidR="00190DC7">
        <w:t>orruption, often perpetrated through</w:t>
      </w:r>
      <w:r>
        <w:t xml:space="preserve"> unregulated operators. </w:t>
      </w:r>
    </w:p>
    <w:p w14:paraId="7105B81C" w14:textId="77777777" w:rsidR="00863ACA" w:rsidRDefault="00863ACA" w:rsidP="00863ACA">
      <w:pPr>
        <w:pStyle w:val="ListParagraph"/>
      </w:pPr>
    </w:p>
    <w:p w14:paraId="037503C9" w14:textId="77777777" w:rsidR="00E97045" w:rsidRDefault="00863ACA" w:rsidP="00E97045">
      <w:pPr>
        <w:pStyle w:val="ListParagraph"/>
        <w:numPr>
          <w:ilvl w:val="0"/>
          <w:numId w:val="2"/>
        </w:numPr>
        <w:jc w:val="both"/>
      </w:pPr>
      <w:r>
        <w:t>Australia</w:t>
      </w:r>
      <w:r w:rsidR="004547E9">
        <w:t xml:space="preserve"> has enforced an</w:t>
      </w:r>
      <w:r w:rsidR="00706B7D">
        <w:t xml:space="preserve"> </w:t>
      </w:r>
      <w:r w:rsidR="0008100C">
        <w:t xml:space="preserve">inconsistent position on in-play (or live) betting. The </w:t>
      </w:r>
      <w:r w:rsidR="0008100C" w:rsidRPr="00E97045">
        <w:rPr>
          <w:rStyle w:val="legtitle"/>
          <w:bCs/>
        </w:rPr>
        <w:t xml:space="preserve">Interactive Gambling Act 2001 </w:t>
      </w:r>
      <w:r w:rsidR="0008100C" w:rsidRPr="002817A5">
        <w:rPr>
          <w:lang w:eastAsia="en-GB"/>
        </w:rPr>
        <w:t>prohibits the supply of interactive gambling ser</w:t>
      </w:r>
      <w:r w:rsidR="0008100C">
        <w:rPr>
          <w:lang w:eastAsia="en-GB"/>
        </w:rPr>
        <w:t>vices to customers in Australia, except for online betting which is permitted if</w:t>
      </w:r>
      <w:r w:rsidR="00706B7D">
        <w:rPr>
          <w:lang w:eastAsia="en-GB"/>
        </w:rPr>
        <w:t xml:space="preserve"> state or territories permit</w:t>
      </w:r>
      <w:r w:rsidR="0008100C">
        <w:rPr>
          <w:lang w:eastAsia="en-GB"/>
        </w:rPr>
        <w:t>.</w:t>
      </w:r>
      <w:r w:rsidR="0008100C">
        <w:rPr>
          <w:rStyle w:val="FootnoteReference"/>
          <w:lang w:eastAsia="en-GB"/>
        </w:rPr>
        <w:footnoteReference w:id="19"/>
      </w:r>
      <w:r w:rsidR="0008100C">
        <w:rPr>
          <w:lang w:eastAsia="en-GB"/>
        </w:rPr>
        <w:t xml:space="preserve"> </w:t>
      </w:r>
      <w:r w:rsidR="0008100C" w:rsidRPr="002817A5">
        <w:rPr>
          <w:lang w:eastAsia="en-GB"/>
        </w:rPr>
        <w:t xml:space="preserve"> </w:t>
      </w:r>
    </w:p>
    <w:p w14:paraId="3B1EE201" w14:textId="77777777" w:rsidR="00E97045" w:rsidRDefault="00E97045" w:rsidP="00E97045">
      <w:pPr>
        <w:pStyle w:val="ListParagraph"/>
        <w:rPr>
          <w:lang w:eastAsia="en-GB"/>
        </w:rPr>
      </w:pPr>
    </w:p>
    <w:p w14:paraId="2AD10BBE" w14:textId="77777777" w:rsidR="00E97045" w:rsidRDefault="0008100C" w:rsidP="00E97045">
      <w:pPr>
        <w:pStyle w:val="ListParagraph"/>
        <w:numPr>
          <w:ilvl w:val="0"/>
          <w:numId w:val="2"/>
        </w:numPr>
        <w:jc w:val="both"/>
      </w:pPr>
      <w:r>
        <w:rPr>
          <w:lang w:eastAsia="en-GB"/>
        </w:rPr>
        <w:t xml:space="preserve">There are, </w:t>
      </w:r>
      <w:r w:rsidR="00706B7D">
        <w:rPr>
          <w:lang w:eastAsia="en-GB"/>
        </w:rPr>
        <w:t>however, r</w:t>
      </w:r>
      <w:r>
        <w:rPr>
          <w:lang w:eastAsia="en-GB"/>
        </w:rPr>
        <w:t>estrictions on the type of betting which can be permitted under the legislation and which bans in-play (or live) sports betting to Australian consumers via the internet, but which permits this same activity through telephone</w:t>
      </w:r>
      <w:r w:rsidR="00706B7D">
        <w:rPr>
          <w:lang w:eastAsia="en-GB"/>
        </w:rPr>
        <w:t xml:space="preserve"> or land-based betting</w:t>
      </w:r>
      <w:r>
        <w:rPr>
          <w:lang w:eastAsia="en-GB"/>
        </w:rPr>
        <w:t>.</w:t>
      </w:r>
      <w:r>
        <w:rPr>
          <w:rStyle w:val="FootnoteReference"/>
          <w:lang w:eastAsia="en-GB"/>
        </w:rPr>
        <w:footnoteReference w:id="20"/>
      </w:r>
      <w:r>
        <w:rPr>
          <w:lang w:eastAsia="en-GB"/>
        </w:rPr>
        <w:t xml:space="preserve"> </w:t>
      </w:r>
    </w:p>
    <w:p w14:paraId="30BC4786" w14:textId="77777777" w:rsidR="00E97045" w:rsidRDefault="00E97045" w:rsidP="00E97045">
      <w:pPr>
        <w:pStyle w:val="ListParagraph"/>
        <w:rPr>
          <w:lang w:eastAsia="en-GB"/>
        </w:rPr>
      </w:pPr>
    </w:p>
    <w:p w14:paraId="4210AECE" w14:textId="77777777" w:rsidR="00E97045" w:rsidRDefault="0008100C" w:rsidP="00E97045">
      <w:pPr>
        <w:pStyle w:val="ListParagraph"/>
        <w:numPr>
          <w:ilvl w:val="0"/>
          <w:numId w:val="2"/>
        </w:numPr>
        <w:jc w:val="both"/>
      </w:pPr>
      <w:r>
        <w:rPr>
          <w:lang w:eastAsia="en-GB"/>
        </w:rPr>
        <w:t xml:space="preserve">The </w:t>
      </w:r>
      <w:r w:rsidRPr="00E97045">
        <w:rPr>
          <w:rStyle w:val="legtitle"/>
          <w:bCs/>
        </w:rPr>
        <w:t>Interactive Gambling Act (IGA)</w:t>
      </w:r>
      <w:r>
        <w:rPr>
          <w:lang w:eastAsia="en-GB"/>
        </w:rPr>
        <w:t xml:space="preserve"> also allows in-play betting via the internet for horse and greyhound racing, whilst Australian residents can place in-play bets with online betting operators based outside of Australia, creating further inconsistenc</w:t>
      </w:r>
      <w:r w:rsidR="00706B7D">
        <w:rPr>
          <w:lang w:eastAsia="en-GB"/>
        </w:rPr>
        <w:t xml:space="preserve">ies with the </w:t>
      </w:r>
      <w:r>
        <w:rPr>
          <w:lang w:eastAsia="en-GB"/>
        </w:rPr>
        <w:t>law.</w:t>
      </w:r>
      <w:r>
        <w:rPr>
          <w:rStyle w:val="FootnoteReference"/>
          <w:lang w:eastAsia="en-GB"/>
        </w:rPr>
        <w:footnoteReference w:id="21"/>
      </w:r>
      <w:r>
        <w:rPr>
          <w:lang w:eastAsia="en-GB"/>
        </w:rPr>
        <w:t xml:space="preserve"> </w:t>
      </w:r>
    </w:p>
    <w:p w14:paraId="150EE77C" w14:textId="77777777" w:rsidR="00E97045" w:rsidRDefault="00E97045" w:rsidP="00E97045">
      <w:pPr>
        <w:pStyle w:val="ListParagraph"/>
        <w:rPr>
          <w:lang w:eastAsia="en-GB"/>
        </w:rPr>
      </w:pPr>
    </w:p>
    <w:p w14:paraId="77D340EF" w14:textId="77777777" w:rsidR="00E97045" w:rsidRDefault="0020684B" w:rsidP="00E97045">
      <w:pPr>
        <w:pStyle w:val="ListParagraph"/>
        <w:numPr>
          <w:ilvl w:val="0"/>
          <w:numId w:val="2"/>
        </w:numPr>
        <w:jc w:val="both"/>
      </w:pPr>
      <w:r>
        <w:rPr>
          <w:lang w:eastAsia="en-GB"/>
        </w:rPr>
        <w:t>A</w:t>
      </w:r>
      <w:r w:rsidR="0008100C">
        <w:rPr>
          <w:lang w:eastAsia="en-GB"/>
        </w:rPr>
        <w:t xml:space="preserve"> review of the State of </w:t>
      </w:r>
      <w:r w:rsidR="0008100C">
        <w:t>Victoria’s</w:t>
      </w:r>
      <w:r>
        <w:t xml:space="preserve"> </w:t>
      </w:r>
      <w:r w:rsidR="0008100C">
        <w:t>betting legislation in 2011</w:t>
      </w:r>
      <w:r w:rsidR="0008100C">
        <w:rPr>
          <w:lang w:eastAsia="en-GB"/>
        </w:rPr>
        <w:t xml:space="preserve"> determine</w:t>
      </w:r>
      <w:r w:rsidR="001879E6">
        <w:rPr>
          <w:lang w:eastAsia="en-GB"/>
        </w:rPr>
        <w:t>d</w:t>
      </w:r>
      <w:r w:rsidR="0008100C">
        <w:rPr>
          <w:lang w:eastAsia="en-GB"/>
        </w:rPr>
        <w:t xml:space="preserve"> that: “</w:t>
      </w:r>
      <w:r w:rsidR="0008100C" w:rsidRPr="00DD2714">
        <w:rPr>
          <w:lang w:eastAsia="en-GB"/>
        </w:rPr>
        <w:t>There was widespread agreement amongst all stakeholders that the ban on internet betting ‘in the run’ contained in the Interactive Gambling Act 2001(C</w:t>
      </w:r>
      <w:r w:rsidR="0008100C" w:rsidRPr="00DD2714">
        <w:t>wlth) serves no useful purpose.”</w:t>
      </w:r>
      <w:r w:rsidR="0008100C">
        <w:rPr>
          <w:rStyle w:val="FootnoteReference"/>
        </w:rPr>
        <w:footnoteReference w:id="22"/>
      </w:r>
    </w:p>
    <w:p w14:paraId="7E6EF633" w14:textId="77777777" w:rsidR="00E97045" w:rsidRDefault="00E97045" w:rsidP="00E97045">
      <w:pPr>
        <w:pStyle w:val="ListParagraph"/>
        <w:rPr>
          <w:lang w:eastAsia="en-GB"/>
        </w:rPr>
      </w:pPr>
    </w:p>
    <w:p w14:paraId="01E7F998" w14:textId="77777777" w:rsidR="00E97045" w:rsidRDefault="0020684B" w:rsidP="00E97045">
      <w:pPr>
        <w:pStyle w:val="ListParagraph"/>
        <w:numPr>
          <w:ilvl w:val="0"/>
          <w:numId w:val="2"/>
        </w:numPr>
        <w:jc w:val="both"/>
      </w:pPr>
      <w:r>
        <w:rPr>
          <w:lang w:eastAsia="en-GB"/>
        </w:rPr>
        <w:t>I</w:t>
      </w:r>
      <w:r w:rsidR="0008100C">
        <w:rPr>
          <w:lang w:eastAsia="en-GB"/>
        </w:rPr>
        <w:t>t “</w:t>
      </w:r>
      <w:r w:rsidR="0008100C" w:rsidRPr="00F9361F">
        <w:rPr>
          <w:lang w:eastAsia="en-GB"/>
        </w:rPr>
        <w:t>was also put to the review that, in some cases, i</w:t>
      </w:r>
      <w:r w:rsidR="0008100C">
        <w:rPr>
          <w:lang w:eastAsia="en-GB"/>
        </w:rPr>
        <w:t>n the run betting was to be pref</w:t>
      </w:r>
      <w:r w:rsidR="0008100C" w:rsidRPr="00F9361F">
        <w:rPr>
          <w:lang w:eastAsia="en-GB"/>
        </w:rPr>
        <w:t>erred.</w:t>
      </w:r>
      <w:r w:rsidR="0008100C" w:rsidRPr="00F9361F">
        <w:t xml:space="preserve"> </w:t>
      </w:r>
      <w:r w:rsidR="0008100C" w:rsidRPr="00F9361F">
        <w:rPr>
          <w:lang w:eastAsia="en-GB"/>
        </w:rPr>
        <w:t xml:space="preserve">Certain betting markets may be better served from an integrity perspective if they can </w:t>
      </w:r>
      <w:r w:rsidR="0008100C" w:rsidRPr="00082243">
        <w:rPr>
          <w:lang w:eastAsia="en-GB"/>
        </w:rPr>
        <w:t>only be bet on during the game, as this would avoid the possibility</w:t>
      </w:r>
      <w:r w:rsidR="0008100C" w:rsidRPr="00082243">
        <w:t xml:space="preserve"> of pre-game collusion.”</w:t>
      </w:r>
      <w:r w:rsidR="0008100C" w:rsidRPr="00082243">
        <w:rPr>
          <w:rStyle w:val="FootnoteReference"/>
        </w:rPr>
        <w:footnoteReference w:id="23"/>
      </w:r>
    </w:p>
    <w:p w14:paraId="3B5EE175" w14:textId="77777777" w:rsidR="00E97045" w:rsidRPr="00E97045" w:rsidRDefault="00E97045" w:rsidP="00E97045">
      <w:pPr>
        <w:pStyle w:val="ListParagraph"/>
        <w:rPr>
          <w:rFonts w:eastAsia="Times New Roman" w:cs="Arial"/>
          <w:lang w:eastAsia="en-GB"/>
        </w:rPr>
      </w:pPr>
    </w:p>
    <w:p w14:paraId="41FC29E9" w14:textId="77777777" w:rsidR="00E97045" w:rsidRDefault="00E82EFB" w:rsidP="00E97045">
      <w:pPr>
        <w:pStyle w:val="ListParagraph"/>
        <w:numPr>
          <w:ilvl w:val="0"/>
          <w:numId w:val="2"/>
        </w:numPr>
        <w:jc w:val="both"/>
      </w:pPr>
      <w:r w:rsidRPr="00E97045">
        <w:rPr>
          <w:rFonts w:eastAsia="Times New Roman" w:cs="Arial"/>
          <w:lang w:eastAsia="en-GB"/>
        </w:rPr>
        <w:t>N</w:t>
      </w:r>
      <w:r w:rsidR="0008100C" w:rsidRPr="00E97045">
        <w:rPr>
          <w:rFonts w:eastAsia="Times New Roman" w:cs="Arial"/>
          <w:lang w:eastAsia="en-GB"/>
        </w:rPr>
        <w:t xml:space="preserve">ational sports have supported the provision of online in-play betting stating: </w:t>
      </w:r>
      <w:r w:rsidR="0008100C">
        <w:rPr>
          <w:lang w:eastAsia="en-GB"/>
        </w:rPr>
        <w:t>“</w:t>
      </w:r>
      <w:r w:rsidR="0008100C" w:rsidRPr="007913BA">
        <w:rPr>
          <w:lang w:eastAsia="en-GB"/>
        </w:rPr>
        <w:t>This form of betting is being driven offshore by the current prohibition. Australian sports and regulators have no access to suspicious betting data and have no means of tracking illegal activity.</w:t>
      </w:r>
      <w:r w:rsidR="0008100C">
        <w:rPr>
          <w:lang w:eastAsia="en-GB"/>
        </w:rPr>
        <w:t>”</w:t>
      </w:r>
      <w:r w:rsidR="0008100C">
        <w:rPr>
          <w:rStyle w:val="FootnoteReference"/>
          <w:lang w:eastAsia="en-GB"/>
        </w:rPr>
        <w:footnoteReference w:id="24"/>
      </w:r>
    </w:p>
    <w:p w14:paraId="01E0A96A" w14:textId="77777777" w:rsidR="00E97045" w:rsidRDefault="00E97045" w:rsidP="00E97045">
      <w:pPr>
        <w:pStyle w:val="ListParagraph"/>
        <w:rPr>
          <w:lang w:eastAsia="en-GB"/>
        </w:rPr>
      </w:pPr>
    </w:p>
    <w:p w14:paraId="22CFEBDA" w14:textId="77777777" w:rsidR="00E97045" w:rsidRDefault="00E82EFB" w:rsidP="00E97045">
      <w:pPr>
        <w:pStyle w:val="ListParagraph"/>
        <w:numPr>
          <w:ilvl w:val="0"/>
          <w:numId w:val="2"/>
        </w:numPr>
        <w:jc w:val="both"/>
      </w:pPr>
      <w:r>
        <w:rPr>
          <w:lang w:eastAsia="en-GB"/>
        </w:rPr>
        <w:t>A Government review of the IGA in 2013</w:t>
      </w:r>
      <w:r w:rsidR="0008100C">
        <w:rPr>
          <w:lang w:eastAsia="en-GB"/>
        </w:rPr>
        <w:t xml:space="preserve"> again noted that </w:t>
      </w:r>
      <w:r w:rsidR="0008100C" w:rsidRPr="00653940">
        <w:rPr>
          <w:lang w:eastAsia="en-GB"/>
        </w:rPr>
        <w:t>the majority of online in-play wagering is conducted on the final outcome of an event, rather than on</w:t>
      </w:r>
      <w:r w:rsidR="0008100C">
        <w:rPr>
          <w:lang w:eastAsia="en-GB"/>
        </w:rPr>
        <w:t xml:space="preserve"> contingencies within the event </w:t>
      </w:r>
      <w:r w:rsidR="0008100C" w:rsidRPr="00653940">
        <w:rPr>
          <w:lang w:eastAsia="en-GB"/>
        </w:rPr>
        <w:t xml:space="preserve">(e.g. who will score the </w:t>
      </w:r>
      <w:r w:rsidR="0008100C">
        <w:rPr>
          <w:lang w:eastAsia="en-GB"/>
        </w:rPr>
        <w:t xml:space="preserve">first goal) and that the public policy case for banning such </w:t>
      </w:r>
      <w:r w:rsidR="0008100C" w:rsidRPr="0048509D">
        <w:t>betting</w:t>
      </w:r>
      <w:r w:rsidR="0008100C">
        <w:t>,</w:t>
      </w:r>
      <w:r w:rsidR="0008100C" w:rsidRPr="0048509D">
        <w:t xml:space="preserve"> “especially if this form of gambling is driven off-shore, has not been established.”</w:t>
      </w:r>
      <w:r w:rsidR="0008100C">
        <w:rPr>
          <w:rStyle w:val="FootnoteReference"/>
        </w:rPr>
        <w:footnoteReference w:id="25"/>
      </w:r>
    </w:p>
    <w:p w14:paraId="1D97C159" w14:textId="77777777" w:rsidR="00E97045" w:rsidRDefault="00E97045" w:rsidP="00E97045">
      <w:pPr>
        <w:pStyle w:val="ListParagraph"/>
      </w:pPr>
    </w:p>
    <w:p w14:paraId="61E131D2" w14:textId="77777777" w:rsidR="00E97045" w:rsidRDefault="00E82EFB" w:rsidP="00E97045">
      <w:pPr>
        <w:pStyle w:val="ListParagraph"/>
        <w:numPr>
          <w:ilvl w:val="0"/>
          <w:numId w:val="2"/>
        </w:numPr>
        <w:jc w:val="both"/>
      </w:pPr>
      <w:r>
        <w:t>M</w:t>
      </w:r>
      <w:r w:rsidR="0008100C">
        <w:t xml:space="preserve">oves to ban regulated in-play </w:t>
      </w:r>
      <w:r w:rsidR="00D953D2">
        <w:t xml:space="preserve">(or live) </w:t>
      </w:r>
      <w:r w:rsidR="0008100C">
        <w:t>betting are borne of litt</w:t>
      </w:r>
      <w:r w:rsidR="006F66D0">
        <w:t xml:space="preserve">le supporting evidence and </w:t>
      </w:r>
      <w:r w:rsidR="0008100C">
        <w:t xml:space="preserve">it is of questionable positive </w:t>
      </w:r>
      <w:r w:rsidR="006F66D0">
        <w:t xml:space="preserve">integrity </w:t>
      </w:r>
      <w:r w:rsidR="0008100C">
        <w:t xml:space="preserve">impact given the limitations of any national level approach in a fragmented global market of differing regulatory models. </w:t>
      </w:r>
    </w:p>
    <w:p w14:paraId="174131DD" w14:textId="77777777" w:rsidR="00E97045" w:rsidRDefault="00E97045" w:rsidP="00E97045">
      <w:pPr>
        <w:pStyle w:val="ListParagraph"/>
      </w:pPr>
    </w:p>
    <w:p w14:paraId="3B22A654" w14:textId="77777777" w:rsidR="00E97045" w:rsidRDefault="0008100C" w:rsidP="00E97045">
      <w:pPr>
        <w:pStyle w:val="ListParagraph"/>
        <w:numPr>
          <w:ilvl w:val="0"/>
          <w:numId w:val="2"/>
        </w:numPr>
        <w:jc w:val="both"/>
      </w:pPr>
      <w:r>
        <w:t>It is important to remember that many other integrity measures are available to regulatory</w:t>
      </w:r>
      <w:r w:rsidR="00E82EFB">
        <w:t xml:space="preserve"> authorities, depending on the </w:t>
      </w:r>
      <w:r>
        <w:t>legislative framework, including: information sharing, voiding bets, the suspension of betting markets and the instigation of criminal prosecutions.</w:t>
      </w:r>
    </w:p>
    <w:p w14:paraId="3B53C373" w14:textId="77777777" w:rsidR="00E97045" w:rsidRDefault="00E97045" w:rsidP="00E97045">
      <w:pPr>
        <w:pStyle w:val="ListParagraph"/>
      </w:pPr>
    </w:p>
    <w:p w14:paraId="177DF1F0" w14:textId="77777777" w:rsidR="00E97045" w:rsidRDefault="0008100C" w:rsidP="00E97045">
      <w:pPr>
        <w:pStyle w:val="ListParagraph"/>
        <w:numPr>
          <w:ilvl w:val="0"/>
          <w:numId w:val="2"/>
        </w:numPr>
        <w:jc w:val="both"/>
      </w:pPr>
      <w:r>
        <w:t>Moreover, unregulated operators will continue to offer whatever types of products they chose without any regulatory limitation, oversight or p</w:t>
      </w:r>
      <w:r w:rsidR="00D953D2">
        <w:t xml:space="preserve">ossible </w:t>
      </w:r>
      <w:r w:rsidR="004C1431">
        <w:t>sanctions.</w:t>
      </w:r>
      <w:r w:rsidR="00D953D2">
        <w:t xml:space="preserve"> T</w:t>
      </w:r>
      <w:r w:rsidR="004C1431">
        <w:t xml:space="preserve">here is </w:t>
      </w:r>
      <w:r w:rsidR="00D953D2">
        <w:t xml:space="preserve">also no </w:t>
      </w:r>
      <w:r w:rsidR="004C1431">
        <w:t>requirement</w:t>
      </w:r>
      <w:r>
        <w:t xml:space="preserve"> to engage in res</w:t>
      </w:r>
      <w:r w:rsidR="00D953D2">
        <w:t>ponsible preventative actions</w:t>
      </w:r>
      <w:r>
        <w:t xml:space="preserve"> to protect betting market</w:t>
      </w:r>
      <w:r w:rsidR="004C1431">
        <w:t>s</w:t>
      </w:r>
      <w:r>
        <w:t>.</w:t>
      </w:r>
    </w:p>
    <w:p w14:paraId="55B751E3" w14:textId="77777777" w:rsidR="000E1BDE" w:rsidRDefault="000E1BDE" w:rsidP="000E1BDE">
      <w:pPr>
        <w:pStyle w:val="ListParagraph"/>
      </w:pPr>
    </w:p>
    <w:p w14:paraId="74CD592A" w14:textId="77777777" w:rsidR="00D953D2" w:rsidRDefault="00D953D2" w:rsidP="00E97045">
      <w:pPr>
        <w:pStyle w:val="ListParagraph"/>
        <w:numPr>
          <w:ilvl w:val="0"/>
          <w:numId w:val="2"/>
        </w:numPr>
        <w:jc w:val="both"/>
      </w:pPr>
      <w:r>
        <w:t>Imposing bet type restrictions on regulated operators does not therefore make it any less likely that the sporting events in that licensing jurisdiction will be any safer from betting related corruption, which can take place with a multitude of operators around the world.</w:t>
      </w:r>
    </w:p>
    <w:p w14:paraId="04E28916" w14:textId="77777777" w:rsidR="00E97045" w:rsidRDefault="00E97045" w:rsidP="00E97045">
      <w:pPr>
        <w:pStyle w:val="ListParagraph"/>
      </w:pPr>
    </w:p>
    <w:p w14:paraId="01B1C8F8" w14:textId="77777777" w:rsidR="00DC216E" w:rsidRDefault="00CD79BF" w:rsidP="00E97045">
      <w:pPr>
        <w:pStyle w:val="ListParagraph"/>
        <w:numPr>
          <w:ilvl w:val="0"/>
          <w:numId w:val="2"/>
        </w:numPr>
        <w:jc w:val="both"/>
      </w:pPr>
      <w:r>
        <w:t xml:space="preserve">The proposal that products </w:t>
      </w:r>
      <w:r w:rsidRPr="00343622">
        <w:t>offered by regulated betting operators s</w:t>
      </w:r>
      <w:r>
        <w:t>hould be restricted on integrity grounds is not a</w:t>
      </w:r>
      <w:r w:rsidRPr="00343622">
        <w:t xml:space="preserve"> policy genera</w:t>
      </w:r>
      <w:r w:rsidR="0096203C">
        <w:t xml:space="preserve">ted from any firm evidence </w:t>
      </w:r>
      <w:r w:rsidR="00BB59A1">
        <w:t>base; p</w:t>
      </w:r>
      <w:r>
        <w:t>lacing product restrictions on regulated operators does not represent a proportionate or effective policy.</w:t>
      </w:r>
    </w:p>
    <w:p w14:paraId="1C777982" w14:textId="77777777" w:rsidR="000E1BDE" w:rsidRDefault="000E1BDE" w:rsidP="000E1BDE">
      <w:pPr>
        <w:pStyle w:val="ListParagraph"/>
      </w:pPr>
    </w:p>
    <w:p w14:paraId="2E7D3889" w14:textId="77777777" w:rsidR="000E1BDE" w:rsidRDefault="000E1BDE" w:rsidP="000E1BDE">
      <w:pPr>
        <w:pStyle w:val="ListParagraph"/>
        <w:numPr>
          <w:ilvl w:val="0"/>
          <w:numId w:val="2"/>
        </w:numPr>
        <w:jc w:val="both"/>
      </w:pPr>
      <w:r w:rsidRPr="00121680">
        <w:lastRenderedPageBreak/>
        <w:t xml:space="preserve">Any proposals in this area should </w:t>
      </w:r>
      <w:r>
        <w:t xml:space="preserve">also recognise </w:t>
      </w:r>
      <w:r w:rsidRPr="00121680">
        <w:t xml:space="preserve">that the ability to advertise and sponsor, subject to suitable restrictions, is a fundamental business necessity for regulated betting operators, as with many others business sectors. </w:t>
      </w:r>
    </w:p>
    <w:p w14:paraId="14EEB51E" w14:textId="77777777" w:rsidR="000E1BDE" w:rsidRDefault="000E1BDE" w:rsidP="000E1BDE">
      <w:pPr>
        <w:pStyle w:val="ListParagraph"/>
      </w:pPr>
    </w:p>
    <w:p w14:paraId="24A6EF1B" w14:textId="77777777" w:rsidR="000E1BDE" w:rsidRDefault="000E1BDE" w:rsidP="000E1BDE">
      <w:pPr>
        <w:pStyle w:val="ListParagraph"/>
        <w:numPr>
          <w:ilvl w:val="0"/>
          <w:numId w:val="2"/>
        </w:numPr>
        <w:jc w:val="both"/>
      </w:pPr>
      <w:r>
        <w:t>D</w:t>
      </w:r>
      <w:r w:rsidRPr="00121680">
        <w:t>irecting consumers to operators which report to a national regulator has many po</w:t>
      </w:r>
      <w:r>
        <w:t xml:space="preserve">tential benefits from an </w:t>
      </w:r>
      <w:r w:rsidRPr="00121680">
        <w:t>integrity perspective.</w:t>
      </w:r>
      <w:r>
        <w:t xml:space="preserve"> I</w:t>
      </w:r>
      <w:r w:rsidRPr="00121680">
        <w:t>mpo</w:t>
      </w:r>
      <w:r>
        <w:t xml:space="preserve">sing restrictions on </w:t>
      </w:r>
      <w:r w:rsidRPr="00121680">
        <w:t xml:space="preserve">licensed operators which are not forced on operators outside of a jurisdiction can have a significant detrimental impact on the business model of in-country operators and the attractiveness of a licensing jurisdiction. </w:t>
      </w:r>
    </w:p>
    <w:p w14:paraId="332FA2EB" w14:textId="77777777" w:rsidR="002076B9" w:rsidRDefault="002076B9" w:rsidP="00DC216E"/>
    <w:p w14:paraId="4589EF7B" w14:textId="40CB4BCA" w:rsidR="0096203C" w:rsidRDefault="002076B9" w:rsidP="00C80B76">
      <w:pPr>
        <w:pStyle w:val="ListParagraph"/>
        <w:numPr>
          <w:ilvl w:val="0"/>
          <w:numId w:val="2"/>
        </w:numPr>
        <w:jc w:val="both"/>
      </w:pPr>
      <w:r>
        <w:t xml:space="preserve">ESSA </w:t>
      </w:r>
      <w:r w:rsidR="008C1B04">
        <w:t xml:space="preserve">recommends </w:t>
      </w:r>
      <w:r>
        <w:t xml:space="preserve">that Australia should </w:t>
      </w:r>
      <w:r w:rsidR="00BB59A1">
        <w:t xml:space="preserve">seek to </w:t>
      </w:r>
      <w:r>
        <w:t xml:space="preserve">adopt a consistent policy that regulates and allows Australian citizens access to </w:t>
      </w:r>
      <w:r w:rsidR="0086226D">
        <w:t xml:space="preserve">all </w:t>
      </w:r>
      <w:r>
        <w:t>types of betting products across all betting platform</w:t>
      </w:r>
      <w:r w:rsidR="00B97450">
        <w:t xml:space="preserve">s as </w:t>
      </w:r>
      <w:r w:rsidR="0086226D">
        <w:t xml:space="preserve">a </w:t>
      </w:r>
      <w:r w:rsidR="00B97450">
        <w:t>means of maintaining both the</w:t>
      </w:r>
      <w:r w:rsidR="00C31374">
        <w:t xml:space="preserve"> viability and integrity of its </w:t>
      </w:r>
      <w:r w:rsidR="00D76E7C">
        <w:t xml:space="preserve">betting </w:t>
      </w:r>
      <w:r w:rsidR="00B97450">
        <w:t>market.</w:t>
      </w:r>
    </w:p>
    <w:p w14:paraId="57B520EB" w14:textId="77777777" w:rsidR="00C80B76" w:rsidRDefault="00C80B76" w:rsidP="00C80B76">
      <w:pPr>
        <w:pStyle w:val="ListParagraph"/>
      </w:pPr>
    </w:p>
    <w:p w14:paraId="5ABCAC0A" w14:textId="77777777" w:rsidR="00C80B76" w:rsidRPr="00954A54" w:rsidRDefault="00C80B76" w:rsidP="00C80B76">
      <w:pPr>
        <w:jc w:val="both"/>
        <w:rPr>
          <w:b/>
          <w:color w:val="1F497D" w:themeColor="text2"/>
          <w:lang w:eastAsia="en-GB"/>
        </w:rPr>
      </w:pPr>
      <w:r w:rsidRPr="00954A54">
        <w:rPr>
          <w:b/>
          <w:color w:val="1F497D" w:themeColor="text2"/>
          <w:lang w:eastAsia="en-GB"/>
        </w:rPr>
        <w:t>Sports betting right</w:t>
      </w:r>
    </w:p>
    <w:p w14:paraId="1320DF37" w14:textId="77777777" w:rsidR="00C80B76" w:rsidRDefault="00C80B76" w:rsidP="00C80B76">
      <w:pPr>
        <w:pStyle w:val="ListParagraph"/>
      </w:pPr>
    </w:p>
    <w:p w14:paraId="6F2003D0" w14:textId="77777777" w:rsidR="00C80B76" w:rsidRDefault="00C80B76" w:rsidP="004409C0">
      <w:pPr>
        <w:pStyle w:val="ListParagraph"/>
        <w:numPr>
          <w:ilvl w:val="0"/>
          <w:numId w:val="2"/>
        </w:numPr>
        <w:jc w:val="both"/>
      </w:pPr>
      <w:r w:rsidRPr="00CD395B">
        <w:t xml:space="preserve">Entwined with the issue of </w:t>
      </w:r>
      <w:r w:rsidR="0080346F">
        <w:t xml:space="preserve">restrictions on betting </w:t>
      </w:r>
      <w:r w:rsidRPr="00CD395B">
        <w:t>is</w:t>
      </w:r>
      <w:r>
        <w:t xml:space="preserve"> the assertion </w:t>
      </w:r>
      <w:r w:rsidRPr="00CD395B">
        <w:t xml:space="preserve">that </w:t>
      </w:r>
      <w:r w:rsidR="0080346F">
        <w:t xml:space="preserve">sports </w:t>
      </w:r>
      <w:r>
        <w:t>should have control over the availability of betting markets</w:t>
      </w:r>
      <w:r w:rsidRPr="00CD395B">
        <w:t xml:space="preserve"> offered by re</w:t>
      </w:r>
      <w:r>
        <w:t>gulated operators. A</w:t>
      </w:r>
      <w:r w:rsidRPr="00CD395B">
        <w:t>s in France</w:t>
      </w:r>
      <w:r>
        <w:t xml:space="preserve"> and the Australian State of Victoria</w:t>
      </w:r>
      <w:r w:rsidR="0080346F">
        <w:t xml:space="preserve"> (New South Wales has also passed a similar law</w:t>
      </w:r>
      <w:r w:rsidR="0080346F">
        <w:rPr>
          <w:rStyle w:val="FootnoteReference"/>
        </w:rPr>
        <w:footnoteReference w:id="26"/>
      </w:r>
      <w:r w:rsidR="0080346F">
        <w:t>)</w:t>
      </w:r>
      <w:r w:rsidRPr="00CD395B">
        <w:t xml:space="preserve">, </w:t>
      </w:r>
      <w:r>
        <w:t xml:space="preserve">this </w:t>
      </w:r>
      <w:r w:rsidR="0080346F">
        <w:t xml:space="preserve">would involve a payment to </w:t>
      </w:r>
      <w:r w:rsidRPr="00CD395B">
        <w:t xml:space="preserve">sports </w:t>
      </w:r>
      <w:r>
        <w:t>for their agreement to allow betting on their events.</w:t>
      </w:r>
    </w:p>
    <w:p w14:paraId="3A3F43AA" w14:textId="77777777" w:rsidR="00C80B76" w:rsidRDefault="00C80B76" w:rsidP="004409C0">
      <w:pPr>
        <w:pStyle w:val="ListParagraph"/>
        <w:jc w:val="both"/>
      </w:pPr>
    </w:p>
    <w:p w14:paraId="2813A966" w14:textId="77777777" w:rsidR="00C80B76" w:rsidRPr="00C80B76" w:rsidRDefault="00C80B76" w:rsidP="004409C0">
      <w:pPr>
        <w:pStyle w:val="ListParagraph"/>
        <w:numPr>
          <w:ilvl w:val="0"/>
          <w:numId w:val="2"/>
        </w:numPr>
        <w:jc w:val="both"/>
      </w:pPr>
      <w:r>
        <w:t xml:space="preserve">Whilst the promotion of a sports organiser’s betting right (or sports right) has commercial roots, it has also increasingly been presented as an </w:t>
      </w:r>
      <w:r w:rsidR="00F06E38">
        <w:t xml:space="preserve">important </w:t>
      </w:r>
      <w:r>
        <w:t>integrity measure, but there is little evidence to support this a</w:t>
      </w:r>
      <w:r w:rsidR="00F06E38">
        <w:t>s a</w:t>
      </w:r>
      <w:r>
        <w:t xml:space="preserve"> necessary or effective sports betting integrity approach</w:t>
      </w:r>
      <w:r w:rsidRPr="00C80B76">
        <w:rPr>
          <w:shd w:val="clear" w:color="auto" w:fill="FFFFFF"/>
        </w:rPr>
        <w:t>.</w:t>
      </w:r>
      <w:r>
        <w:rPr>
          <w:rStyle w:val="FootnoteReference"/>
          <w:shd w:val="clear" w:color="auto" w:fill="FFFFFF"/>
        </w:rPr>
        <w:footnoteReference w:id="27"/>
      </w:r>
    </w:p>
    <w:p w14:paraId="15568353" w14:textId="77777777" w:rsidR="00C80B76" w:rsidRDefault="00C80B76" w:rsidP="004409C0">
      <w:pPr>
        <w:pStyle w:val="ListParagraph"/>
        <w:jc w:val="both"/>
      </w:pPr>
    </w:p>
    <w:p w14:paraId="32F8D5C1" w14:textId="77777777" w:rsidR="00C80B76" w:rsidRPr="00C80B76" w:rsidRDefault="00C80B76" w:rsidP="004409C0">
      <w:pPr>
        <w:pStyle w:val="ListParagraph"/>
        <w:numPr>
          <w:ilvl w:val="0"/>
          <w:numId w:val="2"/>
        </w:numPr>
        <w:jc w:val="both"/>
        <w:rPr>
          <w:shd w:val="clear" w:color="auto" w:fill="FFFFFF"/>
        </w:rPr>
      </w:pPr>
      <w:r>
        <w:t>T</w:t>
      </w:r>
      <w:r w:rsidRPr="002A2683">
        <w:t xml:space="preserve">he </w:t>
      </w:r>
      <w:r>
        <w:t xml:space="preserve">European </w:t>
      </w:r>
      <w:r w:rsidRPr="002A2683">
        <w:t xml:space="preserve">Commission </w:t>
      </w:r>
      <w:r>
        <w:t>contracted</w:t>
      </w:r>
      <w:r w:rsidRPr="002A2683">
        <w:t xml:space="preserve"> a study to analyse </w:t>
      </w:r>
      <w:r w:rsidR="004C7B8C">
        <w:t>the</w:t>
      </w:r>
      <w:r>
        <w:t xml:space="preserve"> sport organisers' right</w:t>
      </w:r>
      <w:r w:rsidRPr="00C80B76">
        <w:rPr>
          <w:rFonts w:eastAsia="Times New Roman" w:cs="Arial"/>
          <w:lang w:eastAsia="en-GB"/>
        </w:rPr>
        <w:t>.</w:t>
      </w:r>
      <w:r>
        <w:rPr>
          <w:rStyle w:val="FootnoteReference"/>
          <w:rFonts w:eastAsia="Times New Roman" w:cs="Arial"/>
          <w:lang w:eastAsia="en-GB"/>
        </w:rPr>
        <w:footnoteReference w:id="28"/>
      </w:r>
      <w:r>
        <w:rPr>
          <w:rFonts w:eastAsia="Times New Roman" w:cs="Arial"/>
          <w:lang w:eastAsia="en-GB"/>
        </w:rPr>
        <w:t xml:space="preserve"> </w:t>
      </w:r>
      <w:r w:rsidRPr="00C80B76">
        <w:rPr>
          <w:shd w:val="clear" w:color="auto" w:fill="FFFFFF"/>
        </w:rPr>
        <w:t>The subsequent Asser Institute authored report published in April 2014</w:t>
      </w:r>
      <w:r>
        <w:rPr>
          <w:rStyle w:val="FootnoteReference"/>
          <w:shd w:val="clear" w:color="auto" w:fill="FFFFFF"/>
        </w:rPr>
        <w:footnoteReference w:id="29"/>
      </w:r>
      <w:r w:rsidRPr="00C80B76">
        <w:rPr>
          <w:shd w:val="clear" w:color="auto" w:fill="FFFFFF"/>
        </w:rPr>
        <w:t xml:space="preserve"> is critical of the approach as an effective integrity measure and lists numerous practical and legal obstacles. </w:t>
      </w:r>
    </w:p>
    <w:p w14:paraId="0F2D1559" w14:textId="77777777" w:rsidR="00C80B76" w:rsidRPr="00C80B76" w:rsidRDefault="00C80B76" w:rsidP="004409C0">
      <w:pPr>
        <w:pStyle w:val="ListParagraph"/>
        <w:jc w:val="both"/>
        <w:rPr>
          <w:shd w:val="clear" w:color="auto" w:fill="FFFFFF"/>
        </w:rPr>
      </w:pPr>
    </w:p>
    <w:p w14:paraId="4F98AEB4" w14:textId="77777777" w:rsidR="00C80B76" w:rsidRPr="00C80B76" w:rsidRDefault="00C80B76" w:rsidP="004409C0">
      <w:pPr>
        <w:pStyle w:val="ListParagraph"/>
        <w:numPr>
          <w:ilvl w:val="0"/>
          <w:numId w:val="2"/>
        </w:numPr>
        <w:jc w:val="both"/>
        <w:rPr>
          <w:shd w:val="clear" w:color="auto" w:fill="FFFFFF"/>
        </w:rPr>
      </w:pPr>
      <w:r w:rsidRPr="00C80B76">
        <w:rPr>
          <w:shd w:val="clear" w:color="auto" w:fill="FFFFFF"/>
        </w:rPr>
        <w:t xml:space="preserve">The study highlights that supporters of this </w:t>
      </w:r>
      <w:r w:rsidRPr="00C17351">
        <w:t xml:space="preserve">approach </w:t>
      </w:r>
      <w:r>
        <w:t xml:space="preserve">assert that it </w:t>
      </w:r>
      <w:r>
        <w:rPr>
          <w:lang w:eastAsia="en-GB"/>
        </w:rPr>
        <w:t xml:space="preserve">would enable sports </w:t>
      </w:r>
      <w:r w:rsidRPr="00C17351">
        <w:rPr>
          <w:lang w:eastAsia="en-GB"/>
        </w:rPr>
        <w:t>to preserve the integrity of their events</w:t>
      </w:r>
      <w:r>
        <w:rPr>
          <w:lang w:eastAsia="en-GB"/>
        </w:rPr>
        <w:t xml:space="preserve"> by determining the events on which bets could take place and what type of bets, with the corresponding remuneration levied on betting operators for that agreement </w:t>
      </w:r>
      <w:r>
        <w:t>invested in preventive measures to protect sports integrity</w:t>
      </w:r>
      <w:r w:rsidRPr="00C17351">
        <w:rPr>
          <w:lang w:eastAsia="en-GB"/>
        </w:rPr>
        <w:t>.</w:t>
      </w:r>
      <w:r>
        <w:rPr>
          <w:rStyle w:val="FootnoteReference"/>
          <w:lang w:eastAsia="en-GB"/>
        </w:rPr>
        <w:footnoteReference w:id="30"/>
      </w:r>
    </w:p>
    <w:p w14:paraId="2F731226" w14:textId="77777777" w:rsidR="00C80B76" w:rsidRPr="00C80B76" w:rsidRDefault="00C80B76" w:rsidP="004409C0">
      <w:pPr>
        <w:pStyle w:val="ListParagraph"/>
        <w:jc w:val="both"/>
        <w:rPr>
          <w:shd w:val="clear" w:color="auto" w:fill="FFFFFF"/>
        </w:rPr>
      </w:pPr>
    </w:p>
    <w:p w14:paraId="6C8BFEB7" w14:textId="77777777" w:rsidR="00C80B76" w:rsidRDefault="00C80B76" w:rsidP="004409C0">
      <w:pPr>
        <w:pStyle w:val="ListParagraph"/>
        <w:numPr>
          <w:ilvl w:val="0"/>
          <w:numId w:val="2"/>
        </w:numPr>
        <w:jc w:val="both"/>
      </w:pPr>
      <w:r>
        <w:rPr>
          <w:lang w:eastAsia="en-GB"/>
        </w:rPr>
        <w:t>The Australian State of Victoria firs</w:t>
      </w:r>
      <w:r w:rsidR="005E33A3">
        <w:rPr>
          <w:lang w:eastAsia="en-GB"/>
        </w:rPr>
        <w:t>t introduced this model in 2007</w:t>
      </w:r>
      <w:r w:rsidR="0043485A">
        <w:rPr>
          <w:rStyle w:val="FootnoteReference"/>
          <w:lang w:eastAsia="en-GB"/>
        </w:rPr>
        <w:footnoteReference w:id="31"/>
      </w:r>
      <w:r w:rsidR="0043485A">
        <w:rPr>
          <w:lang w:eastAsia="en-GB"/>
        </w:rPr>
        <w:t xml:space="preserve">, but as the Asser </w:t>
      </w:r>
      <w:r>
        <w:t xml:space="preserve">report highlights that </w:t>
      </w:r>
      <w:r w:rsidRPr="00715DBF">
        <w:rPr>
          <w:lang w:eastAsia="en-GB"/>
        </w:rPr>
        <w:t xml:space="preserve">integrity and product fee </w:t>
      </w:r>
      <w:r>
        <w:rPr>
          <w:lang w:eastAsia="en-GB"/>
        </w:rPr>
        <w:t xml:space="preserve">prescribed by the </w:t>
      </w:r>
      <w:r w:rsidRPr="00715DBF">
        <w:t xml:space="preserve">model </w:t>
      </w:r>
      <w:r>
        <w:t xml:space="preserve">is </w:t>
      </w:r>
      <w:r w:rsidRPr="00715DBF">
        <w:t>“</w:t>
      </w:r>
      <w:r w:rsidRPr="00715DBF">
        <w:rPr>
          <w:lang w:eastAsia="en-GB"/>
        </w:rPr>
        <w:t>only mandatory (i.e. enforceable) for sports events that take place wholly or partially in the State of Victoria.</w:t>
      </w:r>
      <w:r w:rsidRPr="00715DBF">
        <w:t>”</w:t>
      </w:r>
      <w:r>
        <w:rPr>
          <w:rStyle w:val="FootnoteReference"/>
        </w:rPr>
        <w:footnoteReference w:id="32"/>
      </w:r>
    </w:p>
    <w:p w14:paraId="51B79430" w14:textId="77777777" w:rsidR="00C80B76" w:rsidRDefault="00C80B76" w:rsidP="004409C0">
      <w:pPr>
        <w:pStyle w:val="ListParagraph"/>
        <w:jc w:val="both"/>
        <w:rPr>
          <w:lang w:eastAsia="en-GB"/>
        </w:rPr>
      </w:pPr>
    </w:p>
    <w:p w14:paraId="0ABCC9E3" w14:textId="77777777" w:rsidR="00C80B76" w:rsidRDefault="00C80B76" w:rsidP="004409C0">
      <w:pPr>
        <w:pStyle w:val="ListParagraph"/>
        <w:numPr>
          <w:ilvl w:val="0"/>
          <w:numId w:val="2"/>
        </w:numPr>
        <w:jc w:val="both"/>
        <w:rPr>
          <w:lang w:eastAsia="en-GB"/>
        </w:rPr>
      </w:pPr>
      <w:r>
        <w:rPr>
          <w:lang w:eastAsia="en-GB"/>
        </w:rPr>
        <w:t>This drawback was highlighted in a review in 2011</w:t>
      </w:r>
      <w:r w:rsidR="000B31D8">
        <w:rPr>
          <w:lang w:eastAsia="en-GB"/>
        </w:rPr>
        <w:t xml:space="preserve"> </w:t>
      </w:r>
      <w:r w:rsidR="00801087">
        <w:rPr>
          <w:lang w:eastAsia="en-GB"/>
        </w:rPr>
        <w:t>and</w:t>
      </w:r>
      <w:r w:rsidR="000B31D8">
        <w:rPr>
          <w:lang w:eastAsia="en-GB"/>
        </w:rPr>
        <w:t>,</w:t>
      </w:r>
      <w:r w:rsidR="00801087">
        <w:rPr>
          <w:lang w:eastAsia="en-GB"/>
        </w:rPr>
        <w:t xml:space="preserve"> </w:t>
      </w:r>
      <w:r w:rsidR="000B31D8">
        <w:rPr>
          <w:lang w:eastAsia="en-GB"/>
        </w:rPr>
        <w:t xml:space="preserve">as with France’s national </w:t>
      </w:r>
      <w:r>
        <w:rPr>
          <w:lang w:eastAsia="en-GB"/>
        </w:rPr>
        <w:t>regime, consumers and operators outs</w:t>
      </w:r>
      <w:r w:rsidR="000B31D8">
        <w:rPr>
          <w:lang w:eastAsia="en-GB"/>
        </w:rPr>
        <w:t xml:space="preserve">ide of this territory are </w:t>
      </w:r>
      <w:r>
        <w:rPr>
          <w:lang w:eastAsia="en-GB"/>
        </w:rPr>
        <w:t xml:space="preserve">able to offer and engage in betting on events occurring in Victoria without any </w:t>
      </w:r>
      <w:r w:rsidR="000B31D8">
        <w:rPr>
          <w:lang w:eastAsia="en-GB"/>
        </w:rPr>
        <w:t>need</w:t>
      </w:r>
      <w:r>
        <w:rPr>
          <w:lang w:eastAsia="en-GB"/>
        </w:rPr>
        <w:t xml:space="preserve"> to meet tha</w:t>
      </w:r>
      <w:r w:rsidR="000B31D8">
        <w:rPr>
          <w:lang w:eastAsia="en-GB"/>
        </w:rPr>
        <w:t>t state’s integrity agreements</w:t>
      </w:r>
      <w:r>
        <w:rPr>
          <w:lang w:eastAsia="en-GB"/>
        </w:rPr>
        <w:t>.</w:t>
      </w:r>
      <w:r>
        <w:rPr>
          <w:rStyle w:val="FootnoteReference"/>
          <w:lang w:eastAsia="en-GB"/>
        </w:rPr>
        <w:footnoteReference w:id="33"/>
      </w:r>
      <w:r>
        <w:rPr>
          <w:lang w:eastAsia="en-GB"/>
        </w:rPr>
        <w:tab/>
      </w:r>
    </w:p>
    <w:p w14:paraId="0799B1C8" w14:textId="77777777" w:rsidR="00C80B76" w:rsidRDefault="0080346F" w:rsidP="004409C0">
      <w:pPr>
        <w:pStyle w:val="ListParagraph"/>
        <w:numPr>
          <w:ilvl w:val="0"/>
          <w:numId w:val="2"/>
        </w:numPr>
        <w:jc w:val="both"/>
      </w:pPr>
      <w:r>
        <w:rPr>
          <w:lang w:eastAsia="en-GB"/>
        </w:rPr>
        <w:lastRenderedPageBreak/>
        <w:t>This legal framework thereby results</w:t>
      </w:r>
      <w:r w:rsidR="00C80B76">
        <w:rPr>
          <w:lang w:eastAsia="en-GB"/>
        </w:rPr>
        <w:t xml:space="preserve"> in a “</w:t>
      </w:r>
      <w:r w:rsidR="00C80B76" w:rsidRPr="004214A1">
        <w:rPr>
          <w:lang w:eastAsia="en-GB"/>
        </w:rPr>
        <w:t>potential integrity gap</w:t>
      </w:r>
      <w:r w:rsidR="00C80B76">
        <w:rPr>
          <w:lang w:eastAsia="en-GB"/>
        </w:rPr>
        <w:t xml:space="preserve">”. In addition, </w:t>
      </w:r>
      <w:r w:rsidR="00C80B76" w:rsidRPr="003A3DA8">
        <w:rPr>
          <w:lang w:eastAsia="en-GB"/>
        </w:rPr>
        <w:t>the</w:t>
      </w:r>
      <w:r w:rsidR="00C80B76">
        <w:rPr>
          <w:lang w:eastAsia="en-GB"/>
        </w:rPr>
        <w:t xml:space="preserve"> costs involved in seeking </w:t>
      </w:r>
      <w:r w:rsidR="00C80B76" w:rsidRPr="003A3DA8">
        <w:rPr>
          <w:lang w:eastAsia="en-GB"/>
        </w:rPr>
        <w:t>status</w:t>
      </w:r>
      <w:r w:rsidR="00C80B76">
        <w:rPr>
          <w:lang w:eastAsia="en-GB"/>
        </w:rPr>
        <w:t xml:space="preserve"> as a </w:t>
      </w:r>
      <w:r w:rsidR="00C80B76">
        <w:t xml:space="preserve">sports controlling body (SCB) under the Victoria legislation </w:t>
      </w:r>
      <w:r w:rsidR="00C80B76" w:rsidRPr="003A3DA8">
        <w:rPr>
          <w:lang w:eastAsia="en-GB"/>
        </w:rPr>
        <w:t xml:space="preserve">contributes to the reluctance of </w:t>
      </w:r>
      <w:r w:rsidR="00C80B76">
        <w:rPr>
          <w:lang w:eastAsia="en-GB"/>
        </w:rPr>
        <w:t xml:space="preserve">some </w:t>
      </w:r>
      <w:r w:rsidR="00C80B76" w:rsidRPr="003A3DA8">
        <w:rPr>
          <w:lang w:eastAsia="en-GB"/>
        </w:rPr>
        <w:t>smaller sports bodies to apply for SCB status.</w:t>
      </w:r>
      <w:r w:rsidR="00C80B76">
        <w:rPr>
          <w:rStyle w:val="FootnoteReference"/>
          <w:lang w:eastAsia="en-GB"/>
        </w:rPr>
        <w:footnoteReference w:id="34"/>
      </w:r>
      <w:r w:rsidR="00C80B76" w:rsidRPr="003A3DA8">
        <w:rPr>
          <w:lang w:eastAsia="en-GB"/>
        </w:rPr>
        <w:t xml:space="preserve"> </w:t>
      </w:r>
    </w:p>
    <w:p w14:paraId="2E45EE7E" w14:textId="77777777" w:rsidR="002C1DA6" w:rsidRDefault="002C1DA6" w:rsidP="002C1DA6">
      <w:pPr>
        <w:jc w:val="both"/>
      </w:pPr>
    </w:p>
    <w:p w14:paraId="4BDB3163" w14:textId="77777777" w:rsidR="004409C0" w:rsidRDefault="00C80B76" w:rsidP="004409C0">
      <w:pPr>
        <w:pStyle w:val="ListParagraph"/>
        <w:numPr>
          <w:ilvl w:val="0"/>
          <w:numId w:val="2"/>
        </w:numPr>
        <w:jc w:val="both"/>
      </w:pPr>
      <w:r>
        <w:rPr>
          <w:lang w:eastAsia="en-GB"/>
        </w:rPr>
        <w:t xml:space="preserve">As such, it was noted by the review in 2011 that the current position where </w:t>
      </w:r>
      <w:r w:rsidRPr="00F7195F">
        <w:t>“</w:t>
      </w:r>
      <w:r w:rsidRPr="00F7195F">
        <w:rPr>
          <w:lang w:eastAsia="en-GB"/>
        </w:rPr>
        <w:t>sports controlling bodies have differing ability to negotiate with sports betting providers depending on how many of their games are played in Victoria, is unsatisfactory.</w:t>
      </w:r>
      <w:r>
        <w:rPr>
          <w:lang w:eastAsia="en-GB"/>
        </w:rPr>
        <w:t xml:space="preserve">” </w:t>
      </w:r>
    </w:p>
    <w:p w14:paraId="33028619" w14:textId="77777777" w:rsidR="004409C0" w:rsidRDefault="004409C0" w:rsidP="004409C0">
      <w:pPr>
        <w:pStyle w:val="ListParagraph"/>
        <w:rPr>
          <w:lang w:eastAsia="en-GB"/>
        </w:rPr>
      </w:pPr>
    </w:p>
    <w:p w14:paraId="02DF2C7A" w14:textId="77777777" w:rsidR="0080346F" w:rsidRDefault="004C7B8C" w:rsidP="004409C0">
      <w:pPr>
        <w:pStyle w:val="ListParagraph"/>
        <w:numPr>
          <w:ilvl w:val="0"/>
          <w:numId w:val="2"/>
        </w:numPr>
        <w:jc w:val="both"/>
      </w:pPr>
      <w:r>
        <w:t>T</w:t>
      </w:r>
      <w:r w:rsidR="00C80B76" w:rsidRPr="001372B1">
        <w:t xml:space="preserve">he review was </w:t>
      </w:r>
      <w:r w:rsidR="00C80B76">
        <w:t xml:space="preserve">also </w:t>
      </w:r>
      <w:r w:rsidR="00C80B76" w:rsidRPr="001372B1">
        <w:t>unable “</w:t>
      </w:r>
      <w:r w:rsidR="00C80B76" w:rsidRPr="001372B1">
        <w:rPr>
          <w:lang w:eastAsia="en-GB"/>
        </w:rPr>
        <w:t>to form a view as to whether the legislation has strengthened public confidence in the integrity of sports</w:t>
      </w:r>
      <w:r w:rsidR="00C80B76">
        <w:rPr>
          <w:lang w:eastAsia="en-GB"/>
        </w:rPr>
        <w:t>.”</w:t>
      </w:r>
      <w:r w:rsidR="00C80B76">
        <w:rPr>
          <w:rStyle w:val="FootnoteReference"/>
          <w:lang w:eastAsia="en-GB"/>
        </w:rPr>
        <w:footnoteReference w:id="35"/>
      </w:r>
    </w:p>
    <w:p w14:paraId="46B9EB0F" w14:textId="77777777" w:rsidR="007D2DAB" w:rsidRDefault="007D2DAB" w:rsidP="007D2DAB">
      <w:pPr>
        <w:pStyle w:val="ListParagraph"/>
        <w:rPr>
          <w:lang w:eastAsia="en-GB"/>
        </w:rPr>
      </w:pPr>
    </w:p>
    <w:p w14:paraId="657B74C4" w14:textId="77777777" w:rsidR="00EF5089" w:rsidRDefault="005C4AEA" w:rsidP="00EF5089">
      <w:pPr>
        <w:pStyle w:val="ListParagraph"/>
        <w:numPr>
          <w:ilvl w:val="0"/>
          <w:numId w:val="2"/>
        </w:numPr>
        <w:jc w:val="both"/>
      </w:pPr>
      <w:r>
        <w:rPr>
          <w:lang w:eastAsia="en-GB"/>
        </w:rPr>
        <w:t>In addition, t</w:t>
      </w:r>
      <w:r w:rsidR="00C80B76">
        <w:rPr>
          <w:lang w:eastAsia="en-GB"/>
        </w:rPr>
        <w:t xml:space="preserve">he </w:t>
      </w:r>
      <w:r w:rsidR="00166099">
        <w:rPr>
          <w:lang w:eastAsia="en-GB"/>
        </w:rPr>
        <w:t xml:space="preserve">ASSER </w:t>
      </w:r>
      <w:r w:rsidR="000B31D8">
        <w:rPr>
          <w:lang w:eastAsia="en-GB"/>
        </w:rPr>
        <w:t>report for the European Commission emphasised that the right to bet</w:t>
      </w:r>
      <w:r>
        <w:rPr>
          <w:lang w:eastAsia="en-GB"/>
        </w:rPr>
        <w:t>’s</w:t>
      </w:r>
      <w:r w:rsidR="000B31D8">
        <w:rPr>
          <w:lang w:eastAsia="en-GB"/>
        </w:rPr>
        <w:t xml:space="preserve"> administrative costs</w:t>
      </w:r>
      <w:r w:rsidR="007D2DAB">
        <w:rPr>
          <w:lang w:eastAsia="en-GB"/>
        </w:rPr>
        <w:t xml:space="preserve"> </w:t>
      </w:r>
      <w:r w:rsidR="00C80B76" w:rsidRPr="002E0B53">
        <w:t>“</w:t>
      </w:r>
      <w:r w:rsidR="00C80B76" w:rsidRPr="002E0B53">
        <w:rPr>
          <w:lang w:eastAsia="en-GB"/>
        </w:rPr>
        <w:t xml:space="preserve">will always be considerable. This is evident from the experiences with both the French and the </w:t>
      </w:r>
      <w:r w:rsidR="00C80B76">
        <w:rPr>
          <w:lang w:eastAsia="en-GB"/>
        </w:rPr>
        <w:t>Victorian enforcement mechanism</w:t>
      </w:r>
      <w:r w:rsidR="00C80B76" w:rsidRPr="002E0B53">
        <w:t>”</w:t>
      </w:r>
      <w:r w:rsidR="00C80B76">
        <w:t xml:space="preserve"> </w:t>
      </w:r>
      <w:r w:rsidR="007D2DAB">
        <w:t>further questioning its suitability.</w:t>
      </w:r>
      <w:r w:rsidR="00C80B76">
        <w:rPr>
          <w:rStyle w:val="FootnoteReference"/>
        </w:rPr>
        <w:footnoteReference w:id="36"/>
      </w:r>
      <w:r w:rsidR="00C80B76">
        <w:t xml:space="preserve"> </w:t>
      </w:r>
    </w:p>
    <w:p w14:paraId="4C3B7DA3" w14:textId="77777777" w:rsidR="0029015E" w:rsidRDefault="0029015E" w:rsidP="0029015E">
      <w:pPr>
        <w:pStyle w:val="ListParagraph"/>
        <w:rPr>
          <w:lang w:eastAsia="en-GB"/>
        </w:rPr>
      </w:pPr>
    </w:p>
    <w:p w14:paraId="214FA86A" w14:textId="77777777" w:rsidR="0029015E" w:rsidRDefault="00264D06" w:rsidP="00264D06">
      <w:pPr>
        <w:pStyle w:val="ListParagraph"/>
        <w:numPr>
          <w:ilvl w:val="0"/>
          <w:numId w:val="2"/>
        </w:numPr>
        <w:jc w:val="both"/>
        <w:rPr>
          <w:lang w:eastAsia="en-GB"/>
        </w:rPr>
      </w:pPr>
      <w:r>
        <w:rPr>
          <w:lang w:eastAsia="en-GB"/>
        </w:rPr>
        <w:t xml:space="preserve">As the </w:t>
      </w:r>
      <w:r w:rsidR="0029015E">
        <w:rPr>
          <w:lang w:eastAsia="en-GB"/>
        </w:rPr>
        <w:t>report states</w:t>
      </w:r>
      <w:r w:rsidR="00160AAF">
        <w:rPr>
          <w:lang w:eastAsia="en-GB"/>
        </w:rPr>
        <w:t xml:space="preserve">, </w:t>
      </w:r>
      <w:r w:rsidR="0029015E">
        <w:rPr>
          <w:lang w:eastAsia="en-GB"/>
        </w:rPr>
        <w:t>the “</w:t>
      </w:r>
      <w:r w:rsidR="0029015E" w:rsidRPr="00E23612">
        <w:rPr>
          <w:lang w:eastAsia="en-GB"/>
        </w:rPr>
        <w:t>right to consent to bets enables a sports organiser to effectively control the organisation of bets on its events</w:t>
      </w:r>
      <w:r w:rsidR="0029015E">
        <w:rPr>
          <w:lang w:eastAsia="en-GB"/>
        </w:rPr>
        <w:t>.”</w:t>
      </w:r>
      <w:r w:rsidR="0029015E">
        <w:rPr>
          <w:rStyle w:val="FootnoteReference"/>
          <w:lang w:eastAsia="en-GB"/>
        </w:rPr>
        <w:footnoteReference w:id="37"/>
      </w:r>
      <w:r>
        <w:rPr>
          <w:lang w:eastAsia="en-GB"/>
        </w:rPr>
        <w:t xml:space="preserve"> Rather than being a positive integrity measure, this presents a clear danger to betting markets and sporting events.</w:t>
      </w:r>
    </w:p>
    <w:p w14:paraId="07FCA7F4" w14:textId="77777777" w:rsidR="007D2DAB" w:rsidRDefault="007D2DAB" w:rsidP="007D2DAB">
      <w:pPr>
        <w:pStyle w:val="ListParagraph"/>
        <w:rPr>
          <w:lang w:eastAsia="en-GB"/>
        </w:rPr>
      </w:pPr>
    </w:p>
    <w:p w14:paraId="02C3ED06" w14:textId="77777777" w:rsidR="007D2DAB" w:rsidRDefault="0029015E" w:rsidP="001A4690">
      <w:pPr>
        <w:pStyle w:val="ListParagraph"/>
        <w:numPr>
          <w:ilvl w:val="0"/>
          <w:numId w:val="2"/>
        </w:numPr>
        <w:jc w:val="both"/>
      </w:pPr>
      <w:r>
        <w:rPr>
          <w:lang w:eastAsia="en-GB"/>
        </w:rPr>
        <w:t xml:space="preserve">There </w:t>
      </w:r>
      <w:r w:rsidR="00C80B76">
        <w:rPr>
          <w:lang w:eastAsia="en-GB"/>
        </w:rPr>
        <w:t>must be a significant question</w:t>
      </w:r>
      <w:r>
        <w:rPr>
          <w:lang w:eastAsia="en-GB"/>
        </w:rPr>
        <w:t xml:space="preserve"> as to whether it is </w:t>
      </w:r>
      <w:r w:rsidR="00C80B76">
        <w:rPr>
          <w:lang w:eastAsia="en-GB"/>
        </w:rPr>
        <w:t>appropriate to permit self-regulating sporting bodies any degree of control over regulated betting markets, especially given the on-going commercial issues and conflicts that are inherent in this matter.</w:t>
      </w:r>
    </w:p>
    <w:p w14:paraId="3168A731" w14:textId="77777777" w:rsidR="0029015E" w:rsidRDefault="0029015E" w:rsidP="0029015E">
      <w:pPr>
        <w:pStyle w:val="ListParagraph"/>
      </w:pPr>
    </w:p>
    <w:p w14:paraId="16E2DC7F" w14:textId="77777777" w:rsidR="001857D2" w:rsidRDefault="0029015E" w:rsidP="00272354">
      <w:pPr>
        <w:pStyle w:val="ListParagraph"/>
        <w:numPr>
          <w:ilvl w:val="0"/>
          <w:numId w:val="2"/>
        </w:numPr>
        <w:jc w:val="both"/>
        <w:rPr>
          <w:lang w:eastAsia="en-GB"/>
        </w:rPr>
      </w:pPr>
      <w:r>
        <w:rPr>
          <w:lang w:eastAsia="en-GB"/>
        </w:rPr>
        <w:t>Senior representatives of sporting bodies and clubs around the world have been implicated and/or convicted of involvement in both betting and non-betting (or sporting) related match-fixing, notably in Italy, Turkey, South Africa and Brazil.</w:t>
      </w:r>
      <w:r>
        <w:rPr>
          <w:rStyle w:val="FootnoteReference"/>
          <w:lang w:eastAsia="en-GB"/>
        </w:rPr>
        <w:footnoteReference w:id="38"/>
      </w:r>
      <w:r>
        <w:rPr>
          <w:lang w:eastAsia="en-GB"/>
        </w:rPr>
        <w:t xml:space="preserve"> </w:t>
      </w:r>
      <w:r w:rsidR="001857D2">
        <w:rPr>
          <w:lang w:eastAsia="en-GB"/>
        </w:rPr>
        <w:t xml:space="preserve">Not to mention the wider high-level corruption issues current under </w:t>
      </w:r>
      <w:r w:rsidR="00272354">
        <w:rPr>
          <w:lang w:eastAsia="en-GB"/>
        </w:rPr>
        <w:t>investigation</w:t>
      </w:r>
      <w:r w:rsidR="001857D2">
        <w:rPr>
          <w:lang w:eastAsia="en-GB"/>
        </w:rPr>
        <w:t xml:space="preserve"> regarding FIFA and the IAAF</w:t>
      </w:r>
      <w:r w:rsidR="006F2F14">
        <w:rPr>
          <w:rStyle w:val="FootnoteReference"/>
          <w:lang w:eastAsia="en-GB"/>
        </w:rPr>
        <w:footnoteReference w:id="39"/>
      </w:r>
      <w:r w:rsidR="001857D2">
        <w:rPr>
          <w:lang w:eastAsia="en-GB"/>
        </w:rPr>
        <w:t xml:space="preserve">. </w:t>
      </w:r>
    </w:p>
    <w:p w14:paraId="1831A884" w14:textId="77777777" w:rsidR="001857D2" w:rsidRDefault="001857D2" w:rsidP="001857D2">
      <w:pPr>
        <w:pStyle w:val="ListParagraph"/>
        <w:rPr>
          <w:lang w:eastAsia="en-GB"/>
        </w:rPr>
      </w:pPr>
    </w:p>
    <w:p w14:paraId="441A8228" w14:textId="77777777" w:rsidR="001857D2" w:rsidRDefault="001857D2" w:rsidP="001857D2">
      <w:pPr>
        <w:pStyle w:val="ListParagraph"/>
        <w:numPr>
          <w:ilvl w:val="0"/>
          <w:numId w:val="2"/>
        </w:numPr>
        <w:jc w:val="both"/>
        <w:rPr>
          <w:lang w:eastAsia="en-GB"/>
        </w:rPr>
      </w:pPr>
      <w:r>
        <w:rPr>
          <w:lang w:eastAsia="en-GB"/>
        </w:rPr>
        <w:t xml:space="preserve">A report for the </w:t>
      </w:r>
      <w:r w:rsidRPr="00555F60">
        <w:t>Euro</w:t>
      </w:r>
      <w:r>
        <w:t xml:space="preserve">pean Parliament’s </w:t>
      </w:r>
      <w:r w:rsidRPr="00555F60">
        <w:t xml:space="preserve">Special Committee on Organised Crime, Corruption and Money Laundering (CRIM) </w:t>
      </w:r>
      <w:r>
        <w:t>in 2012 determined that “</w:t>
      </w:r>
      <w:r w:rsidRPr="00A14FD0">
        <w:t xml:space="preserve">strong ties have </w:t>
      </w:r>
      <w:r w:rsidRPr="00016982">
        <w:t>been detected between the football establishment and criminal organisations</w:t>
      </w:r>
      <w:r>
        <w:t>”.</w:t>
      </w:r>
      <w:r>
        <w:rPr>
          <w:rStyle w:val="FootnoteReference"/>
        </w:rPr>
        <w:footnoteReference w:id="40"/>
      </w:r>
    </w:p>
    <w:p w14:paraId="480006D5" w14:textId="77777777" w:rsidR="001857D2" w:rsidRDefault="001857D2" w:rsidP="001857D2">
      <w:pPr>
        <w:pStyle w:val="ListParagraph"/>
        <w:rPr>
          <w:lang w:eastAsia="en-GB"/>
        </w:rPr>
      </w:pPr>
    </w:p>
    <w:p w14:paraId="4412EC1A" w14:textId="77777777" w:rsidR="001857D2" w:rsidRDefault="001857D2" w:rsidP="001857D2">
      <w:pPr>
        <w:pStyle w:val="ListParagraph"/>
        <w:numPr>
          <w:ilvl w:val="0"/>
          <w:numId w:val="2"/>
        </w:numPr>
        <w:jc w:val="both"/>
        <w:rPr>
          <w:lang w:eastAsia="en-GB"/>
        </w:rPr>
      </w:pPr>
      <w:r>
        <w:rPr>
          <w:lang w:eastAsia="en-GB"/>
        </w:rPr>
        <w:t xml:space="preserve">That position has been corroborated by other studies with a report by Sportradar stating that in football the organisation </w:t>
      </w:r>
      <w:r w:rsidRPr="007A514E">
        <w:t>is “</w:t>
      </w:r>
      <w:r w:rsidRPr="007A514E">
        <w:rPr>
          <w:lang w:eastAsia="en-GB"/>
        </w:rPr>
        <w:t xml:space="preserve">aware of at least ten owners/chairmen who are </w:t>
      </w:r>
      <w:r w:rsidRPr="007A514E">
        <w:t>most likely linked to organised</w:t>
      </w:r>
      <w:r>
        <w:t xml:space="preserve"> </w:t>
      </w:r>
      <w:r w:rsidRPr="007A514E">
        <w:rPr>
          <w:lang w:eastAsia="en-GB"/>
        </w:rPr>
        <w:t>crime and their club is also most l</w:t>
      </w:r>
      <w:r w:rsidRPr="007A514E">
        <w:t>ikely involved in match-fixing.”</w:t>
      </w:r>
      <w:r>
        <w:rPr>
          <w:rStyle w:val="FootnoteReference"/>
        </w:rPr>
        <w:footnoteReference w:id="41"/>
      </w:r>
    </w:p>
    <w:p w14:paraId="24F8694E" w14:textId="77777777" w:rsidR="001857D2" w:rsidRDefault="001857D2" w:rsidP="001857D2">
      <w:pPr>
        <w:pStyle w:val="ListParagraph"/>
        <w:rPr>
          <w:lang w:eastAsia="en-GB"/>
        </w:rPr>
      </w:pPr>
    </w:p>
    <w:p w14:paraId="68EC903A" w14:textId="77777777" w:rsidR="001857D2" w:rsidRDefault="001857D2" w:rsidP="001857D2">
      <w:pPr>
        <w:pStyle w:val="ListParagraph"/>
        <w:numPr>
          <w:ilvl w:val="0"/>
          <w:numId w:val="2"/>
        </w:numPr>
        <w:jc w:val="both"/>
        <w:rPr>
          <w:lang w:eastAsia="en-GB"/>
        </w:rPr>
      </w:pPr>
      <w:r>
        <w:rPr>
          <w:lang w:eastAsia="en-GB"/>
        </w:rPr>
        <w:t>Promoting a right to bet model could therefore be deemed questionable from the simple perspective that it potentially gives controlling power over betting markets to those unregulated persons and organisations that might be involved in corrupting those markets.</w:t>
      </w:r>
    </w:p>
    <w:p w14:paraId="5665F86E" w14:textId="77777777" w:rsidR="001857D2" w:rsidRDefault="001857D2" w:rsidP="001857D2">
      <w:pPr>
        <w:pStyle w:val="ListParagraph"/>
        <w:rPr>
          <w:lang w:eastAsia="en-GB"/>
        </w:rPr>
      </w:pPr>
    </w:p>
    <w:p w14:paraId="20F87B5D" w14:textId="77777777" w:rsidR="006F2F14" w:rsidRDefault="006F2F14" w:rsidP="006F2F14">
      <w:pPr>
        <w:pStyle w:val="ListParagraph"/>
        <w:numPr>
          <w:ilvl w:val="0"/>
          <w:numId w:val="2"/>
        </w:numPr>
        <w:jc w:val="both"/>
        <w:rPr>
          <w:lang w:eastAsia="en-GB"/>
        </w:rPr>
      </w:pPr>
      <w:r>
        <w:rPr>
          <w:lang w:eastAsia="en-GB"/>
        </w:rPr>
        <w:lastRenderedPageBreak/>
        <w:t>The British Gambling Commission</w:t>
      </w:r>
      <w:r w:rsidR="001857D2">
        <w:rPr>
          <w:lang w:eastAsia="en-GB"/>
        </w:rPr>
        <w:t xml:space="preserve"> has</w:t>
      </w:r>
      <w:r>
        <w:rPr>
          <w:lang w:eastAsia="en-GB"/>
        </w:rPr>
        <w:t>,</w:t>
      </w:r>
      <w:r w:rsidR="001857D2">
        <w:rPr>
          <w:lang w:eastAsia="en-GB"/>
        </w:rPr>
        <w:t xml:space="preserve"> quite understandably given the issues raised in the previous paragraphs, determined that it “</w:t>
      </w:r>
      <w:r w:rsidR="001857D2" w:rsidRPr="00C74A6D">
        <w:rPr>
          <w:lang w:eastAsia="en-GB"/>
        </w:rPr>
        <w:t>could not delegate a decision to a sport governing body as to the activities on which licensed betting operators could lawfully take bets</w:t>
      </w:r>
      <w:r w:rsidR="001857D2" w:rsidRPr="00C74A6D">
        <w:t>.”</w:t>
      </w:r>
      <w:r w:rsidR="001857D2">
        <w:rPr>
          <w:rStyle w:val="FootnoteReference"/>
        </w:rPr>
        <w:footnoteReference w:id="42"/>
      </w:r>
    </w:p>
    <w:p w14:paraId="77A16BBC" w14:textId="77777777" w:rsidR="006F2F14" w:rsidRDefault="006F2F14" w:rsidP="006F2F14">
      <w:pPr>
        <w:pStyle w:val="ListParagraph"/>
        <w:rPr>
          <w:lang w:eastAsia="en-GB"/>
        </w:rPr>
      </w:pPr>
    </w:p>
    <w:p w14:paraId="06AEFA0B" w14:textId="77777777" w:rsidR="007D2DAB" w:rsidRPr="0080346F" w:rsidRDefault="007D2DAB" w:rsidP="006F2F14">
      <w:pPr>
        <w:pStyle w:val="ListParagraph"/>
        <w:numPr>
          <w:ilvl w:val="0"/>
          <w:numId w:val="2"/>
        </w:numPr>
        <w:jc w:val="both"/>
        <w:rPr>
          <w:lang w:eastAsia="en-GB"/>
        </w:rPr>
      </w:pPr>
      <w:r>
        <w:rPr>
          <w:lang w:eastAsia="en-GB"/>
        </w:rPr>
        <w:t xml:space="preserve">The authors of the European Commission report examining the French and State of Victoria approaches, consequently advise that other countries have </w:t>
      </w:r>
      <w:r w:rsidR="0029015E">
        <w:rPr>
          <w:lang w:eastAsia="en-GB"/>
        </w:rPr>
        <w:t xml:space="preserve">understandably </w:t>
      </w:r>
      <w:r>
        <w:rPr>
          <w:lang w:eastAsia="en-GB"/>
        </w:rPr>
        <w:t>“</w:t>
      </w:r>
      <w:r>
        <w:t xml:space="preserve">opted to obtain the </w:t>
      </w:r>
      <w:r w:rsidRPr="006F2F14">
        <w:rPr>
          <w:rFonts w:eastAsia="Times New Roman" w:cs="Arial"/>
          <w:lang w:eastAsia="en-GB"/>
        </w:rPr>
        <w:t xml:space="preserve">claimed [integrity] benefits of the right to consent to bets through other regulatory means” and which indisputably </w:t>
      </w:r>
      <w:r>
        <w:rPr>
          <w:lang w:eastAsia="en-GB"/>
        </w:rPr>
        <w:t xml:space="preserve">seek </w:t>
      </w:r>
      <w:r w:rsidRPr="007C4086">
        <w:rPr>
          <w:lang w:eastAsia="en-GB"/>
        </w:rPr>
        <w:t xml:space="preserve">to prevent the manipulation of </w:t>
      </w:r>
      <w:r>
        <w:rPr>
          <w:lang w:eastAsia="en-GB"/>
        </w:rPr>
        <w:t>all sporting</w:t>
      </w:r>
      <w:r w:rsidRPr="007C4086">
        <w:rPr>
          <w:lang w:eastAsia="en-GB"/>
        </w:rPr>
        <w:t xml:space="preserve"> events</w:t>
      </w:r>
      <w:r w:rsidRPr="006F2F14">
        <w:rPr>
          <w:rFonts w:eastAsia="Times New Roman" w:cs="Arial"/>
          <w:lang w:eastAsia="en-GB"/>
        </w:rPr>
        <w:t>.</w:t>
      </w:r>
      <w:r>
        <w:rPr>
          <w:rStyle w:val="FootnoteReference"/>
          <w:rFonts w:eastAsia="Times New Roman" w:cs="Arial"/>
          <w:lang w:eastAsia="en-GB"/>
        </w:rPr>
        <w:footnoteReference w:id="43"/>
      </w:r>
      <w:r w:rsidRPr="006F2F14">
        <w:rPr>
          <w:rFonts w:eastAsia="Times New Roman" w:cs="Arial"/>
          <w:lang w:eastAsia="en-GB"/>
        </w:rPr>
        <w:t xml:space="preserve">  </w:t>
      </w:r>
    </w:p>
    <w:p w14:paraId="01BB3D75" w14:textId="77777777" w:rsidR="007D2DAB" w:rsidRDefault="007D2DAB" w:rsidP="007D2DAB">
      <w:pPr>
        <w:pStyle w:val="ListParagraph"/>
        <w:jc w:val="both"/>
        <w:rPr>
          <w:lang w:eastAsia="en-GB"/>
        </w:rPr>
      </w:pPr>
    </w:p>
    <w:p w14:paraId="07317398" w14:textId="77777777" w:rsidR="007D2DAB" w:rsidRDefault="007D2DAB" w:rsidP="007D2DAB">
      <w:pPr>
        <w:pStyle w:val="ListParagraph"/>
        <w:numPr>
          <w:ilvl w:val="0"/>
          <w:numId w:val="2"/>
        </w:numPr>
        <w:jc w:val="both"/>
      </w:pPr>
      <w:r>
        <w:rPr>
          <w:lang w:eastAsia="en-GB"/>
        </w:rPr>
        <w:t xml:space="preserve">The Italian and UK models are notable alternate approaches which ensure that there is no “integrity gap”, as an examination of the French and Victoria variations exposes, and where their respective regulators’ centralised systems are financed via betting operator fees. </w:t>
      </w:r>
    </w:p>
    <w:p w14:paraId="0F2C49A4" w14:textId="77777777" w:rsidR="007D2DAB" w:rsidRDefault="007D2DAB" w:rsidP="007D2DAB">
      <w:pPr>
        <w:pStyle w:val="ListParagraph"/>
        <w:jc w:val="both"/>
        <w:rPr>
          <w:lang w:eastAsia="en-GB"/>
        </w:rPr>
      </w:pPr>
    </w:p>
    <w:p w14:paraId="3111E49F" w14:textId="77777777" w:rsidR="007D2DAB" w:rsidRDefault="007D2DAB" w:rsidP="007D2DAB">
      <w:pPr>
        <w:pStyle w:val="ListParagraph"/>
        <w:numPr>
          <w:ilvl w:val="0"/>
          <w:numId w:val="2"/>
        </w:numPr>
        <w:jc w:val="both"/>
      </w:pPr>
      <w:r>
        <w:rPr>
          <w:lang w:eastAsia="en-GB"/>
        </w:rPr>
        <w:t>The Italian regulator, AAMS, employs its own sports betting monitoring system with all of its</w:t>
      </w:r>
      <w:r w:rsidRPr="00C82889">
        <w:rPr>
          <w:lang w:eastAsia="en-GB"/>
        </w:rPr>
        <w:t xml:space="preserve"> licensed </w:t>
      </w:r>
      <w:r>
        <w:rPr>
          <w:lang w:eastAsia="en-GB"/>
        </w:rPr>
        <w:t xml:space="preserve">betting operators’ servers linked to </w:t>
      </w:r>
      <w:r w:rsidR="000B31D8">
        <w:rPr>
          <w:lang w:eastAsia="en-GB"/>
        </w:rPr>
        <w:t>it</w:t>
      </w:r>
      <w:r w:rsidRPr="00C82889">
        <w:rPr>
          <w:lang w:eastAsia="en-GB"/>
        </w:rPr>
        <w:t xml:space="preserve"> so that every bet can be recorded, </w:t>
      </w:r>
      <w:r>
        <w:rPr>
          <w:lang w:eastAsia="en-GB"/>
        </w:rPr>
        <w:t>monitored</w:t>
      </w:r>
      <w:r w:rsidRPr="00C82889">
        <w:rPr>
          <w:lang w:eastAsia="en-GB"/>
        </w:rPr>
        <w:t xml:space="preserve"> and validated. </w:t>
      </w:r>
      <w:r w:rsidR="000B31D8">
        <w:rPr>
          <w:lang w:eastAsia="en-GB"/>
        </w:rPr>
        <w:t>U</w:t>
      </w:r>
      <w:r w:rsidRPr="00C82889">
        <w:rPr>
          <w:lang w:eastAsia="en-GB"/>
        </w:rPr>
        <w:t xml:space="preserve">nusual betting patterns are sent to </w:t>
      </w:r>
      <w:r>
        <w:rPr>
          <w:lang w:eastAsia="en-GB"/>
        </w:rPr>
        <w:t xml:space="preserve">the respective sports </w:t>
      </w:r>
      <w:r w:rsidRPr="00C82889">
        <w:rPr>
          <w:lang w:eastAsia="en-GB"/>
        </w:rPr>
        <w:t>for investigatio</w:t>
      </w:r>
      <w:r>
        <w:rPr>
          <w:lang w:eastAsia="en-GB"/>
        </w:rPr>
        <w:t>n.</w:t>
      </w:r>
      <w:r>
        <w:rPr>
          <w:rStyle w:val="FootnoteReference"/>
          <w:lang w:eastAsia="en-GB"/>
        </w:rPr>
        <w:footnoteReference w:id="44"/>
      </w:r>
    </w:p>
    <w:p w14:paraId="167C805E" w14:textId="77777777" w:rsidR="007D2DAB" w:rsidRDefault="007D2DAB" w:rsidP="007D2DAB">
      <w:pPr>
        <w:pStyle w:val="ListParagraph"/>
        <w:jc w:val="both"/>
        <w:rPr>
          <w:lang w:eastAsia="en-GB"/>
        </w:rPr>
      </w:pPr>
    </w:p>
    <w:p w14:paraId="415554C0" w14:textId="77777777" w:rsidR="007D2DAB" w:rsidRDefault="007D2DAB" w:rsidP="007D2DAB">
      <w:pPr>
        <w:pStyle w:val="ListParagraph"/>
        <w:numPr>
          <w:ilvl w:val="0"/>
          <w:numId w:val="2"/>
        </w:numPr>
        <w:jc w:val="both"/>
      </w:pPr>
      <w:r>
        <w:rPr>
          <w:lang w:eastAsia="en-GB"/>
        </w:rPr>
        <w:t>Whilst, as stated earlier, the British Gambling Commission requires all of its license</w:t>
      </w:r>
      <w:r w:rsidR="00C426DD">
        <w:rPr>
          <w:lang w:eastAsia="en-GB"/>
        </w:rPr>
        <w:t>d betting operators</w:t>
      </w:r>
      <w:r>
        <w:rPr>
          <w:lang w:eastAsia="en-GB"/>
        </w:rPr>
        <w:t xml:space="preserve"> to notify and share information with the relevant sports and the regulator of any suspected or attempted betting fraud and any </w:t>
      </w:r>
      <w:r>
        <w:t>breach of a sport’s rule</w:t>
      </w:r>
      <w:r>
        <w:rPr>
          <w:lang w:eastAsia="en-GB"/>
        </w:rPr>
        <w:t>.</w:t>
      </w:r>
      <w:r>
        <w:rPr>
          <w:rStyle w:val="FootnoteReference"/>
          <w:lang w:eastAsia="en-GB"/>
        </w:rPr>
        <w:footnoteReference w:id="45"/>
      </w:r>
      <w:r>
        <w:rPr>
          <w:lang w:eastAsia="en-GB"/>
        </w:rPr>
        <w:t xml:space="preserve"> </w:t>
      </w:r>
    </w:p>
    <w:p w14:paraId="01A12D99" w14:textId="77777777" w:rsidR="006F2F14" w:rsidRDefault="006F2F14" w:rsidP="006F2F14">
      <w:pPr>
        <w:pStyle w:val="ListParagraph"/>
      </w:pPr>
    </w:p>
    <w:p w14:paraId="6CEBB326" w14:textId="77777777" w:rsidR="006000AB" w:rsidRDefault="008C1B04" w:rsidP="00E83CBB">
      <w:pPr>
        <w:pStyle w:val="ListParagraph"/>
        <w:numPr>
          <w:ilvl w:val="0"/>
          <w:numId w:val="2"/>
        </w:numPr>
        <w:jc w:val="both"/>
        <w:rPr>
          <w:lang w:eastAsia="en-GB"/>
        </w:rPr>
      </w:pPr>
      <w:r>
        <w:t>T</w:t>
      </w:r>
      <w:r w:rsidR="006F2F14">
        <w:t>he right to bet approach is not an effective or safe integrity model</w:t>
      </w:r>
      <w:r w:rsidR="00601F13">
        <w:t>. It is</w:t>
      </w:r>
      <w:r w:rsidR="005D1C1F">
        <w:t xml:space="preserve"> unclear that </w:t>
      </w:r>
      <w:r w:rsidR="00601F13">
        <w:t xml:space="preserve">the </w:t>
      </w:r>
      <w:r w:rsidR="005D1C1F">
        <w:t xml:space="preserve">associated </w:t>
      </w:r>
      <w:r w:rsidR="00601F13">
        <w:t>revenue</w:t>
      </w:r>
      <w:r w:rsidR="005D1C1F">
        <w:t>s</w:t>
      </w:r>
      <w:r w:rsidR="00EF5089">
        <w:t xml:space="preserve"> </w:t>
      </w:r>
      <w:r w:rsidR="005D1C1F">
        <w:t>are</w:t>
      </w:r>
      <w:r w:rsidR="00601F13">
        <w:t xml:space="preserve"> </w:t>
      </w:r>
      <w:r w:rsidR="00EF5089">
        <w:t>being used for</w:t>
      </w:r>
      <w:r w:rsidR="00601F13">
        <w:t xml:space="preserve"> integrity and </w:t>
      </w:r>
      <w:r w:rsidR="00EF5089">
        <w:t xml:space="preserve">the </w:t>
      </w:r>
      <w:r w:rsidR="00EF5089">
        <w:rPr>
          <w:lang w:eastAsia="en-GB"/>
        </w:rPr>
        <w:t xml:space="preserve">administration costs </w:t>
      </w:r>
      <w:r w:rsidR="00601F13">
        <w:rPr>
          <w:lang w:eastAsia="en-GB"/>
        </w:rPr>
        <w:t>are considerable. M</w:t>
      </w:r>
      <w:r w:rsidR="00EF5089">
        <w:t xml:space="preserve">ore secure and clear integrity-focused methods are </w:t>
      </w:r>
      <w:r w:rsidR="00601F13">
        <w:t xml:space="preserve">in operation. </w:t>
      </w:r>
    </w:p>
    <w:p w14:paraId="5CB6F4C3" w14:textId="77777777" w:rsidR="006000AB" w:rsidRDefault="006000AB" w:rsidP="006000AB">
      <w:pPr>
        <w:pStyle w:val="ListParagraph"/>
        <w:rPr>
          <w:lang w:eastAsia="en-GB"/>
        </w:rPr>
      </w:pPr>
    </w:p>
    <w:p w14:paraId="58301821" w14:textId="77777777" w:rsidR="006000AB" w:rsidRPr="00954A54" w:rsidRDefault="006000AB" w:rsidP="006000AB">
      <w:pPr>
        <w:jc w:val="both"/>
        <w:rPr>
          <w:b/>
          <w:color w:val="1F497D" w:themeColor="text2"/>
        </w:rPr>
      </w:pPr>
      <w:r w:rsidRPr="00954A54">
        <w:rPr>
          <w:b/>
          <w:color w:val="1F497D" w:themeColor="text2"/>
        </w:rPr>
        <w:t>Additional material</w:t>
      </w:r>
    </w:p>
    <w:p w14:paraId="4D158C7D" w14:textId="77777777" w:rsidR="006000AB" w:rsidRDefault="006000AB" w:rsidP="006000AB">
      <w:pPr>
        <w:pStyle w:val="ListParagraph"/>
      </w:pPr>
    </w:p>
    <w:p w14:paraId="212B99C0" w14:textId="2944BD0E" w:rsidR="00E83CBB" w:rsidRDefault="006F2F14" w:rsidP="00E83CBB">
      <w:pPr>
        <w:pStyle w:val="ListParagraph"/>
        <w:numPr>
          <w:ilvl w:val="0"/>
          <w:numId w:val="2"/>
        </w:numPr>
        <w:jc w:val="both"/>
        <w:rPr>
          <w:lang w:eastAsia="en-GB"/>
        </w:rPr>
      </w:pPr>
      <w:r>
        <w:t xml:space="preserve">ESSA has listed </w:t>
      </w:r>
      <w:r w:rsidR="008611B9">
        <w:t xml:space="preserve">(and added links) to </w:t>
      </w:r>
      <w:r>
        <w:t xml:space="preserve">a number of </w:t>
      </w:r>
      <w:r w:rsidR="002C4190">
        <w:t xml:space="preserve">key </w:t>
      </w:r>
      <w:r>
        <w:t xml:space="preserve">documents </w:t>
      </w:r>
      <w:r w:rsidR="00E769B5">
        <w:t>for the Review</w:t>
      </w:r>
      <w:r w:rsidR="00346135">
        <w:t>,</w:t>
      </w:r>
      <w:r w:rsidR="00E769B5">
        <w:t xml:space="preserve"> </w:t>
      </w:r>
      <w:r w:rsidR="00E83CBB">
        <w:t xml:space="preserve">which </w:t>
      </w:r>
      <w:r w:rsidR="00416BDC">
        <w:t>provide</w:t>
      </w:r>
      <w:r w:rsidR="00E83CBB">
        <w:t xml:space="preserve"> a more d</w:t>
      </w:r>
      <w:r w:rsidR="00416BDC">
        <w:t>etailed</w:t>
      </w:r>
      <w:r w:rsidR="00E83CBB">
        <w:t xml:space="preserve"> </w:t>
      </w:r>
      <w:r w:rsidR="00416BDC">
        <w:t>examination</w:t>
      </w:r>
      <w:r w:rsidR="00E83CBB">
        <w:t xml:space="preserve"> </w:t>
      </w:r>
      <w:r w:rsidR="009C52BC">
        <w:t xml:space="preserve">and explanation </w:t>
      </w:r>
      <w:r w:rsidR="00E83CBB">
        <w:t>of the issues raised above</w:t>
      </w:r>
      <w:r>
        <w:t>.</w:t>
      </w:r>
      <w:r w:rsidR="00E83CBB">
        <w:t xml:space="preserve"> </w:t>
      </w:r>
    </w:p>
    <w:p w14:paraId="20B60F21" w14:textId="77777777" w:rsidR="00416BDC" w:rsidRDefault="00416BDC" w:rsidP="00E83CBB">
      <w:pPr>
        <w:jc w:val="both"/>
      </w:pPr>
    </w:p>
    <w:p w14:paraId="036F1732" w14:textId="77777777" w:rsidR="008611B9" w:rsidRDefault="008C146E" w:rsidP="002E0EFD">
      <w:pPr>
        <w:pStyle w:val="ListParagraph"/>
        <w:numPr>
          <w:ilvl w:val="0"/>
          <w:numId w:val="10"/>
        </w:numPr>
      </w:pPr>
      <w:hyperlink r:id="rId9" w:history="1">
        <w:r w:rsidR="00EF5089" w:rsidRPr="002A2A1E">
          <w:rPr>
            <w:rStyle w:val="Hyperlink"/>
          </w:rPr>
          <w:t>Sports Betting and Commercial Issues report</w:t>
        </w:r>
      </w:hyperlink>
    </w:p>
    <w:p w14:paraId="57D9811A" w14:textId="77777777" w:rsidR="00416BDC" w:rsidRDefault="008C146E" w:rsidP="002E0EFD">
      <w:pPr>
        <w:pStyle w:val="ListParagraph"/>
        <w:numPr>
          <w:ilvl w:val="0"/>
          <w:numId w:val="10"/>
        </w:numPr>
        <w:jc w:val="both"/>
      </w:pPr>
      <w:hyperlink r:id="rId10" w:history="1">
        <w:r w:rsidR="00416BDC" w:rsidRPr="00601F13">
          <w:rPr>
            <w:rStyle w:val="Hyperlink"/>
          </w:rPr>
          <w:t xml:space="preserve">British Gambling Commission </w:t>
        </w:r>
        <w:r w:rsidR="00601F13" w:rsidRPr="00601F13">
          <w:rPr>
            <w:rStyle w:val="Hyperlink"/>
          </w:rPr>
          <w:t xml:space="preserve">betting integrity </w:t>
        </w:r>
        <w:r w:rsidR="00416BDC" w:rsidRPr="00601F13">
          <w:rPr>
            <w:rStyle w:val="Hyperlink"/>
          </w:rPr>
          <w:t>decision making guidance</w:t>
        </w:r>
      </w:hyperlink>
    </w:p>
    <w:p w14:paraId="4E3A952A" w14:textId="77777777" w:rsidR="002A2A1E" w:rsidRDefault="008C146E" w:rsidP="002E0EFD">
      <w:pPr>
        <w:pStyle w:val="ListParagraph"/>
        <w:numPr>
          <w:ilvl w:val="0"/>
          <w:numId w:val="10"/>
        </w:numPr>
        <w:jc w:val="both"/>
      </w:pPr>
      <w:hyperlink r:id="rId11" w:history="1">
        <w:r w:rsidR="002A2A1E" w:rsidRPr="002A2A1E">
          <w:rPr>
            <w:rStyle w:val="Hyperlink"/>
          </w:rPr>
          <w:t>UK Sport and sports Betting Integrity Action Plan</w:t>
        </w:r>
      </w:hyperlink>
    </w:p>
    <w:p w14:paraId="38795A7A" w14:textId="77777777" w:rsidR="002A2A1E" w:rsidRDefault="008C146E" w:rsidP="002E0EFD">
      <w:pPr>
        <w:pStyle w:val="ListParagraph"/>
        <w:numPr>
          <w:ilvl w:val="0"/>
          <w:numId w:val="10"/>
        </w:numPr>
        <w:jc w:val="both"/>
      </w:pPr>
      <w:hyperlink r:id="rId12" w:history="1">
        <w:r w:rsidR="002A2A1E" w:rsidRPr="002A2A1E">
          <w:rPr>
            <w:rStyle w:val="Hyperlink"/>
          </w:rPr>
          <w:t>ASSER Institute Study on Sports Organisers’ Rights</w:t>
        </w:r>
      </w:hyperlink>
    </w:p>
    <w:p w14:paraId="2290DB94" w14:textId="77777777" w:rsidR="00EB45E3" w:rsidRDefault="008C146E" w:rsidP="002E0EFD">
      <w:pPr>
        <w:pStyle w:val="ListParagraph"/>
        <w:numPr>
          <w:ilvl w:val="0"/>
          <w:numId w:val="10"/>
        </w:numPr>
        <w:jc w:val="both"/>
      </w:pPr>
      <w:hyperlink r:id="rId13" w:history="1">
        <w:r w:rsidR="002A2A1E" w:rsidRPr="002E0EFD">
          <w:rPr>
            <w:rStyle w:val="Hyperlink"/>
          </w:rPr>
          <w:t>ASSER Institute</w:t>
        </w:r>
        <w:r w:rsidR="002E0EFD" w:rsidRPr="002E0EFD">
          <w:rPr>
            <w:rStyle w:val="Hyperlink"/>
          </w:rPr>
          <w:t xml:space="preserve"> Study on risk assessment and management in the fight match-fixing</w:t>
        </w:r>
      </w:hyperlink>
    </w:p>
    <w:p w14:paraId="1FC14CB4" w14:textId="0839D37C" w:rsidR="00346135" w:rsidRDefault="008C146E" w:rsidP="00E83CBB">
      <w:pPr>
        <w:pStyle w:val="ListParagraph"/>
        <w:numPr>
          <w:ilvl w:val="0"/>
          <w:numId w:val="10"/>
        </w:numPr>
        <w:jc w:val="both"/>
      </w:pPr>
      <w:hyperlink r:id="rId14" w:history="1">
        <w:r w:rsidR="002A2A1E" w:rsidRPr="002A2A1E">
          <w:rPr>
            <w:rStyle w:val="Hyperlink"/>
          </w:rPr>
          <w:t>ASSER Institute</w:t>
        </w:r>
        <w:r w:rsidR="002E0EFD">
          <w:rPr>
            <w:rStyle w:val="Hyperlink"/>
          </w:rPr>
          <w:t xml:space="preserve"> R</w:t>
        </w:r>
        <w:r w:rsidR="002A2A1E" w:rsidRPr="002A2A1E">
          <w:rPr>
            <w:rStyle w:val="Hyperlink"/>
          </w:rPr>
          <w:t>eport on the Integrity risks of certain types of sports bets</w:t>
        </w:r>
      </w:hyperlink>
      <w:r w:rsidR="002A2A1E">
        <w:t xml:space="preserve"> </w:t>
      </w:r>
    </w:p>
    <w:p w14:paraId="55A85AB3" w14:textId="77777777" w:rsidR="00346135" w:rsidRDefault="00346135" w:rsidP="00E83CBB">
      <w:pPr>
        <w:jc w:val="both"/>
      </w:pPr>
    </w:p>
    <w:p w14:paraId="36AC5F8B" w14:textId="77777777" w:rsidR="0060460A" w:rsidRDefault="00FF05A1" w:rsidP="0048599C">
      <w:r>
        <w:rPr>
          <w:noProof/>
          <w:lang w:eastAsia="en-GB"/>
        </w:rPr>
        <w:drawing>
          <wp:inline distT="0" distB="0" distL="0" distR="0" wp14:anchorId="0DDA1B29" wp14:editId="0350A833">
            <wp:extent cx="5732875" cy="1232452"/>
            <wp:effectExtent l="0" t="0" r="127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SA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232159"/>
                    </a:xfrm>
                    <a:prstGeom prst="rect">
                      <a:avLst/>
                    </a:prstGeom>
                  </pic:spPr>
                </pic:pic>
              </a:graphicData>
            </a:graphic>
          </wp:inline>
        </w:drawing>
      </w:r>
      <w:bookmarkEnd w:id="0"/>
    </w:p>
    <w:sectPr w:rsidR="0060460A">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A68F3" w14:textId="77777777" w:rsidR="008C146E" w:rsidRDefault="008C146E" w:rsidP="00E81C64">
      <w:r>
        <w:separator/>
      </w:r>
    </w:p>
  </w:endnote>
  <w:endnote w:type="continuationSeparator" w:id="0">
    <w:p w14:paraId="314C23D5" w14:textId="77777777" w:rsidR="008C146E" w:rsidRDefault="008C146E" w:rsidP="00E8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68389" w14:textId="77777777" w:rsidR="008C146E" w:rsidRDefault="008C146E" w:rsidP="00E81C64">
      <w:r>
        <w:separator/>
      </w:r>
    </w:p>
  </w:footnote>
  <w:footnote w:type="continuationSeparator" w:id="0">
    <w:p w14:paraId="56CA400E" w14:textId="77777777" w:rsidR="008C146E" w:rsidRDefault="008C146E" w:rsidP="00E81C64">
      <w:r>
        <w:continuationSeparator/>
      </w:r>
    </w:p>
  </w:footnote>
  <w:footnote w:id="1">
    <w:p w14:paraId="10D3C3BC" w14:textId="77777777" w:rsidR="00D65980" w:rsidRPr="00D71046" w:rsidRDefault="00D65980">
      <w:pPr>
        <w:pStyle w:val="FootnoteText"/>
        <w:rPr>
          <w:sz w:val="12"/>
          <w:szCs w:val="12"/>
        </w:rPr>
      </w:pPr>
      <w:r w:rsidRPr="00D71046">
        <w:rPr>
          <w:rStyle w:val="FootnoteReference"/>
          <w:sz w:val="12"/>
          <w:szCs w:val="12"/>
        </w:rPr>
        <w:footnoteRef/>
      </w:r>
      <w:r w:rsidRPr="00D71046">
        <w:rPr>
          <w:sz w:val="12"/>
          <w:szCs w:val="12"/>
        </w:rPr>
        <w:t xml:space="preserve"> </w:t>
      </w:r>
      <w:hyperlink r:id="rId1" w:history="1">
        <w:r w:rsidRPr="00D71046">
          <w:rPr>
            <w:rStyle w:val="Hyperlink"/>
            <w:sz w:val="12"/>
            <w:szCs w:val="12"/>
          </w:rPr>
          <w:t>http://www.eu-ssa.org/wp-content/uploads/Eu-Atheltes_Erasmusfunding_2015_FINAL.pdf</w:t>
        </w:r>
      </w:hyperlink>
      <w:r w:rsidRPr="00D71046">
        <w:rPr>
          <w:sz w:val="12"/>
          <w:szCs w:val="12"/>
        </w:rPr>
        <w:t xml:space="preserve"> </w:t>
      </w:r>
    </w:p>
  </w:footnote>
  <w:footnote w:id="2">
    <w:p w14:paraId="2708AB63" w14:textId="77777777" w:rsidR="00D65980" w:rsidRPr="001A25CB" w:rsidRDefault="00D65980">
      <w:pPr>
        <w:pStyle w:val="FootnoteText"/>
        <w:rPr>
          <w:sz w:val="12"/>
          <w:szCs w:val="12"/>
        </w:rPr>
      </w:pPr>
      <w:r w:rsidRPr="001A25CB">
        <w:rPr>
          <w:rStyle w:val="FootnoteReference"/>
          <w:sz w:val="12"/>
          <w:szCs w:val="12"/>
        </w:rPr>
        <w:footnoteRef/>
      </w:r>
      <w:r w:rsidRPr="001A25CB">
        <w:rPr>
          <w:sz w:val="12"/>
          <w:szCs w:val="12"/>
        </w:rPr>
        <w:t xml:space="preserve"> </w:t>
      </w:r>
      <w:hyperlink r:id="rId2" w:history="1">
        <w:r w:rsidRPr="001A25CB">
          <w:rPr>
            <w:rStyle w:val="Hyperlink"/>
            <w:sz w:val="12"/>
            <w:szCs w:val="12"/>
          </w:rPr>
          <w:t>http://www.gamblingcommission.gov.uk/pdf/Latest-LCCP-and-Extracts/Licence-conditions-and-codes-of-practice.pdf</w:t>
        </w:r>
      </w:hyperlink>
      <w:r w:rsidRPr="001A25CB">
        <w:rPr>
          <w:sz w:val="12"/>
          <w:szCs w:val="12"/>
        </w:rPr>
        <w:t xml:space="preserve"> </w:t>
      </w:r>
    </w:p>
  </w:footnote>
  <w:footnote w:id="3">
    <w:p w14:paraId="12A3AF43" w14:textId="77777777" w:rsidR="00D65980" w:rsidRPr="001A25CB" w:rsidRDefault="00D65980">
      <w:pPr>
        <w:pStyle w:val="FootnoteText"/>
        <w:rPr>
          <w:sz w:val="12"/>
          <w:szCs w:val="12"/>
        </w:rPr>
      </w:pPr>
      <w:r w:rsidRPr="001A25CB">
        <w:rPr>
          <w:rStyle w:val="FootnoteReference"/>
          <w:sz w:val="12"/>
          <w:szCs w:val="12"/>
        </w:rPr>
        <w:footnoteRef/>
      </w:r>
      <w:r w:rsidRPr="001A25CB">
        <w:rPr>
          <w:sz w:val="12"/>
          <w:szCs w:val="12"/>
        </w:rPr>
        <w:t xml:space="preserve"> </w:t>
      </w:r>
      <w:hyperlink r:id="rId3" w:history="1">
        <w:r w:rsidRPr="001A25CB">
          <w:rPr>
            <w:rStyle w:val="Hyperlink"/>
            <w:sz w:val="12"/>
            <w:szCs w:val="12"/>
          </w:rPr>
          <w:t>http://www.gamblingcommission.gov.uk/pdf/Betting%20integrity%20decision%20making%20framework.pdf</w:t>
        </w:r>
      </w:hyperlink>
      <w:r w:rsidRPr="001A25CB">
        <w:rPr>
          <w:sz w:val="12"/>
          <w:szCs w:val="12"/>
        </w:rPr>
        <w:t xml:space="preserve"> </w:t>
      </w:r>
    </w:p>
  </w:footnote>
  <w:footnote w:id="4">
    <w:p w14:paraId="2C875CF5" w14:textId="77777777" w:rsidR="00D65980" w:rsidRPr="001A25CB" w:rsidRDefault="00D65980">
      <w:pPr>
        <w:pStyle w:val="FootnoteText"/>
        <w:rPr>
          <w:sz w:val="12"/>
          <w:szCs w:val="12"/>
        </w:rPr>
      </w:pPr>
      <w:r w:rsidRPr="001A25CB">
        <w:rPr>
          <w:rStyle w:val="FootnoteReference"/>
          <w:sz w:val="12"/>
          <w:szCs w:val="12"/>
        </w:rPr>
        <w:footnoteRef/>
      </w:r>
      <w:r w:rsidRPr="001A25CB">
        <w:rPr>
          <w:sz w:val="12"/>
          <w:szCs w:val="12"/>
        </w:rPr>
        <w:t xml:space="preserve"> </w:t>
      </w:r>
      <w:hyperlink r:id="rId4" w:history="1">
        <w:r w:rsidRPr="001A25CB">
          <w:rPr>
            <w:rStyle w:val="Hyperlink"/>
            <w:sz w:val="12"/>
            <w:szCs w:val="12"/>
          </w:rPr>
          <w:t>http://bookshop.europa.eu/en/study-on-risk-assessment-and-management-and-prevention-of-conflicts-of-interest-in-the-prevention-and-fight-against-betting-related-match-fixing-in-the-eu-28-pbNC0414716/?CatalogCategoryID=CdcKABstHUgAAAEjBJEY4e5L</w:t>
        </w:r>
      </w:hyperlink>
      <w:r w:rsidRPr="001A25CB">
        <w:rPr>
          <w:sz w:val="12"/>
          <w:szCs w:val="12"/>
        </w:rPr>
        <w:t xml:space="preserve"> </w:t>
      </w:r>
    </w:p>
  </w:footnote>
  <w:footnote w:id="5">
    <w:p w14:paraId="6005DEA5" w14:textId="77777777" w:rsidR="00D65980" w:rsidRPr="00CC5BC0" w:rsidRDefault="00D65980" w:rsidP="00FC5F89">
      <w:pPr>
        <w:pStyle w:val="FootnoteText"/>
        <w:rPr>
          <w:sz w:val="12"/>
          <w:szCs w:val="12"/>
        </w:rPr>
      </w:pPr>
      <w:r w:rsidRPr="001A25CB">
        <w:rPr>
          <w:rStyle w:val="FootnoteReference"/>
          <w:sz w:val="12"/>
          <w:szCs w:val="12"/>
        </w:rPr>
        <w:footnoteRef/>
      </w:r>
      <w:r w:rsidRPr="001A25CB">
        <w:rPr>
          <w:sz w:val="12"/>
          <w:szCs w:val="12"/>
        </w:rPr>
        <w:t xml:space="preserve"> </w:t>
      </w:r>
      <w:hyperlink r:id="rId5" w:history="1">
        <w:r w:rsidRPr="001A25CB">
          <w:rPr>
            <w:rStyle w:val="Hyperlink"/>
            <w:sz w:val="12"/>
            <w:szCs w:val="12"/>
          </w:rPr>
          <w:t>http://www.eu-ssa.org/documents/</w:t>
        </w:r>
      </w:hyperlink>
      <w:r w:rsidRPr="001A25CB">
        <w:rPr>
          <w:sz w:val="12"/>
          <w:szCs w:val="12"/>
        </w:rPr>
        <w:t xml:space="preserve"> </w:t>
      </w:r>
    </w:p>
  </w:footnote>
  <w:footnote w:id="6">
    <w:p w14:paraId="5C3B5042" w14:textId="77777777" w:rsidR="00D65980" w:rsidRDefault="00D65980" w:rsidP="00FC5F89">
      <w:pPr>
        <w:pStyle w:val="FootnoteText"/>
      </w:pPr>
      <w:r w:rsidRPr="00CC5BC0">
        <w:rPr>
          <w:rStyle w:val="FootnoteReference"/>
          <w:sz w:val="12"/>
          <w:szCs w:val="12"/>
        </w:rPr>
        <w:footnoteRef/>
      </w:r>
      <w:r w:rsidRPr="00CC5BC0">
        <w:rPr>
          <w:sz w:val="12"/>
          <w:szCs w:val="12"/>
        </w:rPr>
        <w:t xml:space="preserve"> </w:t>
      </w:r>
      <w:hyperlink r:id="rId6" w:history="1">
        <w:r w:rsidRPr="00CC5BC0">
          <w:rPr>
            <w:rStyle w:val="Hyperlink"/>
            <w:sz w:val="12"/>
            <w:szCs w:val="12"/>
          </w:rPr>
          <w:t>http://www.gamblingcommission.gov.uk/Gambling-data-analysis/statistics/Industry-statistics.aspx</w:t>
        </w:r>
      </w:hyperlink>
      <w:r>
        <w:t xml:space="preserve"> </w:t>
      </w:r>
    </w:p>
  </w:footnote>
  <w:footnote w:id="7">
    <w:p w14:paraId="6A82D887" w14:textId="77777777" w:rsidR="00D65980" w:rsidRPr="00754636" w:rsidRDefault="00D65980">
      <w:pPr>
        <w:pStyle w:val="FootnoteText"/>
        <w:rPr>
          <w:sz w:val="12"/>
          <w:szCs w:val="12"/>
        </w:rPr>
      </w:pPr>
      <w:r w:rsidRPr="00754636">
        <w:rPr>
          <w:rStyle w:val="FootnoteReference"/>
          <w:sz w:val="12"/>
          <w:szCs w:val="12"/>
        </w:rPr>
        <w:footnoteRef/>
      </w:r>
      <w:r w:rsidRPr="00754636">
        <w:rPr>
          <w:sz w:val="12"/>
          <w:szCs w:val="12"/>
        </w:rPr>
        <w:t xml:space="preserve"> </w:t>
      </w:r>
      <w:hyperlink r:id="rId7" w:history="1">
        <w:r w:rsidRPr="00754636">
          <w:rPr>
            <w:rStyle w:val="Hyperlink"/>
            <w:sz w:val="12"/>
            <w:szCs w:val="12"/>
          </w:rPr>
          <w:t>http://www.gamblingcommission.gov.uk/pdf/jau%20report%20-%20march%202013.pdf</w:t>
        </w:r>
      </w:hyperlink>
      <w:r w:rsidRPr="00754636">
        <w:rPr>
          <w:sz w:val="12"/>
          <w:szCs w:val="12"/>
        </w:rPr>
        <w:t xml:space="preserve"> </w:t>
      </w:r>
    </w:p>
  </w:footnote>
  <w:footnote w:id="8">
    <w:p w14:paraId="38B9AA1B" w14:textId="77777777" w:rsidR="00D65980" w:rsidRPr="00CC5BC0" w:rsidRDefault="00D65980">
      <w:pPr>
        <w:pStyle w:val="FootnoteText"/>
        <w:rPr>
          <w:sz w:val="12"/>
          <w:szCs w:val="12"/>
        </w:rPr>
      </w:pPr>
      <w:r w:rsidRPr="00CC5BC0">
        <w:rPr>
          <w:rStyle w:val="FootnoteReference"/>
          <w:sz w:val="12"/>
          <w:szCs w:val="12"/>
        </w:rPr>
        <w:footnoteRef/>
      </w:r>
      <w:r w:rsidRPr="00CC5BC0">
        <w:rPr>
          <w:sz w:val="12"/>
          <w:szCs w:val="12"/>
        </w:rPr>
        <w:t xml:space="preserve"> </w:t>
      </w:r>
      <w:hyperlink r:id="rId8" w:history="1">
        <w:r w:rsidRPr="00CC5BC0">
          <w:rPr>
            <w:rStyle w:val="Hyperlink"/>
            <w:sz w:val="12"/>
            <w:szCs w:val="12"/>
          </w:rPr>
          <w:t>http://www.gamblingcommission.gov.uk/Press/2015/Sports-betting-integrity-action-plan-published-today.aspx</w:t>
        </w:r>
      </w:hyperlink>
      <w:r w:rsidRPr="00CC5BC0">
        <w:rPr>
          <w:sz w:val="12"/>
          <w:szCs w:val="12"/>
        </w:rPr>
        <w:t xml:space="preserve"> </w:t>
      </w:r>
    </w:p>
  </w:footnote>
  <w:footnote w:id="9">
    <w:p w14:paraId="45BF9956" w14:textId="77777777" w:rsidR="00D65980" w:rsidRPr="00CC5BC0" w:rsidRDefault="00D65980">
      <w:pPr>
        <w:pStyle w:val="FootnoteText"/>
        <w:rPr>
          <w:sz w:val="12"/>
          <w:szCs w:val="12"/>
        </w:rPr>
      </w:pPr>
      <w:r w:rsidRPr="00CC5BC0">
        <w:rPr>
          <w:rStyle w:val="FootnoteReference"/>
          <w:sz w:val="12"/>
          <w:szCs w:val="12"/>
        </w:rPr>
        <w:footnoteRef/>
      </w:r>
      <w:r w:rsidRPr="00CC5BC0">
        <w:rPr>
          <w:sz w:val="12"/>
          <w:szCs w:val="12"/>
        </w:rPr>
        <w:t xml:space="preserve"> Paragraph 1.7 </w:t>
      </w:r>
      <w:hyperlink r:id="rId9" w:history="1">
        <w:r w:rsidRPr="00CC5BC0">
          <w:rPr>
            <w:rStyle w:val="Hyperlink"/>
            <w:sz w:val="12"/>
            <w:szCs w:val="12"/>
          </w:rPr>
          <w:t>http://www.gamblingcommission.gov.uk/pdf/Business-plan-2015-2016.pdf</w:t>
        </w:r>
      </w:hyperlink>
      <w:r w:rsidRPr="00CC5BC0">
        <w:rPr>
          <w:sz w:val="12"/>
          <w:szCs w:val="12"/>
        </w:rPr>
        <w:t xml:space="preserve"> </w:t>
      </w:r>
    </w:p>
  </w:footnote>
  <w:footnote w:id="10">
    <w:p w14:paraId="626A55AD" w14:textId="77777777" w:rsidR="00D65980" w:rsidRPr="007045C9" w:rsidRDefault="00D65980" w:rsidP="0061265D">
      <w:pPr>
        <w:pStyle w:val="FootnoteText"/>
        <w:rPr>
          <w:sz w:val="12"/>
          <w:szCs w:val="12"/>
        </w:rPr>
      </w:pPr>
      <w:r w:rsidRPr="007045C9">
        <w:rPr>
          <w:rStyle w:val="FootnoteReference"/>
          <w:sz w:val="12"/>
          <w:szCs w:val="12"/>
        </w:rPr>
        <w:footnoteRef/>
      </w:r>
      <w:r w:rsidRPr="007045C9">
        <w:rPr>
          <w:sz w:val="12"/>
          <w:szCs w:val="12"/>
        </w:rPr>
        <w:t xml:space="preserve"> </w:t>
      </w:r>
      <w:hyperlink r:id="rId10" w:history="1">
        <w:r w:rsidRPr="007045C9">
          <w:rPr>
            <w:rStyle w:val="Hyperlink"/>
            <w:sz w:val="12"/>
            <w:szCs w:val="12"/>
          </w:rPr>
          <w:t>http://www.fifpro.org/en/don-t-fix-it/black-book</w:t>
        </w:r>
      </w:hyperlink>
    </w:p>
  </w:footnote>
  <w:footnote w:id="11">
    <w:p w14:paraId="2465BB18" w14:textId="77777777" w:rsidR="00D65980" w:rsidRPr="007045C9" w:rsidRDefault="00D65980" w:rsidP="0061265D">
      <w:pPr>
        <w:pStyle w:val="FootnoteText"/>
        <w:rPr>
          <w:sz w:val="12"/>
          <w:szCs w:val="12"/>
        </w:rPr>
      </w:pPr>
      <w:r w:rsidRPr="007045C9">
        <w:rPr>
          <w:rStyle w:val="FootnoteReference"/>
          <w:sz w:val="12"/>
          <w:szCs w:val="12"/>
        </w:rPr>
        <w:footnoteRef/>
      </w:r>
      <w:r w:rsidRPr="007045C9">
        <w:rPr>
          <w:sz w:val="12"/>
          <w:szCs w:val="12"/>
        </w:rPr>
        <w:t xml:space="preserve"> Paragraph 56 Bangladesh Cricket Board Anti-Corruption Tribunal  (Issued 8 June 2014) </w:t>
      </w:r>
      <w:hyperlink r:id="rId11" w:history="1">
        <w:r w:rsidRPr="007045C9">
          <w:rPr>
            <w:rStyle w:val="Hyperlink"/>
            <w:sz w:val="12"/>
            <w:szCs w:val="12"/>
          </w:rPr>
          <w:t>http://www.thedailystar.net/upload/gallery/pdf/bpl-full-verdict-file-.pdf</w:t>
        </w:r>
      </w:hyperlink>
    </w:p>
  </w:footnote>
  <w:footnote w:id="12">
    <w:p w14:paraId="6DC75B1D" w14:textId="77777777" w:rsidR="00D65980" w:rsidRPr="0098068F" w:rsidRDefault="00D65980">
      <w:pPr>
        <w:pStyle w:val="FootnoteText"/>
        <w:rPr>
          <w:sz w:val="12"/>
          <w:szCs w:val="12"/>
        </w:rPr>
      </w:pPr>
      <w:r w:rsidRPr="0098068F">
        <w:rPr>
          <w:rStyle w:val="FootnoteReference"/>
          <w:sz w:val="12"/>
          <w:szCs w:val="12"/>
        </w:rPr>
        <w:footnoteRef/>
      </w:r>
      <w:r w:rsidRPr="0098068F">
        <w:rPr>
          <w:sz w:val="12"/>
          <w:szCs w:val="12"/>
        </w:rPr>
        <w:t xml:space="preserve"> Article 8 </w:t>
      </w:r>
      <w:hyperlink r:id="rId12" w:history="1">
        <w:r w:rsidRPr="0098068F">
          <w:rPr>
            <w:rStyle w:val="Hyperlink"/>
            <w:sz w:val="12"/>
            <w:szCs w:val="12"/>
          </w:rPr>
          <w:t>https://rm.coe.int/CoERMPublicCommonSearchServices/DisplayDCTMContent?documentId=09000016801cdd7e</w:t>
        </w:r>
      </w:hyperlink>
      <w:r w:rsidRPr="0098068F">
        <w:rPr>
          <w:sz w:val="12"/>
          <w:szCs w:val="12"/>
        </w:rPr>
        <w:t xml:space="preserve"> </w:t>
      </w:r>
    </w:p>
  </w:footnote>
  <w:footnote w:id="13">
    <w:p w14:paraId="13FF47BF" w14:textId="77777777" w:rsidR="00D65980" w:rsidRPr="003826F9" w:rsidRDefault="00D65980">
      <w:pPr>
        <w:pStyle w:val="FootnoteText"/>
        <w:rPr>
          <w:sz w:val="12"/>
          <w:szCs w:val="12"/>
        </w:rPr>
      </w:pPr>
      <w:r w:rsidRPr="00D87C65">
        <w:rPr>
          <w:rStyle w:val="FootnoteReference"/>
          <w:sz w:val="12"/>
          <w:szCs w:val="12"/>
        </w:rPr>
        <w:footnoteRef/>
      </w:r>
      <w:r w:rsidRPr="00D87C65">
        <w:rPr>
          <w:sz w:val="12"/>
          <w:szCs w:val="12"/>
        </w:rPr>
        <w:t xml:space="preserve"> Page 11 Interpol Match-fixing in Football Training Needs Assessment 2013 &amp; </w:t>
      </w:r>
      <w:hyperlink r:id="rId13" w:history="1">
        <w:r w:rsidRPr="00D87C65">
          <w:rPr>
            <w:rStyle w:val="Hyperlink"/>
            <w:sz w:val="12"/>
            <w:szCs w:val="12"/>
          </w:rPr>
          <w:t>https://www.europol.europa.eu/content/results-largest-football-match-fixing-investigation-europe</w:t>
        </w:r>
      </w:hyperlink>
      <w:r>
        <w:rPr>
          <w:sz w:val="12"/>
          <w:szCs w:val="12"/>
        </w:rPr>
        <w:t xml:space="preserve"> </w:t>
      </w:r>
    </w:p>
  </w:footnote>
  <w:footnote w:id="14">
    <w:p w14:paraId="4370268E" w14:textId="77777777" w:rsidR="00D65980" w:rsidRPr="00DE1442" w:rsidRDefault="00D65980">
      <w:pPr>
        <w:pStyle w:val="FootnoteText"/>
        <w:rPr>
          <w:sz w:val="12"/>
          <w:szCs w:val="12"/>
        </w:rPr>
      </w:pPr>
      <w:r w:rsidRPr="00DE1442">
        <w:rPr>
          <w:rStyle w:val="FootnoteReference"/>
          <w:sz w:val="12"/>
          <w:szCs w:val="12"/>
        </w:rPr>
        <w:footnoteRef/>
      </w:r>
      <w:r w:rsidRPr="00DE1442">
        <w:rPr>
          <w:sz w:val="12"/>
          <w:szCs w:val="12"/>
        </w:rPr>
        <w:t xml:space="preserve"> </w:t>
      </w:r>
      <w:hyperlink r:id="rId14" w:history="1">
        <w:r w:rsidRPr="00DE1442">
          <w:rPr>
            <w:rStyle w:val="Hyperlink"/>
            <w:sz w:val="12"/>
            <w:szCs w:val="12"/>
          </w:rPr>
          <w:t>http://www.asser.nl/media/2422/the-odds-of-matchfixing-report2015.pdf</w:t>
        </w:r>
      </w:hyperlink>
      <w:r w:rsidRPr="00DE1442">
        <w:rPr>
          <w:sz w:val="12"/>
          <w:szCs w:val="12"/>
        </w:rPr>
        <w:t xml:space="preserve"> </w:t>
      </w:r>
    </w:p>
  </w:footnote>
  <w:footnote w:id="15">
    <w:p w14:paraId="4083E9F5" w14:textId="77777777" w:rsidR="00D65980" w:rsidRPr="00704B2B" w:rsidRDefault="00D65980" w:rsidP="002B0120">
      <w:pPr>
        <w:pStyle w:val="NoSpacing"/>
        <w:rPr>
          <w:sz w:val="12"/>
          <w:szCs w:val="12"/>
        </w:rPr>
      </w:pPr>
      <w:r w:rsidRPr="00DE1442">
        <w:rPr>
          <w:rStyle w:val="FootnoteReference"/>
          <w:sz w:val="12"/>
          <w:szCs w:val="12"/>
        </w:rPr>
        <w:footnoteRef/>
      </w:r>
      <w:r w:rsidRPr="00DE1442">
        <w:rPr>
          <w:sz w:val="12"/>
          <w:szCs w:val="12"/>
        </w:rPr>
        <w:t xml:space="preserve"> Paragraph 3.2 </w:t>
      </w:r>
      <w:hyperlink r:id="rId15" w:history="1">
        <w:r w:rsidRPr="00DE1442">
          <w:rPr>
            <w:rStyle w:val="Hyperlink"/>
            <w:sz w:val="12"/>
            <w:szCs w:val="12"/>
          </w:rPr>
          <w:t>http://www.gamblingcommission.gov.uk/pdf/Betting%20integrity%20policy%20position%20paper%20-%20March%202009.pdf</w:t>
        </w:r>
      </w:hyperlink>
      <w:r w:rsidRPr="00DE1442">
        <w:rPr>
          <w:sz w:val="12"/>
          <w:szCs w:val="12"/>
        </w:rPr>
        <w:t xml:space="preserve"> &amp; Paragraph 1.5 </w:t>
      </w:r>
      <w:hyperlink r:id="rId16" w:history="1">
        <w:r w:rsidRPr="00DE1442">
          <w:rPr>
            <w:rStyle w:val="Hyperlink"/>
            <w:sz w:val="12"/>
            <w:szCs w:val="12"/>
          </w:rPr>
          <w:t>http://www.gamblingcommission.gov.uk/pdf/Betting%20integrity%20policy%20position%20paper%20-%20March%202009.pdf</w:t>
        </w:r>
      </w:hyperlink>
      <w:r w:rsidRPr="00704B2B">
        <w:rPr>
          <w:sz w:val="12"/>
          <w:szCs w:val="12"/>
        </w:rPr>
        <w:t xml:space="preserve"> </w:t>
      </w:r>
    </w:p>
  </w:footnote>
  <w:footnote w:id="16">
    <w:p w14:paraId="1FB323B6" w14:textId="77777777" w:rsidR="00D65980" w:rsidRPr="00704B2B" w:rsidRDefault="00D65980" w:rsidP="002B0120">
      <w:pPr>
        <w:pStyle w:val="NoSpacing"/>
        <w:rPr>
          <w:sz w:val="12"/>
          <w:szCs w:val="12"/>
        </w:rPr>
      </w:pPr>
      <w:r w:rsidRPr="00704B2B">
        <w:rPr>
          <w:rStyle w:val="FootnoteReference"/>
          <w:sz w:val="12"/>
          <w:szCs w:val="12"/>
        </w:rPr>
        <w:footnoteRef/>
      </w:r>
      <w:r w:rsidRPr="00704B2B">
        <w:rPr>
          <w:sz w:val="12"/>
          <w:szCs w:val="12"/>
        </w:rPr>
        <w:t xml:space="preserve"> </w:t>
      </w:r>
      <w:hyperlink r:id="rId17" w:history="1">
        <w:r w:rsidRPr="00704B2B">
          <w:rPr>
            <w:rStyle w:val="Hyperlink"/>
            <w:sz w:val="12"/>
            <w:szCs w:val="12"/>
          </w:rPr>
          <w:t>http://www.egrmagazine.com/news/gambling_commission_rejects_in-running_ban_proposal_</w:t>
        </w:r>
      </w:hyperlink>
      <w:r w:rsidRPr="00704B2B">
        <w:rPr>
          <w:sz w:val="12"/>
          <w:szCs w:val="12"/>
        </w:rPr>
        <w:t xml:space="preserve"> </w:t>
      </w:r>
    </w:p>
  </w:footnote>
  <w:footnote w:id="17">
    <w:p w14:paraId="366DD070" w14:textId="77777777" w:rsidR="00D65980" w:rsidRPr="00704B2B" w:rsidRDefault="00D65980" w:rsidP="002B0120">
      <w:pPr>
        <w:pStyle w:val="FootnoteText"/>
        <w:rPr>
          <w:sz w:val="12"/>
          <w:szCs w:val="12"/>
        </w:rPr>
      </w:pPr>
      <w:r w:rsidRPr="00704B2B">
        <w:rPr>
          <w:rStyle w:val="FootnoteReference"/>
          <w:sz w:val="12"/>
          <w:szCs w:val="12"/>
        </w:rPr>
        <w:footnoteRef/>
      </w:r>
      <w:r w:rsidRPr="00704B2B">
        <w:rPr>
          <w:sz w:val="12"/>
          <w:szCs w:val="12"/>
        </w:rPr>
        <w:t xml:space="preserve"> Paragraph 3.6 </w:t>
      </w:r>
      <w:hyperlink r:id="rId18" w:history="1">
        <w:r w:rsidRPr="00704B2B">
          <w:rPr>
            <w:rStyle w:val="Hyperlink"/>
            <w:sz w:val="12"/>
            <w:szCs w:val="12"/>
          </w:rPr>
          <w:t>http://www.gamblingcommission.gov.uk/pdf/Protecting%20betting%20integrity.pdf</w:t>
        </w:r>
      </w:hyperlink>
      <w:r w:rsidRPr="00704B2B">
        <w:rPr>
          <w:sz w:val="12"/>
          <w:szCs w:val="12"/>
        </w:rPr>
        <w:t xml:space="preserve"> </w:t>
      </w:r>
    </w:p>
  </w:footnote>
  <w:footnote w:id="18">
    <w:p w14:paraId="2DE231EE" w14:textId="77777777" w:rsidR="00D65980" w:rsidRDefault="00D65980" w:rsidP="002B0120">
      <w:pPr>
        <w:pStyle w:val="FootnoteText"/>
      </w:pPr>
      <w:r w:rsidRPr="00704B2B">
        <w:rPr>
          <w:rStyle w:val="FootnoteReference"/>
          <w:sz w:val="12"/>
          <w:szCs w:val="12"/>
        </w:rPr>
        <w:footnoteRef/>
      </w:r>
      <w:r w:rsidRPr="00704B2B">
        <w:rPr>
          <w:sz w:val="12"/>
          <w:szCs w:val="12"/>
        </w:rPr>
        <w:t xml:space="preserve"> Ibid.</w:t>
      </w:r>
    </w:p>
  </w:footnote>
  <w:footnote w:id="19">
    <w:p w14:paraId="59A237C0" w14:textId="77777777" w:rsidR="00D65980" w:rsidRPr="00C26EE6" w:rsidRDefault="00D65980" w:rsidP="0008100C">
      <w:pPr>
        <w:pStyle w:val="FootnoteText"/>
        <w:rPr>
          <w:sz w:val="12"/>
          <w:szCs w:val="12"/>
        </w:rPr>
      </w:pPr>
      <w:r w:rsidRPr="00C26EE6">
        <w:rPr>
          <w:rStyle w:val="FootnoteReference"/>
          <w:sz w:val="12"/>
          <w:szCs w:val="12"/>
        </w:rPr>
        <w:footnoteRef/>
      </w:r>
      <w:r w:rsidRPr="00C26EE6">
        <w:rPr>
          <w:sz w:val="12"/>
          <w:szCs w:val="12"/>
        </w:rPr>
        <w:t xml:space="preserve"> Chapter 10 </w:t>
      </w:r>
      <w:hyperlink r:id="rId19" w:history="1">
        <w:r w:rsidRPr="00C26EE6">
          <w:rPr>
            <w:rStyle w:val="Hyperlink"/>
            <w:sz w:val="12"/>
            <w:szCs w:val="12"/>
          </w:rPr>
          <w:t>http://www.aph.gov.au/Parliamentary_Business/Committees/Joint/Former_Committees/gamblingreform/completedinquires/2010-13/interactiveonlinegamblingadvertising/report/c10</w:t>
        </w:r>
      </w:hyperlink>
      <w:r w:rsidRPr="00C26EE6">
        <w:rPr>
          <w:sz w:val="12"/>
          <w:szCs w:val="12"/>
        </w:rPr>
        <w:t xml:space="preserve"> </w:t>
      </w:r>
    </w:p>
  </w:footnote>
  <w:footnote w:id="20">
    <w:p w14:paraId="3F4194BF" w14:textId="77777777" w:rsidR="00D65980" w:rsidRPr="00C26EE6" w:rsidRDefault="00D65980" w:rsidP="0008100C">
      <w:pPr>
        <w:pStyle w:val="FootnoteText"/>
      </w:pPr>
      <w:r w:rsidRPr="00C26EE6">
        <w:rPr>
          <w:rStyle w:val="FootnoteReference"/>
          <w:sz w:val="12"/>
          <w:szCs w:val="12"/>
        </w:rPr>
        <w:footnoteRef/>
      </w:r>
      <w:r w:rsidRPr="00C26EE6">
        <w:rPr>
          <w:sz w:val="12"/>
          <w:szCs w:val="12"/>
        </w:rPr>
        <w:t xml:space="preserve"> </w:t>
      </w:r>
      <w:hyperlink r:id="rId20" w:history="1">
        <w:r w:rsidRPr="00C26EE6">
          <w:rPr>
            <w:rStyle w:val="Hyperlink"/>
            <w:sz w:val="12"/>
            <w:szCs w:val="12"/>
          </w:rPr>
          <w:t>http://www.aph.gov.au/Parliamentary_Business/Committees/Joint/Former_Committees/gamblingreform/completedinquires/2010-13/interactiveonlinegamblingadvertising/report/c10</w:t>
        </w:r>
      </w:hyperlink>
      <w:r w:rsidRPr="00C26EE6">
        <w:rPr>
          <w:sz w:val="12"/>
          <w:szCs w:val="12"/>
        </w:rPr>
        <w:t xml:space="preserve"> &amp; </w:t>
      </w:r>
      <w:hyperlink r:id="rId21" w:history="1">
        <w:r w:rsidRPr="00C26EE6">
          <w:rPr>
            <w:rStyle w:val="Hyperlink"/>
            <w:sz w:val="12"/>
            <w:szCs w:val="12"/>
          </w:rPr>
          <w:t>http://www.aph.gov.au/Parliamentary_Business/Committees/Joint/Former_Committees/gamblingreform/completedinquires/2010-13/interactiveonlinegamblingadvertising/report/c11</w:t>
        </w:r>
      </w:hyperlink>
      <w:r w:rsidRPr="00C26EE6">
        <w:t xml:space="preserve"> </w:t>
      </w:r>
    </w:p>
  </w:footnote>
  <w:footnote w:id="21">
    <w:p w14:paraId="51F42E9D" w14:textId="77777777" w:rsidR="00D65980" w:rsidRPr="00C26EE6" w:rsidRDefault="00D65980" w:rsidP="0008100C">
      <w:pPr>
        <w:pStyle w:val="FootnoteText"/>
        <w:rPr>
          <w:sz w:val="12"/>
          <w:szCs w:val="12"/>
        </w:rPr>
      </w:pPr>
      <w:r w:rsidRPr="00C26EE6">
        <w:rPr>
          <w:rStyle w:val="FootnoteReference"/>
          <w:sz w:val="12"/>
          <w:szCs w:val="12"/>
        </w:rPr>
        <w:footnoteRef/>
      </w:r>
      <w:r w:rsidRPr="00C26EE6">
        <w:rPr>
          <w:sz w:val="12"/>
          <w:szCs w:val="12"/>
        </w:rPr>
        <w:t xml:space="preserve"> Page 120 </w:t>
      </w:r>
      <w:hyperlink r:id="rId22" w:history="1">
        <w:r w:rsidRPr="00C26EE6">
          <w:rPr>
            <w:rStyle w:val="Hyperlink"/>
            <w:sz w:val="12"/>
            <w:szCs w:val="12"/>
          </w:rPr>
          <w:t>http://www.communications.gov.au/__data/assets/pdf_file/0007/162277/Final_Report_-_Review_of_the_Interactive_Gambling_Act_2001.pdf</w:t>
        </w:r>
      </w:hyperlink>
      <w:r w:rsidRPr="00C26EE6">
        <w:rPr>
          <w:sz w:val="12"/>
          <w:szCs w:val="12"/>
        </w:rPr>
        <w:t xml:space="preserve">  &amp; Paragraph 11.14 </w:t>
      </w:r>
      <w:hyperlink r:id="rId23" w:history="1">
        <w:r w:rsidRPr="00C26EE6">
          <w:rPr>
            <w:rStyle w:val="Hyperlink"/>
            <w:sz w:val="12"/>
            <w:szCs w:val="12"/>
          </w:rPr>
          <w:t>http://www.aph.gov.au/Parliamentary_Business/Committees/Joint/Former_Committees/gamblingreform/completedinquires/2010-13/interactiveonlinegamblingadvertising/report/c11</w:t>
        </w:r>
      </w:hyperlink>
      <w:r w:rsidRPr="00C26EE6">
        <w:rPr>
          <w:sz w:val="12"/>
          <w:szCs w:val="12"/>
        </w:rPr>
        <w:t xml:space="preserve"> </w:t>
      </w:r>
    </w:p>
  </w:footnote>
  <w:footnote w:id="22">
    <w:p w14:paraId="1FAD24F7" w14:textId="77777777" w:rsidR="00D65980" w:rsidRPr="00C26EE6" w:rsidRDefault="00D65980" w:rsidP="0008100C">
      <w:pPr>
        <w:pStyle w:val="FootnoteText"/>
        <w:rPr>
          <w:sz w:val="12"/>
          <w:szCs w:val="12"/>
        </w:rPr>
      </w:pPr>
      <w:r w:rsidRPr="00C26EE6">
        <w:rPr>
          <w:rStyle w:val="FootnoteReference"/>
          <w:sz w:val="12"/>
          <w:szCs w:val="12"/>
        </w:rPr>
        <w:footnoteRef/>
      </w:r>
      <w:r w:rsidRPr="00C26EE6">
        <w:rPr>
          <w:sz w:val="12"/>
          <w:szCs w:val="12"/>
        </w:rPr>
        <w:t xml:space="preserve"> Page 22 </w:t>
      </w:r>
      <w:hyperlink r:id="rId24" w:history="1">
        <w:r w:rsidRPr="00C26EE6">
          <w:rPr>
            <w:rStyle w:val="Hyperlink"/>
            <w:sz w:val="12"/>
            <w:szCs w:val="12"/>
          </w:rPr>
          <w:t>http://assets.justice.vic.gov.au/justice/resources/5c9236e3-f37e-440d-ae53-4dc5fbdef7ef/sports_betting_review_2011_report.pdf</w:t>
        </w:r>
      </w:hyperlink>
      <w:r w:rsidRPr="00C26EE6">
        <w:rPr>
          <w:sz w:val="12"/>
          <w:szCs w:val="12"/>
        </w:rPr>
        <w:t xml:space="preserve"> </w:t>
      </w:r>
    </w:p>
  </w:footnote>
  <w:footnote w:id="23">
    <w:p w14:paraId="506FC8BC" w14:textId="77777777" w:rsidR="00D65980" w:rsidRPr="0080346F" w:rsidRDefault="00D65980" w:rsidP="0008100C">
      <w:pPr>
        <w:pStyle w:val="FootnoteText"/>
        <w:rPr>
          <w:sz w:val="12"/>
          <w:szCs w:val="12"/>
        </w:rPr>
      </w:pPr>
      <w:r w:rsidRPr="0080346F">
        <w:rPr>
          <w:rStyle w:val="FootnoteReference"/>
          <w:sz w:val="12"/>
          <w:szCs w:val="12"/>
        </w:rPr>
        <w:footnoteRef/>
      </w:r>
      <w:r w:rsidRPr="0080346F">
        <w:rPr>
          <w:sz w:val="12"/>
          <w:szCs w:val="12"/>
        </w:rPr>
        <w:t xml:space="preserve"> Ibid.</w:t>
      </w:r>
    </w:p>
  </w:footnote>
  <w:footnote w:id="24">
    <w:p w14:paraId="6B74A631" w14:textId="77777777" w:rsidR="00D65980" w:rsidRPr="0080346F" w:rsidRDefault="00D65980" w:rsidP="0008100C">
      <w:pPr>
        <w:pStyle w:val="FootnoteText"/>
        <w:rPr>
          <w:sz w:val="12"/>
          <w:szCs w:val="12"/>
        </w:rPr>
      </w:pPr>
      <w:r w:rsidRPr="0080346F">
        <w:rPr>
          <w:rStyle w:val="FootnoteReference"/>
          <w:sz w:val="12"/>
          <w:szCs w:val="12"/>
        </w:rPr>
        <w:footnoteRef/>
      </w:r>
      <w:r w:rsidRPr="0080346F">
        <w:rPr>
          <w:sz w:val="12"/>
          <w:szCs w:val="12"/>
        </w:rPr>
        <w:t xml:space="preserve"> Pages 125 &amp; 126 </w:t>
      </w:r>
      <w:hyperlink r:id="rId25" w:history="1">
        <w:r w:rsidRPr="0080346F">
          <w:rPr>
            <w:rStyle w:val="Hyperlink"/>
            <w:sz w:val="12"/>
            <w:szCs w:val="12"/>
          </w:rPr>
          <w:t>http://www.communications.gov.au/__data/assets/pdf_file/0007/162277/Final_Report_-_Review_of_the_Interactive_Gambling_Act_2001.pdf</w:t>
        </w:r>
      </w:hyperlink>
      <w:r w:rsidRPr="0080346F">
        <w:rPr>
          <w:sz w:val="12"/>
          <w:szCs w:val="12"/>
        </w:rPr>
        <w:t xml:space="preserve"> </w:t>
      </w:r>
    </w:p>
  </w:footnote>
  <w:footnote w:id="25">
    <w:p w14:paraId="75189418" w14:textId="77777777" w:rsidR="00D65980" w:rsidRPr="0080346F" w:rsidRDefault="00D65980" w:rsidP="0008100C">
      <w:pPr>
        <w:pStyle w:val="FootnoteText"/>
        <w:rPr>
          <w:sz w:val="12"/>
          <w:szCs w:val="12"/>
        </w:rPr>
      </w:pPr>
      <w:r w:rsidRPr="0080346F">
        <w:rPr>
          <w:rStyle w:val="FootnoteReference"/>
          <w:sz w:val="12"/>
          <w:szCs w:val="12"/>
        </w:rPr>
        <w:footnoteRef/>
      </w:r>
      <w:r w:rsidRPr="0080346F">
        <w:rPr>
          <w:sz w:val="12"/>
          <w:szCs w:val="12"/>
        </w:rPr>
        <w:t xml:space="preserve"> Page 129 </w:t>
      </w:r>
      <w:hyperlink r:id="rId26" w:history="1">
        <w:r w:rsidRPr="0080346F">
          <w:rPr>
            <w:rStyle w:val="Hyperlink"/>
            <w:sz w:val="12"/>
            <w:szCs w:val="12"/>
          </w:rPr>
          <w:t>http://www.communications.gov.au/__data/assets/pdf_file/0007/162277/Final_Report_-_Review_of_the_Interactive_Gambling_Act_2001.pdf</w:t>
        </w:r>
      </w:hyperlink>
      <w:r w:rsidRPr="0080346F">
        <w:rPr>
          <w:sz w:val="12"/>
          <w:szCs w:val="12"/>
        </w:rPr>
        <w:t xml:space="preserve"> </w:t>
      </w:r>
    </w:p>
  </w:footnote>
  <w:footnote w:id="26">
    <w:p w14:paraId="4AF644F2" w14:textId="77777777" w:rsidR="00D65980" w:rsidRDefault="00D65980">
      <w:pPr>
        <w:pStyle w:val="FootnoteText"/>
      </w:pPr>
      <w:r w:rsidRPr="0080346F">
        <w:rPr>
          <w:rStyle w:val="FootnoteReference"/>
          <w:sz w:val="12"/>
          <w:szCs w:val="12"/>
        </w:rPr>
        <w:footnoteRef/>
      </w:r>
      <w:r w:rsidRPr="0080346F">
        <w:rPr>
          <w:sz w:val="12"/>
          <w:szCs w:val="12"/>
        </w:rPr>
        <w:t xml:space="preserve"> </w:t>
      </w:r>
      <w:hyperlink r:id="rId27" w:history="1">
        <w:r w:rsidRPr="0080346F">
          <w:rPr>
            <w:rStyle w:val="Hyperlink"/>
            <w:sz w:val="12"/>
            <w:szCs w:val="12"/>
          </w:rPr>
          <w:t>http://www.parliament.nsw.gov.au/prod/parlment/nswbills.nsf/0/1FE79E2A4241FD28CA257C9F00161786?Open&amp;shownotes</w:t>
        </w:r>
      </w:hyperlink>
      <w:r>
        <w:t xml:space="preserve"> </w:t>
      </w:r>
    </w:p>
  </w:footnote>
  <w:footnote w:id="27">
    <w:p w14:paraId="64BFC4DD" w14:textId="77777777" w:rsidR="00D65980" w:rsidRPr="00C26EE6" w:rsidRDefault="00D65980" w:rsidP="00C80B76">
      <w:pPr>
        <w:pStyle w:val="FootnoteText"/>
        <w:rPr>
          <w:sz w:val="12"/>
          <w:szCs w:val="12"/>
        </w:rPr>
      </w:pPr>
      <w:r w:rsidRPr="00C26EE6">
        <w:rPr>
          <w:rStyle w:val="FootnoteReference"/>
          <w:sz w:val="12"/>
          <w:szCs w:val="12"/>
        </w:rPr>
        <w:footnoteRef/>
      </w:r>
      <w:r w:rsidRPr="00C26EE6">
        <w:rPr>
          <w:sz w:val="12"/>
          <w:szCs w:val="12"/>
        </w:rPr>
        <w:t xml:space="preserve"> </w:t>
      </w:r>
      <w:hyperlink r:id="rId28" w:history="1">
        <w:r w:rsidRPr="00C26EE6">
          <w:rPr>
            <w:rStyle w:val="Hyperlink"/>
            <w:sz w:val="12"/>
            <w:szCs w:val="12"/>
          </w:rPr>
          <w:t>http://www.uefa.org/MultimediaFiles/Download/uefaorg/Clubs/01/93/51/24/1935124_DOWNLOAD.pdf</w:t>
        </w:r>
      </w:hyperlink>
      <w:r w:rsidRPr="00C26EE6">
        <w:rPr>
          <w:sz w:val="12"/>
          <w:szCs w:val="12"/>
        </w:rPr>
        <w:t xml:space="preserve"> &amp; </w:t>
      </w:r>
      <w:hyperlink r:id="rId29" w:history="1">
        <w:r w:rsidRPr="00C26EE6">
          <w:rPr>
            <w:rStyle w:val="Hyperlink"/>
            <w:sz w:val="12"/>
            <w:szCs w:val="12"/>
          </w:rPr>
          <w:t>http://www.publications.parliament.uk/pa/cm201314/cmpublic/gambling/memo/gb08.htm</w:t>
        </w:r>
      </w:hyperlink>
      <w:r w:rsidRPr="00C26EE6">
        <w:rPr>
          <w:sz w:val="12"/>
          <w:szCs w:val="12"/>
        </w:rPr>
        <w:t xml:space="preserve"> </w:t>
      </w:r>
    </w:p>
  </w:footnote>
  <w:footnote w:id="28">
    <w:p w14:paraId="2BF04108" w14:textId="77777777" w:rsidR="00D65980" w:rsidRPr="0043485A" w:rsidRDefault="00D65980" w:rsidP="00C80B76">
      <w:pPr>
        <w:pStyle w:val="NoSpacing"/>
        <w:rPr>
          <w:sz w:val="12"/>
          <w:szCs w:val="12"/>
          <w:shd w:val="clear" w:color="auto" w:fill="FFFFFF"/>
        </w:rPr>
      </w:pPr>
      <w:r w:rsidRPr="0043485A">
        <w:rPr>
          <w:rStyle w:val="FootnoteReference"/>
          <w:sz w:val="12"/>
          <w:szCs w:val="12"/>
        </w:rPr>
        <w:footnoteRef/>
      </w:r>
      <w:r w:rsidRPr="0043485A">
        <w:rPr>
          <w:sz w:val="12"/>
          <w:szCs w:val="12"/>
        </w:rPr>
        <w:t xml:space="preserve"> </w:t>
      </w:r>
      <w:r w:rsidRPr="0043485A">
        <w:rPr>
          <w:sz w:val="12"/>
          <w:szCs w:val="12"/>
          <w:shd w:val="clear" w:color="auto" w:fill="FFFFFF"/>
        </w:rPr>
        <w:t xml:space="preserve">Open Call for tender EAC/18/2012, </w:t>
      </w:r>
      <w:r w:rsidRPr="0043485A">
        <w:rPr>
          <w:rFonts w:cs="Times New Roman"/>
          <w:bCs/>
          <w:sz w:val="12"/>
          <w:szCs w:val="12"/>
        </w:rPr>
        <w:t>Study on sports organisers' rights in the EU</w:t>
      </w:r>
      <w:r w:rsidRPr="0043485A">
        <w:rPr>
          <w:sz w:val="12"/>
          <w:szCs w:val="12"/>
          <w:shd w:val="clear" w:color="auto" w:fill="FFFFFF"/>
        </w:rPr>
        <w:t xml:space="preserve"> Terms of reference</w:t>
      </w:r>
    </w:p>
  </w:footnote>
  <w:footnote w:id="29">
    <w:p w14:paraId="3AFB9537" w14:textId="77777777" w:rsidR="00D65980" w:rsidRPr="0043485A" w:rsidRDefault="00D65980">
      <w:pPr>
        <w:pStyle w:val="FootnoteText"/>
        <w:rPr>
          <w:sz w:val="12"/>
          <w:szCs w:val="12"/>
        </w:rPr>
      </w:pPr>
      <w:r w:rsidRPr="0043485A">
        <w:rPr>
          <w:rStyle w:val="FootnoteReference"/>
          <w:sz w:val="12"/>
          <w:szCs w:val="12"/>
        </w:rPr>
        <w:footnoteRef/>
      </w:r>
      <w:r w:rsidRPr="0043485A">
        <w:rPr>
          <w:sz w:val="12"/>
          <w:szCs w:val="12"/>
        </w:rPr>
        <w:t xml:space="preserve"> </w:t>
      </w:r>
      <w:hyperlink r:id="rId30" w:history="1">
        <w:r w:rsidRPr="0043485A">
          <w:rPr>
            <w:rStyle w:val="Hyperlink"/>
            <w:sz w:val="12"/>
            <w:szCs w:val="12"/>
          </w:rPr>
          <w:t>http://www.ivir.nl/publicaties/download/1353</w:t>
        </w:r>
      </w:hyperlink>
      <w:r w:rsidRPr="0043485A">
        <w:rPr>
          <w:sz w:val="12"/>
          <w:szCs w:val="12"/>
        </w:rPr>
        <w:t xml:space="preserve"> </w:t>
      </w:r>
    </w:p>
  </w:footnote>
  <w:footnote w:id="30">
    <w:p w14:paraId="6098397E" w14:textId="77777777" w:rsidR="00D65980" w:rsidRPr="0043485A" w:rsidRDefault="00D65980" w:rsidP="00C80B76">
      <w:pPr>
        <w:pStyle w:val="FootnoteText"/>
        <w:rPr>
          <w:sz w:val="12"/>
          <w:szCs w:val="12"/>
        </w:rPr>
      </w:pPr>
      <w:r w:rsidRPr="0043485A">
        <w:rPr>
          <w:rStyle w:val="FootnoteReference"/>
          <w:sz w:val="12"/>
          <w:szCs w:val="12"/>
        </w:rPr>
        <w:footnoteRef/>
      </w:r>
      <w:r w:rsidRPr="0043485A">
        <w:rPr>
          <w:sz w:val="12"/>
          <w:szCs w:val="12"/>
        </w:rPr>
        <w:t xml:space="preserve"> Page 123 </w:t>
      </w:r>
      <w:hyperlink r:id="rId31" w:history="1">
        <w:r w:rsidRPr="0043485A">
          <w:rPr>
            <w:rStyle w:val="Hyperlink"/>
            <w:sz w:val="12"/>
            <w:szCs w:val="12"/>
          </w:rPr>
          <w:t>http://www.ivir.nl/publications/margoni/study_sports_organisers.pdf</w:t>
        </w:r>
      </w:hyperlink>
      <w:r w:rsidRPr="0043485A">
        <w:rPr>
          <w:sz w:val="12"/>
          <w:szCs w:val="12"/>
        </w:rPr>
        <w:t xml:space="preserve"> </w:t>
      </w:r>
    </w:p>
  </w:footnote>
  <w:footnote w:id="31">
    <w:p w14:paraId="4AE280CC" w14:textId="77777777" w:rsidR="00D65980" w:rsidRPr="0043485A" w:rsidRDefault="00D65980">
      <w:pPr>
        <w:pStyle w:val="FootnoteText"/>
        <w:rPr>
          <w:sz w:val="12"/>
          <w:szCs w:val="12"/>
        </w:rPr>
      </w:pPr>
      <w:r w:rsidRPr="0043485A">
        <w:rPr>
          <w:rStyle w:val="FootnoteReference"/>
          <w:sz w:val="12"/>
          <w:szCs w:val="12"/>
        </w:rPr>
        <w:footnoteRef/>
      </w:r>
      <w:r w:rsidRPr="0043485A">
        <w:rPr>
          <w:sz w:val="12"/>
          <w:szCs w:val="12"/>
        </w:rPr>
        <w:t xml:space="preserve"> </w:t>
      </w:r>
      <w:r w:rsidRPr="0043485A">
        <w:rPr>
          <w:sz w:val="12"/>
          <w:szCs w:val="12"/>
          <w:lang w:eastAsia="en-GB"/>
        </w:rPr>
        <w:t xml:space="preserve">The </w:t>
      </w:r>
      <w:r w:rsidRPr="0043485A">
        <w:rPr>
          <w:sz w:val="12"/>
          <w:szCs w:val="12"/>
        </w:rPr>
        <w:t>Gambling and Racing Legislation Amendment Act 2007 (Sports Betting Act)</w:t>
      </w:r>
    </w:p>
  </w:footnote>
  <w:footnote w:id="32">
    <w:p w14:paraId="6E73ECC5" w14:textId="77777777" w:rsidR="00D65980" w:rsidRPr="0043485A" w:rsidRDefault="00D65980" w:rsidP="00C80B76">
      <w:pPr>
        <w:pStyle w:val="NoSpacing"/>
        <w:rPr>
          <w:sz w:val="12"/>
          <w:szCs w:val="12"/>
        </w:rPr>
      </w:pPr>
      <w:r w:rsidRPr="0043485A">
        <w:rPr>
          <w:rStyle w:val="FootnoteReference"/>
          <w:sz w:val="12"/>
          <w:szCs w:val="12"/>
        </w:rPr>
        <w:footnoteRef/>
      </w:r>
      <w:r w:rsidRPr="0043485A">
        <w:rPr>
          <w:sz w:val="12"/>
          <w:szCs w:val="12"/>
        </w:rPr>
        <w:t xml:space="preserve"> Page 133 </w:t>
      </w:r>
      <w:hyperlink r:id="rId32" w:history="1">
        <w:r w:rsidRPr="0043485A">
          <w:rPr>
            <w:rStyle w:val="Hyperlink"/>
            <w:sz w:val="12"/>
            <w:szCs w:val="12"/>
          </w:rPr>
          <w:t>http://ec.europa.eu/sport/news/2014/docs/study-sor2014-final-report-gc-compatible_en.pdf</w:t>
        </w:r>
      </w:hyperlink>
      <w:r w:rsidRPr="0043485A">
        <w:rPr>
          <w:sz w:val="12"/>
          <w:szCs w:val="12"/>
        </w:rPr>
        <w:t xml:space="preserve"> </w:t>
      </w:r>
    </w:p>
  </w:footnote>
  <w:footnote w:id="33">
    <w:p w14:paraId="704F3986" w14:textId="77777777" w:rsidR="00D65980" w:rsidRPr="0043485A" w:rsidRDefault="00D65980" w:rsidP="00C80B76">
      <w:pPr>
        <w:pStyle w:val="NoSpacing"/>
        <w:rPr>
          <w:sz w:val="12"/>
          <w:szCs w:val="12"/>
        </w:rPr>
      </w:pPr>
      <w:r w:rsidRPr="0043485A">
        <w:rPr>
          <w:rStyle w:val="FootnoteReference"/>
          <w:sz w:val="12"/>
          <w:szCs w:val="12"/>
        </w:rPr>
        <w:footnoteRef/>
      </w:r>
      <w:r w:rsidRPr="0043485A">
        <w:rPr>
          <w:sz w:val="12"/>
          <w:szCs w:val="12"/>
        </w:rPr>
        <w:t xml:space="preserve"> Ibid.</w:t>
      </w:r>
    </w:p>
  </w:footnote>
  <w:footnote w:id="34">
    <w:p w14:paraId="2A5EC28A" w14:textId="77777777" w:rsidR="00D65980" w:rsidRPr="0043485A" w:rsidRDefault="00D65980" w:rsidP="00C80B76">
      <w:pPr>
        <w:pStyle w:val="NoSpacing"/>
        <w:rPr>
          <w:sz w:val="12"/>
          <w:szCs w:val="12"/>
        </w:rPr>
      </w:pPr>
      <w:r w:rsidRPr="0043485A">
        <w:rPr>
          <w:rStyle w:val="FootnoteReference"/>
          <w:sz w:val="12"/>
          <w:szCs w:val="12"/>
        </w:rPr>
        <w:footnoteRef/>
      </w:r>
      <w:r w:rsidRPr="0043485A">
        <w:rPr>
          <w:sz w:val="12"/>
          <w:szCs w:val="12"/>
        </w:rPr>
        <w:t xml:space="preserve"> Page 134 </w:t>
      </w:r>
      <w:hyperlink r:id="rId33" w:history="1">
        <w:r w:rsidRPr="0043485A">
          <w:rPr>
            <w:rStyle w:val="Hyperlink"/>
            <w:sz w:val="12"/>
            <w:szCs w:val="12"/>
          </w:rPr>
          <w:t>http://ec.europa.eu/sport/news/2014/docs/study-sor2014-final-report-gc-compatible_en.pdf</w:t>
        </w:r>
      </w:hyperlink>
      <w:r w:rsidRPr="0043485A">
        <w:rPr>
          <w:sz w:val="12"/>
          <w:szCs w:val="12"/>
        </w:rPr>
        <w:t xml:space="preserve"> </w:t>
      </w:r>
    </w:p>
  </w:footnote>
  <w:footnote w:id="35">
    <w:p w14:paraId="105A0187" w14:textId="77777777" w:rsidR="00D65980" w:rsidRPr="0043485A" w:rsidRDefault="00D65980" w:rsidP="00C80B76">
      <w:pPr>
        <w:pStyle w:val="NoSpacing"/>
        <w:rPr>
          <w:sz w:val="12"/>
          <w:szCs w:val="12"/>
        </w:rPr>
      </w:pPr>
      <w:r w:rsidRPr="0043485A">
        <w:rPr>
          <w:rStyle w:val="FootnoteReference"/>
          <w:sz w:val="12"/>
          <w:szCs w:val="12"/>
        </w:rPr>
        <w:footnoteRef/>
      </w:r>
      <w:r w:rsidRPr="0043485A">
        <w:rPr>
          <w:sz w:val="12"/>
          <w:szCs w:val="12"/>
        </w:rPr>
        <w:t xml:space="preserve"> Page 28 </w:t>
      </w:r>
      <w:hyperlink r:id="rId34" w:history="1">
        <w:r w:rsidRPr="0043485A">
          <w:rPr>
            <w:rStyle w:val="Hyperlink"/>
            <w:sz w:val="12"/>
            <w:szCs w:val="12"/>
          </w:rPr>
          <w:t>http://www.premier.vic.gov.au/images/stories/documents/mediareleases/2011/110803_Gleeson_Sports_Betting_Review.pdf</w:t>
        </w:r>
      </w:hyperlink>
      <w:r w:rsidRPr="0043485A">
        <w:rPr>
          <w:sz w:val="12"/>
          <w:szCs w:val="12"/>
        </w:rPr>
        <w:t xml:space="preserve"> </w:t>
      </w:r>
    </w:p>
  </w:footnote>
  <w:footnote w:id="36">
    <w:p w14:paraId="67F93FE7" w14:textId="77777777" w:rsidR="00D65980" w:rsidRPr="00C26EE6" w:rsidRDefault="00D65980" w:rsidP="00C80B76">
      <w:pPr>
        <w:pStyle w:val="NoSpacing"/>
        <w:rPr>
          <w:sz w:val="12"/>
          <w:szCs w:val="12"/>
        </w:rPr>
      </w:pPr>
      <w:r w:rsidRPr="00C26EE6">
        <w:rPr>
          <w:rStyle w:val="FootnoteReference"/>
          <w:sz w:val="12"/>
          <w:szCs w:val="12"/>
        </w:rPr>
        <w:footnoteRef/>
      </w:r>
      <w:r w:rsidRPr="00C26EE6">
        <w:rPr>
          <w:sz w:val="12"/>
          <w:szCs w:val="12"/>
        </w:rPr>
        <w:t xml:space="preserve"> Page 152 &amp; 154 </w:t>
      </w:r>
      <w:hyperlink r:id="rId35" w:history="1">
        <w:r w:rsidRPr="00C26EE6">
          <w:rPr>
            <w:rStyle w:val="Hyperlink"/>
            <w:sz w:val="12"/>
            <w:szCs w:val="12"/>
          </w:rPr>
          <w:t>http://ec.europa.eu/sport/news/2014/docs/study-sor2014-final-report-gc-compatible_en.pdf</w:t>
        </w:r>
      </w:hyperlink>
      <w:r w:rsidRPr="00C26EE6">
        <w:rPr>
          <w:sz w:val="12"/>
          <w:szCs w:val="12"/>
        </w:rPr>
        <w:t xml:space="preserve"> </w:t>
      </w:r>
    </w:p>
  </w:footnote>
  <w:footnote w:id="37">
    <w:p w14:paraId="60157308" w14:textId="77777777" w:rsidR="00D65980" w:rsidRPr="00C26EE6" w:rsidRDefault="00D65980" w:rsidP="0029015E">
      <w:pPr>
        <w:pStyle w:val="NoSpacing"/>
        <w:rPr>
          <w:sz w:val="12"/>
          <w:szCs w:val="12"/>
        </w:rPr>
      </w:pPr>
      <w:r w:rsidRPr="00C26EE6">
        <w:rPr>
          <w:rStyle w:val="FootnoteReference"/>
          <w:sz w:val="12"/>
          <w:szCs w:val="12"/>
        </w:rPr>
        <w:footnoteRef/>
      </w:r>
      <w:r w:rsidRPr="00C26EE6">
        <w:rPr>
          <w:sz w:val="12"/>
          <w:szCs w:val="12"/>
        </w:rPr>
        <w:t xml:space="preserve"> Page 150 </w:t>
      </w:r>
      <w:hyperlink r:id="rId36" w:history="1">
        <w:r w:rsidRPr="00C26EE6">
          <w:rPr>
            <w:rStyle w:val="Hyperlink"/>
            <w:sz w:val="12"/>
            <w:szCs w:val="12"/>
          </w:rPr>
          <w:t>http://ec.europa.eu/sport/news/2014/docs/study-sor2014-final-report-gc-compatible_en.pdf</w:t>
        </w:r>
      </w:hyperlink>
      <w:r w:rsidRPr="00C26EE6">
        <w:rPr>
          <w:sz w:val="12"/>
          <w:szCs w:val="12"/>
        </w:rPr>
        <w:t xml:space="preserve"> </w:t>
      </w:r>
    </w:p>
  </w:footnote>
  <w:footnote w:id="38">
    <w:p w14:paraId="31EAEC3F" w14:textId="77777777" w:rsidR="00D65980" w:rsidRPr="006F2F14" w:rsidRDefault="00D65980" w:rsidP="0029015E">
      <w:pPr>
        <w:pStyle w:val="NoSpacing"/>
        <w:rPr>
          <w:sz w:val="12"/>
          <w:szCs w:val="12"/>
        </w:rPr>
      </w:pPr>
      <w:r w:rsidRPr="006F2F14">
        <w:rPr>
          <w:rStyle w:val="FootnoteReference"/>
          <w:sz w:val="12"/>
          <w:szCs w:val="12"/>
        </w:rPr>
        <w:footnoteRef/>
      </w:r>
      <w:r w:rsidRPr="006F2F14">
        <w:rPr>
          <w:sz w:val="12"/>
          <w:szCs w:val="12"/>
        </w:rPr>
        <w:t xml:space="preserve"> </w:t>
      </w:r>
      <w:hyperlink r:id="rId37" w:history="1">
        <w:r w:rsidRPr="006F2F14">
          <w:rPr>
            <w:rStyle w:val="Hyperlink"/>
            <w:sz w:val="12"/>
            <w:szCs w:val="12"/>
          </w:rPr>
          <w:t>http://news.bbc.co.uk/sport1/hi/football/europe/5215242.stm</w:t>
        </w:r>
      </w:hyperlink>
      <w:r w:rsidRPr="006F2F14">
        <w:rPr>
          <w:sz w:val="12"/>
          <w:szCs w:val="12"/>
        </w:rPr>
        <w:t xml:space="preserve">, </w:t>
      </w:r>
      <w:hyperlink r:id="rId38" w:history="1">
        <w:r w:rsidRPr="006F2F14">
          <w:rPr>
            <w:rStyle w:val="Hyperlink"/>
            <w:sz w:val="12"/>
            <w:szCs w:val="12"/>
          </w:rPr>
          <w:t>http://www.bbc.co.uk/news/world-europe-13914118</w:t>
        </w:r>
      </w:hyperlink>
      <w:r w:rsidRPr="006F2F14">
        <w:rPr>
          <w:sz w:val="12"/>
          <w:szCs w:val="12"/>
        </w:rPr>
        <w:t xml:space="preserve"> , </w:t>
      </w:r>
      <w:hyperlink r:id="rId39" w:history="1">
        <w:r w:rsidRPr="006F2F14">
          <w:rPr>
            <w:rStyle w:val="Hyperlink"/>
            <w:sz w:val="12"/>
            <w:szCs w:val="12"/>
          </w:rPr>
          <w:t>http://www.bbc.co.uk/news/world-europe-18681119</w:t>
        </w:r>
      </w:hyperlink>
      <w:r w:rsidRPr="006F2F14">
        <w:rPr>
          <w:sz w:val="12"/>
          <w:szCs w:val="12"/>
        </w:rPr>
        <w:t xml:space="preserve">, </w:t>
      </w:r>
      <w:hyperlink r:id="rId40" w:history="1">
        <w:r w:rsidRPr="006F2F14">
          <w:rPr>
            <w:rStyle w:val="Hyperlink"/>
            <w:sz w:val="12"/>
            <w:szCs w:val="12"/>
          </w:rPr>
          <w:t>http://www.bbc.co.uk/sport/0/football/22042549</w:t>
        </w:r>
      </w:hyperlink>
      <w:r w:rsidRPr="006F2F14">
        <w:rPr>
          <w:sz w:val="12"/>
          <w:szCs w:val="12"/>
        </w:rPr>
        <w:t xml:space="preserve"> &amp; </w:t>
      </w:r>
      <w:hyperlink r:id="rId41" w:history="1">
        <w:r w:rsidRPr="006F2F14">
          <w:rPr>
            <w:rStyle w:val="Hyperlink"/>
            <w:sz w:val="12"/>
            <w:szCs w:val="12"/>
          </w:rPr>
          <w:t>http://sports.ndtv.com/football/news/169887-brazil-football-chiefs-hit-with-match-fixing-fines</w:t>
        </w:r>
      </w:hyperlink>
      <w:r w:rsidRPr="006F2F14">
        <w:rPr>
          <w:sz w:val="12"/>
          <w:szCs w:val="12"/>
        </w:rPr>
        <w:t xml:space="preserve"> </w:t>
      </w:r>
    </w:p>
  </w:footnote>
  <w:footnote w:id="39">
    <w:p w14:paraId="1C760DC6" w14:textId="77777777" w:rsidR="00D65980" w:rsidRDefault="00D65980">
      <w:pPr>
        <w:pStyle w:val="FootnoteText"/>
      </w:pPr>
      <w:r w:rsidRPr="006F2F14">
        <w:rPr>
          <w:rStyle w:val="FootnoteReference"/>
          <w:sz w:val="12"/>
          <w:szCs w:val="12"/>
        </w:rPr>
        <w:footnoteRef/>
      </w:r>
      <w:r w:rsidRPr="006F2F14">
        <w:rPr>
          <w:sz w:val="12"/>
          <w:szCs w:val="12"/>
        </w:rPr>
        <w:t xml:space="preserve"> </w:t>
      </w:r>
      <w:hyperlink r:id="rId42" w:history="1">
        <w:r w:rsidRPr="006F2F14">
          <w:rPr>
            <w:rStyle w:val="Hyperlink"/>
            <w:sz w:val="12"/>
            <w:szCs w:val="12"/>
          </w:rPr>
          <w:t>http://www.bbc.co.uk/sport/0/athletics/34765444</w:t>
        </w:r>
      </w:hyperlink>
      <w:r w:rsidRPr="006F2F14">
        <w:rPr>
          <w:sz w:val="12"/>
          <w:szCs w:val="12"/>
        </w:rPr>
        <w:t xml:space="preserve"> &amp; </w:t>
      </w:r>
      <w:hyperlink r:id="rId43" w:history="1">
        <w:r w:rsidRPr="006F2F14">
          <w:rPr>
            <w:rStyle w:val="Hyperlink"/>
            <w:sz w:val="12"/>
            <w:szCs w:val="12"/>
          </w:rPr>
          <w:t>http://www.bbc.co.uk/news/world-europe-32897066</w:t>
        </w:r>
      </w:hyperlink>
      <w:r>
        <w:t xml:space="preserve"> </w:t>
      </w:r>
    </w:p>
  </w:footnote>
  <w:footnote w:id="40">
    <w:p w14:paraId="77FB1315" w14:textId="77777777" w:rsidR="00D65980" w:rsidRPr="00C26EE6" w:rsidRDefault="00D65980" w:rsidP="001857D2">
      <w:pPr>
        <w:pStyle w:val="NoSpacing"/>
        <w:rPr>
          <w:sz w:val="12"/>
          <w:szCs w:val="12"/>
        </w:rPr>
      </w:pPr>
      <w:r w:rsidRPr="00C26EE6">
        <w:rPr>
          <w:rStyle w:val="FootnoteReference"/>
          <w:sz w:val="12"/>
          <w:szCs w:val="12"/>
        </w:rPr>
        <w:footnoteRef/>
      </w:r>
      <w:r w:rsidRPr="00C26EE6">
        <w:rPr>
          <w:sz w:val="12"/>
          <w:szCs w:val="12"/>
        </w:rPr>
        <w:t xml:space="preserve"> </w:t>
      </w:r>
      <w:hyperlink r:id="rId44" w:history="1">
        <w:r w:rsidRPr="00C26EE6">
          <w:rPr>
            <w:rStyle w:val="Hyperlink"/>
            <w:sz w:val="12"/>
            <w:szCs w:val="12"/>
          </w:rPr>
          <w:t>http://www.europarl.europa.eu/document/activities/cont/201209/20120925ATT52303/20120925ATT52303EN.pdf</w:t>
        </w:r>
      </w:hyperlink>
      <w:r w:rsidRPr="00C26EE6">
        <w:rPr>
          <w:sz w:val="12"/>
          <w:szCs w:val="12"/>
        </w:rPr>
        <w:t xml:space="preserve"> </w:t>
      </w:r>
    </w:p>
  </w:footnote>
  <w:footnote w:id="41">
    <w:p w14:paraId="761808A2" w14:textId="77777777" w:rsidR="00D65980" w:rsidRPr="007A514E" w:rsidRDefault="00D65980" w:rsidP="001857D2">
      <w:pPr>
        <w:pStyle w:val="NoSpacing"/>
        <w:rPr>
          <w:sz w:val="12"/>
          <w:szCs w:val="12"/>
        </w:rPr>
      </w:pPr>
      <w:r w:rsidRPr="00C26EE6">
        <w:rPr>
          <w:rStyle w:val="FootnoteReference"/>
          <w:sz w:val="12"/>
          <w:szCs w:val="12"/>
        </w:rPr>
        <w:footnoteRef/>
      </w:r>
      <w:r w:rsidRPr="00C26EE6">
        <w:rPr>
          <w:sz w:val="12"/>
          <w:szCs w:val="12"/>
        </w:rPr>
        <w:t xml:space="preserve"> Page 66 </w:t>
      </w:r>
      <w:hyperlink r:id="rId45" w:history="1">
        <w:r w:rsidRPr="00C26EE6">
          <w:rPr>
            <w:rStyle w:val="Hyperlink"/>
            <w:sz w:val="12"/>
            <w:szCs w:val="12"/>
          </w:rPr>
          <w:t>https://security.sportradar.com/sites/security.sportradar.com/files/Sportradar%20Security%20Services_World%20Match-Fixing-The%20Problem%20and%20the%20Solution.pdf</w:t>
        </w:r>
      </w:hyperlink>
      <w:r w:rsidRPr="00C26EE6">
        <w:rPr>
          <w:sz w:val="12"/>
          <w:szCs w:val="12"/>
        </w:rPr>
        <w:t xml:space="preserve"> </w:t>
      </w:r>
    </w:p>
  </w:footnote>
  <w:footnote w:id="42">
    <w:p w14:paraId="1310205F" w14:textId="77777777" w:rsidR="00D65980" w:rsidRPr="0026485D" w:rsidRDefault="00D65980" w:rsidP="001857D2">
      <w:pPr>
        <w:pStyle w:val="FootnoteText"/>
        <w:rPr>
          <w:sz w:val="12"/>
          <w:szCs w:val="12"/>
        </w:rPr>
      </w:pPr>
      <w:r w:rsidRPr="0026485D">
        <w:rPr>
          <w:rStyle w:val="FootnoteReference"/>
          <w:sz w:val="12"/>
          <w:szCs w:val="12"/>
        </w:rPr>
        <w:footnoteRef/>
      </w:r>
      <w:r w:rsidRPr="0026485D">
        <w:rPr>
          <w:sz w:val="12"/>
          <w:szCs w:val="12"/>
        </w:rPr>
        <w:t xml:space="preserve"> Paragraph 4.7 </w:t>
      </w:r>
      <w:hyperlink r:id="rId46" w:history="1">
        <w:r w:rsidRPr="0026485D">
          <w:rPr>
            <w:rStyle w:val="Hyperlink"/>
            <w:sz w:val="12"/>
            <w:szCs w:val="12"/>
          </w:rPr>
          <w:t>http://www.gamblingcommission.gov.uk/pdf/Integrity%20in%20sports%20betting%20-%20issues%20paper%20-%20consultation%20-%20May%202007.pdf</w:t>
        </w:r>
      </w:hyperlink>
      <w:r w:rsidRPr="0026485D">
        <w:rPr>
          <w:sz w:val="12"/>
          <w:szCs w:val="12"/>
        </w:rPr>
        <w:t xml:space="preserve"> </w:t>
      </w:r>
    </w:p>
  </w:footnote>
  <w:footnote w:id="43">
    <w:p w14:paraId="6CB6972E" w14:textId="77777777" w:rsidR="00D65980" w:rsidRPr="00C26EE6" w:rsidRDefault="00D65980" w:rsidP="007D2DAB">
      <w:pPr>
        <w:pStyle w:val="FootnoteText"/>
      </w:pPr>
      <w:r w:rsidRPr="0043485A">
        <w:rPr>
          <w:rStyle w:val="FootnoteReference"/>
          <w:sz w:val="12"/>
          <w:szCs w:val="12"/>
        </w:rPr>
        <w:footnoteRef/>
      </w:r>
      <w:r w:rsidRPr="0043485A">
        <w:rPr>
          <w:sz w:val="12"/>
          <w:szCs w:val="12"/>
        </w:rPr>
        <w:t xml:space="preserve"> Ibid.</w:t>
      </w:r>
    </w:p>
  </w:footnote>
  <w:footnote w:id="44">
    <w:p w14:paraId="33D2A22B" w14:textId="77777777" w:rsidR="00D65980" w:rsidRPr="00C26EE6" w:rsidRDefault="00D65980" w:rsidP="007D2DAB">
      <w:pPr>
        <w:pStyle w:val="FootnoteText"/>
        <w:rPr>
          <w:sz w:val="12"/>
          <w:szCs w:val="12"/>
        </w:rPr>
      </w:pPr>
      <w:r w:rsidRPr="00C26EE6">
        <w:rPr>
          <w:rStyle w:val="FootnoteReference"/>
          <w:sz w:val="12"/>
          <w:szCs w:val="12"/>
        </w:rPr>
        <w:footnoteRef/>
      </w:r>
      <w:r w:rsidRPr="00C26EE6">
        <w:rPr>
          <w:sz w:val="12"/>
          <w:szCs w:val="12"/>
        </w:rPr>
        <w:t xml:space="preserve"> Ibid.</w:t>
      </w:r>
    </w:p>
  </w:footnote>
  <w:footnote w:id="45">
    <w:p w14:paraId="32A4192C" w14:textId="77777777" w:rsidR="00D65980" w:rsidRPr="000D7767" w:rsidRDefault="00D65980" w:rsidP="007D2DAB">
      <w:pPr>
        <w:pStyle w:val="FootnoteText"/>
        <w:rPr>
          <w:sz w:val="12"/>
          <w:szCs w:val="12"/>
        </w:rPr>
      </w:pPr>
      <w:r w:rsidRPr="00C26EE6">
        <w:rPr>
          <w:rStyle w:val="FootnoteReference"/>
          <w:sz w:val="12"/>
          <w:szCs w:val="12"/>
        </w:rPr>
        <w:footnoteRef/>
      </w:r>
      <w:r w:rsidRPr="00C26EE6">
        <w:rPr>
          <w:sz w:val="12"/>
          <w:szCs w:val="12"/>
        </w:rPr>
        <w:t xml:space="preserve"> British Gambling Commission </w:t>
      </w:r>
      <w:hyperlink r:id="rId47" w:tooltip="LCCP" w:history="1">
        <w:r w:rsidRPr="00C26EE6">
          <w:rPr>
            <w:sz w:val="12"/>
            <w:szCs w:val="12"/>
          </w:rPr>
          <w:t>licensing conditions and codes of practice</w:t>
        </w:r>
      </w:hyperlink>
      <w:r w:rsidRPr="00C26EE6">
        <w:rPr>
          <w:sz w:val="12"/>
          <w:szCs w:val="12"/>
        </w:rPr>
        <w:t xml:space="preserve"> section 15.1 </w:t>
      </w:r>
      <w:hyperlink r:id="rId48" w:history="1">
        <w:r w:rsidRPr="00C26EE6">
          <w:rPr>
            <w:rStyle w:val="Hyperlink"/>
            <w:sz w:val="12"/>
            <w:szCs w:val="12"/>
          </w:rPr>
          <w:t>http://www.gamblingcommission.gov.uk/gambling_sectors/betting/operating_licence_holders_-_wh/information_that_must_be_provi/reporting_suspicious_bets_to_s.aspx</w:t>
        </w:r>
      </w:hyperlink>
      <w:r w:rsidRPr="00C26EE6">
        <w:rPr>
          <w:sz w:val="12"/>
          <w:szCs w:val="1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AF412" w14:textId="77777777" w:rsidR="00D65980" w:rsidRDefault="00D65980">
    <w:pPr>
      <w:pStyle w:val="Header"/>
    </w:pPr>
    <w:r>
      <w:rPr>
        <w:noProof/>
        <w:lang w:eastAsia="en-GB"/>
      </w:rPr>
      <w:drawing>
        <wp:inline distT="0" distB="0" distL="0" distR="0" wp14:anchorId="419B79E6" wp14:editId="04A03311">
          <wp:extent cx="5731510" cy="106770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nnerheader.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0677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2B6C"/>
    <w:multiLevelType w:val="hybridMultilevel"/>
    <w:tmpl w:val="E8C45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13236E"/>
    <w:multiLevelType w:val="hybridMultilevel"/>
    <w:tmpl w:val="B9F8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193636"/>
    <w:multiLevelType w:val="hybridMultilevel"/>
    <w:tmpl w:val="E8C45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A42CD8"/>
    <w:multiLevelType w:val="hybridMultilevel"/>
    <w:tmpl w:val="89DAD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527AAB"/>
    <w:multiLevelType w:val="hybridMultilevel"/>
    <w:tmpl w:val="E8C45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FE6134"/>
    <w:multiLevelType w:val="multilevel"/>
    <w:tmpl w:val="BA4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E4A10"/>
    <w:multiLevelType w:val="hybridMultilevel"/>
    <w:tmpl w:val="89DAD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05060F5"/>
    <w:multiLevelType w:val="hybridMultilevel"/>
    <w:tmpl w:val="C7081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3077AF"/>
    <w:multiLevelType w:val="hybridMultilevel"/>
    <w:tmpl w:val="987E8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6F3339"/>
    <w:multiLevelType w:val="hybridMultilevel"/>
    <w:tmpl w:val="A1DE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6"/>
  </w:num>
  <w:num w:numId="5">
    <w:abstractNumId w:val="4"/>
  </w:num>
  <w:num w:numId="6">
    <w:abstractNumId w:val="9"/>
  </w:num>
  <w:num w:numId="7">
    <w:abstractNumId w:val="8"/>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1B0"/>
    <w:rsid w:val="00001556"/>
    <w:rsid w:val="0001394E"/>
    <w:rsid w:val="000204FB"/>
    <w:rsid w:val="00023BDD"/>
    <w:rsid w:val="000359E0"/>
    <w:rsid w:val="000422D8"/>
    <w:rsid w:val="00052131"/>
    <w:rsid w:val="000571BB"/>
    <w:rsid w:val="00064139"/>
    <w:rsid w:val="00066E8F"/>
    <w:rsid w:val="00072B71"/>
    <w:rsid w:val="00076DF6"/>
    <w:rsid w:val="0008100C"/>
    <w:rsid w:val="00082EEE"/>
    <w:rsid w:val="000938B5"/>
    <w:rsid w:val="000A09F3"/>
    <w:rsid w:val="000A0CCD"/>
    <w:rsid w:val="000B07DF"/>
    <w:rsid w:val="000B31D8"/>
    <w:rsid w:val="000B7551"/>
    <w:rsid w:val="000C1285"/>
    <w:rsid w:val="000C68E3"/>
    <w:rsid w:val="000D485A"/>
    <w:rsid w:val="000D7BE0"/>
    <w:rsid w:val="000E0235"/>
    <w:rsid w:val="000E1BDE"/>
    <w:rsid w:val="000E35D2"/>
    <w:rsid w:val="000F2768"/>
    <w:rsid w:val="00106910"/>
    <w:rsid w:val="001077C7"/>
    <w:rsid w:val="00124406"/>
    <w:rsid w:val="001251E1"/>
    <w:rsid w:val="001260A9"/>
    <w:rsid w:val="00134837"/>
    <w:rsid w:val="00160AAF"/>
    <w:rsid w:val="001612BC"/>
    <w:rsid w:val="00166099"/>
    <w:rsid w:val="001725A7"/>
    <w:rsid w:val="001805D9"/>
    <w:rsid w:val="00182DFF"/>
    <w:rsid w:val="001857D2"/>
    <w:rsid w:val="001873B5"/>
    <w:rsid w:val="001879E6"/>
    <w:rsid w:val="00190DC7"/>
    <w:rsid w:val="001948F8"/>
    <w:rsid w:val="001957D9"/>
    <w:rsid w:val="001A0EFB"/>
    <w:rsid w:val="001A25CB"/>
    <w:rsid w:val="001A4690"/>
    <w:rsid w:val="001B0210"/>
    <w:rsid w:val="001B186D"/>
    <w:rsid w:val="001B25ED"/>
    <w:rsid w:val="001C4971"/>
    <w:rsid w:val="001C7B14"/>
    <w:rsid w:val="001C7CFE"/>
    <w:rsid w:val="001D103F"/>
    <w:rsid w:val="001D41DB"/>
    <w:rsid w:val="001D77DF"/>
    <w:rsid w:val="0020635A"/>
    <w:rsid w:val="0020684B"/>
    <w:rsid w:val="0020741E"/>
    <w:rsid w:val="002076B9"/>
    <w:rsid w:val="002413D5"/>
    <w:rsid w:val="00244228"/>
    <w:rsid w:val="00251BED"/>
    <w:rsid w:val="0025313A"/>
    <w:rsid w:val="00254F3C"/>
    <w:rsid w:val="00261A25"/>
    <w:rsid w:val="00261DB7"/>
    <w:rsid w:val="00264D06"/>
    <w:rsid w:val="00265A6D"/>
    <w:rsid w:val="00272354"/>
    <w:rsid w:val="002826E4"/>
    <w:rsid w:val="0029015E"/>
    <w:rsid w:val="002917B5"/>
    <w:rsid w:val="00291C81"/>
    <w:rsid w:val="002A2A1E"/>
    <w:rsid w:val="002A530A"/>
    <w:rsid w:val="002A5C59"/>
    <w:rsid w:val="002A7E4A"/>
    <w:rsid w:val="002B0120"/>
    <w:rsid w:val="002B175D"/>
    <w:rsid w:val="002B22A5"/>
    <w:rsid w:val="002B4BDF"/>
    <w:rsid w:val="002B76D5"/>
    <w:rsid w:val="002B78C7"/>
    <w:rsid w:val="002C036C"/>
    <w:rsid w:val="002C1DA6"/>
    <w:rsid w:val="002C4190"/>
    <w:rsid w:val="002D14F4"/>
    <w:rsid w:val="002E0EFD"/>
    <w:rsid w:val="002E2F5B"/>
    <w:rsid w:val="002F04B5"/>
    <w:rsid w:val="002F7A7C"/>
    <w:rsid w:val="003108E3"/>
    <w:rsid w:val="00316F11"/>
    <w:rsid w:val="00323E50"/>
    <w:rsid w:val="00327A7C"/>
    <w:rsid w:val="00346135"/>
    <w:rsid w:val="00357F2F"/>
    <w:rsid w:val="00360E74"/>
    <w:rsid w:val="003826F9"/>
    <w:rsid w:val="0038357B"/>
    <w:rsid w:val="003838C1"/>
    <w:rsid w:val="003845E2"/>
    <w:rsid w:val="00393A5C"/>
    <w:rsid w:val="003A368B"/>
    <w:rsid w:val="003A575B"/>
    <w:rsid w:val="003B0C6F"/>
    <w:rsid w:val="003B0EC2"/>
    <w:rsid w:val="003B0F08"/>
    <w:rsid w:val="003C1661"/>
    <w:rsid w:val="003D7E16"/>
    <w:rsid w:val="003D7E7B"/>
    <w:rsid w:val="003F558A"/>
    <w:rsid w:val="0040387E"/>
    <w:rsid w:val="004100E5"/>
    <w:rsid w:val="00415403"/>
    <w:rsid w:val="00416BDC"/>
    <w:rsid w:val="00432314"/>
    <w:rsid w:val="0043485A"/>
    <w:rsid w:val="00434BB9"/>
    <w:rsid w:val="004409C0"/>
    <w:rsid w:val="00443EC5"/>
    <w:rsid w:val="00445039"/>
    <w:rsid w:val="004547E9"/>
    <w:rsid w:val="00463311"/>
    <w:rsid w:val="00465E06"/>
    <w:rsid w:val="0047276C"/>
    <w:rsid w:val="0048599C"/>
    <w:rsid w:val="004B7FB7"/>
    <w:rsid w:val="004C1431"/>
    <w:rsid w:val="004C7B8C"/>
    <w:rsid w:val="004E312B"/>
    <w:rsid w:val="004E6E9F"/>
    <w:rsid w:val="004F15C4"/>
    <w:rsid w:val="004F5D20"/>
    <w:rsid w:val="00500774"/>
    <w:rsid w:val="0052484F"/>
    <w:rsid w:val="005257B2"/>
    <w:rsid w:val="005275DB"/>
    <w:rsid w:val="00542717"/>
    <w:rsid w:val="00542B4E"/>
    <w:rsid w:val="00542B84"/>
    <w:rsid w:val="00543770"/>
    <w:rsid w:val="005441B4"/>
    <w:rsid w:val="00544442"/>
    <w:rsid w:val="00546BE9"/>
    <w:rsid w:val="00546D22"/>
    <w:rsid w:val="00555765"/>
    <w:rsid w:val="0056419E"/>
    <w:rsid w:val="00565460"/>
    <w:rsid w:val="00574156"/>
    <w:rsid w:val="00574BF7"/>
    <w:rsid w:val="00575CBF"/>
    <w:rsid w:val="00587BE0"/>
    <w:rsid w:val="00587F3D"/>
    <w:rsid w:val="00592760"/>
    <w:rsid w:val="005A303D"/>
    <w:rsid w:val="005A5F61"/>
    <w:rsid w:val="005B7822"/>
    <w:rsid w:val="005C3D0A"/>
    <w:rsid w:val="005C4AEA"/>
    <w:rsid w:val="005D1C1F"/>
    <w:rsid w:val="005D2505"/>
    <w:rsid w:val="005E2D68"/>
    <w:rsid w:val="005E33A3"/>
    <w:rsid w:val="005E4717"/>
    <w:rsid w:val="006000AB"/>
    <w:rsid w:val="00600564"/>
    <w:rsid w:val="00600E88"/>
    <w:rsid w:val="00601F13"/>
    <w:rsid w:val="0060460A"/>
    <w:rsid w:val="0060467E"/>
    <w:rsid w:val="0061265D"/>
    <w:rsid w:val="006167C2"/>
    <w:rsid w:val="00621084"/>
    <w:rsid w:val="00630D06"/>
    <w:rsid w:val="00632475"/>
    <w:rsid w:val="00635769"/>
    <w:rsid w:val="0064069A"/>
    <w:rsid w:val="0064714F"/>
    <w:rsid w:val="0064777F"/>
    <w:rsid w:val="00657FEF"/>
    <w:rsid w:val="00661937"/>
    <w:rsid w:val="00675B65"/>
    <w:rsid w:val="006809F5"/>
    <w:rsid w:val="0068337C"/>
    <w:rsid w:val="006861C8"/>
    <w:rsid w:val="00691CFE"/>
    <w:rsid w:val="006A4013"/>
    <w:rsid w:val="006B3552"/>
    <w:rsid w:val="006B3DA3"/>
    <w:rsid w:val="006B4D15"/>
    <w:rsid w:val="006B55DE"/>
    <w:rsid w:val="006C14F3"/>
    <w:rsid w:val="006D600D"/>
    <w:rsid w:val="006D6656"/>
    <w:rsid w:val="006E0D4B"/>
    <w:rsid w:val="006E7BB6"/>
    <w:rsid w:val="006E7C61"/>
    <w:rsid w:val="006F2F14"/>
    <w:rsid w:val="006F66D0"/>
    <w:rsid w:val="007045C9"/>
    <w:rsid w:val="00706B7D"/>
    <w:rsid w:val="00710C99"/>
    <w:rsid w:val="00715284"/>
    <w:rsid w:val="00715D57"/>
    <w:rsid w:val="00716DB6"/>
    <w:rsid w:val="007333DC"/>
    <w:rsid w:val="00746A7F"/>
    <w:rsid w:val="00754636"/>
    <w:rsid w:val="007570ED"/>
    <w:rsid w:val="00757DFF"/>
    <w:rsid w:val="007617DE"/>
    <w:rsid w:val="00761A41"/>
    <w:rsid w:val="007648C5"/>
    <w:rsid w:val="007671FB"/>
    <w:rsid w:val="0077127D"/>
    <w:rsid w:val="007714E9"/>
    <w:rsid w:val="0077184A"/>
    <w:rsid w:val="00782DBA"/>
    <w:rsid w:val="00783052"/>
    <w:rsid w:val="00784A30"/>
    <w:rsid w:val="00786F19"/>
    <w:rsid w:val="00791ACC"/>
    <w:rsid w:val="00794A36"/>
    <w:rsid w:val="00797288"/>
    <w:rsid w:val="007B1663"/>
    <w:rsid w:val="007C21B4"/>
    <w:rsid w:val="007C2BE6"/>
    <w:rsid w:val="007C7FE1"/>
    <w:rsid w:val="007D2DAB"/>
    <w:rsid w:val="007E0233"/>
    <w:rsid w:val="007E1A53"/>
    <w:rsid w:val="007E5EE8"/>
    <w:rsid w:val="007F2FA5"/>
    <w:rsid w:val="007F37F0"/>
    <w:rsid w:val="007F51FD"/>
    <w:rsid w:val="00801087"/>
    <w:rsid w:val="0080346F"/>
    <w:rsid w:val="0080599B"/>
    <w:rsid w:val="0080643C"/>
    <w:rsid w:val="00817745"/>
    <w:rsid w:val="00822BA0"/>
    <w:rsid w:val="00824945"/>
    <w:rsid w:val="008263CC"/>
    <w:rsid w:val="0083041C"/>
    <w:rsid w:val="0083619D"/>
    <w:rsid w:val="00845A7F"/>
    <w:rsid w:val="00847491"/>
    <w:rsid w:val="0085328A"/>
    <w:rsid w:val="008611B9"/>
    <w:rsid w:val="0086226D"/>
    <w:rsid w:val="00863ACA"/>
    <w:rsid w:val="00870D4F"/>
    <w:rsid w:val="0087128A"/>
    <w:rsid w:val="0087474C"/>
    <w:rsid w:val="008819AF"/>
    <w:rsid w:val="00882B97"/>
    <w:rsid w:val="0089425E"/>
    <w:rsid w:val="008966D3"/>
    <w:rsid w:val="008A1A9D"/>
    <w:rsid w:val="008A4FB6"/>
    <w:rsid w:val="008C146E"/>
    <w:rsid w:val="008C1B04"/>
    <w:rsid w:val="008C37CA"/>
    <w:rsid w:val="008C46BD"/>
    <w:rsid w:val="008C5626"/>
    <w:rsid w:val="008D235A"/>
    <w:rsid w:val="008E4B81"/>
    <w:rsid w:val="008E7F8D"/>
    <w:rsid w:val="009118AD"/>
    <w:rsid w:val="0092138F"/>
    <w:rsid w:val="009308A2"/>
    <w:rsid w:val="009314E8"/>
    <w:rsid w:val="0093272A"/>
    <w:rsid w:val="00932BA0"/>
    <w:rsid w:val="00932DDF"/>
    <w:rsid w:val="00942224"/>
    <w:rsid w:val="00942B5A"/>
    <w:rsid w:val="0094417A"/>
    <w:rsid w:val="0094562C"/>
    <w:rsid w:val="00951224"/>
    <w:rsid w:val="00954A54"/>
    <w:rsid w:val="00956385"/>
    <w:rsid w:val="009604EB"/>
    <w:rsid w:val="0096203C"/>
    <w:rsid w:val="00976A32"/>
    <w:rsid w:val="0098068F"/>
    <w:rsid w:val="00982CA7"/>
    <w:rsid w:val="00983972"/>
    <w:rsid w:val="00993400"/>
    <w:rsid w:val="00993774"/>
    <w:rsid w:val="00995834"/>
    <w:rsid w:val="009A6288"/>
    <w:rsid w:val="009B2E5E"/>
    <w:rsid w:val="009B6647"/>
    <w:rsid w:val="009C2A61"/>
    <w:rsid w:val="009C52BC"/>
    <w:rsid w:val="009C70F8"/>
    <w:rsid w:val="009C74FC"/>
    <w:rsid w:val="009D1970"/>
    <w:rsid w:val="009D363A"/>
    <w:rsid w:val="009E09A7"/>
    <w:rsid w:val="009E2B01"/>
    <w:rsid w:val="009E2D82"/>
    <w:rsid w:val="009E70F1"/>
    <w:rsid w:val="009E74A4"/>
    <w:rsid w:val="009F2DA7"/>
    <w:rsid w:val="009F59C2"/>
    <w:rsid w:val="00A06AF6"/>
    <w:rsid w:val="00A20D68"/>
    <w:rsid w:val="00A4210D"/>
    <w:rsid w:val="00A432A2"/>
    <w:rsid w:val="00A56516"/>
    <w:rsid w:val="00A75D85"/>
    <w:rsid w:val="00A8610A"/>
    <w:rsid w:val="00AC3624"/>
    <w:rsid w:val="00AC40A4"/>
    <w:rsid w:val="00AC789E"/>
    <w:rsid w:val="00AD230E"/>
    <w:rsid w:val="00AE1722"/>
    <w:rsid w:val="00AE20CB"/>
    <w:rsid w:val="00AE4198"/>
    <w:rsid w:val="00AF1631"/>
    <w:rsid w:val="00AF5CE4"/>
    <w:rsid w:val="00AF71B0"/>
    <w:rsid w:val="00B00B08"/>
    <w:rsid w:val="00B067BC"/>
    <w:rsid w:val="00B0783B"/>
    <w:rsid w:val="00B12904"/>
    <w:rsid w:val="00B12C8A"/>
    <w:rsid w:val="00B233EE"/>
    <w:rsid w:val="00B32EFA"/>
    <w:rsid w:val="00B428EC"/>
    <w:rsid w:val="00B45398"/>
    <w:rsid w:val="00B50993"/>
    <w:rsid w:val="00B5594E"/>
    <w:rsid w:val="00B667BA"/>
    <w:rsid w:val="00B66B12"/>
    <w:rsid w:val="00B85375"/>
    <w:rsid w:val="00B85806"/>
    <w:rsid w:val="00B908C4"/>
    <w:rsid w:val="00B91E35"/>
    <w:rsid w:val="00B92DD8"/>
    <w:rsid w:val="00B97450"/>
    <w:rsid w:val="00BA13B5"/>
    <w:rsid w:val="00BA525B"/>
    <w:rsid w:val="00BB1051"/>
    <w:rsid w:val="00BB2044"/>
    <w:rsid w:val="00BB59A1"/>
    <w:rsid w:val="00BB5B01"/>
    <w:rsid w:val="00BB5BEB"/>
    <w:rsid w:val="00BC38E8"/>
    <w:rsid w:val="00BC404C"/>
    <w:rsid w:val="00BE2394"/>
    <w:rsid w:val="00BE2E37"/>
    <w:rsid w:val="00BE3E10"/>
    <w:rsid w:val="00C02DB4"/>
    <w:rsid w:val="00C036B8"/>
    <w:rsid w:val="00C046E8"/>
    <w:rsid w:val="00C06D01"/>
    <w:rsid w:val="00C07011"/>
    <w:rsid w:val="00C132A1"/>
    <w:rsid w:val="00C1412B"/>
    <w:rsid w:val="00C1779E"/>
    <w:rsid w:val="00C219E2"/>
    <w:rsid w:val="00C23AA3"/>
    <w:rsid w:val="00C31374"/>
    <w:rsid w:val="00C32FF1"/>
    <w:rsid w:val="00C37836"/>
    <w:rsid w:val="00C426DD"/>
    <w:rsid w:val="00C5123E"/>
    <w:rsid w:val="00C51B02"/>
    <w:rsid w:val="00C52E45"/>
    <w:rsid w:val="00C77E01"/>
    <w:rsid w:val="00C80B76"/>
    <w:rsid w:val="00C831E3"/>
    <w:rsid w:val="00C86A3F"/>
    <w:rsid w:val="00C93038"/>
    <w:rsid w:val="00C9679D"/>
    <w:rsid w:val="00CC304A"/>
    <w:rsid w:val="00CC5BC0"/>
    <w:rsid w:val="00CC7B42"/>
    <w:rsid w:val="00CD2ED9"/>
    <w:rsid w:val="00CD31F4"/>
    <w:rsid w:val="00CD6E8B"/>
    <w:rsid w:val="00CD79BF"/>
    <w:rsid w:val="00CE14EA"/>
    <w:rsid w:val="00CE60CE"/>
    <w:rsid w:val="00CE7D7A"/>
    <w:rsid w:val="00CF3E79"/>
    <w:rsid w:val="00CF4EB9"/>
    <w:rsid w:val="00CF762A"/>
    <w:rsid w:val="00D0758C"/>
    <w:rsid w:val="00D157D4"/>
    <w:rsid w:val="00D344A4"/>
    <w:rsid w:val="00D35C93"/>
    <w:rsid w:val="00D65980"/>
    <w:rsid w:val="00D71046"/>
    <w:rsid w:val="00D72206"/>
    <w:rsid w:val="00D73708"/>
    <w:rsid w:val="00D75BC6"/>
    <w:rsid w:val="00D76E7C"/>
    <w:rsid w:val="00D87C65"/>
    <w:rsid w:val="00D953D2"/>
    <w:rsid w:val="00DA49EF"/>
    <w:rsid w:val="00DB46FA"/>
    <w:rsid w:val="00DC1B78"/>
    <w:rsid w:val="00DC216E"/>
    <w:rsid w:val="00DC4ED9"/>
    <w:rsid w:val="00DD209F"/>
    <w:rsid w:val="00DD22DB"/>
    <w:rsid w:val="00DD4BDF"/>
    <w:rsid w:val="00DE0ED3"/>
    <w:rsid w:val="00DE1442"/>
    <w:rsid w:val="00DE4DD4"/>
    <w:rsid w:val="00DF0533"/>
    <w:rsid w:val="00DF1DC8"/>
    <w:rsid w:val="00E0147D"/>
    <w:rsid w:val="00E04E42"/>
    <w:rsid w:val="00E04E7D"/>
    <w:rsid w:val="00E10D62"/>
    <w:rsid w:val="00E12A03"/>
    <w:rsid w:val="00E140D9"/>
    <w:rsid w:val="00E1526A"/>
    <w:rsid w:val="00E16EDC"/>
    <w:rsid w:val="00E2138D"/>
    <w:rsid w:val="00E24C87"/>
    <w:rsid w:val="00E261F6"/>
    <w:rsid w:val="00E26F7C"/>
    <w:rsid w:val="00E27B40"/>
    <w:rsid w:val="00E27B8E"/>
    <w:rsid w:val="00E322CA"/>
    <w:rsid w:val="00E41965"/>
    <w:rsid w:val="00E42CC9"/>
    <w:rsid w:val="00E545D2"/>
    <w:rsid w:val="00E55800"/>
    <w:rsid w:val="00E6601A"/>
    <w:rsid w:val="00E75F48"/>
    <w:rsid w:val="00E769B5"/>
    <w:rsid w:val="00E76F2A"/>
    <w:rsid w:val="00E81C64"/>
    <w:rsid w:val="00E82EFB"/>
    <w:rsid w:val="00E83CBB"/>
    <w:rsid w:val="00E853F7"/>
    <w:rsid w:val="00E859A8"/>
    <w:rsid w:val="00E921AA"/>
    <w:rsid w:val="00E97045"/>
    <w:rsid w:val="00EA18F3"/>
    <w:rsid w:val="00EA2D3A"/>
    <w:rsid w:val="00EB0E74"/>
    <w:rsid w:val="00EB2112"/>
    <w:rsid w:val="00EB24C3"/>
    <w:rsid w:val="00EB45E3"/>
    <w:rsid w:val="00EB6E30"/>
    <w:rsid w:val="00ED3DD0"/>
    <w:rsid w:val="00ED5BD5"/>
    <w:rsid w:val="00ED5D6D"/>
    <w:rsid w:val="00EE0AFC"/>
    <w:rsid w:val="00EF18CE"/>
    <w:rsid w:val="00EF5089"/>
    <w:rsid w:val="00EF745B"/>
    <w:rsid w:val="00F03ABD"/>
    <w:rsid w:val="00F06E38"/>
    <w:rsid w:val="00F162CC"/>
    <w:rsid w:val="00F209FD"/>
    <w:rsid w:val="00F246A4"/>
    <w:rsid w:val="00F27EEC"/>
    <w:rsid w:val="00F30F93"/>
    <w:rsid w:val="00F3204E"/>
    <w:rsid w:val="00F32087"/>
    <w:rsid w:val="00F4510B"/>
    <w:rsid w:val="00F453A1"/>
    <w:rsid w:val="00F528EF"/>
    <w:rsid w:val="00F61AEF"/>
    <w:rsid w:val="00F630BA"/>
    <w:rsid w:val="00F87C61"/>
    <w:rsid w:val="00F922F1"/>
    <w:rsid w:val="00FA165C"/>
    <w:rsid w:val="00FB7CE0"/>
    <w:rsid w:val="00FC5F89"/>
    <w:rsid w:val="00FF05A1"/>
    <w:rsid w:val="00FF30AB"/>
    <w:rsid w:val="00FF4003"/>
    <w:rsid w:val="00FF654E"/>
    <w:rsid w:val="00FF71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04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1B0"/>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E14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1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AF71B0"/>
    <w:pPr>
      <w:keepNext/>
      <w:keepLines/>
      <w:spacing w:before="200"/>
      <w:jc w:val="both"/>
      <w:outlineLvl w:val="2"/>
    </w:pPr>
    <w:rPr>
      <w:rFonts w:ascii="Cambria" w:eastAsia="MS Gothic" w:hAnsi="Cambria"/>
      <w:b/>
      <w:bCs/>
      <w:color w:val="4F81BD"/>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F71B0"/>
    <w:rPr>
      <w:rFonts w:ascii="Cambria" w:eastAsia="MS Gothic" w:hAnsi="Cambria" w:cs="Times New Roman"/>
      <w:b/>
      <w:bCs/>
      <w:color w:val="4F81BD"/>
      <w:szCs w:val="24"/>
      <w:lang w:eastAsia="en-GB"/>
    </w:rPr>
  </w:style>
  <w:style w:type="character" w:styleId="Hyperlink">
    <w:name w:val="Hyperlink"/>
    <w:basedOn w:val="DefaultParagraphFont"/>
    <w:uiPriority w:val="99"/>
    <w:unhideWhenUsed/>
    <w:rsid w:val="00AF71B0"/>
    <w:rPr>
      <w:color w:val="0563C1"/>
      <w:u w:val="single"/>
    </w:rPr>
  </w:style>
  <w:style w:type="paragraph" w:styleId="ListParagraph">
    <w:name w:val="List Paragraph"/>
    <w:basedOn w:val="Normal"/>
    <w:link w:val="ListParagraphChar"/>
    <w:uiPriority w:val="34"/>
    <w:qFormat/>
    <w:rsid w:val="00B91E35"/>
    <w:pPr>
      <w:ind w:left="720"/>
      <w:contextualSpacing/>
    </w:pPr>
  </w:style>
  <w:style w:type="paragraph" w:styleId="FootnoteText">
    <w:name w:val="footnote text"/>
    <w:basedOn w:val="Normal"/>
    <w:link w:val="FootnoteTextChar"/>
    <w:uiPriority w:val="99"/>
    <w:unhideWhenUsed/>
    <w:rsid w:val="00E81C64"/>
    <w:rPr>
      <w:sz w:val="20"/>
      <w:szCs w:val="20"/>
    </w:rPr>
  </w:style>
  <w:style w:type="character" w:customStyle="1" w:styleId="FootnoteTextChar">
    <w:name w:val="Footnote Text Char"/>
    <w:basedOn w:val="DefaultParagraphFont"/>
    <w:link w:val="FootnoteText"/>
    <w:uiPriority w:val="99"/>
    <w:rsid w:val="00E81C64"/>
    <w:rPr>
      <w:rFonts w:ascii="Calibri" w:hAnsi="Calibri" w:cs="Times New Roman"/>
      <w:sz w:val="20"/>
      <w:szCs w:val="20"/>
    </w:rPr>
  </w:style>
  <w:style w:type="character" w:styleId="FootnoteReference">
    <w:name w:val="footnote reference"/>
    <w:basedOn w:val="DefaultParagraphFont"/>
    <w:uiPriority w:val="99"/>
    <w:semiHidden/>
    <w:unhideWhenUsed/>
    <w:rsid w:val="00E81C64"/>
    <w:rPr>
      <w:vertAlign w:val="superscript"/>
    </w:rPr>
  </w:style>
  <w:style w:type="character" w:customStyle="1" w:styleId="Heading2Char">
    <w:name w:val="Heading 2 Char"/>
    <w:basedOn w:val="DefaultParagraphFont"/>
    <w:link w:val="Heading2"/>
    <w:uiPriority w:val="9"/>
    <w:semiHidden/>
    <w:rsid w:val="00291C8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DD4BDF"/>
    <w:rPr>
      <w:color w:val="800080" w:themeColor="followedHyperlink"/>
      <w:u w:val="single"/>
    </w:rPr>
  </w:style>
  <w:style w:type="paragraph" w:styleId="Header">
    <w:name w:val="header"/>
    <w:basedOn w:val="Normal"/>
    <w:link w:val="HeaderChar"/>
    <w:uiPriority w:val="99"/>
    <w:unhideWhenUsed/>
    <w:rsid w:val="00FF05A1"/>
    <w:pPr>
      <w:tabs>
        <w:tab w:val="center" w:pos="4513"/>
        <w:tab w:val="right" w:pos="9026"/>
      </w:tabs>
    </w:pPr>
  </w:style>
  <w:style w:type="character" w:customStyle="1" w:styleId="HeaderChar">
    <w:name w:val="Header Char"/>
    <w:basedOn w:val="DefaultParagraphFont"/>
    <w:link w:val="Header"/>
    <w:uiPriority w:val="99"/>
    <w:rsid w:val="00FF05A1"/>
    <w:rPr>
      <w:rFonts w:ascii="Calibri" w:hAnsi="Calibri" w:cs="Times New Roman"/>
    </w:rPr>
  </w:style>
  <w:style w:type="paragraph" w:styleId="Footer">
    <w:name w:val="footer"/>
    <w:basedOn w:val="Normal"/>
    <w:link w:val="FooterChar"/>
    <w:uiPriority w:val="99"/>
    <w:unhideWhenUsed/>
    <w:rsid w:val="00FF05A1"/>
    <w:pPr>
      <w:tabs>
        <w:tab w:val="center" w:pos="4513"/>
        <w:tab w:val="right" w:pos="9026"/>
      </w:tabs>
    </w:pPr>
  </w:style>
  <w:style w:type="character" w:customStyle="1" w:styleId="FooterChar">
    <w:name w:val="Footer Char"/>
    <w:basedOn w:val="DefaultParagraphFont"/>
    <w:link w:val="Footer"/>
    <w:uiPriority w:val="99"/>
    <w:rsid w:val="00FF05A1"/>
    <w:rPr>
      <w:rFonts w:ascii="Calibri" w:hAnsi="Calibri" w:cs="Times New Roman"/>
    </w:rPr>
  </w:style>
  <w:style w:type="paragraph" w:styleId="BalloonText">
    <w:name w:val="Balloon Text"/>
    <w:basedOn w:val="Normal"/>
    <w:link w:val="BalloonTextChar"/>
    <w:uiPriority w:val="99"/>
    <w:semiHidden/>
    <w:unhideWhenUsed/>
    <w:rsid w:val="00FF05A1"/>
    <w:rPr>
      <w:rFonts w:ascii="Tahoma" w:hAnsi="Tahoma" w:cs="Tahoma"/>
      <w:sz w:val="16"/>
      <w:szCs w:val="16"/>
    </w:rPr>
  </w:style>
  <w:style w:type="character" w:customStyle="1" w:styleId="BalloonTextChar">
    <w:name w:val="Balloon Text Char"/>
    <w:basedOn w:val="DefaultParagraphFont"/>
    <w:link w:val="BalloonText"/>
    <w:uiPriority w:val="99"/>
    <w:semiHidden/>
    <w:rsid w:val="00FF05A1"/>
    <w:rPr>
      <w:rFonts w:ascii="Tahoma" w:hAnsi="Tahoma" w:cs="Tahoma"/>
      <w:sz w:val="16"/>
      <w:szCs w:val="16"/>
    </w:rPr>
  </w:style>
  <w:style w:type="paragraph" w:styleId="NoSpacing">
    <w:name w:val="No Spacing"/>
    <w:link w:val="NoSpacingChar"/>
    <w:uiPriority w:val="1"/>
    <w:qFormat/>
    <w:rsid w:val="0008100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100C"/>
    <w:rPr>
      <w:rFonts w:eastAsiaTheme="minorEastAsia"/>
      <w:lang w:val="en-US" w:eastAsia="ja-JP"/>
    </w:rPr>
  </w:style>
  <w:style w:type="character" w:styleId="Emphasis">
    <w:name w:val="Emphasis"/>
    <w:basedOn w:val="DefaultParagraphFont"/>
    <w:uiPriority w:val="20"/>
    <w:qFormat/>
    <w:rsid w:val="0008100C"/>
    <w:rPr>
      <w:i/>
      <w:iCs/>
    </w:rPr>
  </w:style>
  <w:style w:type="character" w:customStyle="1" w:styleId="legtitle">
    <w:name w:val="legtitle"/>
    <w:basedOn w:val="DefaultParagraphFont"/>
    <w:rsid w:val="0008100C"/>
  </w:style>
  <w:style w:type="character" w:styleId="CommentReference">
    <w:name w:val="annotation reference"/>
    <w:basedOn w:val="DefaultParagraphFont"/>
    <w:uiPriority w:val="99"/>
    <w:semiHidden/>
    <w:unhideWhenUsed/>
    <w:rsid w:val="00415403"/>
    <w:rPr>
      <w:sz w:val="16"/>
      <w:szCs w:val="16"/>
    </w:rPr>
  </w:style>
  <w:style w:type="paragraph" w:styleId="CommentText">
    <w:name w:val="annotation text"/>
    <w:basedOn w:val="Normal"/>
    <w:link w:val="CommentTextChar"/>
    <w:uiPriority w:val="99"/>
    <w:semiHidden/>
    <w:unhideWhenUsed/>
    <w:rsid w:val="00415403"/>
    <w:rPr>
      <w:sz w:val="20"/>
      <w:szCs w:val="20"/>
    </w:rPr>
  </w:style>
  <w:style w:type="character" w:customStyle="1" w:styleId="CommentTextChar">
    <w:name w:val="Comment Text Char"/>
    <w:basedOn w:val="DefaultParagraphFont"/>
    <w:link w:val="CommentText"/>
    <w:uiPriority w:val="99"/>
    <w:semiHidden/>
    <w:rsid w:val="0041540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15403"/>
    <w:rPr>
      <w:b/>
      <w:bCs/>
    </w:rPr>
  </w:style>
  <w:style w:type="character" w:customStyle="1" w:styleId="CommentSubjectChar">
    <w:name w:val="Comment Subject Char"/>
    <w:basedOn w:val="CommentTextChar"/>
    <w:link w:val="CommentSubject"/>
    <w:uiPriority w:val="99"/>
    <w:semiHidden/>
    <w:rsid w:val="00415403"/>
    <w:rPr>
      <w:rFonts w:ascii="Calibri" w:hAnsi="Calibri" w:cs="Times New Roman"/>
      <w:b/>
      <w:bCs/>
      <w:sz w:val="20"/>
      <w:szCs w:val="20"/>
    </w:rPr>
  </w:style>
  <w:style w:type="character" w:customStyle="1" w:styleId="ListParagraphChar">
    <w:name w:val="List Paragraph Char"/>
    <w:link w:val="ListParagraph"/>
    <w:uiPriority w:val="34"/>
    <w:locked/>
    <w:rsid w:val="00E97045"/>
    <w:rPr>
      <w:rFonts w:ascii="Calibri" w:hAnsi="Calibri" w:cs="Times New Roman"/>
    </w:rPr>
  </w:style>
  <w:style w:type="paragraph" w:styleId="NormalWeb">
    <w:name w:val="Normal (Web)"/>
    <w:basedOn w:val="Normal"/>
    <w:uiPriority w:val="99"/>
    <w:semiHidden/>
    <w:unhideWhenUsed/>
    <w:rsid w:val="00E140D9"/>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E140D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1B0"/>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E14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1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AF71B0"/>
    <w:pPr>
      <w:keepNext/>
      <w:keepLines/>
      <w:spacing w:before="200"/>
      <w:jc w:val="both"/>
      <w:outlineLvl w:val="2"/>
    </w:pPr>
    <w:rPr>
      <w:rFonts w:ascii="Cambria" w:eastAsia="MS Gothic" w:hAnsi="Cambria"/>
      <w:b/>
      <w:bCs/>
      <w:color w:val="4F81BD"/>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AF71B0"/>
    <w:rPr>
      <w:rFonts w:ascii="Cambria" w:eastAsia="MS Gothic" w:hAnsi="Cambria" w:cs="Times New Roman"/>
      <w:b/>
      <w:bCs/>
      <w:color w:val="4F81BD"/>
      <w:szCs w:val="24"/>
      <w:lang w:eastAsia="en-GB"/>
    </w:rPr>
  </w:style>
  <w:style w:type="character" w:styleId="Hyperlink">
    <w:name w:val="Hyperlink"/>
    <w:basedOn w:val="DefaultParagraphFont"/>
    <w:uiPriority w:val="99"/>
    <w:unhideWhenUsed/>
    <w:rsid w:val="00AF71B0"/>
    <w:rPr>
      <w:color w:val="0563C1"/>
      <w:u w:val="single"/>
    </w:rPr>
  </w:style>
  <w:style w:type="paragraph" w:styleId="ListParagraph">
    <w:name w:val="List Paragraph"/>
    <w:basedOn w:val="Normal"/>
    <w:link w:val="ListParagraphChar"/>
    <w:uiPriority w:val="34"/>
    <w:qFormat/>
    <w:rsid w:val="00B91E35"/>
    <w:pPr>
      <w:ind w:left="720"/>
      <w:contextualSpacing/>
    </w:pPr>
  </w:style>
  <w:style w:type="paragraph" w:styleId="FootnoteText">
    <w:name w:val="footnote text"/>
    <w:basedOn w:val="Normal"/>
    <w:link w:val="FootnoteTextChar"/>
    <w:uiPriority w:val="99"/>
    <w:unhideWhenUsed/>
    <w:rsid w:val="00E81C64"/>
    <w:rPr>
      <w:sz w:val="20"/>
      <w:szCs w:val="20"/>
    </w:rPr>
  </w:style>
  <w:style w:type="character" w:customStyle="1" w:styleId="FootnoteTextChar">
    <w:name w:val="Footnote Text Char"/>
    <w:basedOn w:val="DefaultParagraphFont"/>
    <w:link w:val="FootnoteText"/>
    <w:uiPriority w:val="99"/>
    <w:rsid w:val="00E81C64"/>
    <w:rPr>
      <w:rFonts w:ascii="Calibri" w:hAnsi="Calibri" w:cs="Times New Roman"/>
      <w:sz w:val="20"/>
      <w:szCs w:val="20"/>
    </w:rPr>
  </w:style>
  <w:style w:type="character" w:styleId="FootnoteReference">
    <w:name w:val="footnote reference"/>
    <w:basedOn w:val="DefaultParagraphFont"/>
    <w:uiPriority w:val="99"/>
    <w:semiHidden/>
    <w:unhideWhenUsed/>
    <w:rsid w:val="00E81C64"/>
    <w:rPr>
      <w:vertAlign w:val="superscript"/>
    </w:rPr>
  </w:style>
  <w:style w:type="character" w:customStyle="1" w:styleId="Heading2Char">
    <w:name w:val="Heading 2 Char"/>
    <w:basedOn w:val="DefaultParagraphFont"/>
    <w:link w:val="Heading2"/>
    <w:uiPriority w:val="9"/>
    <w:semiHidden/>
    <w:rsid w:val="00291C8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DD4BDF"/>
    <w:rPr>
      <w:color w:val="800080" w:themeColor="followedHyperlink"/>
      <w:u w:val="single"/>
    </w:rPr>
  </w:style>
  <w:style w:type="paragraph" w:styleId="Header">
    <w:name w:val="header"/>
    <w:basedOn w:val="Normal"/>
    <w:link w:val="HeaderChar"/>
    <w:uiPriority w:val="99"/>
    <w:unhideWhenUsed/>
    <w:rsid w:val="00FF05A1"/>
    <w:pPr>
      <w:tabs>
        <w:tab w:val="center" w:pos="4513"/>
        <w:tab w:val="right" w:pos="9026"/>
      </w:tabs>
    </w:pPr>
  </w:style>
  <w:style w:type="character" w:customStyle="1" w:styleId="HeaderChar">
    <w:name w:val="Header Char"/>
    <w:basedOn w:val="DefaultParagraphFont"/>
    <w:link w:val="Header"/>
    <w:uiPriority w:val="99"/>
    <w:rsid w:val="00FF05A1"/>
    <w:rPr>
      <w:rFonts w:ascii="Calibri" w:hAnsi="Calibri" w:cs="Times New Roman"/>
    </w:rPr>
  </w:style>
  <w:style w:type="paragraph" w:styleId="Footer">
    <w:name w:val="footer"/>
    <w:basedOn w:val="Normal"/>
    <w:link w:val="FooterChar"/>
    <w:uiPriority w:val="99"/>
    <w:unhideWhenUsed/>
    <w:rsid w:val="00FF05A1"/>
    <w:pPr>
      <w:tabs>
        <w:tab w:val="center" w:pos="4513"/>
        <w:tab w:val="right" w:pos="9026"/>
      </w:tabs>
    </w:pPr>
  </w:style>
  <w:style w:type="character" w:customStyle="1" w:styleId="FooterChar">
    <w:name w:val="Footer Char"/>
    <w:basedOn w:val="DefaultParagraphFont"/>
    <w:link w:val="Footer"/>
    <w:uiPriority w:val="99"/>
    <w:rsid w:val="00FF05A1"/>
    <w:rPr>
      <w:rFonts w:ascii="Calibri" w:hAnsi="Calibri" w:cs="Times New Roman"/>
    </w:rPr>
  </w:style>
  <w:style w:type="paragraph" w:styleId="BalloonText">
    <w:name w:val="Balloon Text"/>
    <w:basedOn w:val="Normal"/>
    <w:link w:val="BalloonTextChar"/>
    <w:uiPriority w:val="99"/>
    <w:semiHidden/>
    <w:unhideWhenUsed/>
    <w:rsid w:val="00FF05A1"/>
    <w:rPr>
      <w:rFonts w:ascii="Tahoma" w:hAnsi="Tahoma" w:cs="Tahoma"/>
      <w:sz w:val="16"/>
      <w:szCs w:val="16"/>
    </w:rPr>
  </w:style>
  <w:style w:type="character" w:customStyle="1" w:styleId="BalloonTextChar">
    <w:name w:val="Balloon Text Char"/>
    <w:basedOn w:val="DefaultParagraphFont"/>
    <w:link w:val="BalloonText"/>
    <w:uiPriority w:val="99"/>
    <w:semiHidden/>
    <w:rsid w:val="00FF05A1"/>
    <w:rPr>
      <w:rFonts w:ascii="Tahoma" w:hAnsi="Tahoma" w:cs="Tahoma"/>
      <w:sz w:val="16"/>
      <w:szCs w:val="16"/>
    </w:rPr>
  </w:style>
  <w:style w:type="paragraph" w:styleId="NoSpacing">
    <w:name w:val="No Spacing"/>
    <w:link w:val="NoSpacingChar"/>
    <w:uiPriority w:val="1"/>
    <w:qFormat/>
    <w:rsid w:val="0008100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100C"/>
    <w:rPr>
      <w:rFonts w:eastAsiaTheme="minorEastAsia"/>
      <w:lang w:val="en-US" w:eastAsia="ja-JP"/>
    </w:rPr>
  </w:style>
  <w:style w:type="character" w:styleId="Emphasis">
    <w:name w:val="Emphasis"/>
    <w:basedOn w:val="DefaultParagraphFont"/>
    <w:uiPriority w:val="20"/>
    <w:qFormat/>
    <w:rsid w:val="0008100C"/>
    <w:rPr>
      <w:i/>
      <w:iCs/>
    </w:rPr>
  </w:style>
  <w:style w:type="character" w:customStyle="1" w:styleId="legtitle">
    <w:name w:val="legtitle"/>
    <w:basedOn w:val="DefaultParagraphFont"/>
    <w:rsid w:val="0008100C"/>
  </w:style>
  <w:style w:type="character" w:styleId="CommentReference">
    <w:name w:val="annotation reference"/>
    <w:basedOn w:val="DefaultParagraphFont"/>
    <w:uiPriority w:val="99"/>
    <w:semiHidden/>
    <w:unhideWhenUsed/>
    <w:rsid w:val="00415403"/>
    <w:rPr>
      <w:sz w:val="16"/>
      <w:szCs w:val="16"/>
    </w:rPr>
  </w:style>
  <w:style w:type="paragraph" w:styleId="CommentText">
    <w:name w:val="annotation text"/>
    <w:basedOn w:val="Normal"/>
    <w:link w:val="CommentTextChar"/>
    <w:uiPriority w:val="99"/>
    <w:semiHidden/>
    <w:unhideWhenUsed/>
    <w:rsid w:val="00415403"/>
    <w:rPr>
      <w:sz w:val="20"/>
      <w:szCs w:val="20"/>
    </w:rPr>
  </w:style>
  <w:style w:type="character" w:customStyle="1" w:styleId="CommentTextChar">
    <w:name w:val="Comment Text Char"/>
    <w:basedOn w:val="DefaultParagraphFont"/>
    <w:link w:val="CommentText"/>
    <w:uiPriority w:val="99"/>
    <w:semiHidden/>
    <w:rsid w:val="0041540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15403"/>
    <w:rPr>
      <w:b/>
      <w:bCs/>
    </w:rPr>
  </w:style>
  <w:style w:type="character" w:customStyle="1" w:styleId="CommentSubjectChar">
    <w:name w:val="Comment Subject Char"/>
    <w:basedOn w:val="CommentTextChar"/>
    <w:link w:val="CommentSubject"/>
    <w:uiPriority w:val="99"/>
    <w:semiHidden/>
    <w:rsid w:val="00415403"/>
    <w:rPr>
      <w:rFonts w:ascii="Calibri" w:hAnsi="Calibri" w:cs="Times New Roman"/>
      <w:b/>
      <w:bCs/>
      <w:sz w:val="20"/>
      <w:szCs w:val="20"/>
    </w:rPr>
  </w:style>
  <w:style w:type="character" w:customStyle="1" w:styleId="ListParagraphChar">
    <w:name w:val="List Paragraph Char"/>
    <w:link w:val="ListParagraph"/>
    <w:uiPriority w:val="34"/>
    <w:locked/>
    <w:rsid w:val="00E97045"/>
    <w:rPr>
      <w:rFonts w:ascii="Calibri" w:hAnsi="Calibri" w:cs="Times New Roman"/>
    </w:rPr>
  </w:style>
  <w:style w:type="paragraph" w:styleId="NormalWeb">
    <w:name w:val="Normal (Web)"/>
    <w:basedOn w:val="Normal"/>
    <w:uiPriority w:val="99"/>
    <w:semiHidden/>
    <w:unhideWhenUsed/>
    <w:rsid w:val="00E140D9"/>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E140D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63725">
      <w:bodyDiv w:val="1"/>
      <w:marLeft w:val="0"/>
      <w:marRight w:val="0"/>
      <w:marTop w:val="0"/>
      <w:marBottom w:val="0"/>
      <w:divBdr>
        <w:top w:val="none" w:sz="0" w:space="0" w:color="auto"/>
        <w:left w:val="none" w:sz="0" w:space="0" w:color="auto"/>
        <w:bottom w:val="none" w:sz="0" w:space="0" w:color="auto"/>
        <w:right w:val="none" w:sz="0" w:space="0" w:color="auto"/>
      </w:divBdr>
      <w:divsChild>
        <w:div w:id="484245743">
          <w:marLeft w:val="0"/>
          <w:marRight w:val="0"/>
          <w:marTop w:val="0"/>
          <w:marBottom w:val="0"/>
          <w:divBdr>
            <w:top w:val="none" w:sz="0" w:space="0" w:color="auto"/>
            <w:left w:val="none" w:sz="0" w:space="0" w:color="auto"/>
            <w:bottom w:val="none" w:sz="0" w:space="0" w:color="auto"/>
            <w:right w:val="none" w:sz="0" w:space="0" w:color="auto"/>
          </w:divBdr>
        </w:div>
        <w:div w:id="1469014563">
          <w:marLeft w:val="0"/>
          <w:marRight w:val="0"/>
          <w:marTop w:val="0"/>
          <w:marBottom w:val="0"/>
          <w:divBdr>
            <w:top w:val="none" w:sz="0" w:space="0" w:color="auto"/>
            <w:left w:val="none" w:sz="0" w:space="0" w:color="auto"/>
            <w:bottom w:val="none" w:sz="0" w:space="0" w:color="auto"/>
            <w:right w:val="none" w:sz="0" w:space="0" w:color="auto"/>
          </w:divBdr>
        </w:div>
      </w:divsChild>
    </w:div>
    <w:div w:id="228541488">
      <w:bodyDiv w:val="1"/>
      <w:marLeft w:val="0"/>
      <w:marRight w:val="0"/>
      <w:marTop w:val="0"/>
      <w:marBottom w:val="0"/>
      <w:divBdr>
        <w:top w:val="none" w:sz="0" w:space="0" w:color="auto"/>
        <w:left w:val="none" w:sz="0" w:space="0" w:color="auto"/>
        <w:bottom w:val="none" w:sz="0" w:space="0" w:color="auto"/>
        <w:right w:val="none" w:sz="0" w:space="0" w:color="auto"/>
      </w:divBdr>
    </w:div>
    <w:div w:id="244384643">
      <w:bodyDiv w:val="1"/>
      <w:marLeft w:val="0"/>
      <w:marRight w:val="0"/>
      <w:marTop w:val="0"/>
      <w:marBottom w:val="0"/>
      <w:divBdr>
        <w:top w:val="none" w:sz="0" w:space="0" w:color="auto"/>
        <w:left w:val="none" w:sz="0" w:space="0" w:color="auto"/>
        <w:bottom w:val="none" w:sz="0" w:space="0" w:color="auto"/>
        <w:right w:val="none" w:sz="0" w:space="0" w:color="auto"/>
      </w:divBdr>
    </w:div>
    <w:div w:id="395665111">
      <w:bodyDiv w:val="1"/>
      <w:marLeft w:val="0"/>
      <w:marRight w:val="0"/>
      <w:marTop w:val="0"/>
      <w:marBottom w:val="0"/>
      <w:divBdr>
        <w:top w:val="none" w:sz="0" w:space="0" w:color="auto"/>
        <w:left w:val="none" w:sz="0" w:space="0" w:color="auto"/>
        <w:bottom w:val="none" w:sz="0" w:space="0" w:color="auto"/>
        <w:right w:val="none" w:sz="0" w:space="0" w:color="auto"/>
      </w:divBdr>
      <w:divsChild>
        <w:div w:id="2078480724">
          <w:marLeft w:val="0"/>
          <w:marRight w:val="0"/>
          <w:marTop w:val="0"/>
          <w:marBottom w:val="0"/>
          <w:divBdr>
            <w:top w:val="none" w:sz="0" w:space="0" w:color="auto"/>
            <w:left w:val="none" w:sz="0" w:space="0" w:color="auto"/>
            <w:bottom w:val="none" w:sz="0" w:space="0" w:color="auto"/>
            <w:right w:val="none" w:sz="0" w:space="0" w:color="auto"/>
          </w:divBdr>
        </w:div>
        <w:div w:id="1279141578">
          <w:marLeft w:val="0"/>
          <w:marRight w:val="0"/>
          <w:marTop w:val="0"/>
          <w:marBottom w:val="0"/>
          <w:divBdr>
            <w:top w:val="none" w:sz="0" w:space="0" w:color="auto"/>
            <w:left w:val="none" w:sz="0" w:space="0" w:color="auto"/>
            <w:bottom w:val="none" w:sz="0" w:space="0" w:color="auto"/>
            <w:right w:val="none" w:sz="0" w:space="0" w:color="auto"/>
          </w:divBdr>
        </w:div>
        <w:div w:id="822351655">
          <w:marLeft w:val="0"/>
          <w:marRight w:val="0"/>
          <w:marTop w:val="0"/>
          <w:marBottom w:val="0"/>
          <w:divBdr>
            <w:top w:val="none" w:sz="0" w:space="0" w:color="auto"/>
            <w:left w:val="none" w:sz="0" w:space="0" w:color="auto"/>
            <w:bottom w:val="none" w:sz="0" w:space="0" w:color="auto"/>
            <w:right w:val="none" w:sz="0" w:space="0" w:color="auto"/>
          </w:divBdr>
        </w:div>
        <w:div w:id="994340730">
          <w:marLeft w:val="0"/>
          <w:marRight w:val="0"/>
          <w:marTop w:val="0"/>
          <w:marBottom w:val="0"/>
          <w:divBdr>
            <w:top w:val="none" w:sz="0" w:space="0" w:color="auto"/>
            <w:left w:val="none" w:sz="0" w:space="0" w:color="auto"/>
            <w:bottom w:val="none" w:sz="0" w:space="0" w:color="auto"/>
            <w:right w:val="none" w:sz="0" w:space="0" w:color="auto"/>
          </w:divBdr>
        </w:div>
        <w:div w:id="1086026921">
          <w:marLeft w:val="0"/>
          <w:marRight w:val="0"/>
          <w:marTop w:val="0"/>
          <w:marBottom w:val="0"/>
          <w:divBdr>
            <w:top w:val="none" w:sz="0" w:space="0" w:color="auto"/>
            <w:left w:val="none" w:sz="0" w:space="0" w:color="auto"/>
            <w:bottom w:val="none" w:sz="0" w:space="0" w:color="auto"/>
            <w:right w:val="none" w:sz="0" w:space="0" w:color="auto"/>
          </w:divBdr>
        </w:div>
        <w:div w:id="720246716">
          <w:marLeft w:val="0"/>
          <w:marRight w:val="0"/>
          <w:marTop w:val="0"/>
          <w:marBottom w:val="0"/>
          <w:divBdr>
            <w:top w:val="none" w:sz="0" w:space="0" w:color="auto"/>
            <w:left w:val="none" w:sz="0" w:space="0" w:color="auto"/>
            <w:bottom w:val="none" w:sz="0" w:space="0" w:color="auto"/>
            <w:right w:val="none" w:sz="0" w:space="0" w:color="auto"/>
          </w:divBdr>
        </w:div>
      </w:divsChild>
    </w:div>
    <w:div w:id="1024405570">
      <w:bodyDiv w:val="1"/>
      <w:marLeft w:val="0"/>
      <w:marRight w:val="0"/>
      <w:marTop w:val="0"/>
      <w:marBottom w:val="0"/>
      <w:divBdr>
        <w:top w:val="none" w:sz="0" w:space="0" w:color="auto"/>
        <w:left w:val="none" w:sz="0" w:space="0" w:color="auto"/>
        <w:bottom w:val="none" w:sz="0" w:space="0" w:color="auto"/>
        <w:right w:val="none" w:sz="0" w:space="0" w:color="auto"/>
      </w:divBdr>
      <w:divsChild>
        <w:div w:id="2096441715">
          <w:marLeft w:val="0"/>
          <w:marRight w:val="0"/>
          <w:marTop w:val="0"/>
          <w:marBottom w:val="0"/>
          <w:divBdr>
            <w:top w:val="none" w:sz="0" w:space="0" w:color="auto"/>
            <w:left w:val="none" w:sz="0" w:space="0" w:color="auto"/>
            <w:bottom w:val="none" w:sz="0" w:space="0" w:color="auto"/>
            <w:right w:val="none" w:sz="0" w:space="0" w:color="auto"/>
          </w:divBdr>
        </w:div>
        <w:div w:id="1204946224">
          <w:marLeft w:val="0"/>
          <w:marRight w:val="0"/>
          <w:marTop w:val="0"/>
          <w:marBottom w:val="0"/>
          <w:divBdr>
            <w:top w:val="none" w:sz="0" w:space="0" w:color="auto"/>
            <w:left w:val="none" w:sz="0" w:space="0" w:color="auto"/>
            <w:bottom w:val="none" w:sz="0" w:space="0" w:color="auto"/>
            <w:right w:val="none" w:sz="0" w:space="0" w:color="auto"/>
          </w:divBdr>
        </w:div>
        <w:div w:id="211233310">
          <w:marLeft w:val="0"/>
          <w:marRight w:val="0"/>
          <w:marTop w:val="0"/>
          <w:marBottom w:val="0"/>
          <w:divBdr>
            <w:top w:val="none" w:sz="0" w:space="0" w:color="auto"/>
            <w:left w:val="none" w:sz="0" w:space="0" w:color="auto"/>
            <w:bottom w:val="none" w:sz="0" w:space="0" w:color="auto"/>
            <w:right w:val="none" w:sz="0" w:space="0" w:color="auto"/>
          </w:divBdr>
        </w:div>
        <w:div w:id="1349066123">
          <w:marLeft w:val="0"/>
          <w:marRight w:val="0"/>
          <w:marTop w:val="0"/>
          <w:marBottom w:val="0"/>
          <w:divBdr>
            <w:top w:val="none" w:sz="0" w:space="0" w:color="auto"/>
            <w:left w:val="none" w:sz="0" w:space="0" w:color="auto"/>
            <w:bottom w:val="none" w:sz="0" w:space="0" w:color="auto"/>
            <w:right w:val="none" w:sz="0" w:space="0" w:color="auto"/>
          </w:divBdr>
        </w:div>
        <w:div w:id="1866626021">
          <w:marLeft w:val="0"/>
          <w:marRight w:val="0"/>
          <w:marTop w:val="0"/>
          <w:marBottom w:val="0"/>
          <w:divBdr>
            <w:top w:val="none" w:sz="0" w:space="0" w:color="auto"/>
            <w:left w:val="none" w:sz="0" w:space="0" w:color="auto"/>
            <w:bottom w:val="none" w:sz="0" w:space="0" w:color="auto"/>
            <w:right w:val="none" w:sz="0" w:space="0" w:color="auto"/>
          </w:divBdr>
        </w:div>
      </w:divsChild>
    </w:div>
    <w:div w:id="1065028948">
      <w:bodyDiv w:val="1"/>
      <w:marLeft w:val="0"/>
      <w:marRight w:val="0"/>
      <w:marTop w:val="0"/>
      <w:marBottom w:val="0"/>
      <w:divBdr>
        <w:top w:val="none" w:sz="0" w:space="0" w:color="auto"/>
        <w:left w:val="none" w:sz="0" w:space="0" w:color="auto"/>
        <w:bottom w:val="none" w:sz="0" w:space="0" w:color="auto"/>
        <w:right w:val="none" w:sz="0" w:space="0" w:color="auto"/>
      </w:divBdr>
      <w:divsChild>
        <w:div w:id="487944381">
          <w:marLeft w:val="0"/>
          <w:marRight w:val="0"/>
          <w:marTop w:val="0"/>
          <w:marBottom w:val="0"/>
          <w:divBdr>
            <w:top w:val="none" w:sz="0" w:space="0" w:color="auto"/>
            <w:left w:val="none" w:sz="0" w:space="0" w:color="auto"/>
            <w:bottom w:val="none" w:sz="0" w:space="0" w:color="auto"/>
            <w:right w:val="none" w:sz="0" w:space="0" w:color="auto"/>
          </w:divBdr>
        </w:div>
        <w:div w:id="853879714">
          <w:marLeft w:val="0"/>
          <w:marRight w:val="0"/>
          <w:marTop w:val="0"/>
          <w:marBottom w:val="0"/>
          <w:divBdr>
            <w:top w:val="none" w:sz="0" w:space="0" w:color="auto"/>
            <w:left w:val="none" w:sz="0" w:space="0" w:color="auto"/>
            <w:bottom w:val="none" w:sz="0" w:space="0" w:color="auto"/>
            <w:right w:val="none" w:sz="0" w:space="0" w:color="auto"/>
          </w:divBdr>
        </w:div>
        <w:div w:id="2052025931">
          <w:marLeft w:val="0"/>
          <w:marRight w:val="0"/>
          <w:marTop w:val="0"/>
          <w:marBottom w:val="0"/>
          <w:divBdr>
            <w:top w:val="none" w:sz="0" w:space="0" w:color="auto"/>
            <w:left w:val="none" w:sz="0" w:space="0" w:color="auto"/>
            <w:bottom w:val="none" w:sz="0" w:space="0" w:color="auto"/>
            <w:right w:val="none" w:sz="0" w:space="0" w:color="auto"/>
          </w:divBdr>
        </w:div>
        <w:div w:id="1670017965">
          <w:marLeft w:val="0"/>
          <w:marRight w:val="0"/>
          <w:marTop w:val="0"/>
          <w:marBottom w:val="0"/>
          <w:divBdr>
            <w:top w:val="none" w:sz="0" w:space="0" w:color="auto"/>
            <w:left w:val="none" w:sz="0" w:space="0" w:color="auto"/>
            <w:bottom w:val="none" w:sz="0" w:space="0" w:color="auto"/>
            <w:right w:val="none" w:sz="0" w:space="0" w:color="auto"/>
          </w:divBdr>
        </w:div>
        <w:div w:id="1538546609">
          <w:marLeft w:val="0"/>
          <w:marRight w:val="0"/>
          <w:marTop w:val="0"/>
          <w:marBottom w:val="0"/>
          <w:divBdr>
            <w:top w:val="none" w:sz="0" w:space="0" w:color="auto"/>
            <w:left w:val="none" w:sz="0" w:space="0" w:color="auto"/>
            <w:bottom w:val="none" w:sz="0" w:space="0" w:color="auto"/>
            <w:right w:val="none" w:sz="0" w:space="0" w:color="auto"/>
          </w:divBdr>
        </w:div>
      </w:divsChild>
    </w:div>
    <w:div w:id="1100876641">
      <w:bodyDiv w:val="1"/>
      <w:marLeft w:val="0"/>
      <w:marRight w:val="0"/>
      <w:marTop w:val="0"/>
      <w:marBottom w:val="0"/>
      <w:divBdr>
        <w:top w:val="none" w:sz="0" w:space="0" w:color="auto"/>
        <w:left w:val="none" w:sz="0" w:space="0" w:color="auto"/>
        <w:bottom w:val="none" w:sz="0" w:space="0" w:color="auto"/>
        <w:right w:val="none" w:sz="0" w:space="0" w:color="auto"/>
      </w:divBdr>
      <w:divsChild>
        <w:div w:id="513298997">
          <w:marLeft w:val="0"/>
          <w:marRight w:val="0"/>
          <w:marTop w:val="0"/>
          <w:marBottom w:val="0"/>
          <w:divBdr>
            <w:top w:val="none" w:sz="0" w:space="0" w:color="auto"/>
            <w:left w:val="none" w:sz="0" w:space="0" w:color="auto"/>
            <w:bottom w:val="none" w:sz="0" w:space="0" w:color="auto"/>
            <w:right w:val="none" w:sz="0" w:space="0" w:color="auto"/>
          </w:divBdr>
        </w:div>
        <w:div w:id="1736707467">
          <w:marLeft w:val="0"/>
          <w:marRight w:val="0"/>
          <w:marTop w:val="0"/>
          <w:marBottom w:val="0"/>
          <w:divBdr>
            <w:top w:val="none" w:sz="0" w:space="0" w:color="auto"/>
            <w:left w:val="none" w:sz="0" w:space="0" w:color="auto"/>
            <w:bottom w:val="none" w:sz="0" w:space="0" w:color="auto"/>
            <w:right w:val="none" w:sz="0" w:space="0" w:color="auto"/>
          </w:divBdr>
        </w:div>
        <w:div w:id="290140219">
          <w:marLeft w:val="0"/>
          <w:marRight w:val="0"/>
          <w:marTop w:val="0"/>
          <w:marBottom w:val="0"/>
          <w:divBdr>
            <w:top w:val="none" w:sz="0" w:space="0" w:color="auto"/>
            <w:left w:val="none" w:sz="0" w:space="0" w:color="auto"/>
            <w:bottom w:val="none" w:sz="0" w:space="0" w:color="auto"/>
            <w:right w:val="none" w:sz="0" w:space="0" w:color="auto"/>
          </w:divBdr>
        </w:div>
        <w:div w:id="1431121401">
          <w:marLeft w:val="0"/>
          <w:marRight w:val="0"/>
          <w:marTop w:val="0"/>
          <w:marBottom w:val="0"/>
          <w:divBdr>
            <w:top w:val="none" w:sz="0" w:space="0" w:color="auto"/>
            <w:left w:val="none" w:sz="0" w:space="0" w:color="auto"/>
            <w:bottom w:val="none" w:sz="0" w:space="0" w:color="auto"/>
            <w:right w:val="none" w:sz="0" w:space="0" w:color="auto"/>
          </w:divBdr>
        </w:div>
      </w:divsChild>
    </w:div>
    <w:div w:id="1232883348">
      <w:bodyDiv w:val="1"/>
      <w:marLeft w:val="0"/>
      <w:marRight w:val="0"/>
      <w:marTop w:val="0"/>
      <w:marBottom w:val="0"/>
      <w:divBdr>
        <w:top w:val="none" w:sz="0" w:space="0" w:color="auto"/>
        <w:left w:val="none" w:sz="0" w:space="0" w:color="auto"/>
        <w:bottom w:val="none" w:sz="0" w:space="0" w:color="auto"/>
        <w:right w:val="none" w:sz="0" w:space="0" w:color="auto"/>
      </w:divBdr>
      <w:divsChild>
        <w:div w:id="298152669">
          <w:marLeft w:val="0"/>
          <w:marRight w:val="0"/>
          <w:marTop w:val="0"/>
          <w:marBottom w:val="0"/>
          <w:divBdr>
            <w:top w:val="none" w:sz="0" w:space="0" w:color="auto"/>
            <w:left w:val="none" w:sz="0" w:space="0" w:color="auto"/>
            <w:bottom w:val="none" w:sz="0" w:space="0" w:color="auto"/>
            <w:right w:val="none" w:sz="0" w:space="0" w:color="auto"/>
          </w:divBdr>
        </w:div>
        <w:div w:id="654648774">
          <w:marLeft w:val="0"/>
          <w:marRight w:val="0"/>
          <w:marTop w:val="0"/>
          <w:marBottom w:val="0"/>
          <w:divBdr>
            <w:top w:val="none" w:sz="0" w:space="0" w:color="auto"/>
            <w:left w:val="none" w:sz="0" w:space="0" w:color="auto"/>
            <w:bottom w:val="none" w:sz="0" w:space="0" w:color="auto"/>
            <w:right w:val="none" w:sz="0" w:space="0" w:color="auto"/>
          </w:divBdr>
        </w:div>
        <w:div w:id="899755515">
          <w:marLeft w:val="0"/>
          <w:marRight w:val="0"/>
          <w:marTop w:val="0"/>
          <w:marBottom w:val="0"/>
          <w:divBdr>
            <w:top w:val="none" w:sz="0" w:space="0" w:color="auto"/>
            <w:left w:val="none" w:sz="0" w:space="0" w:color="auto"/>
            <w:bottom w:val="none" w:sz="0" w:space="0" w:color="auto"/>
            <w:right w:val="none" w:sz="0" w:space="0" w:color="auto"/>
          </w:divBdr>
        </w:div>
        <w:div w:id="7683638">
          <w:marLeft w:val="0"/>
          <w:marRight w:val="0"/>
          <w:marTop w:val="0"/>
          <w:marBottom w:val="0"/>
          <w:divBdr>
            <w:top w:val="none" w:sz="0" w:space="0" w:color="auto"/>
            <w:left w:val="none" w:sz="0" w:space="0" w:color="auto"/>
            <w:bottom w:val="none" w:sz="0" w:space="0" w:color="auto"/>
            <w:right w:val="none" w:sz="0" w:space="0" w:color="auto"/>
          </w:divBdr>
        </w:div>
      </w:divsChild>
    </w:div>
    <w:div w:id="1645238409">
      <w:bodyDiv w:val="1"/>
      <w:marLeft w:val="0"/>
      <w:marRight w:val="0"/>
      <w:marTop w:val="0"/>
      <w:marBottom w:val="0"/>
      <w:divBdr>
        <w:top w:val="none" w:sz="0" w:space="0" w:color="auto"/>
        <w:left w:val="none" w:sz="0" w:space="0" w:color="auto"/>
        <w:bottom w:val="none" w:sz="0" w:space="0" w:color="auto"/>
        <w:right w:val="none" w:sz="0" w:space="0" w:color="auto"/>
      </w:divBdr>
    </w:div>
    <w:div w:id="1777024321">
      <w:bodyDiv w:val="1"/>
      <w:marLeft w:val="0"/>
      <w:marRight w:val="0"/>
      <w:marTop w:val="0"/>
      <w:marBottom w:val="0"/>
      <w:divBdr>
        <w:top w:val="none" w:sz="0" w:space="0" w:color="auto"/>
        <w:left w:val="none" w:sz="0" w:space="0" w:color="auto"/>
        <w:bottom w:val="none" w:sz="0" w:space="0" w:color="auto"/>
        <w:right w:val="none" w:sz="0" w:space="0" w:color="auto"/>
      </w:divBdr>
    </w:div>
    <w:div w:id="1952661103">
      <w:bodyDiv w:val="1"/>
      <w:marLeft w:val="0"/>
      <w:marRight w:val="0"/>
      <w:marTop w:val="0"/>
      <w:marBottom w:val="0"/>
      <w:divBdr>
        <w:top w:val="none" w:sz="0" w:space="0" w:color="auto"/>
        <w:left w:val="none" w:sz="0" w:space="0" w:color="auto"/>
        <w:bottom w:val="none" w:sz="0" w:space="0" w:color="auto"/>
        <w:right w:val="none" w:sz="0" w:space="0" w:color="auto"/>
      </w:divBdr>
      <w:divsChild>
        <w:div w:id="274410659">
          <w:marLeft w:val="0"/>
          <w:marRight w:val="0"/>
          <w:marTop w:val="0"/>
          <w:marBottom w:val="0"/>
          <w:divBdr>
            <w:top w:val="none" w:sz="0" w:space="0" w:color="auto"/>
            <w:left w:val="none" w:sz="0" w:space="0" w:color="auto"/>
            <w:bottom w:val="none" w:sz="0" w:space="0" w:color="auto"/>
            <w:right w:val="none" w:sz="0" w:space="0" w:color="auto"/>
          </w:divBdr>
        </w:div>
        <w:div w:id="172690204">
          <w:marLeft w:val="0"/>
          <w:marRight w:val="0"/>
          <w:marTop w:val="0"/>
          <w:marBottom w:val="0"/>
          <w:divBdr>
            <w:top w:val="none" w:sz="0" w:space="0" w:color="auto"/>
            <w:left w:val="none" w:sz="0" w:space="0" w:color="auto"/>
            <w:bottom w:val="none" w:sz="0" w:space="0" w:color="auto"/>
            <w:right w:val="none" w:sz="0" w:space="0" w:color="auto"/>
          </w:divBdr>
        </w:div>
        <w:div w:id="1292057752">
          <w:marLeft w:val="0"/>
          <w:marRight w:val="0"/>
          <w:marTop w:val="0"/>
          <w:marBottom w:val="0"/>
          <w:divBdr>
            <w:top w:val="none" w:sz="0" w:space="0" w:color="auto"/>
            <w:left w:val="none" w:sz="0" w:space="0" w:color="auto"/>
            <w:bottom w:val="none" w:sz="0" w:space="0" w:color="auto"/>
            <w:right w:val="none" w:sz="0" w:space="0" w:color="auto"/>
          </w:divBdr>
        </w:div>
        <w:div w:id="571548529">
          <w:marLeft w:val="0"/>
          <w:marRight w:val="0"/>
          <w:marTop w:val="0"/>
          <w:marBottom w:val="0"/>
          <w:divBdr>
            <w:top w:val="none" w:sz="0" w:space="0" w:color="auto"/>
            <w:left w:val="none" w:sz="0" w:space="0" w:color="auto"/>
            <w:bottom w:val="none" w:sz="0" w:space="0" w:color="auto"/>
            <w:right w:val="none" w:sz="0" w:space="0" w:color="auto"/>
          </w:divBdr>
        </w:div>
        <w:div w:id="1065102763">
          <w:marLeft w:val="0"/>
          <w:marRight w:val="0"/>
          <w:marTop w:val="0"/>
          <w:marBottom w:val="0"/>
          <w:divBdr>
            <w:top w:val="none" w:sz="0" w:space="0" w:color="auto"/>
            <w:left w:val="none" w:sz="0" w:space="0" w:color="auto"/>
            <w:bottom w:val="none" w:sz="0" w:space="0" w:color="auto"/>
            <w:right w:val="none" w:sz="0" w:space="0" w:color="auto"/>
          </w:divBdr>
        </w:div>
        <w:div w:id="83889078">
          <w:marLeft w:val="0"/>
          <w:marRight w:val="0"/>
          <w:marTop w:val="0"/>
          <w:marBottom w:val="0"/>
          <w:divBdr>
            <w:top w:val="none" w:sz="0" w:space="0" w:color="auto"/>
            <w:left w:val="none" w:sz="0" w:space="0" w:color="auto"/>
            <w:bottom w:val="none" w:sz="0" w:space="0" w:color="auto"/>
            <w:right w:val="none" w:sz="0" w:space="0" w:color="auto"/>
          </w:divBdr>
        </w:div>
        <w:div w:id="1181776667">
          <w:marLeft w:val="0"/>
          <w:marRight w:val="0"/>
          <w:marTop w:val="0"/>
          <w:marBottom w:val="0"/>
          <w:divBdr>
            <w:top w:val="none" w:sz="0" w:space="0" w:color="auto"/>
            <w:left w:val="none" w:sz="0" w:space="0" w:color="auto"/>
            <w:bottom w:val="none" w:sz="0" w:space="0" w:color="auto"/>
            <w:right w:val="none" w:sz="0" w:space="0" w:color="auto"/>
          </w:divBdr>
        </w:div>
        <w:div w:id="1445466979">
          <w:marLeft w:val="0"/>
          <w:marRight w:val="0"/>
          <w:marTop w:val="0"/>
          <w:marBottom w:val="0"/>
          <w:divBdr>
            <w:top w:val="none" w:sz="0" w:space="0" w:color="auto"/>
            <w:left w:val="none" w:sz="0" w:space="0" w:color="auto"/>
            <w:bottom w:val="none" w:sz="0" w:space="0" w:color="auto"/>
            <w:right w:val="none" w:sz="0" w:space="0" w:color="auto"/>
          </w:divBdr>
        </w:div>
        <w:div w:id="1233082675">
          <w:marLeft w:val="0"/>
          <w:marRight w:val="0"/>
          <w:marTop w:val="0"/>
          <w:marBottom w:val="0"/>
          <w:divBdr>
            <w:top w:val="none" w:sz="0" w:space="0" w:color="auto"/>
            <w:left w:val="none" w:sz="0" w:space="0" w:color="auto"/>
            <w:bottom w:val="none" w:sz="0" w:space="0" w:color="auto"/>
            <w:right w:val="none" w:sz="0" w:space="0" w:color="auto"/>
          </w:divBdr>
        </w:div>
        <w:div w:id="703939587">
          <w:marLeft w:val="0"/>
          <w:marRight w:val="0"/>
          <w:marTop w:val="0"/>
          <w:marBottom w:val="0"/>
          <w:divBdr>
            <w:top w:val="none" w:sz="0" w:space="0" w:color="auto"/>
            <w:left w:val="none" w:sz="0" w:space="0" w:color="auto"/>
            <w:bottom w:val="none" w:sz="0" w:space="0" w:color="auto"/>
            <w:right w:val="none" w:sz="0" w:space="0" w:color="auto"/>
          </w:divBdr>
        </w:div>
        <w:div w:id="1130589107">
          <w:marLeft w:val="0"/>
          <w:marRight w:val="0"/>
          <w:marTop w:val="0"/>
          <w:marBottom w:val="0"/>
          <w:divBdr>
            <w:top w:val="none" w:sz="0" w:space="0" w:color="auto"/>
            <w:left w:val="none" w:sz="0" w:space="0" w:color="auto"/>
            <w:bottom w:val="none" w:sz="0" w:space="0" w:color="auto"/>
            <w:right w:val="none" w:sz="0" w:space="0" w:color="auto"/>
          </w:divBdr>
        </w:div>
        <w:div w:id="1640569869">
          <w:marLeft w:val="0"/>
          <w:marRight w:val="0"/>
          <w:marTop w:val="0"/>
          <w:marBottom w:val="0"/>
          <w:divBdr>
            <w:top w:val="none" w:sz="0" w:space="0" w:color="auto"/>
            <w:left w:val="none" w:sz="0" w:space="0" w:color="auto"/>
            <w:bottom w:val="none" w:sz="0" w:space="0" w:color="auto"/>
            <w:right w:val="none" w:sz="0" w:space="0" w:color="auto"/>
          </w:divBdr>
        </w:div>
        <w:div w:id="533542038">
          <w:marLeft w:val="0"/>
          <w:marRight w:val="0"/>
          <w:marTop w:val="0"/>
          <w:marBottom w:val="0"/>
          <w:divBdr>
            <w:top w:val="none" w:sz="0" w:space="0" w:color="auto"/>
            <w:left w:val="none" w:sz="0" w:space="0" w:color="auto"/>
            <w:bottom w:val="none" w:sz="0" w:space="0" w:color="auto"/>
            <w:right w:val="none" w:sz="0" w:space="0" w:color="auto"/>
          </w:divBdr>
        </w:div>
        <w:div w:id="2057267521">
          <w:marLeft w:val="0"/>
          <w:marRight w:val="0"/>
          <w:marTop w:val="0"/>
          <w:marBottom w:val="0"/>
          <w:divBdr>
            <w:top w:val="none" w:sz="0" w:space="0" w:color="auto"/>
            <w:left w:val="none" w:sz="0" w:space="0" w:color="auto"/>
            <w:bottom w:val="none" w:sz="0" w:space="0" w:color="auto"/>
            <w:right w:val="none" w:sz="0" w:space="0" w:color="auto"/>
          </w:divBdr>
        </w:div>
        <w:div w:id="471557780">
          <w:marLeft w:val="0"/>
          <w:marRight w:val="0"/>
          <w:marTop w:val="0"/>
          <w:marBottom w:val="0"/>
          <w:divBdr>
            <w:top w:val="none" w:sz="0" w:space="0" w:color="auto"/>
            <w:left w:val="none" w:sz="0" w:space="0" w:color="auto"/>
            <w:bottom w:val="none" w:sz="0" w:space="0" w:color="auto"/>
            <w:right w:val="none" w:sz="0" w:space="0" w:color="auto"/>
          </w:divBdr>
        </w:div>
        <w:div w:id="1484931476">
          <w:marLeft w:val="0"/>
          <w:marRight w:val="0"/>
          <w:marTop w:val="0"/>
          <w:marBottom w:val="0"/>
          <w:divBdr>
            <w:top w:val="none" w:sz="0" w:space="0" w:color="auto"/>
            <w:left w:val="none" w:sz="0" w:space="0" w:color="auto"/>
            <w:bottom w:val="none" w:sz="0" w:space="0" w:color="auto"/>
            <w:right w:val="none" w:sz="0" w:space="0" w:color="auto"/>
          </w:divBdr>
        </w:div>
        <w:div w:id="1514372653">
          <w:marLeft w:val="0"/>
          <w:marRight w:val="0"/>
          <w:marTop w:val="0"/>
          <w:marBottom w:val="0"/>
          <w:divBdr>
            <w:top w:val="none" w:sz="0" w:space="0" w:color="auto"/>
            <w:left w:val="none" w:sz="0" w:space="0" w:color="auto"/>
            <w:bottom w:val="none" w:sz="0" w:space="0" w:color="auto"/>
            <w:right w:val="none" w:sz="0" w:space="0" w:color="auto"/>
          </w:divBdr>
        </w:div>
        <w:div w:id="1081485888">
          <w:marLeft w:val="0"/>
          <w:marRight w:val="0"/>
          <w:marTop w:val="0"/>
          <w:marBottom w:val="0"/>
          <w:divBdr>
            <w:top w:val="none" w:sz="0" w:space="0" w:color="auto"/>
            <w:left w:val="none" w:sz="0" w:space="0" w:color="auto"/>
            <w:bottom w:val="none" w:sz="0" w:space="0" w:color="auto"/>
            <w:right w:val="none" w:sz="0" w:space="0" w:color="auto"/>
          </w:divBdr>
        </w:div>
        <w:div w:id="1683582056">
          <w:marLeft w:val="0"/>
          <w:marRight w:val="0"/>
          <w:marTop w:val="0"/>
          <w:marBottom w:val="0"/>
          <w:divBdr>
            <w:top w:val="none" w:sz="0" w:space="0" w:color="auto"/>
            <w:left w:val="none" w:sz="0" w:space="0" w:color="auto"/>
            <w:bottom w:val="none" w:sz="0" w:space="0" w:color="auto"/>
            <w:right w:val="none" w:sz="0" w:space="0" w:color="auto"/>
          </w:divBdr>
        </w:div>
      </w:divsChild>
    </w:div>
    <w:div w:id="2035034416">
      <w:bodyDiv w:val="1"/>
      <w:marLeft w:val="0"/>
      <w:marRight w:val="0"/>
      <w:marTop w:val="0"/>
      <w:marBottom w:val="0"/>
      <w:divBdr>
        <w:top w:val="none" w:sz="0" w:space="0" w:color="auto"/>
        <w:left w:val="none" w:sz="0" w:space="0" w:color="auto"/>
        <w:bottom w:val="none" w:sz="0" w:space="0" w:color="auto"/>
        <w:right w:val="none" w:sz="0" w:space="0" w:color="auto"/>
      </w:divBdr>
      <w:divsChild>
        <w:div w:id="916129602">
          <w:marLeft w:val="0"/>
          <w:marRight w:val="0"/>
          <w:marTop w:val="0"/>
          <w:marBottom w:val="0"/>
          <w:divBdr>
            <w:top w:val="none" w:sz="0" w:space="0" w:color="auto"/>
            <w:left w:val="none" w:sz="0" w:space="0" w:color="auto"/>
            <w:bottom w:val="none" w:sz="0" w:space="0" w:color="auto"/>
            <w:right w:val="none" w:sz="0" w:space="0" w:color="auto"/>
          </w:divBdr>
          <w:divsChild>
            <w:div w:id="1647011054">
              <w:marLeft w:val="0"/>
              <w:marRight w:val="0"/>
              <w:marTop w:val="0"/>
              <w:marBottom w:val="0"/>
              <w:divBdr>
                <w:top w:val="none" w:sz="0" w:space="0" w:color="auto"/>
                <w:left w:val="none" w:sz="0" w:space="0" w:color="auto"/>
                <w:bottom w:val="none" w:sz="0" w:space="0" w:color="auto"/>
                <w:right w:val="none" w:sz="0" w:space="0" w:color="auto"/>
              </w:divBdr>
            </w:div>
            <w:div w:id="536164337">
              <w:marLeft w:val="0"/>
              <w:marRight w:val="0"/>
              <w:marTop w:val="0"/>
              <w:marBottom w:val="0"/>
              <w:divBdr>
                <w:top w:val="none" w:sz="0" w:space="0" w:color="auto"/>
                <w:left w:val="none" w:sz="0" w:space="0" w:color="auto"/>
                <w:bottom w:val="none" w:sz="0" w:space="0" w:color="auto"/>
                <w:right w:val="none" w:sz="0" w:space="0" w:color="auto"/>
              </w:divBdr>
            </w:div>
            <w:div w:id="1043359367">
              <w:marLeft w:val="0"/>
              <w:marRight w:val="0"/>
              <w:marTop w:val="0"/>
              <w:marBottom w:val="0"/>
              <w:divBdr>
                <w:top w:val="none" w:sz="0" w:space="0" w:color="auto"/>
                <w:left w:val="none" w:sz="0" w:space="0" w:color="auto"/>
                <w:bottom w:val="none" w:sz="0" w:space="0" w:color="auto"/>
                <w:right w:val="none" w:sz="0" w:space="0" w:color="auto"/>
              </w:divBdr>
            </w:div>
            <w:div w:id="1768691278">
              <w:marLeft w:val="0"/>
              <w:marRight w:val="0"/>
              <w:marTop w:val="0"/>
              <w:marBottom w:val="0"/>
              <w:divBdr>
                <w:top w:val="none" w:sz="0" w:space="0" w:color="auto"/>
                <w:left w:val="none" w:sz="0" w:space="0" w:color="auto"/>
                <w:bottom w:val="none" w:sz="0" w:space="0" w:color="auto"/>
                <w:right w:val="none" w:sz="0" w:space="0" w:color="auto"/>
              </w:divBdr>
            </w:div>
            <w:div w:id="7323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sport/news/2014/docs/study-asser_e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c.europa.eu/sport/news/2014/docs/study-sor2014-final-report-gc-compatible_en.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mblingcommission.gov.uk/pdf/SBI-Action-Plan.pdf"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www.gamblingcommission.gov.uk/pdf/Betting%20integrity%20decision%20making%20framework.pdf" TargetMode="External"/><Relationship Id="rId4" Type="http://schemas.microsoft.com/office/2007/relationships/stylesWithEffects" Target="stylesWithEffects.xml"/><Relationship Id="rId9" Type="http://schemas.openxmlformats.org/officeDocument/2006/relationships/hyperlink" Target="http://www.eu-ssa.org/wp-content/uploads/Sports-Betting-Report-FINAL2.pdf" TargetMode="External"/><Relationship Id="rId14" Type="http://schemas.openxmlformats.org/officeDocument/2006/relationships/hyperlink" Target="http://www.asser.nl/media/2422/the-odds-of-matchfixing-report201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amblingcommission.gov.uk/Press/2015/Sports-betting-integrity-action-plan-published-today.aspx" TargetMode="External"/><Relationship Id="rId13" Type="http://schemas.openxmlformats.org/officeDocument/2006/relationships/hyperlink" Target="https://www.europol.europa.eu/content/results-largest-football-match-fixing-investigation-europe" TargetMode="External"/><Relationship Id="rId18" Type="http://schemas.openxmlformats.org/officeDocument/2006/relationships/hyperlink" Target="http://www.gamblingcommission.gov.uk/pdf/Protecting%20betting%20integrity.pdf" TargetMode="External"/><Relationship Id="rId26" Type="http://schemas.openxmlformats.org/officeDocument/2006/relationships/hyperlink" Target="http://www.communications.gov.au/__data/assets/pdf_file/0007/162277/Final_Report_-_Review_of_the_Interactive_Gambling_Act_2001.pdf" TargetMode="External"/><Relationship Id="rId39" Type="http://schemas.openxmlformats.org/officeDocument/2006/relationships/hyperlink" Target="http://www.bbc.co.uk/news/world-europe-18681119" TargetMode="External"/><Relationship Id="rId3" Type="http://schemas.openxmlformats.org/officeDocument/2006/relationships/hyperlink" Target="http://www.gamblingcommission.gov.uk/pdf/Betting%20integrity%20decision%20making%20framework.pdf" TargetMode="External"/><Relationship Id="rId21" Type="http://schemas.openxmlformats.org/officeDocument/2006/relationships/hyperlink" Target="http://www.aph.gov.au/Parliamentary_Business/Committees/Joint/Former_Committees/gamblingreform/completedinquires/2010-13/interactiveonlinegamblingadvertising/report/c11" TargetMode="External"/><Relationship Id="rId34" Type="http://schemas.openxmlformats.org/officeDocument/2006/relationships/hyperlink" Target="http://www.premier.vic.gov.au/images/stories/documents/mediareleases/2011/110803_Gleeson_Sports_Betting_Review.pdf" TargetMode="External"/><Relationship Id="rId42" Type="http://schemas.openxmlformats.org/officeDocument/2006/relationships/hyperlink" Target="http://www.bbc.co.uk/sport/0/athletics/34765444" TargetMode="External"/><Relationship Id="rId47" Type="http://schemas.openxmlformats.org/officeDocument/2006/relationships/hyperlink" Target="http://www.gamblingcommission.gov.uk/PDF/LCCP%20consolidated%20version%20-%20December%202011.pdf" TargetMode="External"/><Relationship Id="rId7" Type="http://schemas.openxmlformats.org/officeDocument/2006/relationships/hyperlink" Target="http://www.gamblingcommission.gov.uk/pdf/jau%20report%20-%20march%202013.pdf" TargetMode="External"/><Relationship Id="rId12" Type="http://schemas.openxmlformats.org/officeDocument/2006/relationships/hyperlink" Target="https://rm.coe.int/CoERMPublicCommonSearchServices/DisplayDCTMContent?documentId=09000016801cdd7e" TargetMode="External"/><Relationship Id="rId17" Type="http://schemas.openxmlformats.org/officeDocument/2006/relationships/hyperlink" Target="http://www.egrmagazine.com/news/gambling_commission_rejects_in-running_ban_proposal_" TargetMode="External"/><Relationship Id="rId25" Type="http://schemas.openxmlformats.org/officeDocument/2006/relationships/hyperlink" Target="http://www.communications.gov.au/__data/assets/pdf_file/0007/162277/Final_Report_-_Review_of_the_Interactive_Gambling_Act_2001.pdf" TargetMode="External"/><Relationship Id="rId33" Type="http://schemas.openxmlformats.org/officeDocument/2006/relationships/hyperlink" Target="http://ec.europa.eu/sport/news/2014/docs/study-sor2014-final-report-gc-compatible_en.pdf" TargetMode="External"/><Relationship Id="rId38" Type="http://schemas.openxmlformats.org/officeDocument/2006/relationships/hyperlink" Target="http://www.bbc.co.uk/news/world-europe-13914118" TargetMode="External"/><Relationship Id="rId46" Type="http://schemas.openxmlformats.org/officeDocument/2006/relationships/hyperlink" Target="http://www.gamblingcommission.gov.uk/pdf/Integrity%20in%20sports%20betting%20-%20issues%20paper%20-%20consultation%20-%20May%202007.pdf" TargetMode="External"/><Relationship Id="rId2" Type="http://schemas.openxmlformats.org/officeDocument/2006/relationships/hyperlink" Target="http://www.gamblingcommission.gov.uk/pdf/Latest-LCCP-and-Extracts/Licence-conditions-and-codes-of-practice.pdf" TargetMode="External"/><Relationship Id="rId16" Type="http://schemas.openxmlformats.org/officeDocument/2006/relationships/hyperlink" Target="http://www.gamblingcommission.gov.uk/pdf/Betting%20integrity%20policy%20position%20paper%20-%20March%202009.pdf" TargetMode="External"/><Relationship Id="rId20" Type="http://schemas.openxmlformats.org/officeDocument/2006/relationships/hyperlink" Target="http://www.aph.gov.au/Parliamentary_Business/Committees/Joint/Former_Committees/gamblingreform/completedinquires/2010-13/interactiveonlinegamblingadvertising/report/c10" TargetMode="External"/><Relationship Id="rId29" Type="http://schemas.openxmlformats.org/officeDocument/2006/relationships/hyperlink" Target="http://www.publications.parliament.uk/pa/cm201314/cmpublic/gambling/memo/gb08.htm" TargetMode="External"/><Relationship Id="rId41" Type="http://schemas.openxmlformats.org/officeDocument/2006/relationships/hyperlink" Target="http://sports.ndtv.com/football/news/169887-brazil-football-chiefs-hit-with-match-fixing-fines" TargetMode="External"/><Relationship Id="rId1" Type="http://schemas.openxmlformats.org/officeDocument/2006/relationships/hyperlink" Target="http://www.eu-ssa.org/wp-content/uploads/Eu-Atheltes_Erasmusfunding_2015_FINAL.pdf" TargetMode="External"/><Relationship Id="rId6" Type="http://schemas.openxmlformats.org/officeDocument/2006/relationships/hyperlink" Target="http://www.gamblingcommission.gov.uk/Gambling-data-analysis/statistics/Industry-statistics.aspx" TargetMode="External"/><Relationship Id="rId11" Type="http://schemas.openxmlformats.org/officeDocument/2006/relationships/hyperlink" Target="http://www.thedailystar.net/upload/gallery/pdf/bpl-full-verdict-file-.pdf" TargetMode="External"/><Relationship Id="rId24" Type="http://schemas.openxmlformats.org/officeDocument/2006/relationships/hyperlink" Target="http://assets.justice.vic.gov.au/justice/resources/5c9236e3-f37e-440d-ae53-4dc5fbdef7ef/sports_betting_review_2011_report.pdf" TargetMode="External"/><Relationship Id="rId32" Type="http://schemas.openxmlformats.org/officeDocument/2006/relationships/hyperlink" Target="http://ec.europa.eu/sport/news/2014/docs/study-sor2014-final-report-gc-compatible_en.pdf" TargetMode="External"/><Relationship Id="rId37" Type="http://schemas.openxmlformats.org/officeDocument/2006/relationships/hyperlink" Target="http://news.bbc.co.uk/sport1/hi/football/europe/5215242.stm" TargetMode="External"/><Relationship Id="rId40" Type="http://schemas.openxmlformats.org/officeDocument/2006/relationships/hyperlink" Target="http://www.bbc.co.uk/sport/0/football/22042549" TargetMode="External"/><Relationship Id="rId45" Type="http://schemas.openxmlformats.org/officeDocument/2006/relationships/hyperlink" Target="https://security.sportradar.com/sites/security.sportradar.com/files/Sportradar%20Security%20Services_World%20Match-Fixing-The%20Problem%20and%20the%20Solution.pdf" TargetMode="External"/><Relationship Id="rId5" Type="http://schemas.openxmlformats.org/officeDocument/2006/relationships/hyperlink" Target="http://www.eu-ssa.org/documents/" TargetMode="External"/><Relationship Id="rId15" Type="http://schemas.openxmlformats.org/officeDocument/2006/relationships/hyperlink" Target="http://www.gamblingcommission.gov.uk/pdf/Betting%20integrity%20policy%20position%20paper%20-%20March%202009.pdf" TargetMode="External"/><Relationship Id="rId23" Type="http://schemas.openxmlformats.org/officeDocument/2006/relationships/hyperlink" Target="http://www.aph.gov.au/Parliamentary_Business/Committees/Joint/Former_Committees/gamblingreform/completedinquires/2010-13/interactiveonlinegamblingadvertising/report/c11" TargetMode="External"/><Relationship Id="rId28" Type="http://schemas.openxmlformats.org/officeDocument/2006/relationships/hyperlink" Target="http://www.uefa.org/MultimediaFiles/Download/uefaorg/Clubs/01/93/51/24/1935124_DOWNLOAD.pdf" TargetMode="External"/><Relationship Id="rId36" Type="http://schemas.openxmlformats.org/officeDocument/2006/relationships/hyperlink" Target="http://ec.europa.eu/sport/news/2014/docs/study-sor2014-final-report-gc-compatible_en.pdf" TargetMode="External"/><Relationship Id="rId10" Type="http://schemas.openxmlformats.org/officeDocument/2006/relationships/hyperlink" Target="http://www.fifpro.org/en/don-t-fix-it/black-book" TargetMode="External"/><Relationship Id="rId19" Type="http://schemas.openxmlformats.org/officeDocument/2006/relationships/hyperlink" Target="http://www.aph.gov.au/Parliamentary_Business/Committees/Joint/Former_Committees/gamblingreform/completedinquires/2010-13/interactiveonlinegamblingadvertising/report/c10" TargetMode="External"/><Relationship Id="rId31" Type="http://schemas.openxmlformats.org/officeDocument/2006/relationships/hyperlink" Target="http://www.ivir.nl/publications/margoni/study_sports_organisers.pdf" TargetMode="External"/><Relationship Id="rId44" Type="http://schemas.openxmlformats.org/officeDocument/2006/relationships/hyperlink" Target="http://www.europarl.europa.eu/document/activities/cont/201209/20120925ATT52303/20120925ATT52303EN.pdf" TargetMode="External"/><Relationship Id="rId4" Type="http://schemas.openxmlformats.org/officeDocument/2006/relationships/hyperlink" Target="http://bookshop.europa.eu/en/study-on-risk-assessment-and-management-and-prevention-of-conflicts-of-interest-in-the-prevention-and-fight-against-betting-related-match-fixing-in-the-eu-28-pbNC0414716/?CatalogCategoryID=CdcKABstHUgAAAEjBJEY4e5L" TargetMode="External"/><Relationship Id="rId9" Type="http://schemas.openxmlformats.org/officeDocument/2006/relationships/hyperlink" Target="http://www.gamblingcommission.gov.uk/pdf/Business-plan-2015-2016.pdf" TargetMode="External"/><Relationship Id="rId14" Type="http://schemas.openxmlformats.org/officeDocument/2006/relationships/hyperlink" Target="http://www.asser.nl/media/2422/the-odds-of-matchfixing-report2015.pdf" TargetMode="External"/><Relationship Id="rId22" Type="http://schemas.openxmlformats.org/officeDocument/2006/relationships/hyperlink" Target="http://www.communications.gov.au/__data/assets/pdf_file/0007/162277/Final_Report_-_Review_of_the_Interactive_Gambling_Act_2001.pdf" TargetMode="External"/><Relationship Id="rId27" Type="http://schemas.openxmlformats.org/officeDocument/2006/relationships/hyperlink" Target="http://www.parliament.nsw.gov.au/prod/parlment/nswbills.nsf/0/1FE79E2A4241FD28CA257C9F00161786?Open&amp;shownotes" TargetMode="External"/><Relationship Id="rId30" Type="http://schemas.openxmlformats.org/officeDocument/2006/relationships/hyperlink" Target="http://www.ivir.nl/publicaties/download/1353" TargetMode="External"/><Relationship Id="rId35" Type="http://schemas.openxmlformats.org/officeDocument/2006/relationships/hyperlink" Target="http://ec.europa.eu/sport/news/2014/docs/study-sor2014-final-report-gc-compatible_en.pdf" TargetMode="External"/><Relationship Id="rId43" Type="http://schemas.openxmlformats.org/officeDocument/2006/relationships/hyperlink" Target="http://www.bbc.co.uk/news/world-europe-32897066" TargetMode="External"/><Relationship Id="rId48" Type="http://schemas.openxmlformats.org/officeDocument/2006/relationships/hyperlink" Target="http://www.gamblingcommission.gov.uk/gambling_sectors/betting/operating_licence_holders_-_wh/information_that_must_be_provi/reporting_suspicious_bets_to_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F26BB-B879-4BE3-9494-7850568E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3684</Words>
  <Characters>21003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jfoleytrain</dc:creator>
  <cp:lastModifiedBy>jfoleytrain</cp:lastModifiedBy>
  <cp:revision>2</cp:revision>
  <dcterms:created xsi:type="dcterms:W3CDTF">2015-11-10T12:40:00Z</dcterms:created>
  <dcterms:modified xsi:type="dcterms:W3CDTF">2015-11-10T12:40:00Z</dcterms:modified>
</cp:coreProperties>
</file>