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9E" w:rsidRDefault="00D1589E" w:rsidP="00B81DAF">
      <w:pPr>
        <w:spacing w:line="240" w:lineRule="auto"/>
        <w:jc w:val="center"/>
        <w:rPr>
          <w:b/>
          <w:sz w:val="28"/>
          <w:szCs w:val="28"/>
        </w:rPr>
      </w:pPr>
    </w:p>
    <w:p w:rsidR="00C264C6" w:rsidRPr="00D1589E" w:rsidRDefault="00C264C6" w:rsidP="00B81DAF">
      <w:pPr>
        <w:spacing w:line="240" w:lineRule="auto"/>
        <w:jc w:val="center"/>
        <w:rPr>
          <w:b/>
          <w:sz w:val="28"/>
          <w:szCs w:val="28"/>
        </w:rPr>
      </w:pPr>
      <w:r w:rsidRPr="00D1589E">
        <w:rPr>
          <w:b/>
          <w:sz w:val="28"/>
          <w:szCs w:val="28"/>
        </w:rPr>
        <w:t xml:space="preserve">Review </w:t>
      </w:r>
      <w:r w:rsidR="00ED57DA">
        <w:rPr>
          <w:b/>
          <w:sz w:val="28"/>
          <w:szCs w:val="28"/>
        </w:rPr>
        <w:t xml:space="preserve">– Impact of </w:t>
      </w:r>
      <w:r w:rsidRPr="00D1589E">
        <w:rPr>
          <w:b/>
          <w:sz w:val="28"/>
          <w:szCs w:val="28"/>
        </w:rPr>
        <w:t xml:space="preserve">Illegal Offshore </w:t>
      </w:r>
      <w:r w:rsidR="00ED57DA">
        <w:rPr>
          <w:b/>
          <w:sz w:val="28"/>
          <w:szCs w:val="28"/>
        </w:rPr>
        <w:t>Wagering</w:t>
      </w:r>
    </w:p>
    <w:p w:rsidR="00733462" w:rsidRPr="00D1589E" w:rsidRDefault="00FE5C85" w:rsidP="00B81DAF">
      <w:pPr>
        <w:spacing w:line="240" w:lineRule="auto"/>
        <w:jc w:val="center"/>
        <w:rPr>
          <w:b/>
          <w:sz w:val="28"/>
          <w:szCs w:val="28"/>
        </w:rPr>
      </w:pPr>
      <w:r w:rsidRPr="00D1589E">
        <w:rPr>
          <w:b/>
          <w:sz w:val="28"/>
          <w:szCs w:val="28"/>
        </w:rPr>
        <w:t xml:space="preserve">Submission </w:t>
      </w:r>
      <w:r>
        <w:rPr>
          <w:b/>
          <w:sz w:val="28"/>
          <w:szCs w:val="28"/>
        </w:rPr>
        <w:t xml:space="preserve">from the </w:t>
      </w:r>
      <w:r w:rsidR="00D35F5E" w:rsidRPr="00D1589E">
        <w:rPr>
          <w:b/>
          <w:sz w:val="28"/>
          <w:szCs w:val="28"/>
        </w:rPr>
        <w:t>N</w:t>
      </w:r>
      <w:r w:rsidR="00C264C6" w:rsidRPr="00D1589E">
        <w:rPr>
          <w:b/>
          <w:sz w:val="28"/>
          <w:szCs w:val="28"/>
        </w:rPr>
        <w:t>ational Integrity of Sport Unit</w:t>
      </w:r>
      <w:r>
        <w:rPr>
          <w:b/>
          <w:sz w:val="28"/>
          <w:szCs w:val="28"/>
        </w:rPr>
        <w:t xml:space="preserve"> - Department of Health</w:t>
      </w:r>
    </w:p>
    <w:p w:rsidR="00D24910" w:rsidRPr="00A157C1" w:rsidRDefault="00D24910" w:rsidP="00B81DAF">
      <w:pPr>
        <w:spacing w:line="240" w:lineRule="auto"/>
        <w:jc w:val="center"/>
        <w:rPr>
          <w:b/>
          <w:sz w:val="24"/>
          <w:szCs w:val="24"/>
        </w:rPr>
      </w:pPr>
    </w:p>
    <w:p w:rsidR="00D941A0" w:rsidRPr="00A157C1" w:rsidRDefault="00D941A0" w:rsidP="00B81DAF">
      <w:pPr>
        <w:spacing w:line="240" w:lineRule="auto"/>
        <w:rPr>
          <w:b/>
          <w:color w:val="4F81BD" w:themeColor="accent1"/>
          <w:sz w:val="24"/>
          <w:szCs w:val="24"/>
          <w:u w:val="single"/>
        </w:rPr>
      </w:pPr>
      <w:r w:rsidRPr="00A157C1">
        <w:rPr>
          <w:b/>
          <w:color w:val="4F81BD" w:themeColor="accent1"/>
          <w:sz w:val="24"/>
          <w:szCs w:val="24"/>
          <w:u w:val="single"/>
        </w:rPr>
        <w:t>Executive Summary</w:t>
      </w:r>
    </w:p>
    <w:p w:rsidR="00F84CC0" w:rsidRPr="00A157C1" w:rsidRDefault="00DB3A27" w:rsidP="00B81DAF">
      <w:pPr>
        <w:spacing w:line="240" w:lineRule="auto"/>
        <w:rPr>
          <w:sz w:val="24"/>
          <w:szCs w:val="24"/>
        </w:rPr>
      </w:pPr>
      <w:r w:rsidRPr="00A157C1">
        <w:rPr>
          <w:sz w:val="24"/>
          <w:szCs w:val="24"/>
        </w:rPr>
        <w:t>While noting t</w:t>
      </w:r>
      <w:r w:rsidR="00F84CC0" w:rsidRPr="00A157C1">
        <w:rPr>
          <w:sz w:val="24"/>
          <w:szCs w:val="24"/>
        </w:rPr>
        <w:t>he Review’s wide-ranging scope and terms of reference</w:t>
      </w:r>
      <w:r w:rsidR="00767721">
        <w:rPr>
          <w:sz w:val="24"/>
          <w:szCs w:val="24"/>
        </w:rPr>
        <w:t>, and acknowledging t</w:t>
      </w:r>
      <w:r w:rsidR="009725D3">
        <w:rPr>
          <w:sz w:val="24"/>
          <w:szCs w:val="24"/>
        </w:rPr>
        <w:t xml:space="preserve">he submissions provided will assist the Review team to </w:t>
      </w:r>
      <w:r w:rsidR="00767721">
        <w:rPr>
          <w:sz w:val="24"/>
          <w:szCs w:val="24"/>
        </w:rPr>
        <w:t>formulate final recommendations,</w:t>
      </w:r>
      <w:r w:rsidR="009725D3">
        <w:rPr>
          <w:sz w:val="24"/>
          <w:szCs w:val="24"/>
        </w:rPr>
        <w:t xml:space="preserve"> this submission presents a current assessment of the sports wagering market and implications for sports integrity</w:t>
      </w:r>
      <w:r w:rsidR="00767721">
        <w:rPr>
          <w:sz w:val="24"/>
          <w:szCs w:val="24"/>
        </w:rPr>
        <w:t>.  Noting the Review’s final recommendations will be provided to Government for consideration and potential development of a policy response, this submission does not represent or pre-empt a</w:t>
      </w:r>
      <w:r w:rsidR="00FE5C85">
        <w:rPr>
          <w:sz w:val="24"/>
          <w:szCs w:val="24"/>
        </w:rPr>
        <w:t>ny</w:t>
      </w:r>
      <w:r w:rsidR="00767721">
        <w:rPr>
          <w:sz w:val="24"/>
          <w:szCs w:val="24"/>
        </w:rPr>
        <w:t xml:space="preserve"> formal Government position</w:t>
      </w:r>
      <w:r w:rsidR="00765483">
        <w:rPr>
          <w:sz w:val="24"/>
          <w:szCs w:val="24"/>
        </w:rPr>
        <w:t>.</w:t>
      </w:r>
    </w:p>
    <w:p w:rsidR="00A620F6" w:rsidRPr="00A157C1" w:rsidRDefault="00D941A0" w:rsidP="00B81DAF">
      <w:pPr>
        <w:spacing w:line="240" w:lineRule="auto"/>
        <w:rPr>
          <w:rFonts w:eastAsia="Times New Roman" w:cs="Times New Roman"/>
          <w:color w:val="000000" w:themeColor="text1"/>
          <w:sz w:val="24"/>
          <w:szCs w:val="24"/>
        </w:rPr>
      </w:pPr>
      <w:r w:rsidRPr="00A157C1">
        <w:rPr>
          <w:sz w:val="24"/>
          <w:szCs w:val="24"/>
        </w:rPr>
        <w:t xml:space="preserve">Australia has a </w:t>
      </w:r>
      <w:r w:rsidR="00E81CCB" w:rsidRPr="00A157C1">
        <w:rPr>
          <w:sz w:val="24"/>
          <w:szCs w:val="24"/>
        </w:rPr>
        <w:t>global</w:t>
      </w:r>
      <w:r w:rsidR="00DF387A" w:rsidRPr="00A157C1">
        <w:rPr>
          <w:sz w:val="24"/>
          <w:szCs w:val="24"/>
        </w:rPr>
        <w:t xml:space="preserve"> </w:t>
      </w:r>
      <w:r w:rsidRPr="00A157C1">
        <w:rPr>
          <w:sz w:val="24"/>
          <w:szCs w:val="24"/>
        </w:rPr>
        <w:t xml:space="preserve">reputation </w:t>
      </w:r>
      <w:r w:rsidR="008C7411" w:rsidRPr="00A157C1">
        <w:rPr>
          <w:sz w:val="24"/>
          <w:szCs w:val="24"/>
        </w:rPr>
        <w:t xml:space="preserve">for </w:t>
      </w:r>
      <w:r w:rsidR="00A061EE" w:rsidRPr="00A157C1">
        <w:rPr>
          <w:sz w:val="24"/>
          <w:szCs w:val="24"/>
        </w:rPr>
        <w:t xml:space="preserve">a </w:t>
      </w:r>
      <w:r w:rsidR="008C7411" w:rsidRPr="00A157C1">
        <w:rPr>
          <w:sz w:val="24"/>
          <w:szCs w:val="24"/>
        </w:rPr>
        <w:t>strong and</w:t>
      </w:r>
      <w:r w:rsidR="00E81CCB" w:rsidRPr="00A157C1">
        <w:rPr>
          <w:sz w:val="24"/>
          <w:szCs w:val="24"/>
        </w:rPr>
        <w:t xml:space="preserve"> </w:t>
      </w:r>
      <w:r w:rsidRPr="00A157C1">
        <w:rPr>
          <w:sz w:val="24"/>
          <w:szCs w:val="24"/>
        </w:rPr>
        <w:t>inclusive sporting culture</w:t>
      </w:r>
      <w:r w:rsidR="00E81CCB" w:rsidRPr="00A157C1">
        <w:rPr>
          <w:sz w:val="24"/>
          <w:szCs w:val="24"/>
        </w:rPr>
        <w:t>,</w:t>
      </w:r>
      <w:r w:rsidRPr="00A157C1">
        <w:rPr>
          <w:sz w:val="24"/>
          <w:szCs w:val="24"/>
        </w:rPr>
        <w:t xml:space="preserve"> </w:t>
      </w:r>
      <w:r w:rsidR="008C7411" w:rsidRPr="00A157C1">
        <w:rPr>
          <w:sz w:val="24"/>
          <w:szCs w:val="24"/>
        </w:rPr>
        <w:t xml:space="preserve">fair </w:t>
      </w:r>
      <w:r w:rsidR="00DF387A" w:rsidRPr="00A157C1">
        <w:rPr>
          <w:sz w:val="24"/>
          <w:szCs w:val="24"/>
        </w:rPr>
        <w:t xml:space="preserve">competition </w:t>
      </w:r>
      <w:r w:rsidR="008C7411" w:rsidRPr="00A157C1">
        <w:rPr>
          <w:sz w:val="24"/>
          <w:szCs w:val="24"/>
        </w:rPr>
        <w:t xml:space="preserve">and </w:t>
      </w:r>
      <w:r w:rsidRPr="00A157C1">
        <w:rPr>
          <w:sz w:val="24"/>
          <w:szCs w:val="24"/>
        </w:rPr>
        <w:t>honest performance</w:t>
      </w:r>
      <w:r w:rsidR="00DF387A" w:rsidRPr="00A157C1">
        <w:rPr>
          <w:sz w:val="24"/>
          <w:szCs w:val="24"/>
        </w:rPr>
        <w:t xml:space="preserve">, and a commitment to </w:t>
      </w:r>
      <w:r w:rsidR="003F5135" w:rsidRPr="00A157C1">
        <w:rPr>
          <w:sz w:val="24"/>
          <w:szCs w:val="24"/>
        </w:rPr>
        <w:t xml:space="preserve">sports </w:t>
      </w:r>
      <w:r w:rsidR="00DF387A" w:rsidRPr="00A157C1">
        <w:rPr>
          <w:sz w:val="24"/>
          <w:szCs w:val="24"/>
        </w:rPr>
        <w:t>integrity</w:t>
      </w:r>
      <w:r w:rsidRPr="00A157C1">
        <w:rPr>
          <w:sz w:val="24"/>
          <w:szCs w:val="24"/>
        </w:rPr>
        <w:t>.</w:t>
      </w:r>
      <w:r w:rsidRPr="00A157C1">
        <w:rPr>
          <w:rFonts w:eastAsia="Times New Roman" w:cs="Times New Roman"/>
          <w:color w:val="000000" w:themeColor="text1"/>
          <w:sz w:val="24"/>
          <w:szCs w:val="24"/>
        </w:rPr>
        <w:t xml:space="preserve">  Th</w:t>
      </w:r>
      <w:r w:rsidR="00575A4C" w:rsidRPr="00A157C1">
        <w:rPr>
          <w:rFonts w:eastAsia="Times New Roman" w:cs="Times New Roman"/>
          <w:color w:val="000000" w:themeColor="text1"/>
          <w:sz w:val="24"/>
          <w:szCs w:val="24"/>
        </w:rPr>
        <w:t xml:space="preserve">e latter in particular is due to </w:t>
      </w:r>
      <w:r w:rsidR="007C5026" w:rsidRPr="00A157C1">
        <w:rPr>
          <w:rFonts w:eastAsia="Times New Roman" w:cs="Times New Roman"/>
          <w:color w:val="000000" w:themeColor="text1"/>
          <w:sz w:val="24"/>
          <w:szCs w:val="24"/>
        </w:rPr>
        <w:t xml:space="preserve">Australia’s introduction </w:t>
      </w:r>
      <w:r w:rsidR="00765483" w:rsidRPr="00A157C1">
        <w:rPr>
          <w:rFonts w:eastAsia="Times New Roman" w:cs="Times New Roman"/>
          <w:color w:val="000000" w:themeColor="text1"/>
          <w:sz w:val="24"/>
          <w:szCs w:val="24"/>
        </w:rPr>
        <w:t xml:space="preserve">in 2011 </w:t>
      </w:r>
      <w:r w:rsidR="007C5026" w:rsidRPr="00A157C1">
        <w:rPr>
          <w:rFonts w:eastAsia="Times New Roman" w:cs="Times New Roman"/>
          <w:color w:val="000000" w:themeColor="text1"/>
          <w:sz w:val="24"/>
          <w:szCs w:val="24"/>
        </w:rPr>
        <w:t>of the</w:t>
      </w:r>
      <w:r w:rsidRPr="00A157C1">
        <w:rPr>
          <w:rFonts w:eastAsia="Times New Roman" w:cs="Times New Roman"/>
          <w:color w:val="000000" w:themeColor="text1"/>
          <w:sz w:val="24"/>
          <w:szCs w:val="24"/>
        </w:rPr>
        <w:t xml:space="preserve"> </w:t>
      </w:r>
      <w:r w:rsidRPr="00A157C1">
        <w:rPr>
          <w:rFonts w:eastAsia="Times New Roman" w:cs="Times New Roman"/>
          <w:i/>
          <w:color w:val="000000" w:themeColor="text1"/>
          <w:sz w:val="24"/>
          <w:szCs w:val="24"/>
        </w:rPr>
        <w:t>National Policy on Match-Fixing in Sport</w:t>
      </w:r>
      <w:r w:rsidR="007C5026" w:rsidRPr="00A157C1">
        <w:rPr>
          <w:rFonts w:eastAsia="Times New Roman" w:cs="Times New Roman"/>
          <w:i/>
          <w:color w:val="000000" w:themeColor="text1"/>
          <w:sz w:val="24"/>
          <w:szCs w:val="24"/>
        </w:rPr>
        <w:t xml:space="preserve"> </w:t>
      </w:r>
      <w:r w:rsidR="00B81DAF" w:rsidRPr="00A157C1">
        <w:rPr>
          <w:rFonts w:eastAsia="Times New Roman" w:cs="Times New Roman"/>
          <w:color w:val="000000" w:themeColor="text1"/>
          <w:sz w:val="24"/>
          <w:szCs w:val="24"/>
        </w:rPr>
        <w:t>and formation of</w:t>
      </w:r>
      <w:r w:rsidR="00DF387A" w:rsidRPr="00A157C1">
        <w:rPr>
          <w:rFonts w:eastAsia="Times New Roman" w:cs="Times New Roman"/>
          <w:color w:val="000000" w:themeColor="text1"/>
          <w:sz w:val="24"/>
          <w:szCs w:val="24"/>
        </w:rPr>
        <w:t xml:space="preserve"> a d</w:t>
      </w:r>
      <w:r w:rsidR="007C5026" w:rsidRPr="00A157C1">
        <w:rPr>
          <w:rFonts w:eastAsia="Times New Roman" w:cs="Times New Roman"/>
          <w:color w:val="000000" w:themeColor="text1"/>
          <w:sz w:val="24"/>
          <w:szCs w:val="24"/>
        </w:rPr>
        <w:t>edicated national sports integrity unit</w:t>
      </w:r>
      <w:r w:rsidR="00A620F6" w:rsidRPr="00A157C1">
        <w:rPr>
          <w:rFonts w:eastAsia="Times New Roman" w:cs="Times New Roman"/>
          <w:color w:val="000000" w:themeColor="text1"/>
          <w:sz w:val="24"/>
          <w:szCs w:val="24"/>
        </w:rPr>
        <w:t>, allowing for a co-ordinated response to the range of connected integrity threats including match-fixing, dopi</w:t>
      </w:r>
      <w:r w:rsidR="00765483">
        <w:rPr>
          <w:rFonts w:eastAsia="Times New Roman" w:cs="Times New Roman"/>
          <w:color w:val="000000" w:themeColor="text1"/>
          <w:sz w:val="24"/>
          <w:szCs w:val="24"/>
        </w:rPr>
        <w:t>ng, illicit drug supply and use</w:t>
      </w:r>
      <w:r w:rsidR="00A620F6" w:rsidRPr="00A157C1">
        <w:rPr>
          <w:rFonts w:eastAsia="Times New Roman" w:cs="Times New Roman"/>
          <w:color w:val="000000" w:themeColor="text1"/>
          <w:sz w:val="24"/>
          <w:szCs w:val="24"/>
        </w:rPr>
        <w:t>, criminal infiltration of sport, and participant welfare issues</w:t>
      </w:r>
      <w:r w:rsidR="00765483">
        <w:rPr>
          <w:rFonts w:eastAsia="Times New Roman" w:cs="Times New Roman"/>
          <w:color w:val="000000" w:themeColor="text1"/>
          <w:sz w:val="24"/>
          <w:szCs w:val="24"/>
        </w:rPr>
        <w:t>.</w:t>
      </w:r>
    </w:p>
    <w:p w:rsidR="00C61C91" w:rsidRPr="00A157C1" w:rsidRDefault="007C5026" w:rsidP="00B81DAF">
      <w:pPr>
        <w:spacing w:line="240" w:lineRule="auto"/>
        <w:rPr>
          <w:rFonts w:eastAsia="Times New Roman" w:cs="Times New Roman"/>
          <w:color w:val="000000" w:themeColor="text1"/>
          <w:sz w:val="24"/>
          <w:szCs w:val="24"/>
        </w:rPr>
      </w:pPr>
      <w:r w:rsidRPr="00A157C1">
        <w:rPr>
          <w:rFonts w:eastAsia="Times New Roman" w:cs="Times New Roman"/>
          <w:color w:val="000000" w:themeColor="text1"/>
          <w:sz w:val="24"/>
          <w:szCs w:val="24"/>
        </w:rPr>
        <w:t xml:space="preserve">These initiatives were seen as setting a new global standard </w:t>
      </w:r>
      <w:r w:rsidR="00575A4C" w:rsidRPr="00A157C1">
        <w:rPr>
          <w:rFonts w:eastAsia="Times New Roman" w:cs="Times New Roman"/>
          <w:color w:val="000000" w:themeColor="text1"/>
          <w:sz w:val="24"/>
          <w:szCs w:val="24"/>
        </w:rPr>
        <w:t>for sports integrity</w:t>
      </w:r>
      <w:r w:rsidR="00A061EE" w:rsidRPr="00A157C1">
        <w:rPr>
          <w:rFonts w:eastAsia="Times New Roman" w:cs="Times New Roman"/>
          <w:color w:val="000000" w:themeColor="text1"/>
          <w:sz w:val="24"/>
          <w:szCs w:val="24"/>
        </w:rPr>
        <w:t>,</w:t>
      </w:r>
      <w:r w:rsidR="00575A4C" w:rsidRPr="00A157C1">
        <w:rPr>
          <w:rFonts w:eastAsia="Times New Roman" w:cs="Times New Roman"/>
          <w:color w:val="000000" w:themeColor="text1"/>
          <w:sz w:val="24"/>
          <w:szCs w:val="24"/>
        </w:rPr>
        <w:t xml:space="preserve"> </w:t>
      </w:r>
      <w:r w:rsidRPr="00A157C1">
        <w:rPr>
          <w:rFonts w:eastAsia="Times New Roman" w:cs="Times New Roman"/>
          <w:color w:val="000000" w:themeColor="text1"/>
          <w:sz w:val="24"/>
          <w:szCs w:val="24"/>
        </w:rPr>
        <w:t xml:space="preserve">and an early and definitive response to the rising threat of sports corruption, particularly match-fixing.  </w:t>
      </w:r>
      <w:r w:rsidR="00A061EE" w:rsidRPr="00A157C1">
        <w:rPr>
          <w:rFonts w:eastAsia="Times New Roman" w:cs="Times New Roman"/>
          <w:color w:val="000000" w:themeColor="text1"/>
          <w:sz w:val="24"/>
          <w:szCs w:val="24"/>
        </w:rPr>
        <w:t xml:space="preserve">Many nations and sports administration bodies considered them benchmarks in the formulation of their own </w:t>
      </w:r>
      <w:r w:rsidR="00765483">
        <w:rPr>
          <w:rFonts w:eastAsia="Times New Roman" w:cs="Times New Roman"/>
          <w:color w:val="000000" w:themeColor="text1"/>
          <w:sz w:val="24"/>
          <w:szCs w:val="24"/>
        </w:rPr>
        <w:t xml:space="preserve">sports </w:t>
      </w:r>
      <w:r w:rsidR="00A061EE" w:rsidRPr="00A157C1">
        <w:rPr>
          <w:rFonts w:eastAsia="Times New Roman" w:cs="Times New Roman"/>
          <w:color w:val="000000" w:themeColor="text1"/>
          <w:sz w:val="24"/>
          <w:szCs w:val="24"/>
        </w:rPr>
        <w:t>integrity frameworks.</w:t>
      </w:r>
      <w:r w:rsidR="00412BDC">
        <w:rPr>
          <w:rFonts w:eastAsia="Times New Roman" w:cs="Times New Roman"/>
          <w:color w:val="000000" w:themeColor="text1"/>
          <w:sz w:val="24"/>
          <w:szCs w:val="24"/>
        </w:rPr>
        <w:t xml:space="preserve"> </w:t>
      </w:r>
      <w:r w:rsidR="00A061EE" w:rsidRPr="00A157C1">
        <w:rPr>
          <w:rFonts w:eastAsia="Times New Roman" w:cs="Times New Roman"/>
          <w:color w:val="000000" w:themeColor="text1"/>
          <w:sz w:val="24"/>
          <w:szCs w:val="24"/>
        </w:rPr>
        <w:t xml:space="preserve"> </w:t>
      </w:r>
      <w:r w:rsidRPr="00A157C1">
        <w:rPr>
          <w:rFonts w:eastAsia="Times New Roman" w:cs="Times New Roman"/>
          <w:color w:val="000000" w:themeColor="text1"/>
          <w:sz w:val="24"/>
          <w:szCs w:val="24"/>
        </w:rPr>
        <w:t xml:space="preserve">Continuing revelations about the extent and sophistication of global match-fixing activities have underlined the </w:t>
      </w:r>
      <w:r w:rsidR="00C72942">
        <w:rPr>
          <w:rFonts w:eastAsia="Times New Roman" w:cs="Times New Roman"/>
          <w:color w:val="000000" w:themeColor="text1"/>
          <w:sz w:val="24"/>
          <w:szCs w:val="24"/>
        </w:rPr>
        <w:t>value of a stron</w:t>
      </w:r>
      <w:r w:rsidR="00765483">
        <w:rPr>
          <w:rFonts w:eastAsia="Times New Roman" w:cs="Times New Roman"/>
          <w:color w:val="000000" w:themeColor="text1"/>
          <w:sz w:val="24"/>
          <w:szCs w:val="24"/>
        </w:rPr>
        <w:t>g sports integrity capability.</w:t>
      </w:r>
    </w:p>
    <w:p w:rsidR="00FE5C85" w:rsidRDefault="00C72942" w:rsidP="00B81DAF">
      <w:pPr>
        <w:spacing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Since 2011 there has been </w:t>
      </w:r>
      <w:r w:rsidR="00C61C91" w:rsidRPr="00A157C1">
        <w:rPr>
          <w:rFonts w:eastAsia="Times New Roman" w:cs="Times New Roman"/>
          <w:color w:val="000000" w:themeColor="text1"/>
          <w:sz w:val="24"/>
          <w:szCs w:val="24"/>
        </w:rPr>
        <w:t>further deterioration of</w:t>
      </w:r>
      <w:r w:rsidR="0093573D" w:rsidRPr="00A157C1">
        <w:rPr>
          <w:rFonts w:eastAsia="Times New Roman" w:cs="Times New Roman"/>
          <w:color w:val="000000" w:themeColor="text1"/>
          <w:sz w:val="24"/>
          <w:szCs w:val="24"/>
        </w:rPr>
        <w:t xml:space="preserve"> the </w:t>
      </w:r>
      <w:r w:rsidR="00C61C91" w:rsidRPr="00A157C1">
        <w:rPr>
          <w:rFonts w:eastAsia="Times New Roman" w:cs="Times New Roman"/>
          <w:color w:val="000000" w:themeColor="text1"/>
          <w:sz w:val="24"/>
          <w:szCs w:val="24"/>
        </w:rPr>
        <w:t xml:space="preserve">global </w:t>
      </w:r>
      <w:r w:rsidR="0093573D" w:rsidRPr="00A157C1">
        <w:rPr>
          <w:rFonts w:eastAsia="Times New Roman" w:cs="Times New Roman"/>
          <w:color w:val="000000" w:themeColor="text1"/>
          <w:sz w:val="24"/>
          <w:szCs w:val="24"/>
        </w:rPr>
        <w:t>sports integrity environment</w:t>
      </w:r>
      <w:r w:rsidR="00837955">
        <w:rPr>
          <w:rFonts w:eastAsia="Times New Roman" w:cs="Times New Roman"/>
          <w:color w:val="000000" w:themeColor="text1"/>
          <w:sz w:val="24"/>
          <w:szCs w:val="24"/>
        </w:rPr>
        <w:t>.</w:t>
      </w:r>
      <w:r w:rsidR="0093573D" w:rsidRPr="00A157C1">
        <w:rPr>
          <w:rFonts w:eastAsia="Times New Roman" w:cs="Times New Roman"/>
          <w:color w:val="000000" w:themeColor="text1"/>
          <w:sz w:val="24"/>
          <w:szCs w:val="24"/>
        </w:rPr>
        <w:t xml:space="preserve"> </w:t>
      </w:r>
      <w:r w:rsidR="00765483">
        <w:rPr>
          <w:rFonts w:eastAsia="Times New Roman" w:cs="Times New Roman"/>
          <w:color w:val="000000" w:themeColor="text1"/>
          <w:sz w:val="24"/>
          <w:szCs w:val="24"/>
        </w:rPr>
        <w:t xml:space="preserve"> </w:t>
      </w:r>
      <w:r w:rsidR="00837955">
        <w:rPr>
          <w:rFonts w:eastAsia="Times New Roman" w:cs="Times New Roman"/>
          <w:color w:val="000000" w:themeColor="text1"/>
          <w:sz w:val="24"/>
          <w:szCs w:val="24"/>
        </w:rPr>
        <w:t>T</w:t>
      </w:r>
      <w:r w:rsidR="00936874">
        <w:rPr>
          <w:rFonts w:eastAsia="Times New Roman" w:cs="Times New Roman"/>
          <w:color w:val="000000" w:themeColor="text1"/>
          <w:sz w:val="24"/>
          <w:szCs w:val="24"/>
        </w:rPr>
        <w:t>he</w:t>
      </w:r>
      <w:r w:rsidR="00D844E6" w:rsidRPr="00A157C1">
        <w:rPr>
          <w:rFonts w:eastAsia="Times New Roman" w:cs="Times New Roman"/>
          <w:color w:val="000000" w:themeColor="text1"/>
          <w:sz w:val="24"/>
          <w:szCs w:val="24"/>
        </w:rPr>
        <w:t xml:space="preserve"> major external </w:t>
      </w:r>
      <w:r w:rsidR="00743322" w:rsidRPr="00A157C1">
        <w:rPr>
          <w:rFonts w:eastAsia="Times New Roman" w:cs="Times New Roman"/>
          <w:color w:val="000000" w:themeColor="text1"/>
          <w:sz w:val="24"/>
          <w:szCs w:val="24"/>
        </w:rPr>
        <w:t>development</w:t>
      </w:r>
      <w:r w:rsidR="00D844E6" w:rsidRPr="00A157C1">
        <w:rPr>
          <w:rFonts w:eastAsia="Times New Roman" w:cs="Times New Roman"/>
          <w:color w:val="000000" w:themeColor="text1"/>
          <w:sz w:val="24"/>
          <w:szCs w:val="24"/>
        </w:rPr>
        <w:t xml:space="preserve"> has been the</w:t>
      </w:r>
      <w:r w:rsidR="007C5026" w:rsidRPr="00A157C1">
        <w:rPr>
          <w:rFonts w:eastAsia="Times New Roman" w:cs="Times New Roman"/>
          <w:color w:val="000000" w:themeColor="text1"/>
          <w:sz w:val="24"/>
          <w:szCs w:val="24"/>
        </w:rPr>
        <w:t xml:space="preserve"> unprecedented expansion of the size and accessibility of </w:t>
      </w:r>
      <w:r w:rsidR="00471E82" w:rsidRPr="00A157C1">
        <w:rPr>
          <w:rFonts w:eastAsia="Times New Roman" w:cs="Times New Roman"/>
          <w:color w:val="000000" w:themeColor="text1"/>
          <w:sz w:val="24"/>
          <w:szCs w:val="24"/>
        </w:rPr>
        <w:t>partially</w:t>
      </w:r>
      <w:r w:rsidR="00412BDC">
        <w:rPr>
          <w:rFonts w:eastAsia="Times New Roman" w:cs="Times New Roman"/>
          <w:color w:val="000000" w:themeColor="text1"/>
          <w:sz w:val="24"/>
          <w:szCs w:val="24"/>
        </w:rPr>
        <w:t>-</w:t>
      </w:r>
      <w:r w:rsidR="00471E82" w:rsidRPr="00A157C1">
        <w:rPr>
          <w:rFonts w:eastAsia="Times New Roman" w:cs="Times New Roman"/>
          <w:color w:val="000000" w:themeColor="text1"/>
          <w:sz w:val="24"/>
          <w:szCs w:val="24"/>
        </w:rPr>
        <w:t xml:space="preserve">regulated and </w:t>
      </w:r>
      <w:r w:rsidR="00765483">
        <w:rPr>
          <w:rFonts w:eastAsia="Times New Roman" w:cs="Times New Roman"/>
          <w:color w:val="000000" w:themeColor="text1"/>
          <w:sz w:val="24"/>
          <w:szCs w:val="24"/>
        </w:rPr>
        <w:t xml:space="preserve">totally </w:t>
      </w:r>
      <w:r w:rsidR="00471E82" w:rsidRPr="00A157C1">
        <w:rPr>
          <w:rFonts w:eastAsia="Times New Roman" w:cs="Times New Roman"/>
          <w:color w:val="000000" w:themeColor="text1"/>
          <w:sz w:val="24"/>
          <w:szCs w:val="24"/>
        </w:rPr>
        <w:t xml:space="preserve">unregulated </w:t>
      </w:r>
      <w:r w:rsidR="007C5026" w:rsidRPr="00A157C1">
        <w:rPr>
          <w:rFonts w:eastAsia="Times New Roman" w:cs="Times New Roman"/>
          <w:color w:val="000000" w:themeColor="text1"/>
          <w:sz w:val="24"/>
          <w:szCs w:val="24"/>
        </w:rPr>
        <w:t>sports wagering</w:t>
      </w:r>
      <w:r w:rsidR="0093573D" w:rsidRPr="00A157C1">
        <w:rPr>
          <w:rFonts w:eastAsia="Times New Roman" w:cs="Times New Roman"/>
          <w:color w:val="000000" w:themeColor="text1"/>
          <w:sz w:val="24"/>
          <w:szCs w:val="24"/>
        </w:rPr>
        <w:t xml:space="preserve"> markets</w:t>
      </w:r>
      <w:r w:rsidR="00A620F6" w:rsidRPr="00A157C1">
        <w:rPr>
          <w:rFonts w:eastAsia="Times New Roman" w:cs="Times New Roman"/>
          <w:color w:val="000000" w:themeColor="text1"/>
          <w:sz w:val="24"/>
          <w:szCs w:val="24"/>
        </w:rPr>
        <w:t>,</w:t>
      </w:r>
      <w:r w:rsidR="003F5135" w:rsidRPr="00A157C1">
        <w:rPr>
          <w:rFonts w:eastAsia="Times New Roman" w:cs="Times New Roman"/>
          <w:color w:val="000000" w:themeColor="text1"/>
          <w:sz w:val="24"/>
          <w:szCs w:val="24"/>
        </w:rPr>
        <w:t xml:space="preserve"> notably in Asia</w:t>
      </w:r>
      <w:r w:rsidR="00D844E6" w:rsidRPr="00A157C1">
        <w:rPr>
          <w:rFonts w:eastAsia="Times New Roman" w:cs="Times New Roman"/>
          <w:color w:val="000000" w:themeColor="text1"/>
          <w:sz w:val="24"/>
          <w:szCs w:val="24"/>
        </w:rPr>
        <w:t xml:space="preserve">. </w:t>
      </w:r>
      <w:r w:rsidR="00412BDC">
        <w:rPr>
          <w:rFonts w:eastAsia="Times New Roman" w:cs="Times New Roman"/>
          <w:color w:val="000000" w:themeColor="text1"/>
          <w:sz w:val="24"/>
          <w:szCs w:val="24"/>
        </w:rPr>
        <w:t xml:space="preserve"> </w:t>
      </w:r>
      <w:r w:rsidR="00D844E6" w:rsidRPr="00A157C1">
        <w:rPr>
          <w:rFonts w:eastAsia="Times New Roman" w:cs="Times New Roman"/>
          <w:color w:val="000000" w:themeColor="text1"/>
          <w:sz w:val="24"/>
          <w:szCs w:val="24"/>
        </w:rPr>
        <w:t xml:space="preserve">This has served to </w:t>
      </w:r>
      <w:r w:rsidR="0093573D" w:rsidRPr="00A157C1">
        <w:rPr>
          <w:rFonts w:eastAsia="Times New Roman" w:cs="Times New Roman"/>
          <w:color w:val="000000" w:themeColor="text1"/>
          <w:sz w:val="24"/>
          <w:szCs w:val="24"/>
        </w:rPr>
        <w:t>heighten</w:t>
      </w:r>
      <w:r w:rsidR="007C5026" w:rsidRPr="00A157C1">
        <w:rPr>
          <w:rFonts w:eastAsia="Times New Roman" w:cs="Times New Roman"/>
          <w:color w:val="000000" w:themeColor="text1"/>
          <w:sz w:val="24"/>
          <w:szCs w:val="24"/>
        </w:rPr>
        <w:t xml:space="preserve"> incentives </w:t>
      </w:r>
      <w:r w:rsidR="009325D4">
        <w:rPr>
          <w:rFonts w:eastAsia="Times New Roman" w:cs="Times New Roman"/>
          <w:color w:val="000000" w:themeColor="text1"/>
          <w:sz w:val="24"/>
          <w:szCs w:val="24"/>
        </w:rPr>
        <w:t>to corrupt sports events</w:t>
      </w:r>
      <w:r w:rsidR="00C61C91" w:rsidRPr="00A157C1">
        <w:rPr>
          <w:rFonts w:eastAsia="Times New Roman" w:cs="Times New Roman"/>
          <w:color w:val="000000" w:themeColor="text1"/>
          <w:sz w:val="24"/>
          <w:szCs w:val="24"/>
        </w:rPr>
        <w:t>,</w:t>
      </w:r>
      <w:r w:rsidR="0093573D" w:rsidRPr="00A157C1">
        <w:rPr>
          <w:rFonts w:eastAsia="Times New Roman" w:cs="Times New Roman"/>
          <w:color w:val="000000" w:themeColor="text1"/>
          <w:sz w:val="24"/>
          <w:szCs w:val="24"/>
        </w:rPr>
        <w:t xml:space="preserve"> including by organised criminal networks</w:t>
      </w:r>
      <w:r w:rsidR="00347455" w:rsidRPr="00A157C1">
        <w:rPr>
          <w:rFonts w:eastAsia="Times New Roman" w:cs="Times New Roman"/>
          <w:color w:val="000000" w:themeColor="text1"/>
          <w:sz w:val="24"/>
          <w:szCs w:val="24"/>
        </w:rPr>
        <w:t>, resulting in a litany of corrupted sporting outcomes around the globe.  The associated decline in confidence about the sporting contest in turn undermines</w:t>
      </w:r>
      <w:r w:rsidR="00743322" w:rsidRPr="00A157C1">
        <w:rPr>
          <w:rFonts w:eastAsia="Times New Roman" w:cs="Times New Roman"/>
          <w:color w:val="000000" w:themeColor="text1"/>
          <w:sz w:val="24"/>
          <w:szCs w:val="24"/>
        </w:rPr>
        <w:t xml:space="preserve"> the economic, health, social and cultural be</w:t>
      </w:r>
      <w:r w:rsidR="00765483">
        <w:rPr>
          <w:rFonts w:eastAsia="Times New Roman" w:cs="Times New Roman"/>
          <w:color w:val="000000" w:themeColor="text1"/>
          <w:sz w:val="24"/>
          <w:szCs w:val="24"/>
        </w:rPr>
        <w:t>nefits derived from sport.</w:t>
      </w:r>
    </w:p>
    <w:p w:rsidR="0016230B" w:rsidRDefault="00575A4C" w:rsidP="00B81DAF">
      <w:pPr>
        <w:spacing w:line="240" w:lineRule="auto"/>
        <w:rPr>
          <w:rFonts w:eastAsia="Times New Roman" w:cs="Times New Roman"/>
          <w:color w:val="000000" w:themeColor="text1"/>
          <w:sz w:val="24"/>
          <w:szCs w:val="24"/>
        </w:rPr>
        <w:sectPr w:rsidR="0016230B">
          <w:headerReference w:type="default" r:id="rId9"/>
          <w:footerReference w:type="default" r:id="rId10"/>
          <w:pgSz w:w="11906" w:h="16838"/>
          <w:pgMar w:top="1440" w:right="1440" w:bottom="1440" w:left="1440" w:header="708" w:footer="708" w:gutter="0"/>
          <w:cols w:space="708"/>
          <w:docGrid w:linePitch="360"/>
        </w:sectPr>
      </w:pPr>
      <w:r w:rsidRPr="00A157C1">
        <w:rPr>
          <w:rFonts w:eastAsia="Times New Roman" w:cs="Times New Roman"/>
          <w:color w:val="000000" w:themeColor="text1"/>
          <w:sz w:val="24"/>
          <w:szCs w:val="24"/>
        </w:rPr>
        <w:t xml:space="preserve">In that context the </w:t>
      </w:r>
      <w:r w:rsidR="00DA5675">
        <w:rPr>
          <w:rFonts w:eastAsia="Times New Roman" w:cs="Times New Roman"/>
          <w:color w:val="000000" w:themeColor="text1"/>
          <w:sz w:val="24"/>
          <w:szCs w:val="24"/>
        </w:rPr>
        <w:t>National Integrity of Sport Unit</w:t>
      </w:r>
      <w:r w:rsidR="00FE5C85">
        <w:rPr>
          <w:rFonts w:eastAsia="Times New Roman" w:cs="Times New Roman"/>
          <w:color w:val="000000" w:themeColor="text1"/>
          <w:sz w:val="24"/>
          <w:szCs w:val="24"/>
        </w:rPr>
        <w:t>, within the Department of Health,</w:t>
      </w:r>
      <w:r w:rsidRPr="00A157C1">
        <w:rPr>
          <w:rFonts w:eastAsia="Times New Roman" w:cs="Times New Roman"/>
          <w:color w:val="000000" w:themeColor="text1"/>
          <w:sz w:val="24"/>
          <w:szCs w:val="24"/>
        </w:rPr>
        <w:t xml:space="preserve"> regards the deliberations of this Review to be fundamental to the national capability to ensure continued protection of the integrity of Australian sport</w:t>
      </w:r>
      <w:r w:rsidR="00743322" w:rsidRPr="00A157C1">
        <w:rPr>
          <w:rFonts w:eastAsia="Times New Roman" w:cs="Times New Roman"/>
          <w:color w:val="000000" w:themeColor="text1"/>
          <w:sz w:val="24"/>
          <w:szCs w:val="24"/>
        </w:rPr>
        <w:t xml:space="preserve">, and </w:t>
      </w:r>
      <w:r w:rsidR="00B76619" w:rsidRPr="00A157C1">
        <w:rPr>
          <w:rFonts w:eastAsia="Times New Roman" w:cs="Times New Roman"/>
          <w:color w:val="000000" w:themeColor="text1"/>
          <w:sz w:val="24"/>
          <w:szCs w:val="24"/>
        </w:rPr>
        <w:t>through this the multiple benefits derived from the sports sector</w:t>
      </w:r>
      <w:r w:rsidRPr="00A157C1">
        <w:rPr>
          <w:rFonts w:eastAsia="Times New Roman" w:cs="Times New Roman"/>
          <w:color w:val="000000" w:themeColor="text1"/>
          <w:sz w:val="24"/>
          <w:szCs w:val="24"/>
        </w:rPr>
        <w:t>.</w:t>
      </w:r>
      <w:r w:rsidR="00A83017">
        <w:rPr>
          <w:rFonts w:eastAsia="Times New Roman" w:cs="Times New Roman"/>
          <w:color w:val="000000" w:themeColor="text1"/>
          <w:sz w:val="24"/>
          <w:szCs w:val="24"/>
        </w:rPr>
        <w:t xml:space="preserve">  The National Integrity of Sport Unit</w:t>
      </w:r>
      <w:r w:rsidR="00B408E9" w:rsidRPr="00A157C1">
        <w:rPr>
          <w:rFonts w:eastAsia="Times New Roman" w:cs="Times New Roman"/>
          <w:color w:val="000000" w:themeColor="text1"/>
          <w:sz w:val="24"/>
          <w:szCs w:val="24"/>
        </w:rPr>
        <w:t xml:space="preserve"> also regards the Review to be a valuable contribution to broader considerations about a</w:t>
      </w:r>
      <w:r w:rsidR="00C61C91" w:rsidRPr="00A157C1">
        <w:rPr>
          <w:rFonts w:eastAsia="Times New Roman" w:cs="Times New Roman"/>
          <w:color w:val="000000" w:themeColor="text1"/>
          <w:sz w:val="24"/>
          <w:szCs w:val="24"/>
        </w:rPr>
        <w:t>n enhanced</w:t>
      </w:r>
      <w:r w:rsidR="00B408E9" w:rsidRPr="00A157C1">
        <w:rPr>
          <w:rFonts w:eastAsia="Times New Roman" w:cs="Times New Roman"/>
          <w:color w:val="000000" w:themeColor="text1"/>
          <w:sz w:val="24"/>
          <w:szCs w:val="24"/>
        </w:rPr>
        <w:t xml:space="preserve"> </w:t>
      </w:r>
      <w:r w:rsidR="00C61C91" w:rsidRPr="00A157C1">
        <w:rPr>
          <w:rFonts w:eastAsia="Times New Roman" w:cs="Times New Roman"/>
          <w:color w:val="000000" w:themeColor="text1"/>
          <w:sz w:val="24"/>
          <w:szCs w:val="24"/>
        </w:rPr>
        <w:t>national framework for</w:t>
      </w:r>
      <w:r w:rsidR="00412BDC">
        <w:rPr>
          <w:rFonts w:eastAsia="Times New Roman" w:cs="Times New Roman"/>
          <w:color w:val="000000" w:themeColor="text1"/>
          <w:sz w:val="24"/>
          <w:szCs w:val="24"/>
        </w:rPr>
        <w:t xml:space="preserve"> sports integrity in Australia.</w:t>
      </w:r>
    </w:p>
    <w:p w:rsidR="00A157C1" w:rsidRPr="00A157C1" w:rsidRDefault="00A157C1" w:rsidP="00B81DAF">
      <w:pPr>
        <w:spacing w:line="240" w:lineRule="auto"/>
        <w:rPr>
          <w:sz w:val="24"/>
          <w:szCs w:val="24"/>
        </w:rPr>
      </w:pPr>
      <w:r w:rsidRPr="00A157C1">
        <w:rPr>
          <w:sz w:val="24"/>
          <w:szCs w:val="24"/>
        </w:rPr>
        <w:t xml:space="preserve">In relation to the sports integrity aspects of the </w:t>
      </w:r>
      <w:r w:rsidR="00412BDC" w:rsidRPr="00A157C1">
        <w:rPr>
          <w:sz w:val="24"/>
          <w:szCs w:val="24"/>
        </w:rPr>
        <w:t>terms of reference</w:t>
      </w:r>
      <w:r w:rsidRPr="00A157C1">
        <w:rPr>
          <w:sz w:val="24"/>
          <w:szCs w:val="24"/>
        </w:rPr>
        <w:t>, in summary</w:t>
      </w:r>
      <w:r w:rsidR="00936874">
        <w:rPr>
          <w:sz w:val="24"/>
          <w:szCs w:val="24"/>
        </w:rPr>
        <w:t>,</w:t>
      </w:r>
      <w:r w:rsidRPr="00A157C1">
        <w:rPr>
          <w:sz w:val="24"/>
          <w:szCs w:val="24"/>
        </w:rPr>
        <w:t xml:space="preserve"> the </w:t>
      </w:r>
      <w:r w:rsidR="00DA5675">
        <w:rPr>
          <w:sz w:val="24"/>
          <w:szCs w:val="24"/>
        </w:rPr>
        <w:t>National Integrity of Sport Unit</w:t>
      </w:r>
      <w:r w:rsidRPr="00A157C1">
        <w:rPr>
          <w:sz w:val="24"/>
          <w:szCs w:val="24"/>
        </w:rPr>
        <w:t xml:space="preserve"> </w:t>
      </w:r>
      <w:r w:rsidR="00837955">
        <w:rPr>
          <w:sz w:val="24"/>
          <w:szCs w:val="24"/>
        </w:rPr>
        <w:t>makes the following observations</w:t>
      </w:r>
      <w:r w:rsidRPr="00A157C1">
        <w:rPr>
          <w:sz w:val="24"/>
          <w:szCs w:val="24"/>
        </w:rPr>
        <w:t>:</w:t>
      </w:r>
    </w:p>
    <w:p w:rsidR="00C61C91" w:rsidRDefault="0035604F" w:rsidP="00F368A8">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E</w:t>
      </w:r>
      <w:r w:rsidR="00A157C1" w:rsidRPr="00A157C1">
        <w:rPr>
          <w:rFonts w:asciiTheme="minorHAnsi" w:hAnsiTheme="minorHAnsi"/>
          <w:color w:val="000000" w:themeColor="text1"/>
        </w:rPr>
        <w:t>xpansion of sports wagering market</w:t>
      </w:r>
      <w:r>
        <w:rPr>
          <w:rFonts w:asciiTheme="minorHAnsi" w:hAnsiTheme="minorHAnsi"/>
          <w:color w:val="000000" w:themeColor="text1"/>
        </w:rPr>
        <w:t>s</w:t>
      </w:r>
      <w:r w:rsidR="00A157C1">
        <w:rPr>
          <w:rFonts w:asciiTheme="minorHAnsi" w:hAnsiTheme="minorHAnsi"/>
          <w:color w:val="000000" w:themeColor="text1"/>
        </w:rPr>
        <w:t xml:space="preserve"> intrinsically</w:t>
      </w:r>
      <w:r>
        <w:rPr>
          <w:rFonts w:asciiTheme="minorHAnsi" w:hAnsiTheme="minorHAnsi"/>
          <w:color w:val="000000" w:themeColor="text1"/>
        </w:rPr>
        <w:t xml:space="preserve"> elevate</w:t>
      </w:r>
      <w:r w:rsidR="00936874">
        <w:rPr>
          <w:rFonts w:asciiTheme="minorHAnsi" w:hAnsiTheme="minorHAnsi"/>
          <w:color w:val="000000" w:themeColor="text1"/>
        </w:rPr>
        <w:t>s</w:t>
      </w:r>
      <w:r w:rsidR="00A157C1">
        <w:rPr>
          <w:rFonts w:asciiTheme="minorHAnsi" w:hAnsiTheme="minorHAnsi"/>
          <w:color w:val="000000" w:themeColor="text1"/>
        </w:rPr>
        <w:t xml:space="preserve"> the potential incentive to corrupt event contingencies and outcomes</w:t>
      </w:r>
      <w:r w:rsidR="00FE5C85">
        <w:rPr>
          <w:rFonts w:asciiTheme="minorHAnsi" w:hAnsiTheme="minorHAnsi"/>
          <w:color w:val="000000" w:themeColor="text1"/>
        </w:rPr>
        <w:t>.</w:t>
      </w:r>
    </w:p>
    <w:p w:rsidR="0035604F" w:rsidRDefault="00AC207A" w:rsidP="00F368A8">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 xml:space="preserve">It is </w:t>
      </w:r>
      <w:r w:rsidR="00A142A7">
        <w:rPr>
          <w:rFonts w:asciiTheme="minorHAnsi" w:hAnsiTheme="minorHAnsi"/>
          <w:color w:val="000000" w:themeColor="text1"/>
        </w:rPr>
        <w:t>highly</w:t>
      </w:r>
      <w:r w:rsidR="0035604F">
        <w:rPr>
          <w:rFonts w:asciiTheme="minorHAnsi" w:hAnsiTheme="minorHAnsi"/>
          <w:color w:val="000000" w:themeColor="text1"/>
        </w:rPr>
        <w:t xml:space="preserve"> </w:t>
      </w:r>
      <w:r>
        <w:rPr>
          <w:rFonts w:asciiTheme="minorHAnsi" w:hAnsiTheme="minorHAnsi"/>
          <w:color w:val="000000" w:themeColor="text1"/>
        </w:rPr>
        <w:t xml:space="preserve">preferable sports wagering occurs in a regulated environment, to allow for the monitoring and detection </w:t>
      </w:r>
      <w:r w:rsidR="0035604F">
        <w:rPr>
          <w:rFonts w:asciiTheme="minorHAnsi" w:hAnsiTheme="minorHAnsi"/>
          <w:color w:val="000000" w:themeColor="text1"/>
        </w:rPr>
        <w:t xml:space="preserve">of, </w:t>
      </w:r>
      <w:r>
        <w:rPr>
          <w:rFonts w:asciiTheme="minorHAnsi" w:hAnsiTheme="minorHAnsi"/>
          <w:color w:val="000000" w:themeColor="text1"/>
        </w:rPr>
        <w:t xml:space="preserve">and </w:t>
      </w:r>
      <w:r w:rsidR="0035604F">
        <w:rPr>
          <w:rFonts w:asciiTheme="minorHAnsi" w:hAnsiTheme="minorHAnsi"/>
          <w:color w:val="000000" w:themeColor="text1"/>
        </w:rPr>
        <w:t xml:space="preserve">appropriate </w:t>
      </w:r>
      <w:r>
        <w:rPr>
          <w:rFonts w:asciiTheme="minorHAnsi" w:hAnsiTheme="minorHAnsi"/>
          <w:color w:val="000000" w:themeColor="text1"/>
        </w:rPr>
        <w:t>response</w:t>
      </w:r>
      <w:r w:rsidR="0063766E">
        <w:rPr>
          <w:rFonts w:asciiTheme="minorHAnsi" w:hAnsiTheme="minorHAnsi"/>
          <w:color w:val="000000" w:themeColor="text1"/>
        </w:rPr>
        <w:t>s</w:t>
      </w:r>
      <w:r w:rsidR="0035604F">
        <w:rPr>
          <w:rFonts w:asciiTheme="minorHAnsi" w:hAnsiTheme="minorHAnsi"/>
          <w:color w:val="000000" w:themeColor="text1"/>
        </w:rPr>
        <w:t xml:space="preserve"> to, incidents of fraud or corruption</w:t>
      </w:r>
      <w:r w:rsidR="00FE5C85">
        <w:rPr>
          <w:rFonts w:asciiTheme="minorHAnsi" w:hAnsiTheme="minorHAnsi"/>
          <w:color w:val="000000" w:themeColor="text1"/>
        </w:rPr>
        <w:t>.</w:t>
      </w:r>
    </w:p>
    <w:p w:rsidR="00FE5C85" w:rsidRDefault="003C6ACE" w:rsidP="00F368A8">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 xml:space="preserve">The progress of technology has relegated the current methods by which in-play wagering may be conducted </w:t>
      </w:r>
      <w:r w:rsidR="00765483">
        <w:rPr>
          <w:rFonts w:asciiTheme="minorHAnsi" w:hAnsiTheme="minorHAnsi"/>
          <w:color w:val="000000" w:themeColor="text1"/>
        </w:rPr>
        <w:t xml:space="preserve">in Australia </w:t>
      </w:r>
      <w:r>
        <w:rPr>
          <w:rFonts w:asciiTheme="minorHAnsi" w:hAnsiTheme="minorHAnsi"/>
          <w:color w:val="000000" w:themeColor="text1"/>
        </w:rPr>
        <w:t>obsolete</w:t>
      </w:r>
      <w:r w:rsidR="00FE5C85">
        <w:rPr>
          <w:rFonts w:asciiTheme="minorHAnsi" w:hAnsiTheme="minorHAnsi"/>
          <w:color w:val="000000" w:themeColor="text1"/>
        </w:rPr>
        <w:t>.</w:t>
      </w:r>
    </w:p>
    <w:p w:rsidR="00DA5675" w:rsidRDefault="00180129" w:rsidP="00F368A8">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 xml:space="preserve">Adopting a platform-neutral approach to </w:t>
      </w:r>
      <w:r w:rsidR="00DA5675">
        <w:rPr>
          <w:rFonts w:asciiTheme="minorHAnsi" w:hAnsiTheme="minorHAnsi"/>
          <w:color w:val="000000" w:themeColor="text1"/>
        </w:rPr>
        <w:t xml:space="preserve">allow </w:t>
      </w:r>
      <w:r>
        <w:rPr>
          <w:rFonts w:asciiTheme="minorHAnsi" w:hAnsiTheme="minorHAnsi"/>
          <w:color w:val="000000" w:themeColor="text1"/>
        </w:rPr>
        <w:t xml:space="preserve">in-play wagering is likely to attract a sizeable proportion of Australian punters currently wagering </w:t>
      </w:r>
      <w:r w:rsidR="00DA5675">
        <w:rPr>
          <w:rFonts w:asciiTheme="minorHAnsi" w:hAnsiTheme="minorHAnsi"/>
          <w:color w:val="000000" w:themeColor="text1"/>
        </w:rPr>
        <w:t xml:space="preserve">on in-play markets </w:t>
      </w:r>
      <w:r w:rsidR="00412BDC">
        <w:rPr>
          <w:rFonts w:asciiTheme="minorHAnsi" w:hAnsiTheme="minorHAnsi"/>
          <w:color w:val="000000" w:themeColor="text1"/>
        </w:rPr>
        <w:t>with</w:t>
      </w:r>
      <w:r w:rsidR="00DA5675">
        <w:rPr>
          <w:rFonts w:asciiTheme="minorHAnsi" w:hAnsiTheme="minorHAnsi"/>
          <w:color w:val="000000" w:themeColor="text1"/>
        </w:rPr>
        <w:t xml:space="preserve"> </w:t>
      </w:r>
      <w:r>
        <w:rPr>
          <w:rFonts w:asciiTheme="minorHAnsi" w:hAnsiTheme="minorHAnsi"/>
          <w:color w:val="000000" w:themeColor="text1"/>
        </w:rPr>
        <w:t xml:space="preserve">off-shore </w:t>
      </w:r>
      <w:r w:rsidR="00DA5675">
        <w:rPr>
          <w:rFonts w:asciiTheme="minorHAnsi" w:hAnsiTheme="minorHAnsi"/>
          <w:color w:val="000000" w:themeColor="text1"/>
        </w:rPr>
        <w:t>semi-</w:t>
      </w:r>
      <w:r>
        <w:rPr>
          <w:rFonts w:asciiTheme="minorHAnsi" w:hAnsiTheme="minorHAnsi"/>
          <w:color w:val="000000" w:themeColor="text1"/>
        </w:rPr>
        <w:t>regulated or unregulated markets</w:t>
      </w:r>
      <w:r w:rsidR="00FE5C85">
        <w:rPr>
          <w:rFonts w:asciiTheme="minorHAnsi" w:hAnsiTheme="minorHAnsi"/>
          <w:color w:val="000000" w:themeColor="text1"/>
        </w:rPr>
        <w:t>.</w:t>
      </w:r>
    </w:p>
    <w:p w:rsidR="00FE5C85" w:rsidRDefault="00DA5675" w:rsidP="00A92D59">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 xml:space="preserve">The technical capacity to eliminate off-shore wagering </w:t>
      </w:r>
      <w:r w:rsidR="00355DCD">
        <w:rPr>
          <w:rFonts w:asciiTheme="minorHAnsi" w:hAnsiTheme="minorHAnsi"/>
          <w:color w:val="000000" w:themeColor="text1"/>
        </w:rPr>
        <w:t xml:space="preserve">from Australia </w:t>
      </w:r>
      <w:r>
        <w:rPr>
          <w:rFonts w:asciiTheme="minorHAnsi" w:hAnsiTheme="minorHAnsi"/>
          <w:color w:val="000000" w:themeColor="text1"/>
        </w:rPr>
        <w:t>will be difficult and expensive to attempt to administer</w:t>
      </w:r>
      <w:r w:rsidR="00FE5C85">
        <w:rPr>
          <w:rFonts w:asciiTheme="minorHAnsi" w:hAnsiTheme="minorHAnsi"/>
          <w:color w:val="000000" w:themeColor="text1"/>
        </w:rPr>
        <w:t>.</w:t>
      </w:r>
    </w:p>
    <w:p w:rsidR="00DA5675" w:rsidRPr="00A92D59" w:rsidRDefault="00DA5675" w:rsidP="00A92D59">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 xml:space="preserve">Some level of off-shore wagering is likely to </w:t>
      </w:r>
      <w:r w:rsidR="00915976">
        <w:rPr>
          <w:rFonts w:asciiTheme="minorHAnsi" w:hAnsiTheme="minorHAnsi"/>
          <w:color w:val="000000" w:themeColor="text1"/>
        </w:rPr>
        <w:t xml:space="preserve">persist, </w:t>
      </w:r>
      <w:r w:rsidR="00CD264D">
        <w:rPr>
          <w:rFonts w:asciiTheme="minorHAnsi" w:hAnsiTheme="minorHAnsi"/>
          <w:color w:val="000000" w:themeColor="text1"/>
        </w:rPr>
        <w:t xml:space="preserve">including through onshore commissioned agents networks, </w:t>
      </w:r>
      <w:r w:rsidR="00915976">
        <w:rPr>
          <w:rFonts w:asciiTheme="minorHAnsi" w:hAnsiTheme="minorHAnsi"/>
          <w:color w:val="000000" w:themeColor="text1"/>
        </w:rPr>
        <w:t xml:space="preserve">but </w:t>
      </w:r>
      <w:r w:rsidR="00CD264D">
        <w:rPr>
          <w:rFonts w:asciiTheme="minorHAnsi" w:hAnsiTheme="minorHAnsi"/>
          <w:color w:val="000000" w:themeColor="text1"/>
        </w:rPr>
        <w:t>may</w:t>
      </w:r>
      <w:r w:rsidR="00915976">
        <w:rPr>
          <w:rFonts w:asciiTheme="minorHAnsi" w:hAnsiTheme="minorHAnsi"/>
          <w:color w:val="000000" w:themeColor="text1"/>
        </w:rPr>
        <w:t xml:space="preserve"> be marginalised</w:t>
      </w:r>
      <w:r w:rsidR="00355DCD">
        <w:rPr>
          <w:rFonts w:asciiTheme="minorHAnsi" w:hAnsiTheme="minorHAnsi"/>
          <w:color w:val="000000" w:themeColor="text1"/>
        </w:rPr>
        <w:t xml:space="preserve"> through </w:t>
      </w:r>
      <w:r w:rsidR="00A92D59">
        <w:rPr>
          <w:rFonts w:asciiTheme="minorHAnsi" w:hAnsiTheme="minorHAnsi"/>
          <w:color w:val="000000" w:themeColor="text1"/>
        </w:rPr>
        <w:t>appropriate mechanisms onshore</w:t>
      </w:r>
      <w:r w:rsidR="00FE5C85">
        <w:rPr>
          <w:rFonts w:asciiTheme="minorHAnsi" w:hAnsiTheme="minorHAnsi"/>
          <w:color w:val="000000" w:themeColor="text1"/>
        </w:rPr>
        <w:t>.</w:t>
      </w:r>
    </w:p>
    <w:p w:rsidR="00FE5C85" w:rsidRDefault="00A92D59" w:rsidP="00A92D59">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Should o</w:t>
      </w:r>
      <w:r w:rsidR="00915976">
        <w:rPr>
          <w:rFonts w:asciiTheme="minorHAnsi" w:hAnsiTheme="minorHAnsi"/>
          <w:color w:val="000000" w:themeColor="text1"/>
        </w:rPr>
        <w:t>nline i</w:t>
      </w:r>
      <w:r>
        <w:rPr>
          <w:rFonts w:asciiTheme="minorHAnsi" w:hAnsiTheme="minorHAnsi"/>
          <w:color w:val="000000" w:themeColor="text1"/>
        </w:rPr>
        <w:t>n-play wagering be</w:t>
      </w:r>
      <w:r w:rsidR="0015358F">
        <w:rPr>
          <w:rFonts w:asciiTheme="minorHAnsi" w:hAnsiTheme="minorHAnsi"/>
          <w:color w:val="000000" w:themeColor="text1"/>
        </w:rPr>
        <w:t xml:space="preserve"> </w:t>
      </w:r>
      <w:r>
        <w:rPr>
          <w:rFonts w:asciiTheme="minorHAnsi" w:hAnsiTheme="minorHAnsi"/>
          <w:color w:val="000000" w:themeColor="text1"/>
        </w:rPr>
        <w:t>allowed, it is likely to prove</w:t>
      </w:r>
      <w:r w:rsidR="0015358F">
        <w:rPr>
          <w:rFonts w:asciiTheme="minorHAnsi" w:hAnsiTheme="minorHAnsi"/>
          <w:color w:val="000000" w:themeColor="text1"/>
        </w:rPr>
        <w:t xml:space="preserve"> lucrative for the </w:t>
      </w:r>
      <w:r w:rsidR="00915976">
        <w:rPr>
          <w:rFonts w:asciiTheme="minorHAnsi" w:hAnsiTheme="minorHAnsi"/>
          <w:color w:val="000000" w:themeColor="text1"/>
        </w:rPr>
        <w:t xml:space="preserve">Australian </w:t>
      </w:r>
      <w:r>
        <w:rPr>
          <w:rFonts w:asciiTheme="minorHAnsi" w:hAnsiTheme="minorHAnsi"/>
          <w:color w:val="000000" w:themeColor="text1"/>
        </w:rPr>
        <w:t>wagering industry</w:t>
      </w:r>
      <w:r w:rsidR="00FE5C85">
        <w:rPr>
          <w:rFonts w:asciiTheme="minorHAnsi" w:hAnsiTheme="minorHAnsi"/>
          <w:color w:val="000000" w:themeColor="text1"/>
        </w:rPr>
        <w:t>.</w:t>
      </w:r>
    </w:p>
    <w:p w:rsidR="00A157C1" w:rsidRPr="00A92D59" w:rsidRDefault="00A92D59" w:rsidP="00A92D59">
      <w:pPr>
        <w:pStyle w:val="ListParagraph"/>
        <w:numPr>
          <w:ilvl w:val="0"/>
          <w:numId w:val="18"/>
        </w:numPr>
        <w:spacing w:after="120"/>
        <w:ind w:left="714" w:hanging="357"/>
        <w:contextualSpacing w:val="0"/>
        <w:rPr>
          <w:rFonts w:asciiTheme="minorHAnsi" w:hAnsiTheme="minorHAnsi"/>
          <w:color w:val="000000" w:themeColor="text1"/>
        </w:rPr>
      </w:pPr>
      <w:r>
        <w:rPr>
          <w:rFonts w:asciiTheme="minorHAnsi" w:hAnsiTheme="minorHAnsi"/>
          <w:color w:val="000000" w:themeColor="text1"/>
        </w:rPr>
        <w:t>Any significant increase in in-play wagering on Australian sports events will have implications for sports integrity</w:t>
      </w:r>
      <w:r w:rsidR="0015358F">
        <w:rPr>
          <w:rFonts w:asciiTheme="minorHAnsi" w:hAnsiTheme="minorHAnsi"/>
          <w:color w:val="000000" w:themeColor="text1"/>
        </w:rPr>
        <w:t xml:space="preserve"> </w:t>
      </w:r>
      <w:r>
        <w:rPr>
          <w:rFonts w:asciiTheme="minorHAnsi" w:hAnsiTheme="minorHAnsi"/>
          <w:color w:val="000000" w:themeColor="text1"/>
        </w:rPr>
        <w:t>in the absence of enhanced anti-corruption measures.</w:t>
      </w:r>
    </w:p>
    <w:p w:rsidR="00E66160" w:rsidRDefault="00E66160">
      <w:pPr>
        <w:rPr>
          <w:b/>
          <w:color w:val="4F81BD" w:themeColor="accent1"/>
          <w:sz w:val="24"/>
          <w:szCs w:val="24"/>
          <w:u w:val="single"/>
        </w:rPr>
      </w:pPr>
      <w:r>
        <w:rPr>
          <w:b/>
          <w:color w:val="4F81BD" w:themeColor="accent1"/>
          <w:sz w:val="24"/>
          <w:szCs w:val="24"/>
          <w:u w:val="single"/>
        </w:rPr>
        <w:br w:type="page"/>
      </w:r>
    </w:p>
    <w:p w:rsidR="00D35F5E" w:rsidRPr="00A157C1" w:rsidRDefault="00D35F5E" w:rsidP="00B81DAF">
      <w:pPr>
        <w:spacing w:line="240" w:lineRule="auto"/>
        <w:rPr>
          <w:b/>
          <w:color w:val="4F81BD" w:themeColor="accent1"/>
          <w:sz w:val="24"/>
          <w:szCs w:val="24"/>
          <w:u w:val="single"/>
        </w:rPr>
      </w:pPr>
      <w:r w:rsidRPr="00A157C1">
        <w:rPr>
          <w:b/>
          <w:color w:val="4F81BD" w:themeColor="accent1"/>
          <w:sz w:val="24"/>
          <w:szCs w:val="24"/>
          <w:u w:val="single"/>
        </w:rPr>
        <w:t>Introduction</w:t>
      </w:r>
    </w:p>
    <w:p w:rsidR="00C264C6" w:rsidRPr="00A157C1" w:rsidRDefault="00C264C6" w:rsidP="00B81DAF">
      <w:pPr>
        <w:spacing w:line="240" w:lineRule="auto"/>
        <w:rPr>
          <w:b/>
          <w:i/>
          <w:color w:val="4F81BD" w:themeColor="accent1"/>
          <w:sz w:val="24"/>
          <w:szCs w:val="24"/>
        </w:rPr>
      </w:pPr>
      <w:r w:rsidRPr="00A157C1">
        <w:rPr>
          <w:b/>
          <w:i/>
          <w:color w:val="4F81BD" w:themeColor="accent1"/>
          <w:sz w:val="24"/>
          <w:szCs w:val="24"/>
        </w:rPr>
        <w:t>Definition of Sports Integrity</w:t>
      </w:r>
    </w:p>
    <w:p w:rsidR="00675172" w:rsidRPr="00A157C1" w:rsidRDefault="00C264C6" w:rsidP="00B81DAF">
      <w:pPr>
        <w:spacing w:line="240" w:lineRule="auto"/>
        <w:rPr>
          <w:sz w:val="24"/>
          <w:szCs w:val="24"/>
        </w:rPr>
      </w:pPr>
      <w:r w:rsidRPr="00A157C1">
        <w:rPr>
          <w:sz w:val="24"/>
          <w:szCs w:val="24"/>
        </w:rPr>
        <w:t xml:space="preserve">The Australian Government established the </w:t>
      </w:r>
      <w:r w:rsidR="00675172" w:rsidRPr="00A157C1">
        <w:rPr>
          <w:sz w:val="24"/>
          <w:szCs w:val="24"/>
        </w:rPr>
        <w:t xml:space="preserve">National Integrity of Sport Unit in 2012 </w:t>
      </w:r>
      <w:r w:rsidRPr="00A157C1">
        <w:rPr>
          <w:sz w:val="24"/>
          <w:szCs w:val="24"/>
        </w:rPr>
        <w:t xml:space="preserve">to provide national oversight, monitoring and coordination of efforts to protect the integrity of sport in Australia from </w:t>
      </w:r>
      <w:r w:rsidR="00765483">
        <w:rPr>
          <w:sz w:val="24"/>
          <w:szCs w:val="24"/>
        </w:rPr>
        <w:t xml:space="preserve">the </w:t>
      </w:r>
      <w:r w:rsidRPr="00A157C1">
        <w:rPr>
          <w:sz w:val="24"/>
          <w:szCs w:val="24"/>
        </w:rPr>
        <w:t>threats of doping, match-fixing</w:t>
      </w:r>
      <w:r w:rsidR="00FC40D0">
        <w:rPr>
          <w:sz w:val="24"/>
          <w:szCs w:val="24"/>
        </w:rPr>
        <w:t>, illicit drug use in sport, criminal association</w:t>
      </w:r>
      <w:r w:rsidRPr="00A157C1">
        <w:rPr>
          <w:sz w:val="24"/>
          <w:szCs w:val="24"/>
        </w:rPr>
        <w:t xml:space="preserve"> and other forms of </w:t>
      </w:r>
      <w:r w:rsidR="00FC40D0">
        <w:rPr>
          <w:sz w:val="24"/>
          <w:szCs w:val="24"/>
        </w:rPr>
        <w:t xml:space="preserve">sports </w:t>
      </w:r>
      <w:r w:rsidRPr="00A157C1">
        <w:rPr>
          <w:sz w:val="24"/>
          <w:szCs w:val="24"/>
        </w:rPr>
        <w:t xml:space="preserve">corruption.  The </w:t>
      </w:r>
      <w:r w:rsidR="006B7457" w:rsidRPr="00A157C1">
        <w:rPr>
          <w:sz w:val="24"/>
          <w:szCs w:val="24"/>
        </w:rPr>
        <w:t xml:space="preserve">National Integrity of Sport </w:t>
      </w:r>
      <w:r w:rsidR="00675172" w:rsidRPr="00A157C1">
        <w:rPr>
          <w:sz w:val="24"/>
          <w:szCs w:val="24"/>
        </w:rPr>
        <w:t>Unit define</w:t>
      </w:r>
      <w:r w:rsidR="006B7457" w:rsidRPr="00A157C1">
        <w:rPr>
          <w:sz w:val="24"/>
          <w:szCs w:val="24"/>
        </w:rPr>
        <w:t>s</w:t>
      </w:r>
      <w:r w:rsidRPr="00A157C1">
        <w:rPr>
          <w:sz w:val="24"/>
          <w:szCs w:val="24"/>
        </w:rPr>
        <w:t xml:space="preserve"> sports integrity as</w:t>
      </w:r>
      <w:r w:rsidR="00675172" w:rsidRPr="00A157C1">
        <w:rPr>
          <w:sz w:val="24"/>
          <w:szCs w:val="24"/>
        </w:rPr>
        <w:t>:</w:t>
      </w:r>
    </w:p>
    <w:p w:rsidR="00C264C6" w:rsidRPr="00A157C1" w:rsidRDefault="00FC40D0" w:rsidP="006B7457">
      <w:pPr>
        <w:spacing w:after="120" w:line="240" w:lineRule="auto"/>
        <w:rPr>
          <w:i/>
          <w:sz w:val="24"/>
          <w:szCs w:val="24"/>
        </w:rPr>
      </w:pPr>
      <w:r>
        <w:rPr>
          <w:i/>
          <w:sz w:val="24"/>
          <w:szCs w:val="24"/>
        </w:rPr>
        <w:t>‘</w:t>
      </w:r>
      <w:r w:rsidR="00675172" w:rsidRPr="00A157C1">
        <w:rPr>
          <w:i/>
          <w:sz w:val="24"/>
          <w:szCs w:val="24"/>
        </w:rPr>
        <w:t>The</w:t>
      </w:r>
      <w:r w:rsidR="00C264C6" w:rsidRPr="00A157C1">
        <w:rPr>
          <w:i/>
          <w:sz w:val="24"/>
          <w:szCs w:val="24"/>
        </w:rPr>
        <w:t xml:space="preserve"> manifestation of the ethics and values which promote community confidence in sports, including:</w:t>
      </w:r>
    </w:p>
    <w:p w:rsidR="00C264C6" w:rsidRPr="00A157C1" w:rsidRDefault="00675172" w:rsidP="006B7457">
      <w:pPr>
        <w:pStyle w:val="ListParagraph"/>
        <w:numPr>
          <w:ilvl w:val="0"/>
          <w:numId w:val="16"/>
        </w:numPr>
        <w:spacing w:after="120"/>
        <w:ind w:left="714" w:hanging="357"/>
        <w:contextualSpacing w:val="0"/>
        <w:rPr>
          <w:rFonts w:asciiTheme="minorHAnsi" w:eastAsiaTheme="minorHAnsi" w:hAnsiTheme="minorHAnsi" w:cstheme="minorBidi"/>
          <w:i/>
          <w:lang w:eastAsia="en-US"/>
        </w:rPr>
      </w:pPr>
      <w:r w:rsidRPr="00A157C1">
        <w:rPr>
          <w:rFonts w:asciiTheme="minorHAnsi" w:eastAsiaTheme="minorHAnsi" w:hAnsiTheme="minorHAnsi" w:cstheme="minorBidi"/>
          <w:i/>
          <w:lang w:eastAsia="en-US"/>
        </w:rPr>
        <w:t>f</w:t>
      </w:r>
      <w:r w:rsidR="00C264C6" w:rsidRPr="00A157C1">
        <w:rPr>
          <w:rFonts w:asciiTheme="minorHAnsi" w:eastAsiaTheme="minorHAnsi" w:hAnsiTheme="minorHAnsi" w:cstheme="minorBidi"/>
          <w:i/>
          <w:lang w:eastAsia="en-US"/>
        </w:rPr>
        <w:t>air and honest performance and outcomes, unaffected by illegitimate enhancements or external interests</w:t>
      </w:r>
      <w:r w:rsidRPr="00A157C1">
        <w:rPr>
          <w:rFonts w:asciiTheme="minorHAnsi" w:eastAsiaTheme="minorHAnsi" w:hAnsiTheme="minorHAnsi" w:cstheme="minorBidi"/>
          <w:i/>
          <w:lang w:eastAsia="en-US"/>
        </w:rPr>
        <w:t>,</w:t>
      </w:r>
      <w:r w:rsidR="00C264C6" w:rsidRPr="00A157C1">
        <w:rPr>
          <w:rFonts w:asciiTheme="minorHAnsi" w:eastAsiaTheme="minorHAnsi" w:hAnsiTheme="minorHAnsi" w:cstheme="minorBidi"/>
          <w:i/>
          <w:lang w:eastAsia="en-US"/>
        </w:rPr>
        <w:t xml:space="preserve"> and</w:t>
      </w:r>
    </w:p>
    <w:p w:rsidR="00C264C6" w:rsidRPr="00C46B33" w:rsidRDefault="00675172" w:rsidP="00C46B33">
      <w:pPr>
        <w:pStyle w:val="ListParagraph"/>
        <w:numPr>
          <w:ilvl w:val="0"/>
          <w:numId w:val="15"/>
        </w:numPr>
        <w:spacing w:after="200"/>
        <w:ind w:left="714" w:hanging="357"/>
        <w:contextualSpacing w:val="0"/>
        <w:rPr>
          <w:rFonts w:asciiTheme="minorHAnsi" w:hAnsiTheme="minorHAnsi"/>
          <w:i/>
          <w:color w:val="000000" w:themeColor="text1"/>
        </w:rPr>
      </w:pPr>
      <w:r w:rsidRPr="00C46B33">
        <w:rPr>
          <w:rFonts w:asciiTheme="minorHAnsi" w:hAnsiTheme="minorHAnsi"/>
          <w:i/>
          <w:color w:val="000000" w:themeColor="text1"/>
        </w:rPr>
        <w:t>p</w:t>
      </w:r>
      <w:r w:rsidR="00C264C6" w:rsidRPr="00C46B33">
        <w:rPr>
          <w:rFonts w:asciiTheme="minorHAnsi" w:hAnsiTheme="minorHAnsi"/>
          <w:i/>
          <w:color w:val="000000" w:themeColor="text1"/>
        </w:rPr>
        <w:t>ositive conduct by athletes, administrators, officials, supporters and other stakeholders, on and off the sporting arena, which enhances the reputation and standing of the sporting contest and of sport overall.</w:t>
      </w:r>
      <w:r w:rsidR="007672FF">
        <w:rPr>
          <w:rFonts w:asciiTheme="minorHAnsi" w:hAnsiTheme="minorHAnsi"/>
          <w:i/>
          <w:color w:val="000000" w:themeColor="text1"/>
        </w:rPr>
        <w:t>’</w:t>
      </w:r>
    </w:p>
    <w:p w:rsidR="00A2552A" w:rsidRDefault="00A2552A" w:rsidP="00B81DAF">
      <w:pPr>
        <w:spacing w:line="240" w:lineRule="auto"/>
        <w:rPr>
          <w:sz w:val="24"/>
          <w:szCs w:val="24"/>
        </w:rPr>
      </w:pPr>
      <w:r>
        <w:rPr>
          <w:sz w:val="24"/>
          <w:szCs w:val="24"/>
        </w:rPr>
        <w:t>T</w:t>
      </w:r>
      <w:r w:rsidR="00C264C6" w:rsidRPr="00A157C1">
        <w:rPr>
          <w:sz w:val="24"/>
          <w:szCs w:val="24"/>
        </w:rPr>
        <w:t xml:space="preserve">he spectrum of integrity issues </w:t>
      </w:r>
      <w:r w:rsidR="00675172" w:rsidRPr="00A157C1">
        <w:rPr>
          <w:sz w:val="24"/>
          <w:szCs w:val="24"/>
        </w:rPr>
        <w:t xml:space="preserve">is </w:t>
      </w:r>
      <w:r>
        <w:rPr>
          <w:sz w:val="24"/>
          <w:szCs w:val="24"/>
        </w:rPr>
        <w:t xml:space="preserve">therefore </w:t>
      </w:r>
      <w:r w:rsidR="00675172" w:rsidRPr="00A157C1">
        <w:rPr>
          <w:sz w:val="24"/>
          <w:szCs w:val="24"/>
        </w:rPr>
        <w:t xml:space="preserve">broad </w:t>
      </w:r>
      <w:r w:rsidR="003A4D3F">
        <w:rPr>
          <w:sz w:val="24"/>
          <w:szCs w:val="24"/>
        </w:rPr>
        <w:t>but</w:t>
      </w:r>
      <w:r w:rsidR="00FC40D0">
        <w:rPr>
          <w:sz w:val="24"/>
          <w:szCs w:val="24"/>
        </w:rPr>
        <w:t xml:space="preserve"> </w:t>
      </w:r>
      <w:r w:rsidR="00675172" w:rsidRPr="00A157C1">
        <w:rPr>
          <w:sz w:val="24"/>
          <w:szCs w:val="24"/>
        </w:rPr>
        <w:t>inter</w:t>
      </w:r>
      <w:r w:rsidR="00FC40D0">
        <w:rPr>
          <w:sz w:val="24"/>
          <w:szCs w:val="24"/>
        </w:rPr>
        <w:t>connected, from serious criminality associated with match-fixing, through to civil sanctions associated with doping, code-of-conduct matters overseen by sports, player welfare and other considerations</w:t>
      </w:r>
      <w:r>
        <w:rPr>
          <w:sz w:val="24"/>
          <w:szCs w:val="24"/>
        </w:rPr>
        <w:t xml:space="preserve"> affecting diverse stakeholders</w:t>
      </w:r>
      <w:r w:rsidR="00FC40D0">
        <w:rPr>
          <w:sz w:val="24"/>
          <w:szCs w:val="24"/>
        </w:rPr>
        <w:t xml:space="preserve">.  The </w:t>
      </w:r>
      <w:r w:rsidR="003A4D3F">
        <w:rPr>
          <w:sz w:val="24"/>
          <w:szCs w:val="24"/>
        </w:rPr>
        <w:t xml:space="preserve">‘all threats’ approach embodied in the establishment </w:t>
      </w:r>
      <w:r w:rsidR="00412BDC">
        <w:rPr>
          <w:sz w:val="24"/>
          <w:szCs w:val="24"/>
        </w:rPr>
        <w:t xml:space="preserve">of the </w:t>
      </w:r>
      <w:r w:rsidR="003A4D3F">
        <w:rPr>
          <w:sz w:val="24"/>
          <w:szCs w:val="24"/>
        </w:rPr>
        <w:t>National Integrity of Sport Unit is gaining ascendancy in global sports integrity efforts</w:t>
      </w:r>
      <w:r>
        <w:rPr>
          <w:sz w:val="24"/>
          <w:szCs w:val="24"/>
        </w:rPr>
        <w:t xml:space="preserve">, and is an important </w:t>
      </w:r>
      <w:r w:rsidR="00876184">
        <w:rPr>
          <w:sz w:val="24"/>
          <w:szCs w:val="24"/>
        </w:rPr>
        <w:t>element of</w:t>
      </w:r>
      <w:r w:rsidR="00925CF2">
        <w:rPr>
          <w:sz w:val="24"/>
          <w:szCs w:val="24"/>
        </w:rPr>
        <w:t xml:space="preserve"> </w:t>
      </w:r>
      <w:r w:rsidR="00876184">
        <w:rPr>
          <w:sz w:val="24"/>
          <w:szCs w:val="24"/>
        </w:rPr>
        <w:t>effective and holistic</w:t>
      </w:r>
      <w:r w:rsidR="00925CF2">
        <w:rPr>
          <w:sz w:val="24"/>
          <w:szCs w:val="24"/>
        </w:rPr>
        <w:t xml:space="preserve"> sports integrity policy development.  </w:t>
      </w:r>
      <w:r w:rsidR="00765483">
        <w:rPr>
          <w:sz w:val="24"/>
          <w:szCs w:val="24"/>
        </w:rPr>
        <w:t>Given the Review’s</w:t>
      </w:r>
      <w:r w:rsidR="006972D5">
        <w:rPr>
          <w:sz w:val="24"/>
          <w:szCs w:val="24"/>
        </w:rPr>
        <w:t xml:space="preserve"> </w:t>
      </w:r>
      <w:r w:rsidR="00412BDC">
        <w:rPr>
          <w:sz w:val="24"/>
          <w:szCs w:val="24"/>
        </w:rPr>
        <w:t>t</w:t>
      </w:r>
      <w:r w:rsidR="006972D5">
        <w:rPr>
          <w:sz w:val="24"/>
          <w:szCs w:val="24"/>
        </w:rPr>
        <w:t xml:space="preserve">erms of reference, this submission focusses on </w:t>
      </w:r>
      <w:r w:rsidR="00876184">
        <w:rPr>
          <w:sz w:val="24"/>
          <w:szCs w:val="24"/>
        </w:rPr>
        <w:t>match-fixing and its close association with the expanding sports wagering sector.</w:t>
      </w:r>
    </w:p>
    <w:p w:rsidR="00C264C6" w:rsidRPr="00A157C1" w:rsidRDefault="00C264C6" w:rsidP="00B81DAF">
      <w:pPr>
        <w:spacing w:line="240" w:lineRule="auto"/>
        <w:rPr>
          <w:b/>
          <w:i/>
          <w:color w:val="4F81BD" w:themeColor="accent1"/>
          <w:sz w:val="24"/>
          <w:szCs w:val="24"/>
        </w:rPr>
      </w:pPr>
      <w:r w:rsidRPr="00A157C1">
        <w:rPr>
          <w:b/>
          <w:i/>
          <w:color w:val="4F81BD" w:themeColor="accent1"/>
          <w:sz w:val="24"/>
          <w:szCs w:val="24"/>
        </w:rPr>
        <w:t>Match-Fixing</w:t>
      </w:r>
    </w:p>
    <w:p w:rsidR="00412BDC" w:rsidRDefault="00672419" w:rsidP="00B81DAF">
      <w:pPr>
        <w:pStyle w:val="BodyText1"/>
        <w:numPr>
          <w:ilvl w:val="0"/>
          <w:numId w:val="0"/>
        </w:numPr>
        <w:spacing w:before="0" w:after="200" w:line="240" w:lineRule="auto"/>
        <w:rPr>
          <w:rFonts w:asciiTheme="minorHAnsi" w:hAnsiTheme="minorHAnsi"/>
          <w:sz w:val="24"/>
        </w:rPr>
      </w:pPr>
      <w:r w:rsidRPr="00A157C1">
        <w:rPr>
          <w:rFonts w:asciiTheme="minorHAnsi" w:hAnsiTheme="minorHAnsi"/>
          <w:sz w:val="24"/>
        </w:rPr>
        <w:t xml:space="preserve">Match-fixing in sport and the corruption that flows from it is </w:t>
      </w:r>
      <w:r w:rsidR="00D35F5E" w:rsidRPr="00A157C1">
        <w:rPr>
          <w:rFonts w:asciiTheme="minorHAnsi" w:hAnsiTheme="minorHAnsi"/>
          <w:sz w:val="24"/>
        </w:rPr>
        <w:t>a</w:t>
      </w:r>
      <w:r w:rsidR="002A7C00">
        <w:rPr>
          <w:rFonts w:asciiTheme="minorHAnsi" w:hAnsiTheme="minorHAnsi"/>
          <w:sz w:val="24"/>
        </w:rPr>
        <w:t xml:space="preserve"> critical issue</w:t>
      </w:r>
      <w:r w:rsidR="003A4D3F">
        <w:rPr>
          <w:rFonts w:asciiTheme="minorHAnsi" w:hAnsiTheme="minorHAnsi"/>
          <w:sz w:val="24"/>
        </w:rPr>
        <w:t xml:space="preserve"> for sports, </w:t>
      </w:r>
      <w:r w:rsidRPr="00A157C1">
        <w:rPr>
          <w:rFonts w:asciiTheme="minorHAnsi" w:hAnsiTheme="minorHAnsi"/>
          <w:sz w:val="24"/>
        </w:rPr>
        <w:t xml:space="preserve">governments </w:t>
      </w:r>
      <w:r w:rsidR="003A4D3F">
        <w:rPr>
          <w:rFonts w:asciiTheme="minorHAnsi" w:hAnsiTheme="minorHAnsi"/>
          <w:sz w:val="24"/>
        </w:rPr>
        <w:t>and the sporting public</w:t>
      </w:r>
      <w:r w:rsidRPr="00A157C1">
        <w:rPr>
          <w:rFonts w:asciiTheme="minorHAnsi" w:hAnsiTheme="minorHAnsi"/>
          <w:sz w:val="24"/>
        </w:rPr>
        <w:t>.  It undermine</w:t>
      </w:r>
      <w:r w:rsidR="003A4D3F">
        <w:rPr>
          <w:rFonts w:asciiTheme="minorHAnsi" w:hAnsiTheme="minorHAnsi"/>
          <w:sz w:val="24"/>
        </w:rPr>
        <w:t>s</w:t>
      </w:r>
      <w:r w:rsidRPr="00A157C1">
        <w:rPr>
          <w:rFonts w:asciiTheme="minorHAnsi" w:hAnsiTheme="minorHAnsi"/>
          <w:sz w:val="24"/>
        </w:rPr>
        <w:t xml:space="preserve"> public confidence in the integrity of sport, sporting events and the products offered by betting agencies.  Sports corruption overseas has led to </w:t>
      </w:r>
      <w:r w:rsidR="003A4D3F">
        <w:rPr>
          <w:rFonts w:asciiTheme="minorHAnsi" w:hAnsiTheme="minorHAnsi"/>
          <w:sz w:val="24"/>
        </w:rPr>
        <w:t xml:space="preserve">the </w:t>
      </w:r>
      <w:r w:rsidRPr="00A157C1">
        <w:rPr>
          <w:rFonts w:asciiTheme="minorHAnsi" w:hAnsiTheme="minorHAnsi"/>
          <w:sz w:val="24"/>
        </w:rPr>
        <w:t>colla</w:t>
      </w:r>
      <w:r w:rsidR="00BD4242" w:rsidRPr="00A157C1">
        <w:rPr>
          <w:rFonts w:asciiTheme="minorHAnsi" w:hAnsiTheme="minorHAnsi"/>
          <w:sz w:val="24"/>
        </w:rPr>
        <w:t>pse of entire sporting codes</w:t>
      </w:r>
      <w:r w:rsidR="003A4D3F">
        <w:rPr>
          <w:rFonts w:asciiTheme="minorHAnsi" w:hAnsiTheme="minorHAnsi"/>
          <w:sz w:val="24"/>
        </w:rPr>
        <w:t>, with a</w:t>
      </w:r>
      <w:r w:rsidR="003A4D3F" w:rsidRPr="00A157C1">
        <w:rPr>
          <w:rFonts w:asciiTheme="minorHAnsi" w:hAnsiTheme="minorHAnsi"/>
          <w:sz w:val="24"/>
        </w:rPr>
        <w:t>bundant</w:t>
      </w:r>
      <w:r w:rsidR="00BD4242" w:rsidRPr="00A157C1">
        <w:rPr>
          <w:rFonts w:asciiTheme="minorHAnsi" w:hAnsiTheme="minorHAnsi"/>
          <w:sz w:val="24"/>
        </w:rPr>
        <w:t xml:space="preserve"> </w:t>
      </w:r>
      <w:r w:rsidR="003A4D3F">
        <w:rPr>
          <w:rFonts w:asciiTheme="minorHAnsi" w:hAnsiTheme="minorHAnsi"/>
          <w:sz w:val="24"/>
        </w:rPr>
        <w:t>examples</w:t>
      </w:r>
      <w:r w:rsidR="00BD4242" w:rsidRPr="00A157C1">
        <w:rPr>
          <w:rFonts w:asciiTheme="minorHAnsi" w:hAnsiTheme="minorHAnsi"/>
          <w:sz w:val="24"/>
        </w:rPr>
        <w:t xml:space="preserve"> of match</w:t>
      </w:r>
      <w:r w:rsidR="00412BDC">
        <w:rPr>
          <w:rFonts w:asciiTheme="minorHAnsi" w:hAnsiTheme="minorHAnsi"/>
          <w:sz w:val="24"/>
        </w:rPr>
        <w:noBreakHyphen/>
      </w:r>
      <w:r w:rsidR="00BD4242" w:rsidRPr="00A157C1">
        <w:rPr>
          <w:rFonts w:asciiTheme="minorHAnsi" w:hAnsiTheme="minorHAnsi"/>
          <w:sz w:val="24"/>
        </w:rPr>
        <w:t xml:space="preserve">fixing </w:t>
      </w:r>
      <w:r w:rsidR="003A4D3F">
        <w:rPr>
          <w:rFonts w:asciiTheme="minorHAnsi" w:hAnsiTheme="minorHAnsi"/>
          <w:sz w:val="24"/>
        </w:rPr>
        <w:t>over</w:t>
      </w:r>
      <w:r w:rsidR="00BD4242" w:rsidRPr="00A157C1">
        <w:rPr>
          <w:rFonts w:asciiTheme="minorHAnsi" w:hAnsiTheme="minorHAnsi"/>
          <w:sz w:val="24"/>
        </w:rPr>
        <w:t xml:space="preserve"> recent years, </w:t>
      </w:r>
      <w:r w:rsidR="003A4D3F">
        <w:rPr>
          <w:rFonts w:asciiTheme="minorHAnsi" w:hAnsiTheme="minorHAnsi"/>
          <w:sz w:val="24"/>
        </w:rPr>
        <w:t>particularly</w:t>
      </w:r>
      <w:r w:rsidR="00BD4242" w:rsidRPr="00A157C1">
        <w:rPr>
          <w:rFonts w:asciiTheme="minorHAnsi" w:hAnsiTheme="minorHAnsi"/>
          <w:sz w:val="24"/>
        </w:rPr>
        <w:t xml:space="preserve"> </w:t>
      </w:r>
      <w:r w:rsidR="003A4D3F">
        <w:rPr>
          <w:rFonts w:asciiTheme="minorHAnsi" w:hAnsiTheme="minorHAnsi"/>
          <w:sz w:val="24"/>
        </w:rPr>
        <w:t xml:space="preserve">but not only </w:t>
      </w:r>
      <w:r w:rsidR="00BD4242" w:rsidRPr="00A157C1">
        <w:rPr>
          <w:rFonts w:asciiTheme="minorHAnsi" w:hAnsiTheme="minorHAnsi"/>
          <w:sz w:val="24"/>
        </w:rPr>
        <w:t xml:space="preserve">in the sports </w:t>
      </w:r>
      <w:r w:rsidR="00765483">
        <w:rPr>
          <w:rFonts w:asciiTheme="minorHAnsi" w:hAnsiTheme="minorHAnsi"/>
          <w:sz w:val="24"/>
        </w:rPr>
        <w:t xml:space="preserve">of </w:t>
      </w:r>
      <w:r w:rsidR="003A4D3F" w:rsidRPr="00A157C1">
        <w:rPr>
          <w:rFonts w:asciiTheme="minorHAnsi" w:hAnsiTheme="minorHAnsi"/>
          <w:sz w:val="24"/>
        </w:rPr>
        <w:t xml:space="preserve">football </w:t>
      </w:r>
      <w:r w:rsidR="003A4D3F">
        <w:rPr>
          <w:rFonts w:asciiTheme="minorHAnsi" w:hAnsiTheme="minorHAnsi"/>
          <w:sz w:val="24"/>
        </w:rPr>
        <w:t>(soccer), cricket and tennis</w:t>
      </w:r>
      <w:r w:rsidR="00BD4242" w:rsidRPr="00A157C1">
        <w:rPr>
          <w:rFonts w:asciiTheme="minorHAnsi" w:hAnsiTheme="minorHAnsi"/>
          <w:sz w:val="24"/>
        </w:rPr>
        <w:t xml:space="preserve">.  </w:t>
      </w:r>
      <w:r w:rsidR="008B1EBD">
        <w:rPr>
          <w:rFonts w:asciiTheme="minorHAnsi" w:hAnsiTheme="minorHAnsi"/>
          <w:sz w:val="24"/>
        </w:rPr>
        <w:t xml:space="preserve">The </w:t>
      </w:r>
      <w:r w:rsidR="002771D4">
        <w:rPr>
          <w:rFonts w:asciiTheme="minorHAnsi" w:hAnsiTheme="minorHAnsi"/>
          <w:sz w:val="24"/>
        </w:rPr>
        <w:t xml:space="preserve">2013 Europol </w:t>
      </w:r>
      <w:r w:rsidR="002771D4" w:rsidRPr="00765483">
        <w:rPr>
          <w:rFonts w:asciiTheme="minorHAnsi" w:hAnsiTheme="minorHAnsi"/>
          <w:i/>
          <w:sz w:val="24"/>
        </w:rPr>
        <w:t>Operation VETO</w:t>
      </w:r>
      <w:r w:rsidR="002771D4">
        <w:rPr>
          <w:rFonts w:asciiTheme="minorHAnsi" w:hAnsiTheme="minorHAnsi"/>
          <w:sz w:val="24"/>
        </w:rPr>
        <w:t xml:space="preserve"> revelations, which identified 380 suspicious matches, 425 suspect</w:t>
      </w:r>
      <w:r w:rsidR="00765483">
        <w:rPr>
          <w:rFonts w:asciiTheme="minorHAnsi" w:hAnsiTheme="minorHAnsi"/>
          <w:sz w:val="24"/>
        </w:rPr>
        <w:t xml:space="preserve"> individual</w:t>
      </w:r>
      <w:r w:rsidR="002771D4">
        <w:rPr>
          <w:rFonts w:asciiTheme="minorHAnsi" w:hAnsiTheme="minorHAnsi"/>
          <w:sz w:val="24"/>
        </w:rPr>
        <w:t xml:space="preserve">s, and </w:t>
      </w:r>
      <w:r w:rsidR="00D1589E">
        <w:rPr>
          <w:rFonts w:asciiTheme="minorHAnsi" w:hAnsiTheme="minorHAnsi"/>
          <w:sz w:val="24"/>
        </w:rPr>
        <w:t>AUD</w:t>
      </w:r>
      <w:r w:rsidR="002771D4">
        <w:rPr>
          <w:rFonts w:asciiTheme="minorHAnsi" w:hAnsiTheme="minorHAnsi"/>
          <w:sz w:val="24"/>
        </w:rPr>
        <w:t>11 million profits from fixed matches, only hint at the global scale of fixing</w:t>
      </w:r>
      <w:r w:rsidR="004729A5">
        <w:rPr>
          <w:rStyle w:val="FootnoteReference"/>
          <w:rFonts w:asciiTheme="minorHAnsi" w:hAnsiTheme="minorHAnsi"/>
          <w:sz w:val="24"/>
        </w:rPr>
        <w:footnoteReference w:id="1"/>
      </w:r>
      <w:r w:rsidR="002771D4">
        <w:rPr>
          <w:rFonts w:asciiTheme="minorHAnsi" w:hAnsiTheme="minorHAnsi"/>
          <w:sz w:val="24"/>
        </w:rPr>
        <w:t>.</w:t>
      </w:r>
    </w:p>
    <w:p w:rsidR="00765483" w:rsidRDefault="00BD4242" w:rsidP="00B81DAF">
      <w:pPr>
        <w:pStyle w:val="BodyText1"/>
        <w:numPr>
          <w:ilvl w:val="0"/>
          <w:numId w:val="0"/>
        </w:numPr>
        <w:spacing w:before="0" w:after="200" w:line="240" w:lineRule="auto"/>
        <w:rPr>
          <w:rFonts w:asciiTheme="minorHAnsi" w:hAnsiTheme="minorHAnsi"/>
          <w:sz w:val="24"/>
        </w:rPr>
      </w:pPr>
      <w:r w:rsidRPr="00A157C1">
        <w:rPr>
          <w:rFonts w:asciiTheme="minorHAnsi" w:hAnsiTheme="minorHAnsi"/>
          <w:sz w:val="24"/>
        </w:rPr>
        <w:t>Match-fixing is not limited to professional or high</w:t>
      </w:r>
      <w:r w:rsidR="00D31022">
        <w:rPr>
          <w:rFonts w:asciiTheme="minorHAnsi" w:hAnsiTheme="minorHAnsi"/>
          <w:sz w:val="24"/>
        </w:rPr>
        <w:t xml:space="preserve"> </w:t>
      </w:r>
      <w:r w:rsidRPr="00A157C1">
        <w:rPr>
          <w:rFonts w:asciiTheme="minorHAnsi" w:hAnsiTheme="minorHAnsi"/>
          <w:sz w:val="24"/>
        </w:rPr>
        <w:t xml:space="preserve">profile </w:t>
      </w:r>
      <w:r w:rsidR="000F613B" w:rsidRPr="00A157C1">
        <w:rPr>
          <w:rFonts w:asciiTheme="minorHAnsi" w:hAnsiTheme="minorHAnsi"/>
          <w:sz w:val="24"/>
        </w:rPr>
        <w:t xml:space="preserve">national </w:t>
      </w:r>
      <w:r w:rsidRPr="00A157C1">
        <w:rPr>
          <w:rFonts w:asciiTheme="minorHAnsi" w:hAnsiTheme="minorHAnsi"/>
          <w:sz w:val="24"/>
        </w:rPr>
        <w:t xml:space="preserve">sporting </w:t>
      </w:r>
      <w:r w:rsidR="000F613B" w:rsidRPr="00A157C1">
        <w:rPr>
          <w:rFonts w:asciiTheme="minorHAnsi" w:hAnsiTheme="minorHAnsi"/>
          <w:sz w:val="24"/>
        </w:rPr>
        <w:t>competitions</w:t>
      </w:r>
      <w:r w:rsidRPr="00A157C1">
        <w:rPr>
          <w:rFonts w:asciiTheme="minorHAnsi" w:hAnsiTheme="minorHAnsi"/>
          <w:sz w:val="24"/>
        </w:rPr>
        <w:t xml:space="preserve"> and has occurred in lower grade competitions and in individual </w:t>
      </w:r>
      <w:r w:rsidR="000F613B" w:rsidRPr="00A157C1">
        <w:rPr>
          <w:rFonts w:asciiTheme="minorHAnsi" w:hAnsiTheme="minorHAnsi"/>
          <w:sz w:val="24"/>
        </w:rPr>
        <w:t xml:space="preserve">second and third tier </w:t>
      </w:r>
      <w:r w:rsidRPr="00A157C1">
        <w:rPr>
          <w:rFonts w:asciiTheme="minorHAnsi" w:hAnsiTheme="minorHAnsi"/>
          <w:sz w:val="24"/>
        </w:rPr>
        <w:t>events.</w:t>
      </w:r>
      <w:r w:rsidR="003A4D3F">
        <w:rPr>
          <w:rFonts w:asciiTheme="minorHAnsi" w:hAnsiTheme="minorHAnsi"/>
          <w:sz w:val="24"/>
        </w:rPr>
        <w:t xml:space="preserve">  Indeed such tiers appea</w:t>
      </w:r>
      <w:r w:rsidR="002A7C00">
        <w:rPr>
          <w:rFonts w:asciiTheme="minorHAnsi" w:hAnsiTheme="minorHAnsi"/>
          <w:sz w:val="24"/>
        </w:rPr>
        <w:t>r to particularly attract match-</w:t>
      </w:r>
      <w:r w:rsidR="003A4D3F">
        <w:rPr>
          <w:rFonts w:asciiTheme="minorHAnsi" w:hAnsiTheme="minorHAnsi"/>
          <w:sz w:val="24"/>
        </w:rPr>
        <w:t>fixing efforts due to the ubiquity of betting markets, lesser integrity protocols and, arguably, higher vulnerability of persons associated due to inferior remuneration and other factors.  The framing of markets on sub</w:t>
      </w:r>
      <w:r w:rsidR="00412BDC">
        <w:rPr>
          <w:rFonts w:asciiTheme="minorHAnsi" w:hAnsiTheme="minorHAnsi"/>
          <w:sz w:val="24"/>
        </w:rPr>
        <w:noBreakHyphen/>
      </w:r>
      <w:r w:rsidR="003A4D3F">
        <w:rPr>
          <w:rFonts w:asciiTheme="minorHAnsi" w:hAnsiTheme="minorHAnsi"/>
          <w:sz w:val="24"/>
        </w:rPr>
        <w:t>elite Australian sporting competitions by semi-regulated and/or unregulated</w:t>
      </w:r>
      <w:r w:rsidR="006F78EF">
        <w:rPr>
          <w:rFonts w:asciiTheme="minorHAnsi" w:hAnsiTheme="minorHAnsi"/>
          <w:sz w:val="24"/>
        </w:rPr>
        <w:t xml:space="preserve"> Asian betting providers has been of concern to the National Integrity of Sport Unit for some time.</w:t>
      </w:r>
    </w:p>
    <w:p w:rsidR="00AA27D6" w:rsidRDefault="00F84CC0" w:rsidP="006947C9">
      <w:pPr>
        <w:spacing w:line="240" w:lineRule="auto"/>
        <w:rPr>
          <w:sz w:val="24"/>
          <w:szCs w:val="24"/>
        </w:rPr>
      </w:pPr>
      <w:r w:rsidRPr="00A157C1">
        <w:rPr>
          <w:sz w:val="24"/>
          <w:szCs w:val="24"/>
        </w:rPr>
        <w:t xml:space="preserve">The growing pervasiveness of sports betting and </w:t>
      </w:r>
      <w:r w:rsidR="008B1EBD">
        <w:rPr>
          <w:sz w:val="24"/>
          <w:szCs w:val="24"/>
        </w:rPr>
        <w:t>a</w:t>
      </w:r>
      <w:r w:rsidRPr="00A157C1">
        <w:rPr>
          <w:sz w:val="24"/>
          <w:szCs w:val="24"/>
        </w:rPr>
        <w:t xml:space="preserve"> </w:t>
      </w:r>
      <w:r w:rsidR="008B1EBD">
        <w:rPr>
          <w:sz w:val="24"/>
          <w:szCs w:val="24"/>
        </w:rPr>
        <w:t>high gain/low risk equation has rendered match-fixing a highly</w:t>
      </w:r>
      <w:r w:rsidR="002A7C00">
        <w:rPr>
          <w:sz w:val="24"/>
          <w:szCs w:val="24"/>
        </w:rPr>
        <w:t xml:space="preserve"> </w:t>
      </w:r>
      <w:r w:rsidR="008B1EBD">
        <w:rPr>
          <w:sz w:val="24"/>
          <w:szCs w:val="24"/>
        </w:rPr>
        <w:t xml:space="preserve">attractive corruption </w:t>
      </w:r>
      <w:r w:rsidR="006947C9">
        <w:rPr>
          <w:sz w:val="24"/>
          <w:szCs w:val="24"/>
        </w:rPr>
        <w:t>activity</w:t>
      </w:r>
      <w:r w:rsidR="008B1EBD">
        <w:rPr>
          <w:sz w:val="24"/>
          <w:szCs w:val="24"/>
        </w:rPr>
        <w:t xml:space="preserve"> for organised crime, complemented by other criminal activities such as the su</w:t>
      </w:r>
      <w:r w:rsidR="002A7C00">
        <w:rPr>
          <w:sz w:val="24"/>
          <w:szCs w:val="24"/>
        </w:rPr>
        <w:t xml:space="preserve">pply of illicit and performance </w:t>
      </w:r>
      <w:r w:rsidR="008B1EBD">
        <w:rPr>
          <w:sz w:val="24"/>
          <w:szCs w:val="24"/>
        </w:rPr>
        <w:t xml:space="preserve">enhancing drugs to athletes.  </w:t>
      </w:r>
      <w:r w:rsidR="006947C9">
        <w:rPr>
          <w:sz w:val="24"/>
          <w:szCs w:val="24"/>
        </w:rPr>
        <w:t xml:space="preserve">Rapid uptake of digital technologies has </w:t>
      </w:r>
      <w:r w:rsidRPr="00A157C1">
        <w:rPr>
          <w:sz w:val="24"/>
          <w:szCs w:val="24"/>
        </w:rPr>
        <w:t xml:space="preserve">eroded national boundaries and </w:t>
      </w:r>
      <w:r w:rsidR="006947C9">
        <w:rPr>
          <w:sz w:val="24"/>
          <w:szCs w:val="24"/>
        </w:rPr>
        <w:t>provided ready and effective platforms to facilitate global wagering</w:t>
      </w:r>
      <w:r w:rsidRPr="00A157C1">
        <w:rPr>
          <w:sz w:val="24"/>
          <w:szCs w:val="24"/>
        </w:rPr>
        <w:t>.</w:t>
      </w:r>
      <w:r w:rsidR="006947C9">
        <w:rPr>
          <w:sz w:val="24"/>
          <w:szCs w:val="24"/>
        </w:rPr>
        <w:t xml:space="preserve">  Australian sports are particularly vulnerable due to a combination of the</w:t>
      </w:r>
      <w:r w:rsidR="004C3B9E">
        <w:rPr>
          <w:sz w:val="24"/>
          <w:szCs w:val="24"/>
        </w:rPr>
        <w:t>ir</w:t>
      </w:r>
      <w:r w:rsidR="006947C9">
        <w:rPr>
          <w:sz w:val="24"/>
          <w:szCs w:val="24"/>
        </w:rPr>
        <w:t xml:space="preserve"> popularity and </w:t>
      </w:r>
      <w:r w:rsidR="004C3B9E">
        <w:rPr>
          <w:sz w:val="24"/>
          <w:szCs w:val="24"/>
        </w:rPr>
        <w:t xml:space="preserve">the </w:t>
      </w:r>
      <w:r w:rsidR="006947C9">
        <w:rPr>
          <w:sz w:val="24"/>
          <w:szCs w:val="24"/>
        </w:rPr>
        <w:t>huge growth of online sports wagering in Asia, the absence of effective regulation in many Asian markets, and</w:t>
      </w:r>
      <w:r w:rsidR="00EB5E99">
        <w:rPr>
          <w:sz w:val="24"/>
          <w:szCs w:val="24"/>
        </w:rPr>
        <w:t xml:space="preserve"> </w:t>
      </w:r>
      <w:r w:rsidR="004C3B9E">
        <w:rPr>
          <w:sz w:val="24"/>
          <w:szCs w:val="24"/>
        </w:rPr>
        <w:t xml:space="preserve">the </w:t>
      </w:r>
      <w:r w:rsidR="00EB5E99">
        <w:rPr>
          <w:sz w:val="24"/>
          <w:szCs w:val="24"/>
        </w:rPr>
        <w:t>conducive time zones.</w:t>
      </w:r>
    </w:p>
    <w:p w:rsidR="00D35F5E" w:rsidRPr="00A157C1" w:rsidRDefault="006947C9" w:rsidP="00B81DAF">
      <w:pPr>
        <w:spacing w:line="240" w:lineRule="auto"/>
        <w:rPr>
          <w:b/>
          <w:color w:val="4F81BD" w:themeColor="accent1"/>
          <w:sz w:val="24"/>
          <w:szCs w:val="24"/>
          <w:u w:val="single"/>
        </w:rPr>
      </w:pPr>
      <w:r>
        <w:rPr>
          <w:b/>
          <w:color w:val="4F81BD" w:themeColor="accent1"/>
          <w:sz w:val="24"/>
          <w:szCs w:val="24"/>
          <w:u w:val="single"/>
        </w:rPr>
        <w:t xml:space="preserve">The </w:t>
      </w:r>
      <w:r w:rsidR="004B0427" w:rsidRPr="00A157C1">
        <w:rPr>
          <w:b/>
          <w:color w:val="4F81BD" w:themeColor="accent1"/>
          <w:sz w:val="24"/>
          <w:szCs w:val="24"/>
          <w:u w:val="single"/>
        </w:rPr>
        <w:t>Australian</w:t>
      </w:r>
      <w:r w:rsidR="00F320C5" w:rsidRPr="00A157C1">
        <w:rPr>
          <w:b/>
          <w:color w:val="4F81BD" w:themeColor="accent1"/>
          <w:sz w:val="24"/>
          <w:szCs w:val="24"/>
          <w:u w:val="single"/>
        </w:rPr>
        <w:t xml:space="preserve"> </w:t>
      </w:r>
      <w:r w:rsidR="00D35F5E" w:rsidRPr="00A157C1">
        <w:rPr>
          <w:b/>
          <w:color w:val="4F81BD" w:themeColor="accent1"/>
          <w:sz w:val="24"/>
          <w:szCs w:val="24"/>
          <w:u w:val="single"/>
        </w:rPr>
        <w:t>Sports Wagering Market</w:t>
      </w:r>
    </w:p>
    <w:p w:rsidR="006947C9" w:rsidRDefault="006947C9" w:rsidP="00B81DAF">
      <w:pPr>
        <w:spacing w:line="240" w:lineRule="auto"/>
        <w:rPr>
          <w:sz w:val="24"/>
          <w:szCs w:val="24"/>
        </w:rPr>
      </w:pPr>
      <w:r>
        <w:rPr>
          <w:sz w:val="24"/>
          <w:szCs w:val="24"/>
        </w:rPr>
        <w:t>A developed understanding of the exposure of Australian sports to wagering is fundamental to developing match</w:t>
      </w:r>
      <w:r w:rsidR="004C3B9E">
        <w:rPr>
          <w:sz w:val="24"/>
          <w:szCs w:val="24"/>
        </w:rPr>
        <w:t>-</w:t>
      </w:r>
      <w:r>
        <w:rPr>
          <w:sz w:val="24"/>
          <w:szCs w:val="24"/>
        </w:rPr>
        <w:t>fixing threat assessments and the development of mitigation strategies.  The National Integrity of Sport Unit has committed much effort to defining this exposure as part of its efforts to advise and protect Australian sports from integrity threats.</w:t>
      </w:r>
    </w:p>
    <w:p w:rsidR="00EB5E99" w:rsidRPr="00EB5E99" w:rsidRDefault="00EB5E99" w:rsidP="00EB5E99">
      <w:pPr>
        <w:spacing w:line="240" w:lineRule="auto"/>
        <w:rPr>
          <w:sz w:val="24"/>
          <w:szCs w:val="24"/>
        </w:rPr>
      </w:pPr>
      <w:r w:rsidRPr="00EB5E99">
        <w:rPr>
          <w:sz w:val="24"/>
          <w:szCs w:val="24"/>
        </w:rPr>
        <w:t>The sports wagering market, both globally and domestically, has burgeoned over the past decade, with thousands of online bookmakers now offering betting markets on a vast and increasing array of sports.  Australians are among the most prolific gamblers in the world with total sports betting expenditure in 2013-14 estimated at AUD4.6 billion, and online betting AUD2.75 billion</w:t>
      </w:r>
      <w:r w:rsidRPr="00EB5E99">
        <w:rPr>
          <w:rStyle w:val="FootnoteReference"/>
          <w:sz w:val="24"/>
          <w:szCs w:val="24"/>
        </w:rPr>
        <w:footnoteReference w:id="2"/>
      </w:r>
      <w:r w:rsidRPr="00EB5E99">
        <w:rPr>
          <w:sz w:val="24"/>
          <w:szCs w:val="24"/>
        </w:rPr>
        <w:t xml:space="preserve">.  Annual betting turnover in Australia on the Australian Football League (AFL) is estimated to be around </w:t>
      </w:r>
      <w:r w:rsidR="00253C55">
        <w:rPr>
          <w:sz w:val="24"/>
          <w:szCs w:val="24"/>
        </w:rPr>
        <w:t>AUD</w:t>
      </w:r>
      <w:r w:rsidRPr="00EB5E99">
        <w:rPr>
          <w:sz w:val="24"/>
          <w:szCs w:val="24"/>
        </w:rPr>
        <w:t>1.3 billion</w:t>
      </w:r>
      <w:r w:rsidRPr="00EB5E99">
        <w:rPr>
          <w:rStyle w:val="FootnoteReference"/>
          <w:sz w:val="24"/>
          <w:szCs w:val="24"/>
        </w:rPr>
        <w:footnoteReference w:id="3"/>
      </w:r>
      <w:r w:rsidRPr="00EB5E99">
        <w:rPr>
          <w:sz w:val="24"/>
          <w:szCs w:val="24"/>
        </w:rPr>
        <w:t xml:space="preserve">, </w:t>
      </w:r>
      <w:r w:rsidR="00230B4D">
        <w:rPr>
          <w:sz w:val="24"/>
          <w:szCs w:val="24"/>
        </w:rPr>
        <w:t xml:space="preserve">and </w:t>
      </w:r>
      <w:r w:rsidRPr="00EB5E99">
        <w:rPr>
          <w:sz w:val="24"/>
          <w:szCs w:val="24"/>
        </w:rPr>
        <w:t xml:space="preserve">the National Rugby League (NRL) </w:t>
      </w:r>
      <w:r w:rsidR="00253C55">
        <w:rPr>
          <w:sz w:val="24"/>
          <w:szCs w:val="24"/>
        </w:rPr>
        <w:t>AUD</w:t>
      </w:r>
      <w:r w:rsidRPr="00EB5E99">
        <w:rPr>
          <w:sz w:val="24"/>
          <w:szCs w:val="24"/>
        </w:rPr>
        <w:t>1.1</w:t>
      </w:r>
      <w:r>
        <w:rPr>
          <w:sz w:val="24"/>
          <w:szCs w:val="24"/>
        </w:rPr>
        <w:t> </w:t>
      </w:r>
      <w:r w:rsidRPr="00EB5E99">
        <w:rPr>
          <w:sz w:val="24"/>
          <w:szCs w:val="24"/>
        </w:rPr>
        <w:t>billion</w:t>
      </w:r>
      <w:r w:rsidRPr="00EB5E99">
        <w:rPr>
          <w:rStyle w:val="FootnoteReference"/>
          <w:sz w:val="24"/>
          <w:szCs w:val="24"/>
        </w:rPr>
        <w:footnoteReference w:id="4"/>
      </w:r>
      <w:r w:rsidRPr="00EB5E99">
        <w:rPr>
          <w:sz w:val="24"/>
          <w:szCs w:val="24"/>
        </w:rPr>
        <w:t>.</w:t>
      </w:r>
    </w:p>
    <w:p w:rsidR="00EB5E99" w:rsidRPr="00EB5E99" w:rsidRDefault="00EB5E99" w:rsidP="00EB5E99">
      <w:pPr>
        <w:spacing w:line="240" w:lineRule="auto"/>
        <w:rPr>
          <w:sz w:val="24"/>
          <w:szCs w:val="24"/>
        </w:rPr>
      </w:pPr>
      <w:r w:rsidRPr="00EB5E99">
        <w:rPr>
          <w:sz w:val="24"/>
          <w:szCs w:val="24"/>
        </w:rPr>
        <w:t>Changing consumer preferences and the aggressive marketing of online betting</w:t>
      </w:r>
      <w:r w:rsidR="004C3B9E">
        <w:rPr>
          <w:sz w:val="24"/>
          <w:szCs w:val="24"/>
        </w:rPr>
        <w:t xml:space="preserve"> operators</w:t>
      </w:r>
      <w:r w:rsidRPr="00EB5E99">
        <w:rPr>
          <w:sz w:val="24"/>
          <w:szCs w:val="24"/>
        </w:rPr>
        <w:t xml:space="preserve"> have had a significant impact on sports betting in Australia.  Product innovation and technological advances have made online betting increasingly convenient for punters. </w:t>
      </w:r>
      <w:r>
        <w:rPr>
          <w:sz w:val="24"/>
          <w:szCs w:val="24"/>
        </w:rPr>
        <w:t xml:space="preserve"> </w:t>
      </w:r>
      <w:r w:rsidRPr="00EB5E99">
        <w:rPr>
          <w:sz w:val="24"/>
          <w:szCs w:val="24"/>
        </w:rPr>
        <w:t>This has resulted in many wagers traditionally placed at bricks-and-mortar outlets being made instead through online channels.  Advances in online and mobile betting platforms, together with the rising popularity of the sports betting segment, are likely to boost growth in the industry moving forward</w:t>
      </w:r>
      <w:r w:rsidRPr="00EB5E99">
        <w:rPr>
          <w:rStyle w:val="FootnoteReference"/>
          <w:sz w:val="24"/>
          <w:szCs w:val="24"/>
        </w:rPr>
        <w:footnoteReference w:id="5"/>
      </w:r>
      <w:r w:rsidR="007672FF">
        <w:rPr>
          <w:sz w:val="24"/>
          <w:szCs w:val="24"/>
        </w:rPr>
        <w:t>.</w:t>
      </w:r>
    </w:p>
    <w:p w:rsidR="00EB5E99" w:rsidRPr="00EB5E99" w:rsidRDefault="00EB5E99" w:rsidP="00EB5E99">
      <w:pPr>
        <w:spacing w:line="240" w:lineRule="auto"/>
        <w:rPr>
          <w:rFonts w:ascii="Arial" w:hAnsi="Arial" w:cs="Arial"/>
          <w:color w:val="000000"/>
          <w:sz w:val="24"/>
          <w:szCs w:val="24"/>
          <w:shd w:val="clear" w:color="auto" w:fill="FFFFFF"/>
        </w:rPr>
      </w:pPr>
      <w:r w:rsidRPr="00EB5E99">
        <w:rPr>
          <w:sz w:val="24"/>
          <w:szCs w:val="24"/>
        </w:rPr>
        <w:t>According to Tabcorp’s 2014 Annual Report, in terms of distribution channels, digital was a driver of growth, with turnover up 18.2%.</w:t>
      </w:r>
      <w:r>
        <w:rPr>
          <w:sz w:val="24"/>
          <w:szCs w:val="24"/>
        </w:rPr>
        <w:t xml:space="preserve"> </w:t>
      </w:r>
      <w:r w:rsidRPr="00EB5E99">
        <w:rPr>
          <w:sz w:val="24"/>
          <w:szCs w:val="24"/>
        </w:rPr>
        <w:t xml:space="preserve"> Mobile devices made up 54% of Tabcorp’s digital turnover, up from 35% in 2013</w:t>
      </w:r>
      <w:r w:rsidRPr="00EB5E99">
        <w:rPr>
          <w:rStyle w:val="FootnoteReference"/>
          <w:sz w:val="24"/>
          <w:szCs w:val="24"/>
        </w:rPr>
        <w:footnoteReference w:id="6"/>
      </w:r>
      <w:r w:rsidRPr="00EB5E99">
        <w:rPr>
          <w:sz w:val="24"/>
          <w:szCs w:val="24"/>
        </w:rPr>
        <w:t>.</w:t>
      </w:r>
    </w:p>
    <w:p w:rsidR="00F320C5" w:rsidRPr="00A157C1" w:rsidRDefault="00F320C5" w:rsidP="00B81DAF">
      <w:pPr>
        <w:spacing w:line="240" w:lineRule="auto"/>
        <w:rPr>
          <w:b/>
          <w:color w:val="4F81BD" w:themeColor="accent1"/>
          <w:sz w:val="24"/>
          <w:szCs w:val="24"/>
          <w:u w:val="single"/>
        </w:rPr>
      </w:pPr>
      <w:r w:rsidRPr="00A157C1">
        <w:rPr>
          <w:b/>
          <w:color w:val="4F81BD" w:themeColor="accent1"/>
          <w:sz w:val="24"/>
          <w:szCs w:val="24"/>
          <w:u w:val="single"/>
        </w:rPr>
        <w:t xml:space="preserve">Global </w:t>
      </w:r>
      <w:r w:rsidR="004B0427" w:rsidRPr="00A157C1">
        <w:rPr>
          <w:b/>
          <w:color w:val="4F81BD" w:themeColor="accent1"/>
          <w:sz w:val="24"/>
          <w:szCs w:val="24"/>
          <w:u w:val="single"/>
        </w:rPr>
        <w:t xml:space="preserve">Sports </w:t>
      </w:r>
      <w:r w:rsidRPr="00A157C1">
        <w:rPr>
          <w:b/>
          <w:color w:val="4F81BD" w:themeColor="accent1"/>
          <w:sz w:val="24"/>
          <w:szCs w:val="24"/>
          <w:u w:val="single"/>
        </w:rPr>
        <w:t>Wagering Market</w:t>
      </w:r>
    </w:p>
    <w:p w:rsidR="004C3B9E" w:rsidRDefault="00E75F0B" w:rsidP="00B81DAF">
      <w:pPr>
        <w:spacing w:line="240" w:lineRule="auto"/>
        <w:rPr>
          <w:sz w:val="24"/>
          <w:szCs w:val="24"/>
        </w:rPr>
      </w:pPr>
      <w:r w:rsidRPr="00A157C1">
        <w:rPr>
          <w:sz w:val="24"/>
          <w:szCs w:val="24"/>
        </w:rPr>
        <w:t>In the past 15 years the online gambling industry has proliferated</w:t>
      </w:r>
      <w:r w:rsidR="00E81CCB" w:rsidRPr="00A157C1">
        <w:rPr>
          <w:sz w:val="24"/>
          <w:szCs w:val="24"/>
        </w:rPr>
        <w:t>,</w:t>
      </w:r>
      <w:r w:rsidRPr="00A157C1">
        <w:rPr>
          <w:sz w:val="24"/>
          <w:szCs w:val="24"/>
        </w:rPr>
        <w:t xml:space="preserve"> mov</w:t>
      </w:r>
      <w:r w:rsidR="00E81CCB" w:rsidRPr="00A157C1">
        <w:rPr>
          <w:sz w:val="24"/>
          <w:szCs w:val="24"/>
        </w:rPr>
        <w:t>ing</w:t>
      </w:r>
      <w:r w:rsidRPr="00A157C1">
        <w:rPr>
          <w:sz w:val="24"/>
          <w:szCs w:val="24"/>
        </w:rPr>
        <w:t xml:space="preserve"> from traditionally state</w:t>
      </w:r>
      <w:r w:rsidR="001D186E">
        <w:rPr>
          <w:sz w:val="24"/>
          <w:szCs w:val="24"/>
        </w:rPr>
        <w:t xml:space="preserve"> </w:t>
      </w:r>
      <w:r w:rsidRPr="00A157C1">
        <w:rPr>
          <w:sz w:val="24"/>
          <w:szCs w:val="24"/>
        </w:rPr>
        <w:t>or nationally</w:t>
      </w:r>
      <w:r w:rsidR="001D186E">
        <w:rPr>
          <w:sz w:val="24"/>
          <w:szCs w:val="24"/>
        </w:rPr>
        <w:t xml:space="preserve"> </w:t>
      </w:r>
      <w:r w:rsidRPr="00A157C1">
        <w:rPr>
          <w:sz w:val="24"/>
          <w:szCs w:val="24"/>
        </w:rPr>
        <w:t>regulated monopol</w:t>
      </w:r>
      <w:r w:rsidR="006B7457" w:rsidRPr="00A157C1">
        <w:rPr>
          <w:sz w:val="24"/>
          <w:szCs w:val="24"/>
        </w:rPr>
        <w:t>ies</w:t>
      </w:r>
      <w:r w:rsidRPr="00A157C1">
        <w:rPr>
          <w:sz w:val="24"/>
          <w:szCs w:val="24"/>
        </w:rPr>
        <w:t xml:space="preserve"> to a globalised industry, with millions of dollars </w:t>
      </w:r>
      <w:r w:rsidR="001D186E">
        <w:rPr>
          <w:sz w:val="24"/>
          <w:szCs w:val="24"/>
        </w:rPr>
        <w:t>wagered</w:t>
      </w:r>
      <w:r w:rsidRPr="00A157C1">
        <w:rPr>
          <w:sz w:val="24"/>
          <w:szCs w:val="24"/>
        </w:rPr>
        <w:t xml:space="preserve"> on sports and racing events around the world</w:t>
      </w:r>
      <w:r w:rsidR="003004D7" w:rsidRPr="00A157C1">
        <w:rPr>
          <w:sz w:val="24"/>
          <w:szCs w:val="24"/>
        </w:rPr>
        <w:t xml:space="preserve"> every day</w:t>
      </w:r>
      <w:r w:rsidRPr="00A157C1">
        <w:rPr>
          <w:sz w:val="24"/>
          <w:szCs w:val="24"/>
        </w:rPr>
        <w:t>.</w:t>
      </w:r>
    </w:p>
    <w:p w:rsidR="004C3B9E" w:rsidRDefault="004C3B9E">
      <w:pPr>
        <w:rPr>
          <w:sz w:val="24"/>
          <w:szCs w:val="24"/>
        </w:rPr>
      </w:pPr>
      <w:r>
        <w:rPr>
          <w:sz w:val="24"/>
          <w:szCs w:val="24"/>
        </w:rPr>
        <w:br w:type="page"/>
      </w:r>
    </w:p>
    <w:p w:rsidR="005F5774" w:rsidRPr="00A157C1" w:rsidRDefault="00EB5E99" w:rsidP="00B81DAF">
      <w:pPr>
        <w:spacing w:line="240" w:lineRule="auto"/>
        <w:rPr>
          <w:sz w:val="24"/>
          <w:szCs w:val="24"/>
        </w:rPr>
      </w:pPr>
      <w:r w:rsidRPr="00EB5E99">
        <w:rPr>
          <w:sz w:val="24"/>
          <w:szCs w:val="24"/>
        </w:rPr>
        <w:t>A study of the global gambling market in 2012 estimated AUD90 billion</w:t>
      </w:r>
      <w:r w:rsidRPr="00EB5E99">
        <w:rPr>
          <w:rStyle w:val="FootnoteReference"/>
          <w:sz w:val="24"/>
          <w:szCs w:val="24"/>
        </w:rPr>
        <w:footnoteReference w:id="7"/>
      </w:r>
      <w:r w:rsidRPr="00EB5E99">
        <w:rPr>
          <w:sz w:val="24"/>
          <w:szCs w:val="24"/>
        </w:rPr>
        <w:t xml:space="preserve"> </w:t>
      </w:r>
      <w:r w:rsidR="00E81CCB" w:rsidRPr="00A157C1">
        <w:rPr>
          <w:sz w:val="24"/>
          <w:szCs w:val="24"/>
        </w:rPr>
        <w:t>was</w:t>
      </w:r>
      <w:r w:rsidR="00E75F0B" w:rsidRPr="00A157C1">
        <w:rPr>
          <w:sz w:val="24"/>
          <w:szCs w:val="24"/>
        </w:rPr>
        <w:t xml:space="preserve"> wagered annually through the regulated sports wagering market</w:t>
      </w:r>
      <w:r w:rsidR="001D186E">
        <w:rPr>
          <w:sz w:val="24"/>
          <w:szCs w:val="24"/>
        </w:rPr>
        <w:t>, though t</w:t>
      </w:r>
      <w:r w:rsidR="00E75F0B" w:rsidRPr="00A157C1">
        <w:rPr>
          <w:sz w:val="24"/>
          <w:szCs w:val="24"/>
        </w:rPr>
        <w:t>h</w:t>
      </w:r>
      <w:r w:rsidR="003004D7" w:rsidRPr="00A157C1">
        <w:rPr>
          <w:sz w:val="24"/>
          <w:szCs w:val="24"/>
        </w:rPr>
        <w:t>e National Integrity of Sport</w:t>
      </w:r>
      <w:r w:rsidR="00E75F0B" w:rsidRPr="00A157C1">
        <w:rPr>
          <w:sz w:val="24"/>
          <w:szCs w:val="24"/>
        </w:rPr>
        <w:t xml:space="preserve"> </w:t>
      </w:r>
      <w:r w:rsidR="001D186E">
        <w:rPr>
          <w:sz w:val="24"/>
          <w:szCs w:val="24"/>
        </w:rPr>
        <w:t xml:space="preserve">Unit </w:t>
      </w:r>
      <w:r w:rsidR="003004D7" w:rsidRPr="00A157C1">
        <w:rPr>
          <w:sz w:val="24"/>
          <w:szCs w:val="24"/>
        </w:rPr>
        <w:t>considers this</w:t>
      </w:r>
      <w:r w:rsidR="00E75F0B" w:rsidRPr="00A157C1">
        <w:rPr>
          <w:sz w:val="24"/>
          <w:szCs w:val="24"/>
        </w:rPr>
        <w:t xml:space="preserve"> </w:t>
      </w:r>
      <w:r w:rsidR="003004D7" w:rsidRPr="00A157C1">
        <w:rPr>
          <w:sz w:val="24"/>
          <w:szCs w:val="24"/>
        </w:rPr>
        <w:t>is</w:t>
      </w:r>
      <w:r w:rsidR="00E75F0B" w:rsidRPr="00A157C1">
        <w:rPr>
          <w:sz w:val="24"/>
          <w:szCs w:val="24"/>
        </w:rPr>
        <w:t xml:space="preserve"> </w:t>
      </w:r>
      <w:r w:rsidR="001D186E">
        <w:rPr>
          <w:sz w:val="24"/>
          <w:szCs w:val="24"/>
        </w:rPr>
        <w:t>to be a</w:t>
      </w:r>
      <w:r w:rsidR="00E75F0B" w:rsidRPr="00A157C1">
        <w:rPr>
          <w:sz w:val="24"/>
          <w:szCs w:val="24"/>
        </w:rPr>
        <w:t xml:space="preserve"> conservative estimate.  </w:t>
      </w:r>
      <w:r w:rsidR="00157247">
        <w:rPr>
          <w:sz w:val="24"/>
          <w:szCs w:val="24"/>
        </w:rPr>
        <w:t>International industry experts estimate</w:t>
      </w:r>
      <w:r w:rsidR="00046C7D">
        <w:rPr>
          <w:sz w:val="24"/>
          <w:szCs w:val="24"/>
        </w:rPr>
        <w:t xml:space="preserve"> t</w:t>
      </w:r>
      <w:r w:rsidR="00E75F0B" w:rsidRPr="00A157C1">
        <w:rPr>
          <w:sz w:val="24"/>
          <w:szCs w:val="24"/>
        </w:rPr>
        <w:t xml:space="preserve">he legal market is dwarfed by the </w:t>
      </w:r>
      <w:r w:rsidR="001D186E">
        <w:rPr>
          <w:sz w:val="24"/>
          <w:szCs w:val="24"/>
        </w:rPr>
        <w:t xml:space="preserve">semi-regulated and unregulated </w:t>
      </w:r>
      <w:r w:rsidR="00E75F0B" w:rsidRPr="00A157C1">
        <w:rPr>
          <w:sz w:val="24"/>
          <w:szCs w:val="24"/>
        </w:rPr>
        <w:t>sports wagering market</w:t>
      </w:r>
      <w:r w:rsidR="001D186E">
        <w:rPr>
          <w:sz w:val="24"/>
          <w:szCs w:val="24"/>
        </w:rPr>
        <w:t>s</w:t>
      </w:r>
      <w:r w:rsidR="00E75F0B" w:rsidRPr="00A157C1">
        <w:rPr>
          <w:sz w:val="24"/>
          <w:szCs w:val="24"/>
        </w:rPr>
        <w:t xml:space="preserve"> with </w:t>
      </w:r>
      <w:r w:rsidR="00046C7D">
        <w:rPr>
          <w:sz w:val="24"/>
          <w:szCs w:val="24"/>
        </w:rPr>
        <w:t xml:space="preserve">an </w:t>
      </w:r>
      <w:r w:rsidR="00E75F0B" w:rsidRPr="00A157C1">
        <w:rPr>
          <w:sz w:val="24"/>
          <w:szCs w:val="24"/>
        </w:rPr>
        <w:t>estimate</w:t>
      </w:r>
      <w:r w:rsidR="00046C7D">
        <w:rPr>
          <w:sz w:val="24"/>
          <w:szCs w:val="24"/>
        </w:rPr>
        <w:t xml:space="preserve">d value </w:t>
      </w:r>
      <w:r w:rsidR="00157247">
        <w:rPr>
          <w:sz w:val="24"/>
          <w:szCs w:val="24"/>
        </w:rPr>
        <w:t>in excess</w:t>
      </w:r>
      <w:r w:rsidR="001D186E">
        <w:rPr>
          <w:sz w:val="24"/>
          <w:szCs w:val="24"/>
        </w:rPr>
        <w:t xml:space="preserve"> </w:t>
      </w:r>
      <w:r w:rsidR="00F320C5" w:rsidRPr="00A157C1">
        <w:rPr>
          <w:sz w:val="24"/>
          <w:szCs w:val="24"/>
        </w:rPr>
        <w:t>USD</w:t>
      </w:r>
      <w:r>
        <w:rPr>
          <w:sz w:val="24"/>
          <w:szCs w:val="24"/>
        </w:rPr>
        <w:t>1</w:t>
      </w:r>
      <w:r w:rsidR="00E75F0B" w:rsidRPr="00A157C1">
        <w:rPr>
          <w:sz w:val="24"/>
          <w:szCs w:val="24"/>
        </w:rPr>
        <w:t xml:space="preserve"> trillion wagered through the illegal sports gambling market annually</w:t>
      </w:r>
      <w:r w:rsidR="00AB3073">
        <w:rPr>
          <w:rStyle w:val="FootnoteReference"/>
          <w:sz w:val="24"/>
          <w:szCs w:val="24"/>
        </w:rPr>
        <w:footnoteReference w:id="8"/>
      </w:r>
      <w:r w:rsidR="00E75F0B" w:rsidRPr="00A157C1">
        <w:rPr>
          <w:sz w:val="24"/>
          <w:szCs w:val="24"/>
        </w:rPr>
        <w:t>.</w:t>
      </w:r>
    </w:p>
    <w:p w:rsidR="00E75F0B" w:rsidRPr="00A157C1" w:rsidRDefault="00E75F0B" w:rsidP="00B81DAF">
      <w:pPr>
        <w:spacing w:line="240" w:lineRule="auto"/>
        <w:rPr>
          <w:sz w:val="24"/>
          <w:szCs w:val="24"/>
        </w:rPr>
      </w:pPr>
      <w:r w:rsidRPr="00A157C1">
        <w:rPr>
          <w:sz w:val="24"/>
          <w:szCs w:val="24"/>
        </w:rPr>
        <w:t>The growth in the amount of money wagered on sports</w:t>
      </w:r>
      <w:r w:rsidR="002D1F4A" w:rsidRPr="00A157C1">
        <w:rPr>
          <w:sz w:val="24"/>
          <w:szCs w:val="24"/>
        </w:rPr>
        <w:t xml:space="preserve"> globally</w:t>
      </w:r>
      <w:r w:rsidRPr="00A157C1">
        <w:rPr>
          <w:sz w:val="24"/>
          <w:szCs w:val="24"/>
        </w:rPr>
        <w:t xml:space="preserve"> has been accompanied by a rapid increase in the number of bookmakers offering sports betting products.  </w:t>
      </w:r>
      <w:r w:rsidR="0016230B">
        <w:rPr>
          <w:sz w:val="24"/>
          <w:szCs w:val="24"/>
        </w:rPr>
        <w:t xml:space="preserve">In 2014, </w:t>
      </w:r>
      <w:r w:rsidR="00F320C5" w:rsidRPr="00A157C1">
        <w:rPr>
          <w:sz w:val="24"/>
          <w:szCs w:val="24"/>
        </w:rPr>
        <w:t xml:space="preserve">Australian </w:t>
      </w:r>
      <w:r w:rsidR="00F320C5" w:rsidRPr="00D31022">
        <w:rPr>
          <w:sz w:val="24"/>
          <w:szCs w:val="24"/>
        </w:rPr>
        <w:t>A</w:t>
      </w:r>
      <w:r w:rsidR="00EB5E99" w:rsidRPr="00D31022">
        <w:rPr>
          <w:sz w:val="24"/>
          <w:szCs w:val="24"/>
        </w:rPr>
        <w:noBreakHyphen/>
      </w:r>
      <w:r w:rsidRPr="00D31022">
        <w:rPr>
          <w:sz w:val="24"/>
          <w:szCs w:val="24"/>
        </w:rPr>
        <w:t>League</w:t>
      </w:r>
      <w:r w:rsidRPr="00A157C1">
        <w:rPr>
          <w:sz w:val="24"/>
          <w:szCs w:val="24"/>
        </w:rPr>
        <w:t xml:space="preserve"> </w:t>
      </w:r>
      <w:r w:rsidR="001D186E">
        <w:rPr>
          <w:sz w:val="24"/>
          <w:szCs w:val="24"/>
        </w:rPr>
        <w:t>football</w:t>
      </w:r>
      <w:r w:rsidRPr="00A157C1">
        <w:rPr>
          <w:sz w:val="24"/>
          <w:szCs w:val="24"/>
        </w:rPr>
        <w:t xml:space="preserve"> games</w:t>
      </w:r>
      <w:r w:rsidR="001D186E">
        <w:rPr>
          <w:sz w:val="24"/>
          <w:szCs w:val="24"/>
        </w:rPr>
        <w:t xml:space="preserve"> attracted</w:t>
      </w:r>
      <w:r w:rsidRPr="00A157C1">
        <w:rPr>
          <w:sz w:val="24"/>
          <w:szCs w:val="24"/>
        </w:rPr>
        <w:t xml:space="preserve"> an average of 225 different bookmakers</w:t>
      </w:r>
      <w:r w:rsidR="00F320C5" w:rsidRPr="00A157C1">
        <w:rPr>
          <w:sz w:val="24"/>
          <w:szCs w:val="24"/>
        </w:rPr>
        <w:t xml:space="preserve"> offering betting markets</w:t>
      </w:r>
      <w:r w:rsidRPr="00A157C1">
        <w:rPr>
          <w:sz w:val="24"/>
          <w:szCs w:val="24"/>
        </w:rPr>
        <w:t xml:space="preserve">, </w:t>
      </w:r>
      <w:r w:rsidR="00C14F24">
        <w:rPr>
          <w:sz w:val="24"/>
          <w:szCs w:val="24"/>
        </w:rPr>
        <w:t xml:space="preserve">of which </w:t>
      </w:r>
      <w:r w:rsidRPr="00A157C1">
        <w:rPr>
          <w:sz w:val="24"/>
          <w:szCs w:val="24"/>
        </w:rPr>
        <w:t>205</w:t>
      </w:r>
      <w:r w:rsidR="00253C55">
        <w:rPr>
          <w:sz w:val="24"/>
          <w:szCs w:val="24"/>
        </w:rPr>
        <w:t xml:space="preserve"> were </w:t>
      </w:r>
      <w:r w:rsidR="003004D7" w:rsidRPr="00A157C1">
        <w:rPr>
          <w:sz w:val="24"/>
          <w:szCs w:val="24"/>
        </w:rPr>
        <w:t>based overseas</w:t>
      </w:r>
      <w:r w:rsidR="007672FF">
        <w:rPr>
          <w:rStyle w:val="FootnoteReference"/>
          <w:sz w:val="24"/>
          <w:szCs w:val="24"/>
        </w:rPr>
        <w:footnoteReference w:id="9"/>
      </w:r>
      <w:r w:rsidR="003004D7" w:rsidRPr="00A157C1">
        <w:rPr>
          <w:sz w:val="24"/>
          <w:szCs w:val="24"/>
        </w:rPr>
        <w:t>.</w:t>
      </w:r>
    </w:p>
    <w:p w:rsidR="00E75F0B" w:rsidRPr="00A157C1" w:rsidRDefault="00E75F0B" w:rsidP="00B81DAF">
      <w:pPr>
        <w:spacing w:line="240" w:lineRule="auto"/>
        <w:rPr>
          <w:sz w:val="24"/>
          <w:szCs w:val="24"/>
        </w:rPr>
      </w:pPr>
      <w:r w:rsidRPr="00A157C1">
        <w:rPr>
          <w:sz w:val="24"/>
          <w:szCs w:val="24"/>
        </w:rPr>
        <w:t xml:space="preserve">Bookmakers also offer betting markets on an expanding range of sports and </w:t>
      </w:r>
      <w:r w:rsidR="007E66CA">
        <w:rPr>
          <w:sz w:val="24"/>
          <w:szCs w:val="24"/>
        </w:rPr>
        <w:t>diverse</w:t>
      </w:r>
      <w:r w:rsidRPr="00A157C1">
        <w:rPr>
          <w:sz w:val="24"/>
          <w:szCs w:val="24"/>
        </w:rPr>
        <w:t xml:space="preserve"> leagues</w:t>
      </w:r>
      <w:r w:rsidR="00F320C5" w:rsidRPr="00A157C1">
        <w:rPr>
          <w:sz w:val="24"/>
          <w:szCs w:val="24"/>
        </w:rPr>
        <w:t xml:space="preserve"> within sports</w:t>
      </w:r>
      <w:r w:rsidR="007E66CA">
        <w:rPr>
          <w:sz w:val="24"/>
          <w:szCs w:val="24"/>
        </w:rPr>
        <w:t>,</w:t>
      </w:r>
      <w:r w:rsidR="00F320C5" w:rsidRPr="00A157C1">
        <w:rPr>
          <w:sz w:val="24"/>
          <w:szCs w:val="24"/>
        </w:rPr>
        <w:t xml:space="preserve"> including </w:t>
      </w:r>
      <w:r w:rsidR="002D1F4A" w:rsidRPr="00A157C1">
        <w:rPr>
          <w:sz w:val="24"/>
          <w:szCs w:val="24"/>
        </w:rPr>
        <w:t xml:space="preserve">sub-elite </w:t>
      </w:r>
      <w:r w:rsidRPr="00A157C1">
        <w:rPr>
          <w:sz w:val="24"/>
          <w:szCs w:val="24"/>
        </w:rPr>
        <w:t xml:space="preserve">and </w:t>
      </w:r>
      <w:r w:rsidR="002D1F4A" w:rsidRPr="00A157C1">
        <w:rPr>
          <w:sz w:val="24"/>
          <w:szCs w:val="24"/>
        </w:rPr>
        <w:t xml:space="preserve">youth </w:t>
      </w:r>
      <w:r w:rsidRPr="00A157C1">
        <w:rPr>
          <w:sz w:val="24"/>
          <w:szCs w:val="24"/>
        </w:rPr>
        <w:t xml:space="preserve">competitions. </w:t>
      </w:r>
      <w:r w:rsidR="00F320C5" w:rsidRPr="00A157C1">
        <w:rPr>
          <w:sz w:val="24"/>
          <w:szCs w:val="24"/>
        </w:rPr>
        <w:t xml:space="preserve"> </w:t>
      </w:r>
      <w:r w:rsidR="007E66CA">
        <w:rPr>
          <w:sz w:val="24"/>
          <w:szCs w:val="24"/>
        </w:rPr>
        <w:t>B</w:t>
      </w:r>
      <w:r w:rsidR="00D31022">
        <w:rPr>
          <w:sz w:val="24"/>
          <w:szCs w:val="24"/>
        </w:rPr>
        <w:t>etting markets on under-</w:t>
      </w:r>
      <w:r w:rsidRPr="00A157C1">
        <w:rPr>
          <w:sz w:val="24"/>
          <w:szCs w:val="24"/>
        </w:rPr>
        <w:t xml:space="preserve">18 football competitions, junior tennis tournaments, and </w:t>
      </w:r>
      <w:r w:rsidR="007E66CA">
        <w:rPr>
          <w:sz w:val="24"/>
          <w:szCs w:val="24"/>
        </w:rPr>
        <w:t>football</w:t>
      </w:r>
      <w:r w:rsidRPr="00A157C1">
        <w:rPr>
          <w:sz w:val="24"/>
          <w:szCs w:val="24"/>
        </w:rPr>
        <w:t xml:space="preserve"> matches between suburban Australian teams are now regularly offered by </w:t>
      </w:r>
      <w:r w:rsidR="002D1F4A" w:rsidRPr="00A157C1">
        <w:rPr>
          <w:sz w:val="24"/>
          <w:szCs w:val="24"/>
        </w:rPr>
        <w:t xml:space="preserve">semi-regulated and </w:t>
      </w:r>
      <w:r w:rsidR="007E66CA">
        <w:rPr>
          <w:sz w:val="24"/>
          <w:szCs w:val="24"/>
        </w:rPr>
        <w:t>unregulated</w:t>
      </w:r>
      <w:r w:rsidRPr="00A157C1">
        <w:rPr>
          <w:sz w:val="24"/>
          <w:szCs w:val="24"/>
        </w:rPr>
        <w:t xml:space="preserve"> Asian bookmakers.</w:t>
      </w:r>
    </w:p>
    <w:p w:rsidR="00F84CC0" w:rsidRPr="00A157C1" w:rsidRDefault="001C77C9" w:rsidP="00B81DAF">
      <w:pPr>
        <w:spacing w:line="240" w:lineRule="auto"/>
        <w:rPr>
          <w:sz w:val="24"/>
          <w:szCs w:val="24"/>
        </w:rPr>
      </w:pPr>
      <w:r>
        <w:rPr>
          <w:sz w:val="24"/>
          <w:szCs w:val="24"/>
        </w:rPr>
        <w:t>G</w:t>
      </w:r>
      <w:r w:rsidR="00E75F0B" w:rsidRPr="00A157C1">
        <w:rPr>
          <w:sz w:val="24"/>
          <w:szCs w:val="24"/>
        </w:rPr>
        <w:t>lobal sports wagering market</w:t>
      </w:r>
      <w:r w:rsidR="002D1F4A" w:rsidRPr="00A157C1">
        <w:rPr>
          <w:sz w:val="24"/>
          <w:szCs w:val="24"/>
        </w:rPr>
        <w:t xml:space="preserve">s </w:t>
      </w:r>
      <w:r w:rsidR="00E43427">
        <w:rPr>
          <w:sz w:val="24"/>
          <w:szCs w:val="24"/>
        </w:rPr>
        <w:t xml:space="preserve">are </w:t>
      </w:r>
      <w:r w:rsidR="00E75F0B" w:rsidRPr="00A157C1">
        <w:rPr>
          <w:sz w:val="24"/>
          <w:szCs w:val="24"/>
        </w:rPr>
        <w:t>creat</w:t>
      </w:r>
      <w:r w:rsidR="002D1F4A" w:rsidRPr="00A157C1">
        <w:rPr>
          <w:sz w:val="24"/>
          <w:szCs w:val="24"/>
        </w:rPr>
        <w:t>ing</w:t>
      </w:r>
      <w:r w:rsidR="00E75F0B" w:rsidRPr="00A157C1">
        <w:rPr>
          <w:sz w:val="24"/>
          <w:szCs w:val="24"/>
        </w:rPr>
        <w:t xml:space="preserve"> new and significant opportunities for criminal individuals and groups to launder proceeds of crime, and profit from the corruption of sporting events and sporting organisations.</w:t>
      </w:r>
    </w:p>
    <w:p w:rsidR="00636991" w:rsidRPr="00A157C1" w:rsidRDefault="00636991" w:rsidP="00B81DAF">
      <w:pPr>
        <w:spacing w:line="240" w:lineRule="auto"/>
        <w:rPr>
          <w:b/>
          <w:color w:val="4F81BD" w:themeColor="accent1"/>
          <w:sz w:val="24"/>
          <w:szCs w:val="24"/>
          <w:u w:val="single"/>
        </w:rPr>
      </w:pPr>
      <w:r w:rsidRPr="00A157C1">
        <w:rPr>
          <w:b/>
          <w:color w:val="4F81BD" w:themeColor="accent1"/>
          <w:sz w:val="24"/>
          <w:szCs w:val="24"/>
          <w:u w:val="single"/>
        </w:rPr>
        <w:t xml:space="preserve">Sport Vulnerabilities </w:t>
      </w:r>
      <w:r w:rsidR="004E2D8D">
        <w:rPr>
          <w:b/>
          <w:color w:val="4F81BD" w:themeColor="accent1"/>
          <w:sz w:val="24"/>
          <w:szCs w:val="24"/>
          <w:u w:val="single"/>
        </w:rPr>
        <w:t xml:space="preserve">- </w:t>
      </w:r>
      <w:r w:rsidRPr="00A157C1">
        <w:rPr>
          <w:b/>
          <w:color w:val="4F81BD" w:themeColor="accent1"/>
          <w:sz w:val="24"/>
          <w:szCs w:val="24"/>
          <w:u w:val="single"/>
        </w:rPr>
        <w:t>Off-Shore Wagering</w:t>
      </w:r>
    </w:p>
    <w:p w:rsidR="00636991" w:rsidRPr="00A157C1" w:rsidRDefault="002D1F4A" w:rsidP="00B81DAF">
      <w:pPr>
        <w:pStyle w:val="BodyText1"/>
        <w:numPr>
          <w:ilvl w:val="0"/>
          <w:numId w:val="0"/>
        </w:numPr>
        <w:spacing w:before="0" w:after="200" w:line="240" w:lineRule="auto"/>
        <w:rPr>
          <w:rFonts w:asciiTheme="minorHAnsi" w:hAnsiTheme="minorHAnsi" w:cs="Arial"/>
          <w:color w:val="000000"/>
          <w:sz w:val="24"/>
          <w:lang w:val="en" w:eastAsia="en-AU"/>
        </w:rPr>
      </w:pPr>
      <w:r w:rsidRPr="00A157C1">
        <w:rPr>
          <w:rFonts w:asciiTheme="minorHAnsi" w:hAnsiTheme="minorHAnsi" w:cs="Arial"/>
          <w:color w:val="000000"/>
          <w:sz w:val="24"/>
          <w:lang w:val="en" w:eastAsia="en-AU"/>
        </w:rPr>
        <w:t>Australian</w:t>
      </w:r>
      <w:r w:rsidR="004B0427" w:rsidRPr="00A157C1">
        <w:rPr>
          <w:rFonts w:asciiTheme="minorHAnsi" w:hAnsiTheme="minorHAnsi" w:cs="Arial"/>
          <w:color w:val="000000"/>
          <w:sz w:val="24"/>
          <w:lang w:val="en" w:eastAsia="en-AU"/>
        </w:rPr>
        <w:t xml:space="preserve"> </w:t>
      </w:r>
      <w:r w:rsidR="007772CC">
        <w:rPr>
          <w:rFonts w:asciiTheme="minorHAnsi" w:hAnsiTheme="minorHAnsi" w:cs="Arial"/>
          <w:color w:val="000000"/>
          <w:sz w:val="24"/>
          <w:lang w:val="en" w:eastAsia="en-AU"/>
        </w:rPr>
        <w:t>bookmakers</w:t>
      </w:r>
      <w:r w:rsidR="004B0427" w:rsidRPr="00A157C1">
        <w:rPr>
          <w:rFonts w:asciiTheme="minorHAnsi" w:hAnsiTheme="minorHAnsi" w:cs="Arial"/>
          <w:color w:val="000000"/>
          <w:sz w:val="24"/>
          <w:lang w:val="en" w:eastAsia="en-AU"/>
        </w:rPr>
        <w:t xml:space="preserve"> are</w:t>
      </w:r>
      <w:r w:rsidR="00636991" w:rsidRPr="00A157C1">
        <w:rPr>
          <w:rFonts w:asciiTheme="minorHAnsi" w:hAnsiTheme="minorHAnsi" w:cs="Arial"/>
          <w:color w:val="000000"/>
          <w:sz w:val="24"/>
          <w:lang w:val="en" w:eastAsia="en-AU"/>
        </w:rPr>
        <w:t xml:space="preserve"> regulat</w:t>
      </w:r>
      <w:r w:rsidR="004B0427" w:rsidRPr="00A157C1">
        <w:rPr>
          <w:rFonts w:asciiTheme="minorHAnsi" w:hAnsiTheme="minorHAnsi" w:cs="Arial"/>
          <w:color w:val="000000"/>
          <w:sz w:val="24"/>
          <w:lang w:val="en" w:eastAsia="en-AU"/>
        </w:rPr>
        <w:t>ed</w:t>
      </w:r>
      <w:r w:rsidR="00636991" w:rsidRPr="00A157C1">
        <w:rPr>
          <w:rFonts w:asciiTheme="minorHAnsi" w:hAnsiTheme="minorHAnsi" w:cs="Arial"/>
          <w:color w:val="000000"/>
          <w:sz w:val="24"/>
          <w:lang w:val="en" w:eastAsia="en-AU"/>
        </w:rPr>
        <w:t xml:space="preserve"> by state and territory bodies</w:t>
      </w:r>
      <w:r w:rsidR="007772CC">
        <w:rPr>
          <w:rFonts w:asciiTheme="minorHAnsi" w:hAnsiTheme="minorHAnsi" w:cs="Arial"/>
          <w:color w:val="000000"/>
          <w:sz w:val="24"/>
          <w:lang w:val="en" w:eastAsia="en-AU"/>
        </w:rPr>
        <w:t>,</w:t>
      </w:r>
      <w:r w:rsidR="00636991" w:rsidRPr="00A157C1">
        <w:rPr>
          <w:rFonts w:asciiTheme="minorHAnsi" w:hAnsiTheme="minorHAnsi" w:cs="Arial"/>
          <w:color w:val="000000"/>
          <w:sz w:val="24"/>
          <w:lang w:val="en" w:eastAsia="en-AU"/>
        </w:rPr>
        <w:t xml:space="preserve"> with licensing conditions </w:t>
      </w:r>
      <w:r w:rsidR="007772CC">
        <w:rPr>
          <w:rFonts w:asciiTheme="minorHAnsi" w:hAnsiTheme="minorHAnsi" w:cs="Arial"/>
          <w:color w:val="000000"/>
          <w:sz w:val="24"/>
          <w:lang w:val="en" w:eastAsia="en-AU"/>
        </w:rPr>
        <w:t>imposing</w:t>
      </w:r>
      <w:r w:rsidR="00636991" w:rsidRPr="00A157C1">
        <w:rPr>
          <w:rFonts w:asciiTheme="minorHAnsi" w:hAnsiTheme="minorHAnsi" w:cs="Arial"/>
          <w:color w:val="000000"/>
          <w:sz w:val="24"/>
          <w:lang w:val="en" w:eastAsia="en-AU"/>
        </w:rPr>
        <w:t xml:space="preserve"> control </w:t>
      </w:r>
      <w:r w:rsidR="007772CC">
        <w:rPr>
          <w:rFonts w:asciiTheme="minorHAnsi" w:hAnsiTheme="minorHAnsi" w:cs="Arial"/>
          <w:color w:val="000000"/>
          <w:sz w:val="24"/>
          <w:lang w:val="en" w:eastAsia="en-AU"/>
        </w:rPr>
        <w:t xml:space="preserve">over bookmaking </w:t>
      </w:r>
      <w:r w:rsidR="00636991" w:rsidRPr="00A157C1">
        <w:rPr>
          <w:rFonts w:asciiTheme="minorHAnsi" w:hAnsiTheme="minorHAnsi" w:cs="Arial"/>
          <w:color w:val="000000"/>
          <w:sz w:val="24"/>
          <w:lang w:val="en" w:eastAsia="en-AU"/>
        </w:rPr>
        <w:t>operations.  Account</w:t>
      </w:r>
      <w:r w:rsidR="004B0427" w:rsidRPr="00A157C1">
        <w:rPr>
          <w:rFonts w:asciiTheme="minorHAnsi" w:hAnsiTheme="minorHAnsi" w:cs="Arial"/>
          <w:color w:val="000000"/>
          <w:sz w:val="24"/>
          <w:lang w:val="en" w:eastAsia="en-AU"/>
        </w:rPr>
        <w:t>-</w:t>
      </w:r>
      <w:r w:rsidR="00636991" w:rsidRPr="00A157C1">
        <w:rPr>
          <w:rFonts w:asciiTheme="minorHAnsi" w:hAnsiTheme="minorHAnsi" w:cs="Arial"/>
          <w:color w:val="000000"/>
          <w:sz w:val="24"/>
          <w:lang w:val="en" w:eastAsia="en-AU"/>
        </w:rPr>
        <w:t xml:space="preserve">based betting </w:t>
      </w:r>
      <w:r w:rsidR="00CE7D60">
        <w:rPr>
          <w:rFonts w:asciiTheme="minorHAnsi" w:hAnsiTheme="minorHAnsi" w:cs="Arial"/>
          <w:color w:val="000000"/>
          <w:sz w:val="24"/>
          <w:lang w:val="en" w:eastAsia="en-AU"/>
        </w:rPr>
        <w:t>provides effective auditing capabilities while, c</w:t>
      </w:r>
      <w:r w:rsidR="00636991" w:rsidRPr="00A157C1">
        <w:rPr>
          <w:rFonts w:asciiTheme="minorHAnsi" w:hAnsiTheme="minorHAnsi" w:cs="Arial"/>
          <w:color w:val="000000"/>
          <w:sz w:val="24"/>
          <w:lang w:val="en" w:eastAsia="en-AU"/>
        </w:rPr>
        <w:t xml:space="preserve">onversely, overseas gambling </w:t>
      </w:r>
      <w:r w:rsidR="00CE7D60">
        <w:rPr>
          <w:rFonts w:asciiTheme="minorHAnsi" w:hAnsiTheme="minorHAnsi" w:cs="Arial"/>
          <w:color w:val="000000"/>
          <w:sz w:val="24"/>
          <w:lang w:val="en" w:eastAsia="en-AU"/>
        </w:rPr>
        <w:t>within poorly regulated or</w:t>
      </w:r>
      <w:r w:rsidR="004B0427" w:rsidRPr="00A157C1">
        <w:rPr>
          <w:rFonts w:asciiTheme="minorHAnsi" w:hAnsiTheme="minorHAnsi" w:cs="Arial"/>
          <w:color w:val="000000"/>
          <w:sz w:val="24"/>
          <w:lang w:val="en" w:eastAsia="en-AU"/>
        </w:rPr>
        <w:t xml:space="preserve"> </w:t>
      </w:r>
      <w:r w:rsidR="00636991" w:rsidRPr="00A157C1">
        <w:rPr>
          <w:rFonts w:asciiTheme="minorHAnsi" w:hAnsiTheme="minorHAnsi" w:cs="Arial"/>
          <w:color w:val="000000"/>
          <w:sz w:val="24"/>
          <w:lang w:val="en" w:eastAsia="en-AU"/>
        </w:rPr>
        <w:t xml:space="preserve">unregulated </w:t>
      </w:r>
      <w:r w:rsidR="004B0427" w:rsidRPr="00A157C1">
        <w:rPr>
          <w:rFonts w:asciiTheme="minorHAnsi" w:hAnsiTheme="minorHAnsi" w:cs="Arial"/>
          <w:color w:val="000000"/>
          <w:sz w:val="24"/>
          <w:lang w:val="en" w:eastAsia="en-AU"/>
        </w:rPr>
        <w:t xml:space="preserve">markets </w:t>
      </w:r>
      <w:r w:rsidR="00CE7D60">
        <w:rPr>
          <w:rFonts w:asciiTheme="minorHAnsi" w:hAnsiTheme="minorHAnsi" w:cs="Arial"/>
          <w:color w:val="000000"/>
          <w:sz w:val="24"/>
          <w:lang w:val="en" w:eastAsia="en-AU"/>
        </w:rPr>
        <w:t>remains opaque to sports and authorities</w:t>
      </w:r>
      <w:r w:rsidR="00253C55">
        <w:rPr>
          <w:rFonts w:asciiTheme="minorHAnsi" w:hAnsiTheme="minorHAnsi" w:cs="Arial"/>
          <w:color w:val="000000"/>
          <w:sz w:val="24"/>
          <w:lang w:val="en" w:eastAsia="en-AU"/>
        </w:rPr>
        <w:t>,</w:t>
      </w:r>
      <w:r w:rsidR="00CE7D60">
        <w:rPr>
          <w:rFonts w:asciiTheme="minorHAnsi" w:hAnsiTheme="minorHAnsi" w:cs="Arial"/>
          <w:color w:val="000000"/>
          <w:sz w:val="24"/>
          <w:lang w:val="en" w:eastAsia="en-AU"/>
        </w:rPr>
        <w:t xml:space="preserve"> and translate</w:t>
      </w:r>
      <w:r w:rsidR="00253C55">
        <w:rPr>
          <w:rFonts w:asciiTheme="minorHAnsi" w:hAnsiTheme="minorHAnsi" w:cs="Arial"/>
          <w:color w:val="000000"/>
          <w:sz w:val="24"/>
          <w:lang w:val="en" w:eastAsia="en-AU"/>
        </w:rPr>
        <w:t>s</w:t>
      </w:r>
      <w:r w:rsidR="00CE7D60">
        <w:rPr>
          <w:rFonts w:asciiTheme="minorHAnsi" w:hAnsiTheme="minorHAnsi" w:cs="Arial"/>
          <w:color w:val="000000"/>
          <w:sz w:val="24"/>
          <w:lang w:val="en" w:eastAsia="en-AU"/>
        </w:rPr>
        <w:t xml:space="preserve"> into higher integrity risk</w:t>
      </w:r>
      <w:r w:rsidR="00EB5E99">
        <w:rPr>
          <w:rFonts w:asciiTheme="minorHAnsi" w:hAnsiTheme="minorHAnsi" w:cs="Arial"/>
          <w:color w:val="000000"/>
          <w:sz w:val="24"/>
          <w:lang w:val="en" w:eastAsia="en-AU"/>
        </w:rPr>
        <w:t>.</w:t>
      </w:r>
    </w:p>
    <w:p w:rsidR="003004D7" w:rsidRPr="00A157C1" w:rsidRDefault="00CE7D60" w:rsidP="00B81DAF">
      <w:pPr>
        <w:pStyle w:val="BodyText1"/>
        <w:numPr>
          <w:ilvl w:val="0"/>
          <w:numId w:val="0"/>
        </w:numPr>
        <w:spacing w:before="0" w:after="200" w:line="240" w:lineRule="auto"/>
        <w:rPr>
          <w:rFonts w:asciiTheme="minorHAnsi" w:hAnsiTheme="minorHAnsi" w:cs="Arial"/>
          <w:color w:val="000000"/>
          <w:sz w:val="24"/>
          <w:lang w:val="en" w:eastAsia="en-AU"/>
        </w:rPr>
      </w:pPr>
      <w:r>
        <w:rPr>
          <w:rFonts w:asciiTheme="minorHAnsi" w:hAnsiTheme="minorHAnsi" w:cs="Arial"/>
          <w:color w:val="000000"/>
          <w:sz w:val="24"/>
          <w:lang w:val="en" w:eastAsia="en-AU"/>
        </w:rPr>
        <w:t>U</w:t>
      </w:r>
      <w:r w:rsidRPr="00A157C1">
        <w:rPr>
          <w:rFonts w:asciiTheme="minorHAnsi" w:hAnsiTheme="minorHAnsi" w:cs="Arial"/>
          <w:color w:val="000000"/>
          <w:sz w:val="24"/>
          <w:lang w:val="en" w:eastAsia="en-AU"/>
        </w:rPr>
        <w:t xml:space="preserve">nder the </w:t>
      </w:r>
      <w:r w:rsidRPr="00A157C1">
        <w:rPr>
          <w:rFonts w:asciiTheme="minorHAnsi" w:hAnsiTheme="minorHAnsi" w:cs="Arial"/>
          <w:i/>
          <w:color w:val="000000"/>
          <w:sz w:val="24"/>
          <w:lang w:val="en" w:eastAsia="en-AU"/>
        </w:rPr>
        <w:t>National Policy on Match-fixing in Sport</w:t>
      </w:r>
      <w:r>
        <w:rPr>
          <w:rFonts w:asciiTheme="minorHAnsi" w:hAnsiTheme="minorHAnsi" w:cs="Arial"/>
          <w:color w:val="000000"/>
          <w:sz w:val="24"/>
          <w:lang w:val="en" w:eastAsia="en-AU"/>
        </w:rPr>
        <w:t xml:space="preserve"> b</w:t>
      </w:r>
      <w:r w:rsidR="003004D7" w:rsidRPr="00A157C1">
        <w:rPr>
          <w:rFonts w:asciiTheme="minorHAnsi" w:hAnsiTheme="minorHAnsi" w:cs="Arial"/>
          <w:color w:val="000000"/>
          <w:sz w:val="24"/>
          <w:lang w:val="en" w:eastAsia="en-AU"/>
        </w:rPr>
        <w:t xml:space="preserve">etting </w:t>
      </w:r>
      <w:r w:rsidR="00636991" w:rsidRPr="00A157C1">
        <w:rPr>
          <w:rFonts w:asciiTheme="minorHAnsi" w:hAnsiTheme="minorHAnsi" w:cs="Arial"/>
          <w:color w:val="000000"/>
          <w:sz w:val="24"/>
          <w:lang w:val="en" w:eastAsia="en-AU"/>
        </w:rPr>
        <w:t xml:space="preserve">providers in Australia have integrity agreements with </w:t>
      </w:r>
      <w:r w:rsidR="00253C55">
        <w:rPr>
          <w:rFonts w:asciiTheme="minorHAnsi" w:hAnsiTheme="minorHAnsi" w:cs="Arial"/>
          <w:color w:val="000000"/>
          <w:sz w:val="24"/>
          <w:lang w:val="en" w:eastAsia="en-AU"/>
        </w:rPr>
        <w:t xml:space="preserve">individual </w:t>
      </w:r>
      <w:r w:rsidR="00636991" w:rsidRPr="00A157C1">
        <w:rPr>
          <w:rFonts w:asciiTheme="minorHAnsi" w:hAnsiTheme="minorHAnsi" w:cs="Arial"/>
          <w:color w:val="000000"/>
          <w:sz w:val="24"/>
          <w:lang w:val="en" w:eastAsia="en-AU"/>
        </w:rPr>
        <w:t>sports</w:t>
      </w:r>
      <w:r>
        <w:rPr>
          <w:rFonts w:asciiTheme="minorHAnsi" w:hAnsiTheme="minorHAnsi" w:cs="Arial"/>
          <w:color w:val="000000"/>
          <w:sz w:val="24"/>
          <w:lang w:val="en" w:eastAsia="en-AU"/>
        </w:rPr>
        <w:t>.</w:t>
      </w:r>
      <w:r w:rsidR="003004D7" w:rsidRPr="00A157C1">
        <w:rPr>
          <w:rFonts w:asciiTheme="minorHAnsi" w:hAnsiTheme="minorHAnsi" w:cs="Arial"/>
          <w:color w:val="000000"/>
          <w:sz w:val="24"/>
          <w:lang w:val="en" w:eastAsia="en-AU"/>
        </w:rPr>
        <w:t xml:space="preserve">  These agreements </w:t>
      </w:r>
      <w:r w:rsidR="00636991" w:rsidRPr="00A157C1">
        <w:rPr>
          <w:rFonts w:asciiTheme="minorHAnsi" w:hAnsiTheme="minorHAnsi" w:cs="Arial"/>
          <w:color w:val="000000"/>
          <w:sz w:val="24"/>
          <w:lang w:val="en" w:eastAsia="en-AU"/>
        </w:rPr>
        <w:t xml:space="preserve">provide for </w:t>
      </w:r>
      <w:r w:rsidR="0016230B">
        <w:rPr>
          <w:rFonts w:asciiTheme="minorHAnsi" w:hAnsiTheme="minorHAnsi" w:cs="Arial"/>
          <w:color w:val="000000"/>
          <w:sz w:val="24"/>
          <w:lang w:val="en" w:eastAsia="en-AU"/>
        </w:rPr>
        <w:t>information sharing</w:t>
      </w:r>
      <w:r w:rsidR="00636991" w:rsidRPr="00A157C1">
        <w:rPr>
          <w:rFonts w:asciiTheme="minorHAnsi" w:hAnsiTheme="minorHAnsi" w:cs="Arial"/>
          <w:color w:val="000000"/>
          <w:sz w:val="24"/>
          <w:lang w:val="en" w:eastAsia="en-AU"/>
        </w:rPr>
        <w:t xml:space="preserve"> </w:t>
      </w:r>
      <w:r w:rsidR="003004D7" w:rsidRPr="00A157C1">
        <w:rPr>
          <w:rFonts w:asciiTheme="minorHAnsi" w:hAnsiTheme="minorHAnsi" w:cs="Arial"/>
          <w:color w:val="000000"/>
          <w:sz w:val="24"/>
          <w:lang w:val="en" w:eastAsia="en-AU"/>
        </w:rPr>
        <w:t>on</w:t>
      </w:r>
      <w:r w:rsidR="00636991" w:rsidRPr="00A157C1">
        <w:rPr>
          <w:rFonts w:asciiTheme="minorHAnsi" w:hAnsiTheme="minorHAnsi" w:cs="Arial"/>
          <w:color w:val="000000"/>
          <w:sz w:val="24"/>
          <w:lang w:val="en" w:eastAsia="en-AU"/>
        </w:rPr>
        <w:t xml:space="preserve"> betting activity</w:t>
      </w:r>
      <w:r w:rsidR="003004D7" w:rsidRPr="00A157C1">
        <w:rPr>
          <w:rFonts w:asciiTheme="minorHAnsi" w:hAnsiTheme="minorHAnsi" w:cs="Arial"/>
          <w:color w:val="000000"/>
          <w:sz w:val="24"/>
          <w:lang w:val="en" w:eastAsia="en-AU"/>
        </w:rPr>
        <w:t>, a right of veto by sports on high</w:t>
      </w:r>
      <w:r w:rsidR="00D31022">
        <w:rPr>
          <w:rFonts w:asciiTheme="minorHAnsi" w:hAnsiTheme="minorHAnsi" w:cs="Arial"/>
          <w:color w:val="000000"/>
          <w:sz w:val="24"/>
          <w:lang w:val="en" w:eastAsia="en-AU"/>
        </w:rPr>
        <w:t xml:space="preserve"> </w:t>
      </w:r>
      <w:r w:rsidR="003004D7" w:rsidRPr="00A157C1">
        <w:rPr>
          <w:rFonts w:asciiTheme="minorHAnsi" w:hAnsiTheme="minorHAnsi" w:cs="Arial"/>
          <w:color w:val="000000"/>
          <w:sz w:val="24"/>
          <w:lang w:val="en" w:eastAsia="en-AU"/>
        </w:rPr>
        <w:t>risk bet types</w:t>
      </w:r>
      <w:r>
        <w:rPr>
          <w:rFonts w:asciiTheme="minorHAnsi" w:hAnsiTheme="minorHAnsi" w:cs="Arial"/>
          <w:color w:val="000000"/>
          <w:sz w:val="24"/>
          <w:lang w:val="en" w:eastAsia="en-AU"/>
        </w:rPr>
        <w:t>,</w:t>
      </w:r>
      <w:r w:rsidR="003004D7" w:rsidRPr="00A157C1">
        <w:rPr>
          <w:rFonts w:asciiTheme="minorHAnsi" w:hAnsiTheme="minorHAnsi" w:cs="Arial"/>
          <w:color w:val="000000"/>
          <w:sz w:val="24"/>
          <w:lang w:val="en" w:eastAsia="en-AU"/>
        </w:rPr>
        <w:t xml:space="preserve"> and a return of revenue to sports to support integrity efforts.  </w:t>
      </w:r>
      <w:r w:rsidR="00C53B66" w:rsidRPr="00C53B66">
        <w:rPr>
          <w:rFonts w:asciiTheme="minorHAnsi" w:hAnsiTheme="minorHAnsi" w:cs="Arial"/>
          <w:color w:val="000000"/>
          <w:sz w:val="24"/>
          <w:lang w:val="en" w:eastAsia="en-AU"/>
        </w:rPr>
        <w:t xml:space="preserve">Around </w:t>
      </w:r>
      <w:r w:rsidR="00253C55">
        <w:rPr>
          <w:rFonts w:asciiTheme="minorHAnsi" w:hAnsiTheme="minorHAnsi" w:cs="Arial"/>
          <w:color w:val="000000"/>
          <w:sz w:val="24"/>
          <w:lang w:val="en" w:eastAsia="en-AU"/>
        </w:rPr>
        <w:t>10</w:t>
      </w:r>
      <w:r w:rsidR="00253C55" w:rsidRPr="00C53B66">
        <w:rPr>
          <w:rFonts w:asciiTheme="minorHAnsi" w:hAnsiTheme="minorHAnsi" w:cs="Arial"/>
          <w:color w:val="000000"/>
          <w:sz w:val="24"/>
          <w:lang w:val="en" w:eastAsia="en-AU"/>
        </w:rPr>
        <w:t xml:space="preserve"> </w:t>
      </w:r>
      <w:r w:rsidR="00C53B66" w:rsidRPr="00C53B66">
        <w:rPr>
          <w:rFonts w:asciiTheme="minorHAnsi" w:hAnsiTheme="minorHAnsi" w:cs="Arial"/>
          <w:color w:val="000000"/>
          <w:sz w:val="24"/>
          <w:lang w:val="en" w:eastAsia="en-AU"/>
        </w:rPr>
        <w:t>sports in Australia have integrity agreements in place</w:t>
      </w:r>
      <w:r w:rsidR="00C53B66">
        <w:rPr>
          <w:rFonts w:asciiTheme="minorHAnsi" w:hAnsiTheme="minorHAnsi" w:cs="Arial"/>
          <w:color w:val="000000"/>
          <w:sz w:val="24"/>
          <w:lang w:val="en" w:eastAsia="en-AU"/>
        </w:rPr>
        <w:t xml:space="preserve"> with Australian online betting operators</w:t>
      </w:r>
      <w:r w:rsidR="00C53B66" w:rsidRPr="00C53B66">
        <w:rPr>
          <w:rFonts w:asciiTheme="minorHAnsi" w:hAnsiTheme="minorHAnsi" w:cs="Arial"/>
          <w:color w:val="000000"/>
          <w:sz w:val="24"/>
          <w:lang w:val="en" w:eastAsia="en-AU"/>
        </w:rPr>
        <w:t xml:space="preserve"> including the A</w:t>
      </w:r>
      <w:r w:rsidR="004C3B9E">
        <w:rPr>
          <w:rFonts w:asciiTheme="minorHAnsi" w:hAnsiTheme="minorHAnsi" w:cs="Arial"/>
          <w:color w:val="000000"/>
          <w:sz w:val="24"/>
          <w:lang w:val="en" w:eastAsia="en-AU"/>
        </w:rPr>
        <w:t xml:space="preserve">ustralian </w:t>
      </w:r>
      <w:r w:rsidR="00C53B66" w:rsidRPr="00C53B66">
        <w:rPr>
          <w:rFonts w:asciiTheme="minorHAnsi" w:hAnsiTheme="minorHAnsi" w:cs="Arial"/>
          <w:color w:val="000000"/>
          <w:sz w:val="24"/>
          <w:lang w:val="en" w:eastAsia="en-AU"/>
        </w:rPr>
        <w:t>F</w:t>
      </w:r>
      <w:r w:rsidR="004C3B9E">
        <w:rPr>
          <w:rFonts w:asciiTheme="minorHAnsi" w:hAnsiTheme="minorHAnsi" w:cs="Arial"/>
          <w:color w:val="000000"/>
          <w:sz w:val="24"/>
          <w:lang w:val="en" w:eastAsia="en-AU"/>
        </w:rPr>
        <w:t xml:space="preserve">ootball </w:t>
      </w:r>
      <w:r w:rsidR="00C53B66" w:rsidRPr="00C53B66">
        <w:rPr>
          <w:rFonts w:asciiTheme="minorHAnsi" w:hAnsiTheme="minorHAnsi" w:cs="Arial"/>
          <w:color w:val="000000"/>
          <w:sz w:val="24"/>
          <w:lang w:val="en" w:eastAsia="en-AU"/>
        </w:rPr>
        <w:t>L</w:t>
      </w:r>
      <w:r w:rsidR="004C3B9E">
        <w:rPr>
          <w:rFonts w:asciiTheme="minorHAnsi" w:hAnsiTheme="minorHAnsi" w:cs="Arial"/>
          <w:color w:val="000000"/>
          <w:sz w:val="24"/>
          <w:lang w:val="en" w:eastAsia="en-AU"/>
        </w:rPr>
        <w:t>eague</w:t>
      </w:r>
      <w:r w:rsidR="00C53B66" w:rsidRPr="00C53B66">
        <w:rPr>
          <w:rFonts w:asciiTheme="minorHAnsi" w:hAnsiTheme="minorHAnsi" w:cs="Arial"/>
          <w:color w:val="000000"/>
          <w:sz w:val="24"/>
          <w:lang w:val="en" w:eastAsia="en-AU"/>
        </w:rPr>
        <w:t>, N</w:t>
      </w:r>
      <w:r w:rsidR="004C3B9E">
        <w:rPr>
          <w:rFonts w:asciiTheme="minorHAnsi" w:hAnsiTheme="minorHAnsi" w:cs="Arial"/>
          <w:color w:val="000000"/>
          <w:sz w:val="24"/>
          <w:lang w:val="en" w:eastAsia="en-AU"/>
        </w:rPr>
        <w:t xml:space="preserve">ational </w:t>
      </w:r>
      <w:r w:rsidR="00C53B66" w:rsidRPr="00C53B66">
        <w:rPr>
          <w:rFonts w:asciiTheme="minorHAnsi" w:hAnsiTheme="minorHAnsi" w:cs="Arial"/>
          <w:color w:val="000000"/>
          <w:sz w:val="24"/>
          <w:lang w:val="en" w:eastAsia="en-AU"/>
        </w:rPr>
        <w:t>R</w:t>
      </w:r>
      <w:r w:rsidR="004C3B9E">
        <w:rPr>
          <w:rFonts w:asciiTheme="minorHAnsi" w:hAnsiTheme="minorHAnsi" w:cs="Arial"/>
          <w:color w:val="000000"/>
          <w:sz w:val="24"/>
          <w:lang w:val="en" w:eastAsia="en-AU"/>
        </w:rPr>
        <w:t xml:space="preserve">ugby </w:t>
      </w:r>
      <w:r w:rsidR="00C53B66" w:rsidRPr="00C53B66">
        <w:rPr>
          <w:rFonts w:asciiTheme="minorHAnsi" w:hAnsiTheme="minorHAnsi" w:cs="Arial"/>
          <w:color w:val="000000"/>
          <w:sz w:val="24"/>
          <w:lang w:val="en" w:eastAsia="en-AU"/>
        </w:rPr>
        <w:t>L</w:t>
      </w:r>
      <w:r w:rsidR="004C3B9E">
        <w:rPr>
          <w:rFonts w:asciiTheme="minorHAnsi" w:hAnsiTheme="minorHAnsi" w:cs="Arial"/>
          <w:color w:val="000000"/>
          <w:sz w:val="24"/>
          <w:lang w:val="en" w:eastAsia="en-AU"/>
        </w:rPr>
        <w:t>eague</w:t>
      </w:r>
      <w:r w:rsidR="00C53B66" w:rsidRPr="00C53B66">
        <w:rPr>
          <w:rFonts w:asciiTheme="minorHAnsi" w:hAnsiTheme="minorHAnsi" w:cs="Arial"/>
          <w:color w:val="000000"/>
          <w:sz w:val="24"/>
          <w:lang w:val="en" w:eastAsia="en-AU"/>
        </w:rPr>
        <w:t xml:space="preserve">, </w:t>
      </w:r>
      <w:r w:rsidR="004C3B9E" w:rsidRPr="00C53B66">
        <w:rPr>
          <w:rFonts w:asciiTheme="minorHAnsi" w:hAnsiTheme="minorHAnsi" w:cs="Arial"/>
          <w:color w:val="000000"/>
          <w:sz w:val="24"/>
          <w:lang w:val="en" w:eastAsia="en-AU"/>
        </w:rPr>
        <w:t xml:space="preserve">Netball Australia </w:t>
      </w:r>
      <w:r w:rsidR="00C53B66" w:rsidRPr="00C53B66">
        <w:rPr>
          <w:rFonts w:asciiTheme="minorHAnsi" w:hAnsiTheme="minorHAnsi" w:cs="Arial"/>
          <w:color w:val="000000"/>
          <w:sz w:val="24"/>
          <w:lang w:val="en" w:eastAsia="en-AU"/>
        </w:rPr>
        <w:t>and</w:t>
      </w:r>
      <w:r w:rsidR="004C3B9E" w:rsidRPr="004C3B9E">
        <w:rPr>
          <w:rFonts w:asciiTheme="minorHAnsi" w:hAnsiTheme="minorHAnsi" w:cs="Arial"/>
          <w:color w:val="000000"/>
          <w:sz w:val="24"/>
          <w:lang w:val="en" w:eastAsia="en-AU"/>
        </w:rPr>
        <w:t xml:space="preserve"> </w:t>
      </w:r>
      <w:r w:rsidR="004C3B9E" w:rsidRPr="00C53B66">
        <w:rPr>
          <w:rFonts w:asciiTheme="minorHAnsi" w:hAnsiTheme="minorHAnsi" w:cs="Arial"/>
          <w:color w:val="000000"/>
          <w:sz w:val="24"/>
          <w:lang w:val="en" w:eastAsia="en-AU"/>
        </w:rPr>
        <w:t>Tennis Australia</w:t>
      </w:r>
      <w:r w:rsidR="00C53B66" w:rsidRPr="00C53B66">
        <w:rPr>
          <w:rFonts w:asciiTheme="minorHAnsi" w:hAnsiTheme="minorHAnsi" w:cs="Arial"/>
          <w:color w:val="000000"/>
          <w:sz w:val="24"/>
          <w:lang w:val="en" w:eastAsia="en-AU"/>
        </w:rPr>
        <w:t>.</w:t>
      </w:r>
    </w:p>
    <w:p w:rsidR="00636991" w:rsidRPr="00A157C1" w:rsidRDefault="00CE7D60" w:rsidP="00B81DAF">
      <w:pPr>
        <w:pStyle w:val="BodyText1"/>
        <w:numPr>
          <w:ilvl w:val="0"/>
          <w:numId w:val="0"/>
        </w:numPr>
        <w:spacing w:before="0" w:after="200" w:line="240" w:lineRule="auto"/>
        <w:rPr>
          <w:rFonts w:asciiTheme="minorHAnsi" w:hAnsiTheme="minorHAnsi" w:cs="Arial"/>
          <w:color w:val="000000"/>
          <w:sz w:val="24"/>
          <w:lang w:val="en" w:eastAsia="en-AU"/>
        </w:rPr>
      </w:pPr>
      <w:r>
        <w:rPr>
          <w:rFonts w:asciiTheme="minorHAnsi" w:hAnsiTheme="minorHAnsi" w:cs="Arial"/>
          <w:color w:val="000000"/>
          <w:sz w:val="24"/>
          <w:lang w:val="en" w:eastAsia="en-AU"/>
        </w:rPr>
        <w:t>In Victoria</w:t>
      </w:r>
      <w:r w:rsidR="00636991" w:rsidRPr="00A157C1">
        <w:rPr>
          <w:rFonts w:asciiTheme="minorHAnsi" w:hAnsiTheme="minorHAnsi" w:cs="Arial"/>
          <w:color w:val="000000"/>
          <w:sz w:val="24"/>
          <w:lang w:val="en" w:eastAsia="en-AU"/>
        </w:rPr>
        <w:t xml:space="preserve"> these agreements are underpinned by sports betting legislation</w:t>
      </w:r>
      <w:r>
        <w:rPr>
          <w:rFonts w:asciiTheme="minorHAnsi" w:hAnsiTheme="minorHAnsi" w:cs="Arial"/>
          <w:color w:val="000000"/>
          <w:sz w:val="24"/>
          <w:lang w:val="en" w:eastAsia="en-AU"/>
        </w:rPr>
        <w:t xml:space="preserve"> (NSW has legislation </w:t>
      </w:r>
      <w:r w:rsidR="00C61A2D">
        <w:rPr>
          <w:rFonts w:asciiTheme="minorHAnsi" w:hAnsiTheme="minorHAnsi" w:cs="Arial"/>
          <w:color w:val="000000"/>
          <w:sz w:val="24"/>
          <w:lang w:val="en" w:eastAsia="en-AU"/>
        </w:rPr>
        <w:t xml:space="preserve">in place </w:t>
      </w:r>
      <w:r w:rsidR="004C3B9E">
        <w:rPr>
          <w:rFonts w:asciiTheme="minorHAnsi" w:hAnsiTheme="minorHAnsi" w:cs="Arial"/>
          <w:color w:val="000000"/>
          <w:sz w:val="24"/>
          <w:lang w:val="en" w:eastAsia="en-AU"/>
        </w:rPr>
        <w:t xml:space="preserve">but not </w:t>
      </w:r>
      <w:r>
        <w:rPr>
          <w:rFonts w:asciiTheme="minorHAnsi" w:hAnsiTheme="minorHAnsi" w:cs="Arial"/>
          <w:color w:val="000000"/>
          <w:sz w:val="24"/>
          <w:lang w:val="en" w:eastAsia="en-AU"/>
        </w:rPr>
        <w:t>yet enacted)</w:t>
      </w:r>
      <w:r w:rsidR="00636991" w:rsidRPr="00A157C1">
        <w:rPr>
          <w:rFonts w:asciiTheme="minorHAnsi" w:hAnsiTheme="minorHAnsi" w:cs="Arial"/>
          <w:color w:val="000000"/>
          <w:sz w:val="24"/>
          <w:lang w:val="en" w:eastAsia="en-AU"/>
        </w:rPr>
        <w:t xml:space="preserve">, </w:t>
      </w:r>
      <w:r w:rsidR="003004D7" w:rsidRPr="00A157C1">
        <w:rPr>
          <w:rFonts w:asciiTheme="minorHAnsi" w:hAnsiTheme="minorHAnsi" w:cs="Arial"/>
          <w:color w:val="000000"/>
          <w:sz w:val="24"/>
          <w:lang w:val="en" w:eastAsia="en-AU"/>
        </w:rPr>
        <w:t>while</w:t>
      </w:r>
      <w:r>
        <w:rPr>
          <w:rFonts w:asciiTheme="minorHAnsi" w:hAnsiTheme="minorHAnsi" w:cs="Arial"/>
          <w:color w:val="000000"/>
          <w:sz w:val="24"/>
          <w:lang w:val="en" w:eastAsia="en-AU"/>
        </w:rPr>
        <w:t xml:space="preserve"> the majority of </w:t>
      </w:r>
      <w:r w:rsidR="004C3B9E">
        <w:rPr>
          <w:rFonts w:asciiTheme="minorHAnsi" w:hAnsiTheme="minorHAnsi" w:cs="Arial"/>
          <w:color w:val="000000"/>
          <w:sz w:val="24"/>
          <w:lang w:val="en" w:eastAsia="en-AU"/>
        </w:rPr>
        <w:t xml:space="preserve">betting </w:t>
      </w:r>
      <w:r w:rsidR="00636991" w:rsidRPr="00A157C1">
        <w:rPr>
          <w:rFonts w:asciiTheme="minorHAnsi" w:hAnsiTheme="minorHAnsi" w:cs="Arial"/>
          <w:color w:val="000000"/>
          <w:sz w:val="24"/>
          <w:lang w:val="en" w:eastAsia="en-AU"/>
        </w:rPr>
        <w:t>operators in the Northern Territory</w:t>
      </w:r>
      <w:r w:rsidR="003004D7" w:rsidRPr="00A157C1">
        <w:rPr>
          <w:rFonts w:asciiTheme="minorHAnsi" w:hAnsiTheme="minorHAnsi" w:cs="Arial"/>
          <w:color w:val="000000"/>
          <w:sz w:val="24"/>
          <w:lang w:val="en" w:eastAsia="en-AU"/>
        </w:rPr>
        <w:t xml:space="preserve"> </w:t>
      </w:r>
      <w:r w:rsidR="00636991" w:rsidRPr="00A157C1">
        <w:rPr>
          <w:rFonts w:asciiTheme="minorHAnsi" w:hAnsiTheme="minorHAnsi" w:cs="Arial"/>
          <w:color w:val="000000"/>
          <w:sz w:val="24"/>
          <w:lang w:val="en" w:eastAsia="en-AU"/>
        </w:rPr>
        <w:t xml:space="preserve">adhere to licensing conditions that </w:t>
      </w:r>
      <w:r>
        <w:rPr>
          <w:rFonts w:asciiTheme="minorHAnsi" w:hAnsiTheme="minorHAnsi" w:cs="Arial"/>
          <w:color w:val="000000"/>
          <w:sz w:val="24"/>
          <w:lang w:val="en" w:eastAsia="en-AU"/>
        </w:rPr>
        <w:t xml:space="preserve">essentially </w:t>
      </w:r>
      <w:r w:rsidR="00636991" w:rsidRPr="00A157C1">
        <w:rPr>
          <w:rFonts w:asciiTheme="minorHAnsi" w:hAnsiTheme="minorHAnsi" w:cs="Arial"/>
          <w:color w:val="000000"/>
          <w:sz w:val="24"/>
          <w:lang w:val="en" w:eastAsia="en-AU"/>
        </w:rPr>
        <w:t>give effect to the legislation</w:t>
      </w:r>
      <w:r w:rsidR="003004D7" w:rsidRPr="00A157C1">
        <w:rPr>
          <w:rFonts w:asciiTheme="minorHAnsi" w:hAnsiTheme="minorHAnsi" w:cs="Arial"/>
          <w:color w:val="000000"/>
          <w:sz w:val="24"/>
          <w:lang w:val="en" w:eastAsia="en-AU"/>
        </w:rPr>
        <w:t xml:space="preserve"> recognised</w:t>
      </w:r>
      <w:r w:rsidR="00636991" w:rsidRPr="00A157C1">
        <w:rPr>
          <w:rFonts w:asciiTheme="minorHAnsi" w:hAnsiTheme="minorHAnsi" w:cs="Arial"/>
          <w:color w:val="000000"/>
          <w:sz w:val="24"/>
          <w:lang w:val="en" w:eastAsia="en-AU"/>
        </w:rPr>
        <w:t xml:space="preserve"> in </w:t>
      </w:r>
      <w:r w:rsidR="004C3B9E">
        <w:rPr>
          <w:rFonts w:asciiTheme="minorHAnsi" w:hAnsiTheme="minorHAnsi" w:cs="Arial"/>
          <w:color w:val="000000"/>
          <w:sz w:val="24"/>
          <w:lang w:val="en" w:eastAsia="en-AU"/>
        </w:rPr>
        <w:t xml:space="preserve">these </w:t>
      </w:r>
      <w:r w:rsidR="00636991" w:rsidRPr="00A157C1">
        <w:rPr>
          <w:rFonts w:asciiTheme="minorHAnsi" w:hAnsiTheme="minorHAnsi" w:cs="Arial"/>
          <w:color w:val="000000"/>
          <w:sz w:val="24"/>
          <w:lang w:val="en" w:eastAsia="en-AU"/>
        </w:rPr>
        <w:t>other states.</w:t>
      </w:r>
      <w:r w:rsidR="004B0427" w:rsidRPr="00A157C1">
        <w:rPr>
          <w:rFonts w:asciiTheme="minorHAnsi" w:hAnsiTheme="minorHAnsi" w:cs="Arial"/>
          <w:color w:val="000000"/>
          <w:sz w:val="24"/>
          <w:lang w:val="en" w:eastAsia="en-AU"/>
        </w:rPr>
        <w:t xml:space="preserve">  </w:t>
      </w:r>
      <w:r w:rsidR="003004D7" w:rsidRPr="00A157C1">
        <w:rPr>
          <w:rFonts w:asciiTheme="minorHAnsi" w:hAnsiTheme="minorHAnsi" w:cs="Arial"/>
          <w:color w:val="000000"/>
          <w:sz w:val="24"/>
          <w:lang w:val="en" w:eastAsia="en-AU"/>
        </w:rPr>
        <w:t>R</w:t>
      </w:r>
      <w:r w:rsidR="004B0427" w:rsidRPr="00A157C1">
        <w:rPr>
          <w:rFonts w:asciiTheme="minorHAnsi" w:hAnsiTheme="minorHAnsi" w:cs="Arial"/>
          <w:color w:val="000000"/>
          <w:sz w:val="24"/>
          <w:lang w:val="en" w:eastAsia="en-AU"/>
        </w:rPr>
        <w:t xml:space="preserve">elated </w:t>
      </w:r>
      <w:r w:rsidR="00636991" w:rsidRPr="00A157C1">
        <w:rPr>
          <w:rFonts w:asciiTheme="minorHAnsi" w:hAnsiTheme="minorHAnsi" w:cs="Arial"/>
          <w:color w:val="000000"/>
          <w:sz w:val="24"/>
          <w:lang w:val="en" w:eastAsia="en-AU"/>
        </w:rPr>
        <w:t>sport</w:t>
      </w:r>
      <w:r w:rsidR="004B0427" w:rsidRPr="00A157C1">
        <w:rPr>
          <w:rFonts w:asciiTheme="minorHAnsi" w:hAnsiTheme="minorHAnsi" w:cs="Arial"/>
          <w:color w:val="000000"/>
          <w:sz w:val="24"/>
          <w:lang w:val="en" w:eastAsia="en-AU"/>
        </w:rPr>
        <w:t>-</w:t>
      </w:r>
      <w:r w:rsidR="003004D7" w:rsidRPr="00A157C1">
        <w:rPr>
          <w:rFonts w:asciiTheme="minorHAnsi" w:hAnsiTheme="minorHAnsi" w:cs="Arial"/>
          <w:color w:val="000000"/>
          <w:sz w:val="24"/>
          <w:lang w:val="en" w:eastAsia="en-AU"/>
        </w:rPr>
        <w:t>based</w:t>
      </w:r>
      <w:r w:rsidR="00636991" w:rsidRPr="00A157C1">
        <w:rPr>
          <w:rFonts w:asciiTheme="minorHAnsi" w:hAnsiTheme="minorHAnsi" w:cs="Arial"/>
          <w:color w:val="000000"/>
          <w:sz w:val="24"/>
          <w:lang w:val="en" w:eastAsia="en-AU"/>
        </w:rPr>
        <w:t xml:space="preserve"> codes of conduct </w:t>
      </w:r>
      <w:r w:rsidR="003004D7" w:rsidRPr="00A157C1">
        <w:rPr>
          <w:rFonts w:asciiTheme="minorHAnsi" w:hAnsiTheme="minorHAnsi" w:cs="Arial"/>
          <w:color w:val="000000"/>
          <w:sz w:val="24"/>
          <w:lang w:val="en" w:eastAsia="en-AU"/>
        </w:rPr>
        <w:t xml:space="preserve">ensure </w:t>
      </w:r>
      <w:r w:rsidR="00636991" w:rsidRPr="00A157C1">
        <w:rPr>
          <w:rFonts w:asciiTheme="minorHAnsi" w:hAnsiTheme="minorHAnsi" w:cs="Arial"/>
          <w:color w:val="000000"/>
          <w:sz w:val="24"/>
          <w:lang w:val="en" w:eastAsia="en-AU"/>
        </w:rPr>
        <w:t xml:space="preserve">athletes and administrators </w:t>
      </w:r>
      <w:r w:rsidR="003004D7" w:rsidRPr="00A157C1">
        <w:rPr>
          <w:rFonts w:asciiTheme="minorHAnsi" w:hAnsiTheme="minorHAnsi" w:cs="Arial"/>
          <w:color w:val="000000"/>
          <w:sz w:val="24"/>
          <w:lang w:val="en" w:eastAsia="en-AU"/>
        </w:rPr>
        <w:t xml:space="preserve">participating </w:t>
      </w:r>
      <w:r w:rsidR="00636991" w:rsidRPr="00A157C1">
        <w:rPr>
          <w:rFonts w:asciiTheme="minorHAnsi" w:hAnsiTheme="minorHAnsi" w:cs="Arial"/>
          <w:color w:val="000000"/>
          <w:sz w:val="24"/>
          <w:lang w:val="en" w:eastAsia="en-AU"/>
        </w:rPr>
        <w:t>in competitions</w:t>
      </w:r>
      <w:r w:rsidR="00604DED" w:rsidRPr="00A157C1">
        <w:rPr>
          <w:rFonts w:asciiTheme="minorHAnsi" w:hAnsiTheme="minorHAnsi" w:cs="Arial"/>
          <w:color w:val="000000"/>
          <w:sz w:val="24"/>
          <w:lang w:val="en" w:eastAsia="en-AU"/>
        </w:rPr>
        <w:t xml:space="preserve"> </w:t>
      </w:r>
      <w:r w:rsidR="003004D7" w:rsidRPr="00A157C1">
        <w:rPr>
          <w:rFonts w:asciiTheme="minorHAnsi" w:hAnsiTheme="minorHAnsi" w:cs="Arial"/>
          <w:color w:val="000000"/>
          <w:sz w:val="24"/>
          <w:lang w:val="en" w:eastAsia="en-AU"/>
        </w:rPr>
        <w:t>with</w:t>
      </w:r>
      <w:r w:rsidR="00604DED" w:rsidRPr="00A157C1">
        <w:rPr>
          <w:rFonts w:asciiTheme="minorHAnsi" w:hAnsiTheme="minorHAnsi" w:cs="Arial"/>
          <w:color w:val="000000"/>
          <w:sz w:val="24"/>
          <w:lang w:val="en" w:eastAsia="en-AU"/>
        </w:rPr>
        <w:t xml:space="preserve"> sports betting markets </w:t>
      </w:r>
      <w:r w:rsidR="00636991" w:rsidRPr="00A157C1">
        <w:rPr>
          <w:rFonts w:asciiTheme="minorHAnsi" w:hAnsiTheme="minorHAnsi" w:cs="Arial"/>
          <w:color w:val="000000"/>
          <w:sz w:val="24"/>
          <w:lang w:val="en" w:eastAsia="en-AU"/>
        </w:rPr>
        <w:t>are prohibited from gambling on their sport</w:t>
      </w:r>
      <w:r w:rsidR="00D451DC">
        <w:rPr>
          <w:rFonts w:asciiTheme="minorHAnsi" w:hAnsiTheme="minorHAnsi" w:cs="Arial"/>
          <w:color w:val="000000"/>
          <w:sz w:val="24"/>
          <w:lang w:val="en" w:eastAsia="en-AU"/>
        </w:rPr>
        <w:t xml:space="preserve">, with </w:t>
      </w:r>
      <w:r w:rsidR="00C61A2D">
        <w:rPr>
          <w:rFonts w:asciiTheme="minorHAnsi" w:hAnsiTheme="minorHAnsi" w:cs="Arial"/>
          <w:color w:val="000000"/>
          <w:sz w:val="24"/>
          <w:lang w:val="en" w:eastAsia="en-AU"/>
        </w:rPr>
        <w:t>cross-</w:t>
      </w:r>
      <w:r w:rsidR="00D451DC">
        <w:rPr>
          <w:rFonts w:asciiTheme="minorHAnsi" w:hAnsiTheme="minorHAnsi" w:cs="Arial"/>
          <w:color w:val="000000"/>
          <w:sz w:val="24"/>
          <w:lang w:val="en" w:eastAsia="en-AU"/>
        </w:rPr>
        <w:t xml:space="preserve">checking </w:t>
      </w:r>
      <w:r w:rsidR="00C61A2D">
        <w:rPr>
          <w:rFonts w:asciiTheme="minorHAnsi" w:hAnsiTheme="minorHAnsi" w:cs="Arial"/>
          <w:color w:val="000000"/>
          <w:sz w:val="24"/>
          <w:lang w:val="en" w:eastAsia="en-AU"/>
        </w:rPr>
        <w:t xml:space="preserve">arrangements </w:t>
      </w:r>
      <w:r w:rsidR="00D451DC">
        <w:rPr>
          <w:rFonts w:asciiTheme="minorHAnsi" w:hAnsiTheme="minorHAnsi" w:cs="Arial"/>
          <w:color w:val="000000"/>
          <w:sz w:val="24"/>
          <w:lang w:val="en" w:eastAsia="en-AU"/>
        </w:rPr>
        <w:t>enabled under i</w:t>
      </w:r>
      <w:r w:rsidR="00636991" w:rsidRPr="00A157C1">
        <w:rPr>
          <w:rFonts w:asciiTheme="minorHAnsi" w:hAnsiTheme="minorHAnsi" w:cs="Arial"/>
          <w:color w:val="000000"/>
          <w:sz w:val="24"/>
          <w:lang w:val="en" w:eastAsia="en-AU"/>
        </w:rPr>
        <w:t>ntegrity agreements</w:t>
      </w:r>
      <w:r w:rsidR="00D451DC">
        <w:rPr>
          <w:rFonts w:asciiTheme="minorHAnsi" w:hAnsiTheme="minorHAnsi" w:cs="Arial"/>
          <w:color w:val="000000"/>
          <w:sz w:val="24"/>
          <w:lang w:val="en" w:eastAsia="en-AU"/>
        </w:rPr>
        <w:t>.</w:t>
      </w:r>
      <w:r w:rsidR="00636991" w:rsidRPr="00A157C1">
        <w:rPr>
          <w:rFonts w:asciiTheme="minorHAnsi" w:hAnsiTheme="minorHAnsi" w:cs="Arial"/>
          <w:color w:val="000000"/>
          <w:sz w:val="24"/>
          <w:lang w:val="en" w:eastAsia="en-AU"/>
        </w:rPr>
        <w:t xml:space="preserve">  This is an important prevent</w:t>
      </w:r>
      <w:r w:rsidR="00604DED" w:rsidRPr="00A157C1">
        <w:rPr>
          <w:rFonts w:asciiTheme="minorHAnsi" w:hAnsiTheme="minorHAnsi" w:cs="Arial"/>
          <w:color w:val="000000"/>
          <w:sz w:val="24"/>
          <w:lang w:val="en" w:eastAsia="en-AU"/>
        </w:rPr>
        <w:t>ative</w:t>
      </w:r>
      <w:r w:rsidR="00636991" w:rsidRPr="00A157C1">
        <w:rPr>
          <w:rFonts w:asciiTheme="minorHAnsi" w:hAnsiTheme="minorHAnsi" w:cs="Arial"/>
          <w:color w:val="000000"/>
          <w:sz w:val="24"/>
          <w:lang w:val="en" w:eastAsia="en-AU"/>
        </w:rPr>
        <w:t xml:space="preserve"> </w:t>
      </w:r>
      <w:r w:rsidR="00604DED" w:rsidRPr="00A157C1">
        <w:rPr>
          <w:rFonts w:asciiTheme="minorHAnsi" w:hAnsiTheme="minorHAnsi" w:cs="Arial"/>
          <w:color w:val="000000"/>
          <w:sz w:val="24"/>
          <w:lang w:val="en" w:eastAsia="en-AU"/>
        </w:rPr>
        <w:t xml:space="preserve">measure to </w:t>
      </w:r>
      <w:r w:rsidR="00C61A2D">
        <w:rPr>
          <w:rFonts w:asciiTheme="minorHAnsi" w:hAnsiTheme="minorHAnsi" w:cs="Arial"/>
          <w:color w:val="000000"/>
          <w:sz w:val="24"/>
          <w:lang w:val="en" w:eastAsia="en-AU"/>
        </w:rPr>
        <w:t xml:space="preserve">combat abuse of </w:t>
      </w:r>
      <w:r w:rsidR="00636991" w:rsidRPr="00A157C1">
        <w:rPr>
          <w:rFonts w:asciiTheme="minorHAnsi" w:hAnsiTheme="minorHAnsi" w:cs="Arial"/>
          <w:color w:val="000000"/>
          <w:sz w:val="24"/>
          <w:lang w:val="en" w:eastAsia="en-AU"/>
        </w:rPr>
        <w:t xml:space="preserve">inside information </w:t>
      </w:r>
      <w:r w:rsidR="00604DED" w:rsidRPr="00A157C1">
        <w:rPr>
          <w:rFonts w:asciiTheme="minorHAnsi" w:hAnsiTheme="minorHAnsi" w:cs="Arial"/>
          <w:color w:val="000000"/>
          <w:sz w:val="24"/>
          <w:lang w:val="en" w:eastAsia="en-AU"/>
        </w:rPr>
        <w:t>for</w:t>
      </w:r>
      <w:r w:rsidR="000A3995" w:rsidRPr="00A157C1">
        <w:rPr>
          <w:rFonts w:asciiTheme="minorHAnsi" w:hAnsiTheme="minorHAnsi" w:cs="Arial"/>
          <w:color w:val="000000"/>
          <w:sz w:val="24"/>
          <w:lang w:val="en" w:eastAsia="en-AU"/>
        </w:rPr>
        <w:t xml:space="preserve"> </w:t>
      </w:r>
      <w:r w:rsidR="00C61A2D">
        <w:rPr>
          <w:rFonts w:asciiTheme="minorHAnsi" w:hAnsiTheme="minorHAnsi" w:cs="Arial"/>
          <w:color w:val="000000"/>
          <w:sz w:val="24"/>
          <w:lang w:val="en" w:eastAsia="en-AU"/>
        </w:rPr>
        <w:t>gambling purposes</w:t>
      </w:r>
      <w:r w:rsidR="000A3995" w:rsidRPr="00A157C1">
        <w:rPr>
          <w:rFonts w:asciiTheme="minorHAnsi" w:hAnsiTheme="minorHAnsi" w:cs="Arial"/>
          <w:color w:val="000000"/>
          <w:sz w:val="24"/>
          <w:lang w:val="en" w:eastAsia="en-AU"/>
        </w:rPr>
        <w:t>.</w:t>
      </w:r>
    </w:p>
    <w:p w:rsidR="00636991" w:rsidRPr="00A157C1" w:rsidRDefault="00883D92" w:rsidP="00B81DAF">
      <w:pPr>
        <w:pStyle w:val="BodyText1"/>
        <w:numPr>
          <w:ilvl w:val="0"/>
          <w:numId w:val="0"/>
        </w:numPr>
        <w:spacing w:before="0" w:after="200" w:line="240" w:lineRule="auto"/>
        <w:rPr>
          <w:rFonts w:asciiTheme="minorHAnsi" w:hAnsiTheme="minorHAnsi" w:cs="Arial"/>
          <w:color w:val="000000"/>
          <w:sz w:val="24"/>
          <w:lang w:val="en" w:eastAsia="en-AU"/>
        </w:rPr>
      </w:pPr>
      <w:r>
        <w:rPr>
          <w:rFonts w:asciiTheme="minorHAnsi" w:hAnsiTheme="minorHAnsi" w:cs="Arial"/>
          <w:color w:val="000000"/>
          <w:sz w:val="24"/>
          <w:lang w:val="en" w:eastAsia="en-AU"/>
        </w:rPr>
        <w:t>Although a</w:t>
      </w:r>
      <w:r w:rsidR="00636991" w:rsidRPr="00A157C1">
        <w:rPr>
          <w:rFonts w:asciiTheme="minorHAnsi" w:hAnsiTheme="minorHAnsi" w:cs="Arial"/>
          <w:color w:val="000000"/>
          <w:sz w:val="24"/>
          <w:lang w:val="en" w:eastAsia="en-AU"/>
        </w:rPr>
        <w:t>ccount</w:t>
      </w:r>
      <w:r w:rsidR="00D31022">
        <w:rPr>
          <w:rFonts w:asciiTheme="minorHAnsi" w:hAnsiTheme="minorHAnsi" w:cs="Arial"/>
          <w:color w:val="000000"/>
          <w:sz w:val="24"/>
          <w:lang w:val="en" w:eastAsia="en-AU"/>
        </w:rPr>
        <w:t xml:space="preserve"> </w:t>
      </w:r>
      <w:r w:rsidR="00636991" w:rsidRPr="00A157C1">
        <w:rPr>
          <w:rFonts w:asciiTheme="minorHAnsi" w:hAnsiTheme="minorHAnsi" w:cs="Arial"/>
          <w:color w:val="000000"/>
          <w:sz w:val="24"/>
          <w:lang w:val="en" w:eastAsia="en-AU"/>
        </w:rPr>
        <w:t xml:space="preserve">based wagering has </w:t>
      </w:r>
      <w:r>
        <w:rPr>
          <w:rFonts w:asciiTheme="minorHAnsi" w:hAnsiTheme="minorHAnsi" w:cs="Arial"/>
          <w:color w:val="000000"/>
          <w:sz w:val="24"/>
          <w:lang w:val="en" w:eastAsia="en-AU"/>
        </w:rPr>
        <w:t xml:space="preserve">integrity benefits, it </w:t>
      </w:r>
      <w:r w:rsidR="000A3995" w:rsidRPr="00A157C1">
        <w:rPr>
          <w:rFonts w:asciiTheme="minorHAnsi" w:hAnsiTheme="minorHAnsi" w:cs="Arial"/>
          <w:color w:val="000000"/>
          <w:sz w:val="24"/>
          <w:lang w:val="en" w:eastAsia="en-AU"/>
        </w:rPr>
        <w:t>must be supported by</w:t>
      </w:r>
      <w:r w:rsidR="00776637" w:rsidRPr="00A157C1">
        <w:rPr>
          <w:rFonts w:asciiTheme="minorHAnsi" w:hAnsiTheme="minorHAnsi" w:cs="Arial"/>
          <w:color w:val="000000"/>
          <w:sz w:val="24"/>
          <w:lang w:val="en" w:eastAsia="en-AU"/>
        </w:rPr>
        <w:t xml:space="preserve"> appropriate and thorough bet monitoring and information</w:t>
      </w:r>
      <w:r w:rsidR="00D31022">
        <w:rPr>
          <w:rFonts w:asciiTheme="minorHAnsi" w:hAnsiTheme="minorHAnsi" w:cs="Arial"/>
          <w:color w:val="000000"/>
          <w:sz w:val="24"/>
          <w:lang w:val="en" w:eastAsia="en-AU"/>
        </w:rPr>
        <w:t xml:space="preserve"> </w:t>
      </w:r>
      <w:r w:rsidR="00776637" w:rsidRPr="00A157C1">
        <w:rPr>
          <w:rFonts w:asciiTheme="minorHAnsi" w:hAnsiTheme="minorHAnsi" w:cs="Arial"/>
          <w:color w:val="000000"/>
          <w:sz w:val="24"/>
          <w:lang w:val="en" w:eastAsia="en-AU"/>
        </w:rPr>
        <w:t xml:space="preserve">sharing </w:t>
      </w:r>
      <w:r w:rsidR="00C53B66" w:rsidRPr="00A157C1">
        <w:rPr>
          <w:rFonts w:asciiTheme="minorHAnsi" w:hAnsiTheme="minorHAnsi" w:cs="Arial"/>
          <w:color w:val="000000"/>
          <w:sz w:val="24"/>
          <w:lang w:val="en" w:eastAsia="en-AU"/>
        </w:rPr>
        <w:t>arrangements</w:t>
      </w:r>
      <w:r w:rsidR="00C53B66">
        <w:rPr>
          <w:rFonts w:asciiTheme="minorHAnsi" w:hAnsiTheme="minorHAnsi" w:cs="Arial"/>
          <w:color w:val="000000"/>
          <w:sz w:val="24"/>
          <w:lang w:val="en" w:eastAsia="en-AU"/>
        </w:rPr>
        <w:t>.</w:t>
      </w:r>
      <w:r w:rsidR="00604DED" w:rsidRPr="00A157C1">
        <w:rPr>
          <w:rFonts w:asciiTheme="minorHAnsi" w:hAnsiTheme="minorHAnsi" w:cs="Arial"/>
          <w:color w:val="000000"/>
          <w:sz w:val="24"/>
          <w:lang w:val="en" w:eastAsia="en-AU"/>
        </w:rPr>
        <w:t xml:space="preserve">  </w:t>
      </w:r>
      <w:r w:rsidR="00DE1640">
        <w:rPr>
          <w:rFonts w:asciiTheme="minorHAnsi" w:hAnsiTheme="minorHAnsi" w:cs="Arial"/>
          <w:color w:val="000000"/>
          <w:sz w:val="24"/>
          <w:lang w:val="en" w:eastAsia="en-AU"/>
        </w:rPr>
        <w:t>T</w:t>
      </w:r>
      <w:r w:rsidR="00604DED" w:rsidRPr="00A157C1">
        <w:rPr>
          <w:rFonts w:asciiTheme="minorHAnsi" w:hAnsiTheme="minorHAnsi" w:cs="Arial"/>
          <w:color w:val="000000"/>
          <w:sz w:val="24"/>
          <w:lang w:val="en" w:eastAsia="en-AU"/>
        </w:rPr>
        <w:t xml:space="preserve">his practice is </w:t>
      </w:r>
      <w:r w:rsidR="00966B69">
        <w:rPr>
          <w:rFonts w:asciiTheme="minorHAnsi" w:hAnsiTheme="minorHAnsi" w:cs="Arial"/>
          <w:color w:val="000000"/>
          <w:sz w:val="24"/>
          <w:lang w:val="en" w:eastAsia="en-AU"/>
        </w:rPr>
        <w:t xml:space="preserve">currently </w:t>
      </w:r>
      <w:r w:rsidR="00776637" w:rsidRPr="00A157C1">
        <w:rPr>
          <w:rFonts w:asciiTheme="minorHAnsi" w:hAnsiTheme="minorHAnsi" w:cs="Arial"/>
          <w:color w:val="000000"/>
          <w:sz w:val="24"/>
          <w:lang w:val="en" w:eastAsia="en-AU"/>
        </w:rPr>
        <w:t xml:space="preserve">inconsistent across </w:t>
      </w:r>
      <w:r w:rsidR="00604DED" w:rsidRPr="00A157C1">
        <w:rPr>
          <w:rFonts w:asciiTheme="minorHAnsi" w:hAnsiTheme="minorHAnsi" w:cs="Arial"/>
          <w:color w:val="000000"/>
          <w:sz w:val="24"/>
          <w:lang w:val="en" w:eastAsia="en-AU"/>
        </w:rPr>
        <w:t xml:space="preserve">sports and </w:t>
      </w:r>
      <w:r w:rsidR="004C3B9E">
        <w:rPr>
          <w:rFonts w:asciiTheme="minorHAnsi" w:hAnsiTheme="minorHAnsi" w:cs="Arial"/>
          <w:color w:val="000000"/>
          <w:sz w:val="24"/>
          <w:lang w:val="en" w:eastAsia="en-AU"/>
        </w:rPr>
        <w:t xml:space="preserve">jurisdictions with </w:t>
      </w:r>
      <w:r w:rsidR="00966B69">
        <w:rPr>
          <w:rFonts w:asciiTheme="minorHAnsi" w:hAnsiTheme="minorHAnsi" w:cs="Arial"/>
          <w:color w:val="000000"/>
          <w:sz w:val="24"/>
          <w:lang w:val="en" w:eastAsia="en-AU"/>
        </w:rPr>
        <w:t xml:space="preserve">compliance difficult to ensure in the absence of </w:t>
      </w:r>
      <w:r w:rsidR="004C3B9E">
        <w:rPr>
          <w:rFonts w:asciiTheme="minorHAnsi" w:hAnsiTheme="minorHAnsi" w:cs="Arial"/>
          <w:color w:val="000000"/>
          <w:sz w:val="24"/>
          <w:lang w:val="en" w:eastAsia="en-AU"/>
        </w:rPr>
        <w:t xml:space="preserve">consistent </w:t>
      </w:r>
      <w:r w:rsidR="00604DED" w:rsidRPr="00A157C1">
        <w:rPr>
          <w:rFonts w:asciiTheme="minorHAnsi" w:hAnsiTheme="minorHAnsi" w:cs="Arial"/>
          <w:color w:val="000000"/>
          <w:sz w:val="24"/>
          <w:lang w:val="en" w:eastAsia="en-AU"/>
        </w:rPr>
        <w:t>regulatory powers.</w:t>
      </w:r>
    </w:p>
    <w:p w:rsidR="006C0F31" w:rsidRPr="00A157C1" w:rsidRDefault="006C0F31" w:rsidP="00B81DAF">
      <w:pPr>
        <w:spacing w:line="240" w:lineRule="auto"/>
        <w:rPr>
          <w:b/>
          <w:color w:val="4F81BD" w:themeColor="accent1"/>
          <w:sz w:val="24"/>
          <w:szCs w:val="24"/>
          <w:u w:val="single"/>
        </w:rPr>
      </w:pPr>
      <w:r w:rsidRPr="00A157C1">
        <w:rPr>
          <w:b/>
          <w:color w:val="4F81BD" w:themeColor="accent1"/>
          <w:sz w:val="24"/>
          <w:szCs w:val="24"/>
          <w:u w:val="single"/>
        </w:rPr>
        <w:t xml:space="preserve">Australian </w:t>
      </w:r>
      <w:r w:rsidR="000A3995" w:rsidRPr="00A157C1">
        <w:rPr>
          <w:b/>
          <w:color w:val="4F81BD" w:themeColor="accent1"/>
          <w:sz w:val="24"/>
          <w:szCs w:val="24"/>
          <w:u w:val="single"/>
        </w:rPr>
        <w:t xml:space="preserve">Match-fixing </w:t>
      </w:r>
      <w:r w:rsidRPr="00A157C1">
        <w:rPr>
          <w:b/>
          <w:color w:val="4F81BD" w:themeColor="accent1"/>
          <w:sz w:val="24"/>
          <w:szCs w:val="24"/>
          <w:u w:val="single"/>
        </w:rPr>
        <w:t>Case Study</w:t>
      </w:r>
    </w:p>
    <w:p w:rsidR="00C53B66" w:rsidRPr="00C53B66" w:rsidRDefault="00C53B66" w:rsidP="00C53B66">
      <w:pPr>
        <w:pStyle w:val="NormalWeb"/>
        <w:shd w:val="clear" w:color="auto" w:fill="FFFFFF"/>
        <w:rPr>
          <w:rFonts w:asciiTheme="minorHAnsi" w:hAnsiTheme="minorHAnsi"/>
          <w:color w:val="000000" w:themeColor="text1"/>
          <w:lang w:eastAsia="en-US"/>
        </w:rPr>
      </w:pPr>
      <w:r w:rsidRPr="00C53B66">
        <w:rPr>
          <w:rFonts w:asciiTheme="minorHAnsi" w:hAnsiTheme="minorHAnsi"/>
          <w:color w:val="000000" w:themeColor="text1"/>
          <w:lang w:eastAsia="en-US"/>
        </w:rPr>
        <w:t xml:space="preserve">On 15 September 2013, Victoria Police arrested a number of people from the </w:t>
      </w:r>
      <w:r w:rsidRPr="00AC257D">
        <w:rPr>
          <w:rFonts w:asciiTheme="minorHAnsi" w:hAnsiTheme="minorHAnsi"/>
          <w:i/>
          <w:color w:val="000000" w:themeColor="text1"/>
          <w:lang w:eastAsia="en-US"/>
        </w:rPr>
        <w:t>Southern Stars Victorian Premier League</w:t>
      </w:r>
      <w:r w:rsidRPr="00C53B66">
        <w:rPr>
          <w:rFonts w:asciiTheme="minorHAnsi" w:hAnsiTheme="minorHAnsi"/>
          <w:color w:val="000000" w:themeColor="text1"/>
          <w:lang w:eastAsia="en-US"/>
        </w:rPr>
        <w:t xml:space="preserve"> football competition for suspected match-fixing.  These prosecutions were facilitated by the introduction of specific match-fixing legislation in Victoria as a direct result of the </w:t>
      </w:r>
      <w:r w:rsidRPr="00C53B66">
        <w:rPr>
          <w:rFonts w:asciiTheme="minorHAnsi" w:hAnsiTheme="minorHAnsi"/>
          <w:i/>
          <w:color w:val="000000" w:themeColor="text1"/>
          <w:lang w:eastAsia="en-US"/>
        </w:rPr>
        <w:t>National Policy on Match-Fixing in Sport</w:t>
      </w:r>
      <w:r w:rsidRPr="00C53B66">
        <w:rPr>
          <w:rFonts w:asciiTheme="minorHAnsi" w:hAnsiTheme="minorHAnsi"/>
          <w:color w:val="000000" w:themeColor="text1"/>
          <w:lang w:eastAsia="en-US"/>
        </w:rPr>
        <w:t>.</w:t>
      </w:r>
    </w:p>
    <w:p w:rsidR="00C53B66" w:rsidRPr="00C53B66" w:rsidRDefault="00C53B66" w:rsidP="00C53B66">
      <w:pPr>
        <w:pStyle w:val="NormalWeb"/>
        <w:shd w:val="clear" w:color="auto" w:fill="FFFFFF"/>
        <w:rPr>
          <w:rFonts w:asciiTheme="minorHAnsi" w:hAnsiTheme="minorHAnsi"/>
          <w:color w:val="000000" w:themeColor="text1"/>
          <w:lang w:eastAsia="en-US"/>
        </w:rPr>
      </w:pPr>
      <w:r w:rsidRPr="00C53B66">
        <w:rPr>
          <w:rFonts w:asciiTheme="minorHAnsi" w:hAnsiTheme="minorHAnsi"/>
          <w:color w:val="000000" w:themeColor="text1"/>
          <w:lang w:eastAsia="en-US"/>
        </w:rPr>
        <w:t>The betting activity occurred in Asia and the corrupt activity was detected by international sports bet monitoring company Sportradar as part of its relationship with Football Federation Australia.  The players were recruited by a criminal syndicate – headed by infamous Singaporean match</w:t>
      </w:r>
      <w:r w:rsidR="007672FF">
        <w:rPr>
          <w:rFonts w:asciiTheme="minorHAnsi" w:hAnsiTheme="minorHAnsi"/>
          <w:color w:val="000000" w:themeColor="text1"/>
          <w:lang w:eastAsia="en-US"/>
        </w:rPr>
        <w:t>-</w:t>
      </w:r>
      <w:r w:rsidR="00D31022">
        <w:rPr>
          <w:rFonts w:asciiTheme="minorHAnsi" w:hAnsiTheme="minorHAnsi"/>
          <w:color w:val="000000" w:themeColor="text1"/>
          <w:lang w:eastAsia="en-US"/>
        </w:rPr>
        <w:t xml:space="preserve">fixer Wilson Raj Perumal </w:t>
      </w:r>
      <w:r w:rsidR="00D31022" w:rsidRPr="00C53B66">
        <w:rPr>
          <w:rFonts w:asciiTheme="minorHAnsi" w:hAnsiTheme="minorHAnsi"/>
          <w:color w:val="000000" w:themeColor="text1"/>
          <w:lang w:eastAsia="en-US"/>
        </w:rPr>
        <w:t>–</w:t>
      </w:r>
      <w:r w:rsidR="00D31022">
        <w:rPr>
          <w:rFonts w:asciiTheme="minorHAnsi" w:hAnsiTheme="minorHAnsi"/>
          <w:color w:val="000000" w:themeColor="text1"/>
          <w:lang w:eastAsia="en-US"/>
        </w:rPr>
        <w:t xml:space="preserve"> </w:t>
      </w:r>
      <w:r w:rsidRPr="00C53B66">
        <w:rPr>
          <w:rFonts w:asciiTheme="minorHAnsi" w:hAnsiTheme="minorHAnsi"/>
          <w:color w:val="000000" w:themeColor="text1"/>
          <w:lang w:eastAsia="en-US"/>
        </w:rPr>
        <w:t>and offered to the Southern Stars club under a proposed sponsorship deal.</w:t>
      </w:r>
    </w:p>
    <w:p w:rsidR="006C0F31" w:rsidRPr="00C53B66" w:rsidRDefault="00C53B66" w:rsidP="00C53B66">
      <w:pPr>
        <w:pStyle w:val="NormalWeb"/>
        <w:shd w:val="clear" w:color="auto" w:fill="FFFFFF"/>
        <w:spacing w:before="0" w:beforeAutospacing="0" w:after="200" w:afterAutospacing="0"/>
        <w:rPr>
          <w:rFonts w:asciiTheme="minorHAnsi" w:hAnsiTheme="minorHAnsi"/>
          <w:lang w:eastAsia="en-US"/>
        </w:rPr>
      </w:pPr>
      <w:r w:rsidRPr="00C53B66">
        <w:rPr>
          <w:rFonts w:asciiTheme="minorHAnsi" w:hAnsiTheme="minorHAnsi"/>
          <w:color w:val="000000" w:themeColor="text1"/>
          <w:lang w:eastAsia="en-US"/>
        </w:rPr>
        <w:t>The Malaysian national who was sent to Australia to facilitate the match-fixing was charged with corrupting a betting outcome and sentenced to three years imprisonment, with two years suspended, to be followed by deportation to Malaysia.  Several players were suspended from any football</w:t>
      </w:r>
      <w:r>
        <w:rPr>
          <w:rFonts w:asciiTheme="minorHAnsi" w:hAnsiTheme="minorHAnsi"/>
          <w:color w:val="000000" w:themeColor="text1"/>
          <w:lang w:eastAsia="en-US"/>
        </w:rPr>
        <w:t>-</w:t>
      </w:r>
      <w:r w:rsidRPr="00C53B66">
        <w:rPr>
          <w:rFonts w:asciiTheme="minorHAnsi" w:hAnsiTheme="minorHAnsi"/>
          <w:color w:val="000000" w:themeColor="text1"/>
          <w:lang w:eastAsia="en-US"/>
        </w:rPr>
        <w:t xml:space="preserve">related activity in Australia and those bans were </w:t>
      </w:r>
      <w:r w:rsidR="00885CA3">
        <w:rPr>
          <w:rFonts w:asciiTheme="minorHAnsi" w:hAnsiTheme="minorHAnsi"/>
          <w:color w:val="000000" w:themeColor="text1"/>
          <w:lang w:eastAsia="en-US"/>
        </w:rPr>
        <w:t xml:space="preserve">subsequently </w:t>
      </w:r>
      <w:r w:rsidRPr="00C53B66">
        <w:rPr>
          <w:rFonts w:asciiTheme="minorHAnsi" w:hAnsiTheme="minorHAnsi"/>
          <w:color w:val="000000" w:themeColor="text1"/>
          <w:lang w:eastAsia="en-US"/>
        </w:rPr>
        <w:t xml:space="preserve">extended </w:t>
      </w:r>
      <w:r w:rsidR="00885CA3">
        <w:rPr>
          <w:rFonts w:asciiTheme="minorHAnsi" w:hAnsiTheme="minorHAnsi"/>
          <w:lang w:eastAsia="en-US"/>
        </w:rPr>
        <w:t>worldwide</w:t>
      </w:r>
      <w:r>
        <w:rPr>
          <w:rFonts w:asciiTheme="minorHAnsi" w:hAnsiTheme="minorHAnsi"/>
          <w:lang w:eastAsia="en-US"/>
        </w:rPr>
        <w:t>.</w:t>
      </w:r>
    </w:p>
    <w:p w:rsidR="00F320C5" w:rsidRPr="00A157C1" w:rsidRDefault="009E47F2" w:rsidP="00B81DAF">
      <w:pPr>
        <w:spacing w:line="240" w:lineRule="auto"/>
        <w:rPr>
          <w:b/>
          <w:color w:val="4F81BD" w:themeColor="accent1"/>
          <w:sz w:val="24"/>
          <w:szCs w:val="24"/>
          <w:u w:val="single"/>
        </w:rPr>
      </w:pPr>
      <w:r>
        <w:rPr>
          <w:b/>
          <w:color w:val="4F81BD" w:themeColor="accent1"/>
          <w:sz w:val="24"/>
          <w:szCs w:val="24"/>
          <w:u w:val="single"/>
        </w:rPr>
        <w:t>‘</w:t>
      </w:r>
      <w:r w:rsidR="00636991" w:rsidRPr="00A157C1">
        <w:rPr>
          <w:b/>
          <w:color w:val="4F81BD" w:themeColor="accent1"/>
          <w:sz w:val="24"/>
          <w:szCs w:val="24"/>
          <w:u w:val="single"/>
        </w:rPr>
        <w:t>Platform Neutrality</w:t>
      </w:r>
      <w:r>
        <w:rPr>
          <w:b/>
          <w:color w:val="4F81BD" w:themeColor="accent1"/>
          <w:sz w:val="24"/>
          <w:szCs w:val="24"/>
          <w:u w:val="single"/>
        </w:rPr>
        <w:t>’</w:t>
      </w:r>
    </w:p>
    <w:p w:rsidR="00636991" w:rsidRPr="00A157C1" w:rsidRDefault="00636991" w:rsidP="00B81DAF">
      <w:pPr>
        <w:spacing w:line="240" w:lineRule="auto"/>
        <w:rPr>
          <w:rFonts w:eastAsia="Times New Roman" w:cs="Times New Roman"/>
          <w:color w:val="000000" w:themeColor="text1"/>
          <w:sz w:val="24"/>
          <w:szCs w:val="24"/>
        </w:rPr>
      </w:pPr>
      <w:r w:rsidRPr="00A157C1">
        <w:rPr>
          <w:rFonts w:eastAsia="Times New Roman" w:cs="Times New Roman"/>
          <w:color w:val="000000" w:themeColor="text1"/>
          <w:sz w:val="24"/>
          <w:szCs w:val="24"/>
        </w:rPr>
        <w:t xml:space="preserve">The Department of Communications and the Arts has policy responsibility for the </w:t>
      </w:r>
      <w:r w:rsidRPr="00A157C1">
        <w:rPr>
          <w:rFonts w:eastAsia="Times New Roman" w:cs="Times New Roman"/>
          <w:i/>
          <w:color w:val="000000" w:themeColor="text1"/>
          <w:sz w:val="24"/>
          <w:szCs w:val="24"/>
        </w:rPr>
        <w:t>Interactive Gambling Act 2001</w:t>
      </w:r>
      <w:r w:rsidRPr="00A157C1">
        <w:rPr>
          <w:rFonts w:eastAsia="Times New Roman" w:cs="Times New Roman"/>
          <w:color w:val="000000" w:themeColor="text1"/>
          <w:sz w:val="24"/>
          <w:szCs w:val="24"/>
        </w:rPr>
        <w:t xml:space="preserve"> (IGA)</w:t>
      </w:r>
      <w:r w:rsidR="00CA10AC" w:rsidRPr="00A157C1">
        <w:rPr>
          <w:rFonts w:eastAsia="Times New Roman" w:cs="Times New Roman"/>
          <w:color w:val="000000" w:themeColor="text1"/>
          <w:sz w:val="24"/>
          <w:szCs w:val="24"/>
        </w:rPr>
        <w:t>.  The IGA</w:t>
      </w:r>
      <w:r w:rsidRPr="00A157C1">
        <w:rPr>
          <w:rFonts w:eastAsia="Times New Roman" w:cs="Times New Roman"/>
          <w:color w:val="000000" w:themeColor="text1"/>
          <w:sz w:val="24"/>
          <w:szCs w:val="24"/>
        </w:rPr>
        <w:t xml:space="preserve"> aims to limit the provision of prohibited online gambling services to Australians and to minimise the scope for problem gambling among Australians.  The IGA is not designed to address issues dealing with corruption or cheating in sports betting and other events and gaming </w:t>
      </w:r>
      <w:r w:rsidR="00253C55">
        <w:rPr>
          <w:rFonts w:eastAsia="Times New Roman" w:cs="Times New Roman"/>
          <w:color w:val="000000" w:themeColor="text1"/>
          <w:sz w:val="24"/>
          <w:szCs w:val="24"/>
        </w:rPr>
        <w:t>that</w:t>
      </w:r>
      <w:r w:rsidR="00253C55" w:rsidRPr="00A157C1">
        <w:rPr>
          <w:rFonts w:eastAsia="Times New Roman" w:cs="Times New Roman"/>
          <w:color w:val="000000" w:themeColor="text1"/>
          <w:sz w:val="24"/>
          <w:szCs w:val="24"/>
        </w:rPr>
        <w:t xml:space="preserve"> </w:t>
      </w:r>
      <w:r w:rsidR="00AC257D">
        <w:rPr>
          <w:rFonts w:eastAsia="Times New Roman" w:cs="Times New Roman"/>
          <w:color w:val="000000" w:themeColor="text1"/>
          <w:sz w:val="24"/>
          <w:szCs w:val="24"/>
        </w:rPr>
        <w:t>occur online.</w:t>
      </w:r>
    </w:p>
    <w:p w:rsidR="008F492D" w:rsidRPr="00A157C1" w:rsidRDefault="00636991" w:rsidP="00B81DAF">
      <w:pPr>
        <w:spacing w:line="240" w:lineRule="auto"/>
        <w:rPr>
          <w:rFonts w:eastAsia="Times New Roman" w:cs="Times New Roman"/>
          <w:color w:val="000000" w:themeColor="text1"/>
          <w:sz w:val="24"/>
          <w:szCs w:val="24"/>
        </w:rPr>
      </w:pPr>
      <w:r w:rsidRPr="00A157C1">
        <w:rPr>
          <w:rFonts w:eastAsia="Times New Roman" w:cs="Times New Roman"/>
          <w:color w:val="000000" w:themeColor="text1"/>
          <w:sz w:val="24"/>
          <w:szCs w:val="24"/>
        </w:rPr>
        <w:t xml:space="preserve">Among other things, the IGA proscribes the provision of online gambling services in Australia and the advertising of such gambling services. </w:t>
      </w:r>
      <w:r w:rsidR="00CA10AC" w:rsidRPr="00A157C1">
        <w:rPr>
          <w:rFonts w:eastAsia="Times New Roman" w:cs="Times New Roman"/>
          <w:color w:val="000000" w:themeColor="text1"/>
          <w:sz w:val="24"/>
          <w:szCs w:val="24"/>
        </w:rPr>
        <w:t xml:space="preserve"> </w:t>
      </w:r>
      <w:r w:rsidRPr="00A157C1">
        <w:rPr>
          <w:rFonts w:eastAsia="Times New Roman" w:cs="Times New Roman"/>
          <w:color w:val="000000" w:themeColor="text1"/>
          <w:sz w:val="24"/>
          <w:szCs w:val="24"/>
        </w:rPr>
        <w:t>The IGA is designed to regulate the provision of both Australian and overseas based prohibited online gambling services.</w:t>
      </w:r>
      <w:r w:rsidR="008F492D" w:rsidRPr="00A157C1">
        <w:rPr>
          <w:rFonts w:eastAsia="Times New Roman" w:cs="Times New Roman"/>
          <w:color w:val="000000" w:themeColor="text1"/>
          <w:sz w:val="24"/>
          <w:szCs w:val="24"/>
        </w:rPr>
        <w:t xml:space="preserve">  </w:t>
      </w:r>
      <w:r w:rsidR="00AC257D">
        <w:rPr>
          <w:rFonts w:eastAsia="Times New Roman" w:cs="Times New Roman"/>
          <w:color w:val="000000" w:themeColor="text1"/>
          <w:sz w:val="24"/>
          <w:szCs w:val="24"/>
        </w:rPr>
        <w:t>In 2012, t</w:t>
      </w:r>
      <w:r w:rsidR="00BF6F3D" w:rsidRPr="00A157C1">
        <w:rPr>
          <w:rFonts w:eastAsia="Times New Roman" w:cs="Times New Roman"/>
          <w:color w:val="000000" w:themeColor="text1"/>
          <w:sz w:val="24"/>
          <w:szCs w:val="24"/>
        </w:rPr>
        <w:t>he National Integrity of Sport Unit contribu</w:t>
      </w:r>
      <w:r w:rsidR="008F492D" w:rsidRPr="00A157C1">
        <w:rPr>
          <w:rFonts w:eastAsia="Times New Roman" w:cs="Times New Roman"/>
          <w:color w:val="000000" w:themeColor="text1"/>
          <w:sz w:val="24"/>
          <w:szCs w:val="24"/>
        </w:rPr>
        <w:t xml:space="preserve">ted a submission to </w:t>
      </w:r>
      <w:r w:rsidR="00E2347B">
        <w:rPr>
          <w:rFonts w:eastAsia="Times New Roman" w:cs="Times New Roman"/>
          <w:color w:val="000000" w:themeColor="text1"/>
          <w:sz w:val="24"/>
          <w:szCs w:val="24"/>
        </w:rPr>
        <w:t xml:space="preserve">a </w:t>
      </w:r>
      <w:r w:rsidR="008F492D" w:rsidRPr="00A157C1">
        <w:rPr>
          <w:rFonts w:eastAsia="Times New Roman" w:cs="Times New Roman"/>
          <w:color w:val="000000" w:themeColor="text1"/>
          <w:sz w:val="24"/>
          <w:szCs w:val="24"/>
        </w:rPr>
        <w:t>Review</w:t>
      </w:r>
      <w:r w:rsidR="00AC257D">
        <w:rPr>
          <w:rFonts w:eastAsia="Times New Roman" w:cs="Times New Roman"/>
          <w:color w:val="000000" w:themeColor="text1"/>
          <w:sz w:val="24"/>
          <w:szCs w:val="24"/>
        </w:rPr>
        <w:t xml:space="preserve"> of the IGA</w:t>
      </w:r>
      <w:r w:rsidR="00BF6F3D" w:rsidRPr="00A157C1">
        <w:rPr>
          <w:rFonts w:eastAsia="Times New Roman" w:cs="Times New Roman"/>
          <w:color w:val="000000" w:themeColor="text1"/>
          <w:sz w:val="24"/>
          <w:szCs w:val="24"/>
        </w:rPr>
        <w:t xml:space="preserve"> </w:t>
      </w:r>
      <w:r w:rsidR="008F492D" w:rsidRPr="00A157C1">
        <w:rPr>
          <w:rFonts w:eastAsia="Times New Roman" w:cs="Times New Roman"/>
          <w:color w:val="000000" w:themeColor="text1"/>
          <w:sz w:val="24"/>
          <w:szCs w:val="24"/>
        </w:rPr>
        <w:t xml:space="preserve">which highlighted the need for </w:t>
      </w:r>
      <w:r w:rsidR="00AC257D">
        <w:rPr>
          <w:rFonts w:eastAsia="Times New Roman" w:cs="Times New Roman"/>
          <w:color w:val="000000" w:themeColor="text1"/>
          <w:sz w:val="24"/>
          <w:szCs w:val="24"/>
        </w:rPr>
        <w:t>amendments</w:t>
      </w:r>
      <w:r w:rsidR="00E2347B">
        <w:rPr>
          <w:rFonts w:eastAsia="Times New Roman" w:cs="Times New Roman"/>
          <w:color w:val="000000" w:themeColor="text1"/>
          <w:sz w:val="24"/>
          <w:szCs w:val="24"/>
        </w:rPr>
        <w:t xml:space="preserve"> to </w:t>
      </w:r>
      <w:r w:rsidR="00AC257D">
        <w:rPr>
          <w:rFonts w:eastAsia="Times New Roman" w:cs="Times New Roman"/>
          <w:color w:val="000000" w:themeColor="text1"/>
          <w:sz w:val="24"/>
          <w:szCs w:val="24"/>
        </w:rPr>
        <w:t>reflect, then,</w:t>
      </w:r>
      <w:r w:rsidR="00E2347B">
        <w:rPr>
          <w:rFonts w:eastAsia="Times New Roman" w:cs="Times New Roman"/>
          <w:color w:val="000000" w:themeColor="text1"/>
          <w:sz w:val="24"/>
          <w:szCs w:val="24"/>
        </w:rPr>
        <w:t xml:space="preserve"> more recent sports integrity initiatives, particularly</w:t>
      </w:r>
      <w:r w:rsidR="008F492D" w:rsidRPr="00A157C1">
        <w:rPr>
          <w:rFonts w:eastAsia="Times New Roman" w:cs="Times New Roman"/>
          <w:color w:val="000000" w:themeColor="text1"/>
          <w:sz w:val="24"/>
          <w:szCs w:val="24"/>
        </w:rPr>
        <w:t xml:space="preserve"> the </w:t>
      </w:r>
      <w:r w:rsidR="008F492D" w:rsidRPr="00A157C1">
        <w:rPr>
          <w:rFonts w:eastAsia="Times New Roman" w:cs="Times New Roman"/>
          <w:i/>
          <w:color w:val="000000" w:themeColor="text1"/>
          <w:sz w:val="24"/>
          <w:szCs w:val="24"/>
        </w:rPr>
        <w:t>National Policy on Match-Fixing in Sport</w:t>
      </w:r>
      <w:r w:rsidR="008F492D" w:rsidRPr="00A157C1">
        <w:rPr>
          <w:rFonts w:eastAsia="Times New Roman" w:cs="Times New Roman"/>
          <w:color w:val="000000" w:themeColor="text1"/>
          <w:sz w:val="24"/>
          <w:szCs w:val="24"/>
        </w:rPr>
        <w:t>.  This remains the case.</w:t>
      </w:r>
    </w:p>
    <w:p w:rsidR="00E2347B" w:rsidRDefault="00966B69" w:rsidP="00B81DAF">
      <w:pPr>
        <w:spacing w:line="240" w:lineRule="auto"/>
        <w:rPr>
          <w:sz w:val="24"/>
          <w:szCs w:val="24"/>
        </w:rPr>
      </w:pPr>
      <w:r>
        <w:rPr>
          <w:rFonts w:eastAsia="Times New Roman" w:cs="Times New Roman"/>
          <w:color w:val="000000" w:themeColor="text1"/>
          <w:sz w:val="24"/>
          <w:szCs w:val="24"/>
        </w:rPr>
        <w:t xml:space="preserve">Although there </w:t>
      </w:r>
      <w:r w:rsidR="00192BCC">
        <w:rPr>
          <w:rFonts w:eastAsia="Times New Roman" w:cs="Times New Roman"/>
          <w:color w:val="000000" w:themeColor="text1"/>
          <w:sz w:val="24"/>
          <w:szCs w:val="24"/>
        </w:rPr>
        <w:t>is</w:t>
      </w:r>
      <w:r>
        <w:rPr>
          <w:rFonts w:eastAsia="Times New Roman" w:cs="Times New Roman"/>
          <w:color w:val="000000" w:themeColor="text1"/>
          <w:sz w:val="24"/>
          <w:szCs w:val="24"/>
        </w:rPr>
        <w:t xml:space="preserve"> currently no reliable data, anecdotally t</w:t>
      </w:r>
      <w:r w:rsidR="00F84CC0" w:rsidRPr="00A157C1">
        <w:rPr>
          <w:sz w:val="24"/>
          <w:szCs w:val="24"/>
        </w:rPr>
        <w:t xml:space="preserve">he </w:t>
      </w:r>
      <w:r>
        <w:rPr>
          <w:sz w:val="24"/>
          <w:szCs w:val="24"/>
        </w:rPr>
        <w:t>provision of online in-play betting by offshore operators appears to appeal to a sizeable proportion of</w:t>
      </w:r>
      <w:r w:rsidR="00253C55" w:rsidRPr="00A157C1">
        <w:rPr>
          <w:sz w:val="24"/>
          <w:szCs w:val="24"/>
        </w:rPr>
        <w:t xml:space="preserve"> Australian consumers</w:t>
      </w:r>
      <w:r w:rsidR="00F84CC0" w:rsidRPr="00A157C1">
        <w:rPr>
          <w:sz w:val="24"/>
          <w:szCs w:val="24"/>
        </w:rPr>
        <w:t xml:space="preserve"> </w:t>
      </w:r>
      <w:r>
        <w:rPr>
          <w:sz w:val="24"/>
          <w:szCs w:val="24"/>
        </w:rPr>
        <w:t xml:space="preserve">and </w:t>
      </w:r>
      <w:r w:rsidR="00F84CC0" w:rsidRPr="00A157C1">
        <w:rPr>
          <w:sz w:val="24"/>
          <w:szCs w:val="24"/>
        </w:rPr>
        <w:t xml:space="preserve">is </w:t>
      </w:r>
      <w:r w:rsidR="00BF6F3D" w:rsidRPr="00A157C1">
        <w:rPr>
          <w:sz w:val="24"/>
          <w:szCs w:val="24"/>
        </w:rPr>
        <w:t xml:space="preserve">likely to continue </w:t>
      </w:r>
      <w:r w:rsidR="005F5774" w:rsidRPr="00A157C1">
        <w:rPr>
          <w:sz w:val="24"/>
          <w:szCs w:val="24"/>
        </w:rPr>
        <w:t>under</w:t>
      </w:r>
      <w:r w:rsidR="00F84CC0" w:rsidRPr="00A157C1">
        <w:rPr>
          <w:sz w:val="24"/>
          <w:szCs w:val="24"/>
        </w:rPr>
        <w:t xml:space="preserve"> cu</w:t>
      </w:r>
      <w:r w:rsidR="00BF6F3D" w:rsidRPr="00A157C1">
        <w:rPr>
          <w:sz w:val="24"/>
          <w:szCs w:val="24"/>
        </w:rPr>
        <w:t xml:space="preserve">rrent legislative arrangements.  </w:t>
      </w:r>
      <w:r w:rsidR="00E2347B">
        <w:rPr>
          <w:sz w:val="24"/>
          <w:szCs w:val="24"/>
        </w:rPr>
        <w:t>Conversely</w:t>
      </w:r>
      <w:r w:rsidR="00BF6F3D" w:rsidRPr="00A157C1">
        <w:rPr>
          <w:sz w:val="24"/>
          <w:szCs w:val="24"/>
        </w:rPr>
        <w:t xml:space="preserve">, </w:t>
      </w:r>
      <w:r w:rsidR="005F5774" w:rsidRPr="00A157C1">
        <w:rPr>
          <w:sz w:val="24"/>
          <w:szCs w:val="24"/>
        </w:rPr>
        <w:t xml:space="preserve">allowing </w:t>
      </w:r>
      <w:r w:rsidR="00F84CC0" w:rsidRPr="00A157C1">
        <w:rPr>
          <w:sz w:val="24"/>
          <w:szCs w:val="24"/>
        </w:rPr>
        <w:t>online in-play betting</w:t>
      </w:r>
      <w:r w:rsidR="00CE02AB">
        <w:rPr>
          <w:sz w:val="24"/>
          <w:szCs w:val="24"/>
        </w:rPr>
        <w:t xml:space="preserve"> in Australia</w:t>
      </w:r>
      <w:r w:rsidR="009E47F2">
        <w:rPr>
          <w:sz w:val="24"/>
          <w:szCs w:val="24"/>
        </w:rPr>
        <w:t xml:space="preserve"> (i.e. ‘platform neutrality’)</w:t>
      </w:r>
      <w:r w:rsidR="003E7658" w:rsidRPr="00A157C1">
        <w:rPr>
          <w:sz w:val="24"/>
          <w:szCs w:val="24"/>
        </w:rPr>
        <w:t xml:space="preserve"> i</w:t>
      </w:r>
      <w:r w:rsidR="00F84CC0" w:rsidRPr="00A157C1">
        <w:rPr>
          <w:sz w:val="24"/>
          <w:szCs w:val="24"/>
        </w:rPr>
        <w:t>s likely</w:t>
      </w:r>
      <w:r w:rsidR="00E2347B">
        <w:rPr>
          <w:sz w:val="24"/>
          <w:szCs w:val="24"/>
        </w:rPr>
        <w:t xml:space="preserve"> to attract </w:t>
      </w:r>
      <w:r w:rsidR="00636991" w:rsidRPr="00A157C1">
        <w:rPr>
          <w:sz w:val="24"/>
          <w:szCs w:val="24"/>
        </w:rPr>
        <w:t>significantly increase</w:t>
      </w:r>
      <w:r w:rsidR="00DF662B" w:rsidRPr="00A157C1">
        <w:rPr>
          <w:sz w:val="24"/>
          <w:szCs w:val="24"/>
        </w:rPr>
        <w:t>d</w:t>
      </w:r>
      <w:r w:rsidR="00636991" w:rsidRPr="00A157C1">
        <w:rPr>
          <w:sz w:val="24"/>
          <w:szCs w:val="24"/>
        </w:rPr>
        <w:t xml:space="preserve"> turnover</w:t>
      </w:r>
      <w:r w:rsidR="00E2347B">
        <w:rPr>
          <w:sz w:val="24"/>
          <w:szCs w:val="24"/>
        </w:rPr>
        <w:t xml:space="preserve">, </w:t>
      </w:r>
      <w:r w:rsidR="00CE02AB">
        <w:rPr>
          <w:sz w:val="24"/>
          <w:szCs w:val="24"/>
        </w:rPr>
        <w:t>which, in the absence</w:t>
      </w:r>
      <w:r w:rsidR="009E47F2">
        <w:rPr>
          <w:sz w:val="24"/>
          <w:szCs w:val="24"/>
        </w:rPr>
        <w:t xml:space="preserve"> </w:t>
      </w:r>
      <w:r w:rsidR="00CE02AB">
        <w:rPr>
          <w:sz w:val="24"/>
          <w:szCs w:val="24"/>
        </w:rPr>
        <w:t xml:space="preserve">of other measures, has potentially significant </w:t>
      </w:r>
      <w:r w:rsidR="00E2347B">
        <w:rPr>
          <w:sz w:val="24"/>
          <w:szCs w:val="24"/>
        </w:rPr>
        <w:t xml:space="preserve">integrity ramifications.  </w:t>
      </w:r>
      <w:r w:rsidR="00DD3031">
        <w:rPr>
          <w:sz w:val="24"/>
          <w:szCs w:val="24"/>
        </w:rPr>
        <w:t>O</w:t>
      </w:r>
      <w:r w:rsidR="00E2347B">
        <w:rPr>
          <w:sz w:val="24"/>
          <w:szCs w:val="24"/>
        </w:rPr>
        <w:t xml:space="preserve">verseas wagering </w:t>
      </w:r>
      <w:r w:rsidR="00DD3031">
        <w:rPr>
          <w:sz w:val="24"/>
          <w:szCs w:val="24"/>
        </w:rPr>
        <w:t>experience</w:t>
      </w:r>
      <w:r w:rsidR="00E2347B">
        <w:rPr>
          <w:sz w:val="24"/>
          <w:szCs w:val="24"/>
        </w:rPr>
        <w:t xml:space="preserve"> is</w:t>
      </w:r>
      <w:r>
        <w:rPr>
          <w:sz w:val="24"/>
          <w:szCs w:val="24"/>
        </w:rPr>
        <w:t xml:space="preserve"> that</w:t>
      </w:r>
      <w:r w:rsidR="00E2347B">
        <w:rPr>
          <w:sz w:val="24"/>
          <w:szCs w:val="24"/>
        </w:rPr>
        <w:t xml:space="preserve"> </w:t>
      </w:r>
      <w:r w:rsidR="009E47F2">
        <w:rPr>
          <w:sz w:val="24"/>
          <w:szCs w:val="24"/>
        </w:rPr>
        <w:t xml:space="preserve">online </w:t>
      </w:r>
      <w:r w:rsidR="00E2347B">
        <w:rPr>
          <w:sz w:val="24"/>
          <w:szCs w:val="24"/>
        </w:rPr>
        <w:t xml:space="preserve">in-play </w:t>
      </w:r>
      <w:r w:rsidR="00DD3031">
        <w:rPr>
          <w:sz w:val="24"/>
          <w:szCs w:val="24"/>
        </w:rPr>
        <w:t>gambling</w:t>
      </w:r>
      <w:r w:rsidR="00E2347B">
        <w:rPr>
          <w:sz w:val="24"/>
          <w:szCs w:val="24"/>
        </w:rPr>
        <w:t xml:space="preserve"> is a very popular form of </w:t>
      </w:r>
      <w:r w:rsidR="00DD3031">
        <w:rPr>
          <w:sz w:val="24"/>
          <w:szCs w:val="24"/>
        </w:rPr>
        <w:t xml:space="preserve">sports </w:t>
      </w:r>
      <w:r w:rsidR="00E2347B">
        <w:rPr>
          <w:sz w:val="24"/>
          <w:szCs w:val="24"/>
        </w:rPr>
        <w:t>wagering</w:t>
      </w:r>
      <w:r w:rsidR="00DD3031">
        <w:rPr>
          <w:sz w:val="24"/>
          <w:szCs w:val="24"/>
        </w:rPr>
        <w:t>,</w:t>
      </w:r>
      <w:r w:rsidR="00E2347B">
        <w:rPr>
          <w:sz w:val="24"/>
          <w:szCs w:val="24"/>
        </w:rPr>
        <w:t xml:space="preserve"> </w:t>
      </w:r>
      <w:r w:rsidR="009E47F2">
        <w:rPr>
          <w:sz w:val="24"/>
          <w:szCs w:val="24"/>
        </w:rPr>
        <w:t xml:space="preserve">and </w:t>
      </w:r>
      <w:r w:rsidR="00DD3031">
        <w:rPr>
          <w:sz w:val="24"/>
          <w:szCs w:val="24"/>
        </w:rPr>
        <w:t>likely to have high uptake in the Australian market</w:t>
      </w:r>
      <w:r w:rsidR="009E47F2">
        <w:rPr>
          <w:sz w:val="24"/>
          <w:szCs w:val="24"/>
        </w:rPr>
        <w:t xml:space="preserve"> if permitted</w:t>
      </w:r>
      <w:r w:rsidR="00C53B66">
        <w:rPr>
          <w:sz w:val="24"/>
          <w:szCs w:val="24"/>
        </w:rPr>
        <w:t>.</w:t>
      </w:r>
    </w:p>
    <w:p w:rsidR="00966B69" w:rsidRDefault="00966B69" w:rsidP="00B81DAF">
      <w:pPr>
        <w:spacing w:line="240" w:lineRule="auto"/>
        <w:rPr>
          <w:sz w:val="24"/>
          <w:szCs w:val="24"/>
        </w:rPr>
      </w:pPr>
      <w:r>
        <w:rPr>
          <w:sz w:val="24"/>
          <w:szCs w:val="24"/>
        </w:rPr>
        <w:t>A</w:t>
      </w:r>
      <w:r w:rsidR="009E47F2">
        <w:rPr>
          <w:sz w:val="24"/>
          <w:szCs w:val="24"/>
        </w:rPr>
        <w:t xml:space="preserve">ny move to permit online in-play wagering </w:t>
      </w:r>
      <w:r>
        <w:rPr>
          <w:sz w:val="24"/>
          <w:szCs w:val="24"/>
        </w:rPr>
        <w:t>is likely to increase the risks to sports integrity and to consumers, but could offer revenue</w:t>
      </w:r>
      <w:r w:rsidR="00AC257D">
        <w:rPr>
          <w:sz w:val="24"/>
          <w:szCs w:val="24"/>
        </w:rPr>
        <w:t>-</w:t>
      </w:r>
      <w:r>
        <w:rPr>
          <w:sz w:val="24"/>
          <w:szCs w:val="24"/>
        </w:rPr>
        <w:t>raising opportunities to address those risks.</w:t>
      </w:r>
    </w:p>
    <w:p w:rsidR="00BD4242" w:rsidRPr="00A157C1" w:rsidRDefault="00BD4242" w:rsidP="00B81DAF">
      <w:pPr>
        <w:spacing w:line="240" w:lineRule="auto"/>
        <w:rPr>
          <w:b/>
          <w:color w:val="4F81BD" w:themeColor="accent1"/>
          <w:sz w:val="24"/>
          <w:szCs w:val="24"/>
          <w:u w:val="single"/>
        </w:rPr>
      </w:pPr>
      <w:r w:rsidRPr="00A157C1">
        <w:rPr>
          <w:b/>
          <w:color w:val="4F81BD" w:themeColor="accent1"/>
          <w:sz w:val="24"/>
          <w:szCs w:val="24"/>
          <w:u w:val="single"/>
        </w:rPr>
        <w:t xml:space="preserve">Strengthened Sports </w:t>
      </w:r>
      <w:r w:rsidR="007D29CF">
        <w:rPr>
          <w:b/>
          <w:color w:val="4F81BD" w:themeColor="accent1"/>
          <w:sz w:val="24"/>
          <w:szCs w:val="24"/>
          <w:u w:val="single"/>
        </w:rPr>
        <w:t>Corruption Detection</w:t>
      </w:r>
    </w:p>
    <w:p w:rsidR="00046C7D" w:rsidRDefault="006D1FFA" w:rsidP="00B81DAF">
      <w:pPr>
        <w:spacing w:line="240" w:lineRule="auto"/>
        <w:rPr>
          <w:sz w:val="24"/>
          <w:szCs w:val="24"/>
        </w:rPr>
      </w:pPr>
      <w:r>
        <w:rPr>
          <w:sz w:val="24"/>
          <w:szCs w:val="24"/>
        </w:rPr>
        <w:t>C</w:t>
      </w:r>
      <w:r w:rsidR="00B52628" w:rsidRPr="00A157C1">
        <w:rPr>
          <w:sz w:val="24"/>
          <w:szCs w:val="24"/>
        </w:rPr>
        <w:t xml:space="preserve">urrent </w:t>
      </w:r>
      <w:r w:rsidR="007D29CF">
        <w:rPr>
          <w:sz w:val="24"/>
          <w:szCs w:val="24"/>
        </w:rPr>
        <w:t xml:space="preserve">national </w:t>
      </w:r>
      <w:r w:rsidR="009E47F2">
        <w:rPr>
          <w:sz w:val="24"/>
          <w:szCs w:val="24"/>
        </w:rPr>
        <w:t xml:space="preserve">sports </w:t>
      </w:r>
      <w:r w:rsidR="00B52628" w:rsidRPr="00A157C1">
        <w:rPr>
          <w:sz w:val="24"/>
          <w:szCs w:val="24"/>
        </w:rPr>
        <w:t xml:space="preserve">bet monitoring </w:t>
      </w:r>
      <w:r w:rsidR="009E47F2">
        <w:rPr>
          <w:sz w:val="24"/>
          <w:szCs w:val="24"/>
        </w:rPr>
        <w:t xml:space="preserve">efforts </w:t>
      </w:r>
      <w:r>
        <w:rPr>
          <w:sz w:val="24"/>
          <w:szCs w:val="24"/>
        </w:rPr>
        <w:t xml:space="preserve">in Australia are </w:t>
      </w:r>
      <w:r w:rsidR="009E47F2">
        <w:rPr>
          <w:sz w:val="24"/>
          <w:szCs w:val="24"/>
        </w:rPr>
        <w:t xml:space="preserve">inconsistent </w:t>
      </w:r>
      <w:r>
        <w:rPr>
          <w:sz w:val="24"/>
          <w:szCs w:val="24"/>
        </w:rPr>
        <w:t>in the face of</w:t>
      </w:r>
      <w:r w:rsidR="009E47F2">
        <w:rPr>
          <w:sz w:val="24"/>
          <w:szCs w:val="24"/>
        </w:rPr>
        <w:t xml:space="preserve"> modern </w:t>
      </w:r>
      <w:r w:rsidR="00EC0A4D">
        <w:rPr>
          <w:sz w:val="24"/>
          <w:szCs w:val="24"/>
        </w:rPr>
        <w:t xml:space="preserve">global </w:t>
      </w:r>
      <w:r w:rsidR="009E47F2">
        <w:rPr>
          <w:sz w:val="24"/>
          <w:szCs w:val="24"/>
        </w:rPr>
        <w:t>match-fixing threat</w:t>
      </w:r>
      <w:r w:rsidR="007D29CF">
        <w:rPr>
          <w:sz w:val="24"/>
          <w:szCs w:val="24"/>
        </w:rPr>
        <w:t>s</w:t>
      </w:r>
      <w:r w:rsidR="009E47F2">
        <w:rPr>
          <w:sz w:val="24"/>
          <w:szCs w:val="24"/>
        </w:rPr>
        <w:t>.</w:t>
      </w:r>
      <w:r w:rsidR="007D29CF">
        <w:rPr>
          <w:sz w:val="24"/>
          <w:szCs w:val="24"/>
        </w:rPr>
        <w:t xml:space="preserve"> </w:t>
      </w:r>
      <w:r w:rsidR="00EA3EC9">
        <w:rPr>
          <w:sz w:val="24"/>
          <w:szCs w:val="24"/>
        </w:rPr>
        <w:t xml:space="preserve"> Betting operators are regulated by differing requirements in states and territories, primarily through diverse licensing </w:t>
      </w:r>
      <w:r w:rsidR="00EC0A4D">
        <w:rPr>
          <w:sz w:val="24"/>
          <w:szCs w:val="24"/>
        </w:rPr>
        <w:t>conditions</w:t>
      </w:r>
      <w:r w:rsidR="00EA3EC9">
        <w:rPr>
          <w:sz w:val="24"/>
          <w:szCs w:val="24"/>
        </w:rPr>
        <w:t>.  While wagering anomalies detected by operators</w:t>
      </w:r>
      <w:r w:rsidR="007D29CF">
        <w:rPr>
          <w:sz w:val="24"/>
          <w:szCs w:val="24"/>
        </w:rPr>
        <w:t xml:space="preserve"> </w:t>
      </w:r>
      <w:r w:rsidR="003E4E62">
        <w:rPr>
          <w:sz w:val="24"/>
          <w:szCs w:val="24"/>
        </w:rPr>
        <w:t>may be</w:t>
      </w:r>
      <w:r w:rsidR="00EA3EC9">
        <w:rPr>
          <w:sz w:val="24"/>
          <w:szCs w:val="24"/>
        </w:rPr>
        <w:t xml:space="preserve"> provided directly to sports and/or to law enforcement on a case-by-case basis, the system remains disaggregated and discretionary, lacks consiste</w:t>
      </w:r>
      <w:r w:rsidR="003E4E62">
        <w:rPr>
          <w:sz w:val="24"/>
          <w:szCs w:val="24"/>
        </w:rPr>
        <w:t>ncy in data accumulation and analysis, and is subject to selective or inconsistent integrity responses.</w:t>
      </w:r>
    </w:p>
    <w:p w:rsidR="00EA3EC9" w:rsidRDefault="007D29CF" w:rsidP="00B81DAF">
      <w:pPr>
        <w:spacing w:line="240" w:lineRule="auto"/>
        <w:rPr>
          <w:sz w:val="24"/>
          <w:szCs w:val="24"/>
        </w:rPr>
      </w:pPr>
      <w:r>
        <w:rPr>
          <w:sz w:val="24"/>
          <w:szCs w:val="24"/>
        </w:rPr>
        <w:t xml:space="preserve">While </w:t>
      </w:r>
      <w:r w:rsidR="00AC257D">
        <w:rPr>
          <w:sz w:val="24"/>
          <w:szCs w:val="24"/>
        </w:rPr>
        <w:t>a limited number of</w:t>
      </w:r>
      <w:r w:rsidR="00EA3EC9">
        <w:rPr>
          <w:sz w:val="24"/>
          <w:szCs w:val="24"/>
        </w:rPr>
        <w:t xml:space="preserve"> </w:t>
      </w:r>
      <w:r>
        <w:rPr>
          <w:sz w:val="24"/>
          <w:szCs w:val="24"/>
        </w:rPr>
        <w:t xml:space="preserve">individual </w:t>
      </w:r>
      <w:r w:rsidR="003E4E62">
        <w:rPr>
          <w:sz w:val="24"/>
          <w:szCs w:val="24"/>
        </w:rPr>
        <w:t xml:space="preserve">Australian </w:t>
      </w:r>
      <w:r>
        <w:rPr>
          <w:sz w:val="24"/>
          <w:szCs w:val="24"/>
        </w:rPr>
        <w:t xml:space="preserve">sports </w:t>
      </w:r>
      <w:r w:rsidR="006D1FFA">
        <w:rPr>
          <w:sz w:val="24"/>
          <w:szCs w:val="24"/>
        </w:rPr>
        <w:t>subscribe</w:t>
      </w:r>
      <w:r w:rsidR="00EA3EC9">
        <w:rPr>
          <w:sz w:val="24"/>
          <w:szCs w:val="24"/>
        </w:rPr>
        <w:t xml:space="preserve"> to commercial bet monitoring services, </w:t>
      </w:r>
      <w:r w:rsidR="003E4E62">
        <w:rPr>
          <w:sz w:val="24"/>
          <w:szCs w:val="24"/>
        </w:rPr>
        <w:t xml:space="preserve">such </w:t>
      </w:r>
      <w:r w:rsidR="00EA3EC9">
        <w:rPr>
          <w:sz w:val="24"/>
          <w:szCs w:val="24"/>
        </w:rPr>
        <w:t xml:space="preserve">coverage is costly, incomplete across codes, and </w:t>
      </w:r>
      <w:r w:rsidR="00AC257D">
        <w:rPr>
          <w:sz w:val="24"/>
          <w:szCs w:val="24"/>
        </w:rPr>
        <w:t>inconsistent</w:t>
      </w:r>
      <w:r w:rsidR="00EA3EC9">
        <w:rPr>
          <w:sz w:val="24"/>
          <w:szCs w:val="24"/>
        </w:rPr>
        <w:t xml:space="preserve"> across tiers within codes.  </w:t>
      </w:r>
      <w:r w:rsidR="00C50437" w:rsidRPr="00A157C1">
        <w:rPr>
          <w:sz w:val="24"/>
          <w:szCs w:val="24"/>
        </w:rPr>
        <w:t xml:space="preserve">Australia’s federated </w:t>
      </w:r>
      <w:r w:rsidR="00C50437">
        <w:rPr>
          <w:sz w:val="24"/>
          <w:szCs w:val="24"/>
        </w:rPr>
        <w:t>administration arrangements pose</w:t>
      </w:r>
      <w:r w:rsidR="00C50437" w:rsidRPr="00A157C1">
        <w:rPr>
          <w:sz w:val="24"/>
          <w:szCs w:val="24"/>
        </w:rPr>
        <w:t xml:space="preserve"> significant challenges in </w:t>
      </w:r>
      <w:r w:rsidR="00C50437">
        <w:rPr>
          <w:sz w:val="24"/>
          <w:szCs w:val="24"/>
        </w:rPr>
        <w:t>achieving</w:t>
      </w:r>
      <w:r w:rsidR="00C50437" w:rsidRPr="00A157C1">
        <w:rPr>
          <w:sz w:val="24"/>
          <w:szCs w:val="24"/>
        </w:rPr>
        <w:t xml:space="preserve"> consistent integrity measures</w:t>
      </w:r>
      <w:r w:rsidR="00C50437">
        <w:rPr>
          <w:sz w:val="24"/>
          <w:szCs w:val="24"/>
        </w:rPr>
        <w:t xml:space="preserve">, and solutions must be found to optimise a </w:t>
      </w:r>
      <w:r w:rsidR="00AC257D">
        <w:rPr>
          <w:sz w:val="24"/>
          <w:szCs w:val="24"/>
        </w:rPr>
        <w:t xml:space="preserve">truly </w:t>
      </w:r>
      <w:r w:rsidR="00C50437">
        <w:rPr>
          <w:sz w:val="24"/>
          <w:szCs w:val="24"/>
        </w:rPr>
        <w:t>national integrity response.</w:t>
      </w:r>
    </w:p>
    <w:p w:rsidR="007672FF" w:rsidRDefault="006D1FFA" w:rsidP="008A22DA">
      <w:pPr>
        <w:spacing w:line="240" w:lineRule="auto"/>
        <w:rPr>
          <w:sz w:val="24"/>
          <w:szCs w:val="24"/>
        </w:rPr>
      </w:pPr>
      <w:r>
        <w:rPr>
          <w:sz w:val="24"/>
          <w:szCs w:val="24"/>
        </w:rPr>
        <w:t>Many countries in Europe have moved</w:t>
      </w:r>
      <w:r w:rsidR="00AC257D">
        <w:rPr>
          <w:sz w:val="24"/>
          <w:szCs w:val="24"/>
        </w:rPr>
        <w:t>,</w:t>
      </w:r>
      <w:r>
        <w:rPr>
          <w:sz w:val="24"/>
          <w:szCs w:val="24"/>
        </w:rPr>
        <w:t xml:space="preserve"> or are moving</w:t>
      </w:r>
      <w:r w:rsidR="003E4E62">
        <w:rPr>
          <w:sz w:val="24"/>
          <w:szCs w:val="24"/>
        </w:rPr>
        <w:t xml:space="preserve"> to</w:t>
      </w:r>
      <w:r w:rsidR="00AC257D">
        <w:rPr>
          <w:sz w:val="24"/>
          <w:szCs w:val="24"/>
        </w:rPr>
        <w:t>,</w:t>
      </w:r>
      <w:r w:rsidR="003E4E62">
        <w:rPr>
          <w:sz w:val="24"/>
          <w:szCs w:val="24"/>
        </w:rPr>
        <w:t xml:space="preserve"> centralise and streamline wagering regulation </w:t>
      </w:r>
      <w:r w:rsidR="00046C7D">
        <w:rPr>
          <w:sz w:val="24"/>
          <w:szCs w:val="24"/>
        </w:rPr>
        <w:t xml:space="preserve">and </w:t>
      </w:r>
      <w:r w:rsidR="003E4E62">
        <w:rPr>
          <w:sz w:val="24"/>
          <w:szCs w:val="24"/>
        </w:rPr>
        <w:t>monitoring.  Additionally, sports mov</w:t>
      </w:r>
      <w:r w:rsidR="008A3466">
        <w:rPr>
          <w:sz w:val="24"/>
          <w:szCs w:val="24"/>
        </w:rPr>
        <w:t>e</w:t>
      </w:r>
      <w:r w:rsidR="003E4E62">
        <w:rPr>
          <w:sz w:val="24"/>
          <w:szCs w:val="24"/>
        </w:rPr>
        <w:t xml:space="preserve">ments including </w:t>
      </w:r>
      <w:r w:rsidR="008A22DA" w:rsidRPr="00A157C1">
        <w:rPr>
          <w:sz w:val="24"/>
          <w:szCs w:val="24"/>
        </w:rPr>
        <w:t xml:space="preserve">the International Olympic Committee </w:t>
      </w:r>
      <w:r w:rsidR="003E4E62">
        <w:rPr>
          <w:sz w:val="24"/>
          <w:szCs w:val="24"/>
        </w:rPr>
        <w:t>have</w:t>
      </w:r>
      <w:r w:rsidR="008A22DA" w:rsidRPr="00A157C1">
        <w:rPr>
          <w:sz w:val="24"/>
          <w:szCs w:val="24"/>
        </w:rPr>
        <w:t xml:space="preserve"> established </w:t>
      </w:r>
      <w:r w:rsidR="003E4E62">
        <w:rPr>
          <w:sz w:val="24"/>
          <w:szCs w:val="24"/>
        </w:rPr>
        <w:t xml:space="preserve">dedicated </w:t>
      </w:r>
      <w:r w:rsidR="008A22DA" w:rsidRPr="00A157C1">
        <w:rPr>
          <w:sz w:val="24"/>
          <w:szCs w:val="24"/>
        </w:rPr>
        <w:t xml:space="preserve">sports betting monitoring </w:t>
      </w:r>
      <w:r w:rsidR="003E4E62">
        <w:rPr>
          <w:sz w:val="24"/>
          <w:szCs w:val="24"/>
        </w:rPr>
        <w:t>and integrity alert systems</w:t>
      </w:r>
      <w:r w:rsidR="008A22DA" w:rsidRPr="00A157C1">
        <w:rPr>
          <w:sz w:val="24"/>
          <w:szCs w:val="24"/>
        </w:rPr>
        <w:t>.</w:t>
      </w:r>
      <w:r w:rsidRPr="006D1FFA">
        <w:rPr>
          <w:sz w:val="24"/>
          <w:szCs w:val="24"/>
        </w:rPr>
        <w:t xml:space="preserve"> </w:t>
      </w:r>
      <w:r w:rsidR="00AC257D">
        <w:rPr>
          <w:sz w:val="24"/>
          <w:szCs w:val="24"/>
        </w:rPr>
        <w:t xml:space="preserve"> </w:t>
      </w:r>
      <w:r>
        <w:rPr>
          <w:sz w:val="24"/>
          <w:szCs w:val="24"/>
        </w:rPr>
        <w:t>I</w:t>
      </w:r>
      <w:r w:rsidRPr="00A157C1">
        <w:rPr>
          <w:sz w:val="24"/>
          <w:szCs w:val="24"/>
        </w:rPr>
        <w:t xml:space="preserve">nternational </w:t>
      </w:r>
      <w:r>
        <w:rPr>
          <w:sz w:val="24"/>
          <w:szCs w:val="24"/>
        </w:rPr>
        <w:t>examples of centralised betting integrity capabilities exist in</w:t>
      </w:r>
      <w:r w:rsidRPr="00A157C1">
        <w:rPr>
          <w:sz w:val="24"/>
          <w:szCs w:val="24"/>
        </w:rPr>
        <w:t xml:space="preserve"> </w:t>
      </w:r>
      <w:r>
        <w:rPr>
          <w:sz w:val="24"/>
          <w:szCs w:val="24"/>
        </w:rPr>
        <w:t>the United Kingdom</w:t>
      </w:r>
      <w:r w:rsidRPr="00A157C1">
        <w:rPr>
          <w:sz w:val="24"/>
          <w:szCs w:val="24"/>
        </w:rPr>
        <w:t xml:space="preserve"> </w:t>
      </w:r>
      <w:r>
        <w:rPr>
          <w:sz w:val="24"/>
          <w:szCs w:val="24"/>
        </w:rPr>
        <w:t xml:space="preserve">(the United Kingdom </w:t>
      </w:r>
      <w:r w:rsidRPr="00A157C1">
        <w:rPr>
          <w:sz w:val="24"/>
          <w:szCs w:val="24"/>
        </w:rPr>
        <w:t>Gambling Commission</w:t>
      </w:r>
      <w:r>
        <w:rPr>
          <w:sz w:val="24"/>
          <w:szCs w:val="24"/>
        </w:rPr>
        <w:t>) and France (</w:t>
      </w:r>
      <w:r w:rsidRPr="00A157C1">
        <w:rPr>
          <w:sz w:val="24"/>
          <w:szCs w:val="24"/>
        </w:rPr>
        <w:t xml:space="preserve">the French </w:t>
      </w:r>
      <w:r>
        <w:rPr>
          <w:sz w:val="24"/>
          <w:szCs w:val="24"/>
        </w:rPr>
        <w:t>online gaming regulatory authority ARJEL).</w:t>
      </w:r>
    </w:p>
    <w:p w:rsidR="008A22DA" w:rsidRPr="00A157C1" w:rsidRDefault="00C50437" w:rsidP="008A22DA">
      <w:pPr>
        <w:spacing w:line="240" w:lineRule="auto"/>
        <w:rPr>
          <w:sz w:val="24"/>
          <w:szCs w:val="24"/>
        </w:rPr>
      </w:pPr>
      <w:r>
        <w:rPr>
          <w:sz w:val="24"/>
          <w:szCs w:val="24"/>
        </w:rPr>
        <w:t>In September 2014</w:t>
      </w:r>
      <w:r w:rsidR="00FE5C85">
        <w:rPr>
          <w:sz w:val="24"/>
          <w:szCs w:val="24"/>
        </w:rPr>
        <w:t>,</w:t>
      </w:r>
      <w:r>
        <w:rPr>
          <w:sz w:val="24"/>
          <w:szCs w:val="24"/>
        </w:rPr>
        <w:t xml:space="preserve"> the Council of Europe </w:t>
      </w:r>
      <w:r w:rsidR="000448BD">
        <w:rPr>
          <w:sz w:val="24"/>
          <w:szCs w:val="24"/>
        </w:rPr>
        <w:t xml:space="preserve">finalised </w:t>
      </w:r>
      <w:r>
        <w:rPr>
          <w:sz w:val="24"/>
          <w:szCs w:val="24"/>
        </w:rPr>
        <w:t xml:space="preserve">the </w:t>
      </w:r>
      <w:r w:rsidRPr="00C50437">
        <w:rPr>
          <w:i/>
          <w:sz w:val="24"/>
          <w:szCs w:val="24"/>
        </w:rPr>
        <w:t>Convention on the Manipulation of Sports Competitions</w:t>
      </w:r>
      <w:r>
        <w:rPr>
          <w:sz w:val="24"/>
          <w:szCs w:val="24"/>
        </w:rPr>
        <w:t xml:space="preserve">, now known as the </w:t>
      </w:r>
      <w:r w:rsidRPr="00C50437">
        <w:rPr>
          <w:i/>
          <w:sz w:val="24"/>
          <w:szCs w:val="24"/>
        </w:rPr>
        <w:t>Macolin Convention</w:t>
      </w:r>
      <w:r>
        <w:rPr>
          <w:sz w:val="24"/>
          <w:szCs w:val="24"/>
        </w:rPr>
        <w:t>.  The Convention promotes a consistent and united approach to combating match-fixing in Europe, but non-European states are able and indeed encouraged to become signatories</w:t>
      </w:r>
      <w:r w:rsidR="00AC257D">
        <w:rPr>
          <w:sz w:val="24"/>
          <w:szCs w:val="24"/>
        </w:rPr>
        <w:t>,</w:t>
      </w:r>
      <w:r>
        <w:rPr>
          <w:sz w:val="24"/>
          <w:szCs w:val="24"/>
        </w:rPr>
        <w:t xml:space="preserve"> to promote an internationally harmonised approach to defeating match-fixing.  A very similar approach was experienced in anti-doping, with the Council of Europe </w:t>
      </w:r>
      <w:r w:rsidR="00046C7D" w:rsidRPr="00046C7D">
        <w:rPr>
          <w:i/>
          <w:sz w:val="24"/>
          <w:szCs w:val="24"/>
        </w:rPr>
        <w:t>C</w:t>
      </w:r>
      <w:r w:rsidRPr="00046C7D">
        <w:rPr>
          <w:i/>
          <w:sz w:val="24"/>
          <w:szCs w:val="24"/>
        </w:rPr>
        <w:t xml:space="preserve">onvention on </w:t>
      </w:r>
      <w:r w:rsidR="00046C7D" w:rsidRPr="00046C7D">
        <w:rPr>
          <w:i/>
          <w:sz w:val="24"/>
          <w:szCs w:val="24"/>
        </w:rPr>
        <w:t>Anti</w:t>
      </w:r>
      <w:r w:rsidR="00046C7D" w:rsidRPr="00046C7D">
        <w:rPr>
          <w:i/>
          <w:sz w:val="24"/>
          <w:szCs w:val="24"/>
        </w:rPr>
        <w:noBreakHyphen/>
        <w:t>Doping</w:t>
      </w:r>
      <w:r w:rsidR="00046C7D">
        <w:rPr>
          <w:sz w:val="24"/>
          <w:szCs w:val="24"/>
        </w:rPr>
        <w:t xml:space="preserve"> </w:t>
      </w:r>
      <w:r>
        <w:rPr>
          <w:sz w:val="24"/>
          <w:szCs w:val="24"/>
        </w:rPr>
        <w:t xml:space="preserve">a forerunner to the UNESCO </w:t>
      </w:r>
      <w:r w:rsidRPr="00C50437">
        <w:rPr>
          <w:i/>
          <w:sz w:val="24"/>
          <w:szCs w:val="24"/>
        </w:rPr>
        <w:t>International</w:t>
      </w:r>
      <w:r>
        <w:rPr>
          <w:i/>
          <w:sz w:val="24"/>
          <w:szCs w:val="24"/>
        </w:rPr>
        <w:t xml:space="preserve"> Convention Against D</w:t>
      </w:r>
      <w:r w:rsidRPr="00C50437">
        <w:rPr>
          <w:i/>
          <w:sz w:val="24"/>
          <w:szCs w:val="24"/>
        </w:rPr>
        <w:t>oping in Sport</w:t>
      </w:r>
      <w:r>
        <w:rPr>
          <w:sz w:val="24"/>
          <w:szCs w:val="24"/>
        </w:rPr>
        <w:t>, adopted in 2006.</w:t>
      </w:r>
    </w:p>
    <w:sectPr w:rsidR="008A22DA" w:rsidRPr="00A157C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05" w:rsidRDefault="00C27D05" w:rsidP="00EF42B0">
      <w:pPr>
        <w:spacing w:after="0" w:line="240" w:lineRule="auto"/>
      </w:pPr>
      <w:r>
        <w:separator/>
      </w:r>
    </w:p>
  </w:endnote>
  <w:endnote w:type="continuationSeparator" w:id="0">
    <w:p w:rsidR="00C27D05" w:rsidRDefault="00C27D05" w:rsidP="00EF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Rounded Book">
    <w:altName w:val="Times New Roman"/>
    <w:charset w:val="00"/>
    <w:family w:val="auto"/>
    <w:pitch w:val="variable"/>
    <w:sig w:usb0="00000087"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70363"/>
      <w:docPartObj>
        <w:docPartGallery w:val="Page Numbers (Bottom of Page)"/>
        <w:docPartUnique/>
      </w:docPartObj>
    </w:sdtPr>
    <w:sdtEndPr>
      <w:rPr>
        <w:color w:val="808080" w:themeColor="background1" w:themeShade="80"/>
        <w:spacing w:val="60"/>
      </w:rPr>
    </w:sdtEndPr>
    <w:sdtContent>
      <w:p w:rsidR="007772CC" w:rsidRDefault="007772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57AF">
          <w:rPr>
            <w:noProof/>
          </w:rPr>
          <w:t>2</w:t>
        </w:r>
        <w:r>
          <w:rPr>
            <w:noProof/>
          </w:rPr>
          <w:fldChar w:fldCharType="end"/>
        </w:r>
        <w:r>
          <w:t xml:space="preserve"> | </w:t>
        </w:r>
        <w:r>
          <w:rPr>
            <w:color w:val="808080" w:themeColor="background1" w:themeShade="80"/>
            <w:spacing w:val="60"/>
          </w:rPr>
          <w:t>Page</w:t>
        </w:r>
      </w:p>
    </w:sdtContent>
  </w:sdt>
  <w:p w:rsidR="007772CC" w:rsidRDefault="0077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05" w:rsidRDefault="00C27D05" w:rsidP="00EF42B0">
      <w:pPr>
        <w:spacing w:after="0" w:line="240" w:lineRule="auto"/>
      </w:pPr>
      <w:r>
        <w:separator/>
      </w:r>
    </w:p>
  </w:footnote>
  <w:footnote w:type="continuationSeparator" w:id="0">
    <w:p w:rsidR="00C27D05" w:rsidRDefault="00C27D05" w:rsidP="00EF42B0">
      <w:pPr>
        <w:spacing w:after="0" w:line="240" w:lineRule="auto"/>
      </w:pPr>
      <w:r>
        <w:continuationSeparator/>
      </w:r>
    </w:p>
  </w:footnote>
  <w:footnote w:id="1">
    <w:p w:rsidR="004729A5" w:rsidRDefault="004729A5">
      <w:pPr>
        <w:pStyle w:val="FootnoteText"/>
      </w:pPr>
      <w:r>
        <w:rPr>
          <w:rStyle w:val="FootnoteReference"/>
        </w:rPr>
        <w:footnoteRef/>
      </w:r>
      <w:r>
        <w:t xml:space="preserve"> EUROPOL media release of 6 February 2013</w:t>
      </w:r>
    </w:p>
  </w:footnote>
  <w:footnote w:id="2">
    <w:p w:rsidR="00EB5E99" w:rsidRDefault="00EB5E99" w:rsidP="00EB5E99">
      <w:pPr>
        <w:pStyle w:val="FootnoteText"/>
      </w:pPr>
      <w:r>
        <w:rPr>
          <w:rStyle w:val="FootnoteReference"/>
        </w:rPr>
        <w:footnoteRef/>
      </w:r>
      <w:r>
        <w:t xml:space="preserve"> </w:t>
      </w:r>
      <w:r w:rsidRPr="00885CA3">
        <w:rPr>
          <w:i/>
        </w:rPr>
        <w:t>2013</w:t>
      </w:r>
      <w:r w:rsidR="00885CA3" w:rsidRPr="00885CA3">
        <w:rPr>
          <w:i/>
        </w:rPr>
        <w:t>-</w:t>
      </w:r>
      <w:r w:rsidRPr="00885CA3">
        <w:rPr>
          <w:i/>
        </w:rPr>
        <w:t>14 Australian Racing Fact Book</w:t>
      </w:r>
    </w:p>
  </w:footnote>
  <w:footnote w:id="3">
    <w:p w:rsidR="00EB5E99" w:rsidRDefault="00EB5E99" w:rsidP="00EB5E99">
      <w:pPr>
        <w:pStyle w:val="FootnoteText"/>
      </w:pPr>
      <w:r>
        <w:rPr>
          <w:rStyle w:val="FootnoteReference"/>
        </w:rPr>
        <w:footnoteRef/>
      </w:r>
      <w:r>
        <w:t xml:space="preserve"> Sportradar Security Services</w:t>
      </w:r>
      <w:r w:rsidR="007672FF">
        <w:t xml:space="preserve"> </w:t>
      </w:r>
      <w:r w:rsidR="00543EFF">
        <w:t>–</w:t>
      </w:r>
      <w:r>
        <w:t xml:space="preserve"> </w:t>
      </w:r>
      <w:r w:rsidR="00543EFF" w:rsidRPr="00543EFF">
        <w:rPr>
          <w:i/>
        </w:rPr>
        <w:t>NISU</w:t>
      </w:r>
      <w:r w:rsidR="00543EFF">
        <w:t xml:space="preserve"> </w:t>
      </w:r>
      <w:r w:rsidR="00157247">
        <w:rPr>
          <w:i/>
        </w:rPr>
        <w:t>Australian Football</w:t>
      </w:r>
      <w:r w:rsidRPr="00885CA3">
        <w:rPr>
          <w:i/>
        </w:rPr>
        <w:t xml:space="preserve"> Risk Assessment</w:t>
      </w:r>
    </w:p>
  </w:footnote>
  <w:footnote w:id="4">
    <w:p w:rsidR="00EB5E99" w:rsidRDefault="00EB5E99" w:rsidP="00EB5E99">
      <w:pPr>
        <w:pStyle w:val="FootnoteText"/>
      </w:pPr>
      <w:r>
        <w:rPr>
          <w:rStyle w:val="FootnoteReference"/>
        </w:rPr>
        <w:footnoteRef/>
      </w:r>
      <w:r>
        <w:t xml:space="preserve"> Sportradar Security Services</w:t>
      </w:r>
      <w:r w:rsidR="007672FF">
        <w:t xml:space="preserve"> </w:t>
      </w:r>
      <w:r w:rsidR="00543EFF">
        <w:t>–</w:t>
      </w:r>
      <w:r>
        <w:t xml:space="preserve"> </w:t>
      </w:r>
      <w:r w:rsidR="00543EFF" w:rsidRPr="00543EFF">
        <w:rPr>
          <w:i/>
        </w:rPr>
        <w:t xml:space="preserve">NISU </w:t>
      </w:r>
      <w:r w:rsidR="00157247">
        <w:rPr>
          <w:i/>
        </w:rPr>
        <w:t xml:space="preserve">Australian Rugby League </w:t>
      </w:r>
      <w:r w:rsidRPr="00885CA3">
        <w:rPr>
          <w:i/>
        </w:rPr>
        <w:t>Risk Assessment</w:t>
      </w:r>
    </w:p>
  </w:footnote>
  <w:footnote w:id="5">
    <w:p w:rsidR="00EB5E99" w:rsidRDefault="00EB5E99" w:rsidP="00EB5E99">
      <w:pPr>
        <w:pStyle w:val="FootnoteText"/>
      </w:pPr>
      <w:r>
        <w:rPr>
          <w:rStyle w:val="FootnoteReference"/>
        </w:rPr>
        <w:footnoteRef/>
      </w:r>
      <w:r>
        <w:t xml:space="preserve"> IBISWorld</w:t>
      </w:r>
      <w:r w:rsidR="007672FF">
        <w:t xml:space="preserve"> -</w:t>
      </w:r>
      <w:r>
        <w:t xml:space="preserve"> </w:t>
      </w:r>
      <w:r w:rsidRPr="00885CA3">
        <w:rPr>
          <w:i/>
        </w:rPr>
        <w:t>A Good Bet:  Growth in online gambling is attracting international bookmaker</w:t>
      </w:r>
      <w:r w:rsidR="00885CA3">
        <w:rPr>
          <w:i/>
        </w:rPr>
        <w:t>s</w:t>
      </w:r>
      <w:r>
        <w:t xml:space="preserve"> June 2014</w:t>
      </w:r>
    </w:p>
  </w:footnote>
  <w:footnote w:id="6">
    <w:p w:rsidR="00EB5E99" w:rsidRDefault="00EB5E99" w:rsidP="00EB5E99">
      <w:pPr>
        <w:pStyle w:val="FootnoteText"/>
      </w:pPr>
      <w:r>
        <w:rPr>
          <w:rStyle w:val="FootnoteReference"/>
        </w:rPr>
        <w:footnoteRef/>
      </w:r>
      <w:r>
        <w:t xml:space="preserve"> Tabcorp</w:t>
      </w:r>
      <w:r w:rsidR="00885CA3">
        <w:t xml:space="preserve"> -</w:t>
      </w:r>
      <w:r>
        <w:t xml:space="preserve"> </w:t>
      </w:r>
      <w:r w:rsidRPr="00885CA3">
        <w:rPr>
          <w:i/>
        </w:rPr>
        <w:t>2014 Concise Annual Report</w:t>
      </w:r>
    </w:p>
  </w:footnote>
  <w:footnote w:id="7">
    <w:p w:rsidR="00EB5E99" w:rsidRDefault="00EB5E99" w:rsidP="00EB5E99">
      <w:pPr>
        <w:pStyle w:val="FootnoteText"/>
      </w:pPr>
      <w:r>
        <w:rPr>
          <w:rStyle w:val="FootnoteReference"/>
        </w:rPr>
        <w:footnoteRef/>
      </w:r>
      <w:r>
        <w:t xml:space="preserve"> </w:t>
      </w:r>
      <w:r>
        <w:rPr>
          <w:lang w:val="en-US"/>
        </w:rPr>
        <w:t>Kalb Verschuuren</w:t>
      </w:r>
      <w:r w:rsidR="00885CA3">
        <w:rPr>
          <w:lang w:val="en-US"/>
        </w:rPr>
        <w:t xml:space="preserve"> - </w:t>
      </w:r>
      <w:r w:rsidRPr="00885CA3">
        <w:rPr>
          <w:i/>
          <w:lang w:val="en-US"/>
        </w:rPr>
        <w:t>Money laundering: the latest threat to sports betting</w:t>
      </w:r>
      <w:r>
        <w:rPr>
          <w:lang w:val="en-US"/>
        </w:rPr>
        <w:t>, IRIS</w:t>
      </w:r>
    </w:p>
  </w:footnote>
  <w:footnote w:id="8">
    <w:p w:rsidR="00AB3073" w:rsidRDefault="00AB3073">
      <w:pPr>
        <w:pStyle w:val="FootnoteText"/>
      </w:pPr>
      <w:r>
        <w:rPr>
          <w:rStyle w:val="FootnoteReference"/>
        </w:rPr>
        <w:footnoteRef/>
      </w:r>
      <w:r>
        <w:t xml:space="preserve"> Assessment provided by Hong Kong Jockey Club, Victorian Police Sports Integrity Symposium 2014 </w:t>
      </w:r>
    </w:p>
  </w:footnote>
  <w:footnote w:id="9">
    <w:p w:rsidR="007672FF" w:rsidRDefault="007672FF">
      <w:pPr>
        <w:pStyle w:val="FootnoteText"/>
      </w:pPr>
      <w:r>
        <w:rPr>
          <w:rStyle w:val="FootnoteReference"/>
        </w:rPr>
        <w:footnoteRef/>
      </w:r>
      <w:r>
        <w:t xml:space="preserve"> Sportradar Security Services – </w:t>
      </w:r>
      <w:r w:rsidR="00543EFF" w:rsidRPr="00157247">
        <w:rPr>
          <w:i/>
        </w:rPr>
        <w:t>NISU</w:t>
      </w:r>
      <w:r w:rsidR="00543EFF">
        <w:t xml:space="preserve"> </w:t>
      </w:r>
      <w:r w:rsidR="00157247">
        <w:rPr>
          <w:i/>
        </w:rPr>
        <w:t xml:space="preserve">Australian </w:t>
      </w:r>
      <w:r w:rsidR="00543EFF">
        <w:rPr>
          <w:i/>
        </w:rPr>
        <w:t>Soccer</w:t>
      </w:r>
      <w:r w:rsidRPr="00885CA3">
        <w:rPr>
          <w:i/>
        </w:rPr>
        <w:t xml:space="preserve"> Risk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9E" w:rsidRDefault="00D1589E" w:rsidP="00D1589E">
    <w:pPr>
      <w:pStyle w:val="Header"/>
      <w:jc w:val="center"/>
    </w:pPr>
    <w:bookmarkStart w:id="0" w:name="imageHolder"/>
    <w:bookmarkEnd w:id="0"/>
    <w:r w:rsidRPr="00D912DB">
      <w:rPr>
        <w:noProof/>
        <w:sz w:val="28"/>
        <w:szCs w:val="28"/>
        <w:lang w:eastAsia="en-AU"/>
      </w:rPr>
      <w:drawing>
        <wp:inline distT="0" distB="0" distL="0" distR="0" wp14:anchorId="0200D1E8" wp14:editId="748166DA">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1"/>
                  <a:stretch>
                    <a:fillRect/>
                  </a:stretch>
                </pic:blipFill>
                <pic:spPr>
                  <a:xfrm>
                    <a:off x="0" y="0"/>
                    <a:ext cx="1688400" cy="1119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0B" w:rsidRDefault="0016230B" w:rsidP="00D158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84320490"/>
    <w:styleLink w:val="BulletList"/>
    <w:lvl w:ilvl="0">
      <w:start w:val="1"/>
      <w:numFmt w:val="bullet"/>
      <w:pStyle w:val="1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574526"/>
    <w:multiLevelType w:val="hybridMultilevel"/>
    <w:tmpl w:val="A08828A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nsid w:val="13125BD1"/>
    <w:multiLevelType w:val="multilevel"/>
    <w:tmpl w:val="384E8C9C"/>
    <w:styleLink w:val="CABNETList"/>
    <w:lvl w:ilvl="0">
      <w:start w:val="1"/>
      <w:numFmt w:val="decimal"/>
      <w:lvlText w:val="%1."/>
      <w:lvlJc w:val="left"/>
      <w:pPr>
        <w:tabs>
          <w:tab w:val="num" w:pos="567"/>
        </w:tabs>
        <w:ind w:left="0" w:firstLine="0"/>
      </w:pPr>
      <w:rPr>
        <w:rFonts w:ascii="Verdana" w:hAnsi="Verdana"/>
        <w:sz w:val="22"/>
        <w:szCs w:val="24"/>
      </w:rPr>
    </w:lvl>
    <w:lvl w:ilvl="1">
      <w:start w:val="1"/>
      <w:numFmt w:val="lowerLetter"/>
      <w:lvlText w:val="(%2)"/>
      <w:lvlJc w:val="left"/>
      <w:pPr>
        <w:tabs>
          <w:tab w:val="num" w:pos="567"/>
        </w:tabs>
        <w:ind w:left="1134" w:hanging="567"/>
      </w:pPr>
      <w:rPr>
        <w:rFonts w:ascii="Verdana" w:hAnsi="Verdana" w:hint="default"/>
        <w:b w:val="0"/>
        <w:i w:val="0"/>
        <w:color w:val="auto"/>
        <w:sz w:val="22"/>
        <w:szCs w:val="24"/>
      </w:rPr>
    </w:lvl>
    <w:lvl w:ilvl="2">
      <w:start w:val="1"/>
      <w:numFmt w:val="lowerRoman"/>
      <w:lvlText w:val="(%3)"/>
      <w:lvlJc w:val="left"/>
      <w:pPr>
        <w:tabs>
          <w:tab w:val="num" w:pos="567"/>
        </w:tabs>
        <w:ind w:left="1701" w:hanging="567"/>
      </w:pPr>
      <w:rPr>
        <w:rFonts w:ascii="Verdana" w:hAnsi="Verdana" w:hint="default"/>
        <w:b w:val="0"/>
        <w:i w:val="0"/>
        <w:color w:val="auto"/>
        <w:sz w:val="22"/>
        <w:szCs w:val="24"/>
      </w:rPr>
    </w:lvl>
    <w:lvl w:ilvl="3">
      <w:start w:val="1"/>
      <w:numFmt w:val="upperLetter"/>
      <w:lvlText w:val="(%4)"/>
      <w:lvlJc w:val="left"/>
      <w:pPr>
        <w:tabs>
          <w:tab w:val="num" w:pos="567"/>
        </w:tabs>
        <w:ind w:left="2268" w:hanging="567"/>
      </w:pPr>
      <w:rPr>
        <w:rFonts w:ascii="Verdana" w:hAnsi="Verdana" w:hint="default"/>
        <w:b w:val="0"/>
        <w:i w:val="0"/>
        <w:color w:val="auto"/>
        <w:sz w:val="22"/>
        <w:szCs w:val="24"/>
      </w:rPr>
    </w:lvl>
    <w:lvl w:ilvl="4">
      <w:start w:val="1"/>
      <w:numFmt w:val="decimal"/>
      <w:lvlText w:val="(%5)"/>
      <w:lvlJc w:val="left"/>
      <w:pPr>
        <w:tabs>
          <w:tab w:val="num" w:pos="567"/>
        </w:tabs>
        <w:ind w:left="2835" w:hanging="567"/>
      </w:pPr>
      <w:rPr>
        <w:rFonts w:ascii="Verdana" w:hAnsi="Verdana" w:hint="default"/>
        <w:b w:val="0"/>
        <w:i w:val="0"/>
        <w:color w:val="auto"/>
        <w:sz w:val="22"/>
        <w:szCs w:val="24"/>
      </w:rPr>
    </w:lvl>
    <w:lvl w:ilvl="5">
      <w:start w:val="1"/>
      <w:numFmt w:val="none"/>
      <w:lvlText w:val="."/>
      <w:lvlJc w:val="left"/>
      <w:pPr>
        <w:tabs>
          <w:tab w:val="num" w:pos="567"/>
        </w:tabs>
        <w:ind w:left="3402" w:hanging="567"/>
      </w:pPr>
      <w:rPr>
        <w:rFonts w:ascii="Verdana" w:hAnsi="Verdana" w:hint="default"/>
        <w:b w:val="0"/>
        <w:i w:val="0"/>
        <w:color w:val="auto"/>
        <w:sz w:val="22"/>
        <w:szCs w:val="24"/>
      </w:rPr>
    </w:lvl>
    <w:lvl w:ilvl="6">
      <w:start w:val="1"/>
      <w:numFmt w:val="none"/>
      <w:lvlText w:val="%7."/>
      <w:lvlJc w:val="left"/>
      <w:pPr>
        <w:tabs>
          <w:tab w:val="num" w:pos="567"/>
        </w:tabs>
        <w:ind w:left="3969" w:hanging="567"/>
      </w:pPr>
      <w:rPr>
        <w:rFonts w:ascii="Verdana" w:hAnsi="Verdana" w:hint="default"/>
        <w:b w:val="0"/>
        <w:i w:val="0"/>
        <w:color w:val="auto"/>
        <w:sz w:val="22"/>
        <w:szCs w:val="24"/>
      </w:rPr>
    </w:lvl>
    <w:lvl w:ilvl="7">
      <w:start w:val="1"/>
      <w:numFmt w:val="none"/>
      <w:lvlText w:val="%8."/>
      <w:lvlJc w:val="left"/>
      <w:pPr>
        <w:tabs>
          <w:tab w:val="num" w:pos="567"/>
        </w:tabs>
        <w:ind w:left="4536" w:hanging="567"/>
      </w:pPr>
      <w:rPr>
        <w:rFonts w:ascii="Verdana" w:hAnsi="Verdana" w:hint="default"/>
        <w:b w:val="0"/>
        <w:i w:val="0"/>
        <w:color w:val="auto"/>
        <w:sz w:val="22"/>
        <w:szCs w:val="24"/>
      </w:rPr>
    </w:lvl>
    <w:lvl w:ilvl="8">
      <w:start w:val="1"/>
      <w:numFmt w:val="none"/>
      <w:lvlText w:val="%9."/>
      <w:lvlJc w:val="left"/>
      <w:pPr>
        <w:tabs>
          <w:tab w:val="num" w:pos="567"/>
        </w:tabs>
        <w:ind w:left="5103" w:hanging="567"/>
      </w:pPr>
      <w:rPr>
        <w:rFonts w:ascii="Verdana" w:hAnsi="Verdana" w:hint="default"/>
        <w:b w:val="0"/>
        <w:i w:val="0"/>
        <w:color w:val="auto"/>
        <w:sz w:val="22"/>
        <w:szCs w:val="24"/>
      </w:rPr>
    </w:lvl>
  </w:abstractNum>
  <w:abstractNum w:abstractNumId="3">
    <w:nsid w:val="17D92519"/>
    <w:multiLevelType w:val="hybridMultilevel"/>
    <w:tmpl w:val="B1E0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41328"/>
    <w:multiLevelType w:val="hybridMultilevel"/>
    <w:tmpl w:val="40CA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2F2F23"/>
    <w:multiLevelType w:val="hybridMultilevel"/>
    <w:tmpl w:val="479A5206"/>
    <w:lvl w:ilvl="0" w:tplc="476EACE4">
      <w:start w:val="1"/>
      <w:numFmt w:val="decimal"/>
      <w:pStyle w:val="BodyText1"/>
      <w:lvlText w:val="%1."/>
      <w:lvlJc w:val="left"/>
      <w:pPr>
        <w:ind w:left="786" w:hanging="360"/>
      </w:pPr>
    </w:lvl>
    <w:lvl w:ilvl="1" w:tplc="0C090019">
      <w:start w:val="1"/>
      <w:numFmt w:val="lowerLetter"/>
      <w:lvlText w:val="%2."/>
      <w:lvlJc w:val="left"/>
      <w:pPr>
        <w:ind w:left="5547" w:hanging="360"/>
      </w:pPr>
    </w:lvl>
    <w:lvl w:ilvl="2" w:tplc="0C09001B" w:tentative="1">
      <w:start w:val="1"/>
      <w:numFmt w:val="lowerRoman"/>
      <w:lvlText w:val="%3."/>
      <w:lvlJc w:val="right"/>
      <w:pPr>
        <w:ind w:left="6267" w:hanging="180"/>
      </w:pPr>
    </w:lvl>
    <w:lvl w:ilvl="3" w:tplc="0C09000F" w:tentative="1">
      <w:start w:val="1"/>
      <w:numFmt w:val="decimal"/>
      <w:lvlText w:val="%4."/>
      <w:lvlJc w:val="left"/>
      <w:pPr>
        <w:ind w:left="6987" w:hanging="360"/>
      </w:pPr>
    </w:lvl>
    <w:lvl w:ilvl="4" w:tplc="0C090019" w:tentative="1">
      <w:start w:val="1"/>
      <w:numFmt w:val="lowerLetter"/>
      <w:lvlText w:val="%5."/>
      <w:lvlJc w:val="left"/>
      <w:pPr>
        <w:ind w:left="7707" w:hanging="360"/>
      </w:pPr>
    </w:lvl>
    <w:lvl w:ilvl="5" w:tplc="0C09001B" w:tentative="1">
      <w:start w:val="1"/>
      <w:numFmt w:val="lowerRoman"/>
      <w:lvlText w:val="%6."/>
      <w:lvlJc w:val="right"/>
      <w:pPr>
        <w:ind w:left="8427" w:hanging="180"/>
      </w:pPr>
    </w:lvl>
    <w:lvl w:ilvl="6" w:tplc="0C09000F" w:tentative="1">
      <w:start w:val="1"/>
      <w:numFmt w:val="decimal"/>
      <w:lvlText w:val="%7."/>
      <w:lvlJc w:val="left"/>
      <w:pPr>
        <w:ind w:left="9147" w:hanging="360"/>
      </w:pPr>
    </w:lvl>
    <w:lvl w:ilvl="7" w:tplc="0C090019" w:tentative="1">
      <w:start w:val="1"/>
      <w:numFmt w:val="lowerLetter"/>
      <w:lvlText w:val="%8."/>
      <w:lvlJc w:val="left"/>
      <w:pPr>
        <w:ind w:left="9867" w:hanging="360"/>
      </w:pPr>
    </w:lvl>
    <w:lvl w:ilvl="8" w:tplc="0C09001B" w:tentative="1">
      <w:start w:val="1"/>
      <w:numFmt w:val="lowerRoman"/>
      <w:lvlText w:val="%9."/>
      <w:lvlJc w:val="right"/>
      <w:pPr>
        <w:ind w:left="10587" w:hanging="180"/>
      </w:pPr>
    </w:lvl>
  </w:abstractNum>
  <w:abstractNum w:abstractNumId="6">
    <w:nsid w:val="3E160431"/>
    <w:multiLevelType w:val="hybridMultilevel"/>
    <w:tmpl w:val="DE6C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956590"/>
    <w:multiLevelType w:val="hybridMultilevel"/>
    <w:tmpl w:val="0CDC935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nsid w:val="48B871CF"/>
    <w:multiLevelType w:val="multilevel"/>
    <w:tmpl w:val="84320490"/>
    <w:numStyleLink w:val="BulletList"/>
  </w:abstractNum>
  <w:abstractNum w:abstractNumId="9">
    <w:nsid w:val="51853435"/>
    <w:multiLevelType w:val="hybridMultilevel"/>
    <w:tmpl w:val="1A16179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0">
    <w:nsid w:val="6485023A"/>
    <w:multiLevelType w:val="hybridMultilevel"/>
    <w:tmpl w:val="1890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C801F5"/>
    <w:multiLevelType w:val="multilevel"/>
    <w:tmpl w:val="AD64755A"/>
    <w:styleLink w:val="Bullets"/>
    <w:lvl w:ilvl="0">
      <w:start w:val="1"/>
      <w:numFmt w:val="bullet"/>
      <w:pStyle w:val="Bullets1stindent"/>
      <w:lvlText w:val="•"/>
      <w:lvlJc w:val="left"/>
      <w:pPr>
        <w:tabs>
          <w:tab w:val="num" w:pos="-1276"/>
        </w:tabs>
        <w:ind w:left="-1276" w:hanging="284"/>
      </w:pPr>
      <w:rPr>
        <w:rFonts w:ascii="Calibri" w:hAnsi="Calibri" w:hint="default"/>
        <w:b w:val="0"/>
        <w:i w:val="0"/>
        <w:color w:val="231F20"/>
        <w:sz w:val="22"/>
      </w:rPr>
    </w:lvl>
    <w:lvl w:ilvl="1">
      <w:start w:val="1"/>
      <w:numFmt w:val="bullet"/>
      <w:pStyle w:val="Bullets2ndindent"/>
      <w:lvlText w:val="–"/>
      <w:lvlJc w:val="left"/>
      <w:pPr>
        <w:tabs>
          <w:tab w:val="num" w:pos="-993"/>
        </w:tabs>
        <w:ind w:left="-993" w:hanging="283"/>
      </w:pPr>
      <w:rPr>
        <w:rFonts w:ascii="Calibri" w:hAnsi="Calibri" w:hint="default"/>
        <w:b w:val="0"/>
        <w:i w:val="0"/>
        <w:color w:val="231F20"/>
        <w:sz w:val="22"/>
      </w:rPr>
    </w:lvl>
    <w:lvl w:ilvl="2">
      <w:start w:val="1"/>
      <w:numFmt w:val="bullet"/>
      <w:lvlText w:val="•"/>
      <w:lvlJc w:val="left"/>
      <w:pPr>
        <w:tabs>
          <w:tab w:val="num" w:pos="-1219"/>
        </w:tabs>
        <w:ind w:left="-1219" w:hanging="284"/>
      </w:pPr>
      <w:rPr>
        <w:rFonts w:ascii="Gotham Rounded Book" w:hAnsi="Gotham Rounded Book" w:hint="default"/>
        <w:sz w:val="16"/>
      </w:rPr>
    </w:lvl>
    <w:lvl w:ilvl="3">
      <w:start w:val="1"/>
      <w:numFmt w:val="bullet"/>
      <w:lvlText w:val="–"/>
      <w:lvlJc w:val="left"/>
      <w:pPr>
        <w:tabs>
          <w:tab w:val="num" w:pos="-936"/>
        </w:tabs>
        <w:ind w:left="-936" w:hanging="283"/>
      </w:pPr>
      <w:rPr>
        <w:rFonts w:ascii="Arial" w:hAnsi="Arial" w:hint="default"/>
        <w:color w:val="auto"/>
        <w:sz w:val="17"/>
      </w:rPr>
    </w:lvl>
    <w:lvl w:ilvl="4">
      <w:start w:val="1"/>
      <w:numFmt w:val="bullet"/>
      <w:pStyle w:val="Tablebullets1stindent"/>
      <w:lvlText w:val="•"/>
      <w:lvlJc w:val="left"/>
      <w:pPr>
        <w:tabs>
          <w:tab w:val="num" w:pos="-1758"/>
        </w:tabs>
        <w:ind w:left="-1758" w:hanging="227"/>
      </w:pPr>
      <w:rPr>
        <w:rFonts w:ascii="Calibri" w:hAnsi="Calibri" w:hint="default"/>
        <w:b w:val="0"/>
        <w:i w:val="0"/>
        <w:color w:val="231F20"/>
        <w:sz w:val="16"/>
      </w:rPr>
    </w:lvl>
    <w:lvl w:ilvl="5">
      <w:start w:val="1"/>
      <w:numFmt w:val="bullet"/>
      <w:pStyle w:val="Tablebullets2ndindent"/>
      <w:lvlText w:val="–"/>
      <w:lvlJc w:val="left"/>
      <w:pPr>
        <w:tabs>
          <w:tab w:val="num" w:pos="-1531"/>
        </w:tabs>
        <w:ind w:left="-1531" w:hanging="227"/>
      </w:pPr>
      <w:rPr>
        <w:rFonts w:ascii="Calibri" w:hAnsi="Calibri" w:hint="default"/>
        <w:b w:val="0"/>
        <w:i w:val="0"/>
        <w:color w:val="231F20"/>
        <w:sz w:val="16"/>
      </w:rPr>
    </w:lvl>
    <w:lvl w:ilvl="6">
      <w:start w:val="1"/>
      <w:numFmt w:val="bullet"/>
      <w:lvlText w:val="•"/>
      <w:lvlJc w:val="left"/>
      <w:pPr>
        <w:tabs>
          <w:tab w:val="num" w:pos="-1390"/>
        </w:tabs>
        <w:ind w:left="-1390" w:hanging="226"/>
      </w:pPr>
      <w:rPr>
        <w:rFonts w:ascii="Gotham Rounded Book" w:hAnsi="Gotham Rounded Book" w:hint="default"/>
        <w:sz w:val="16"/>
      </w:rPr>
    </w:lvl>
    <w:lvl w:ilvl="7">
      <w:start w:val="1"/>
      <w:numFmt w:val="bullet"/>
      <w:pStyle w:val="Casestudybullet"/>
      <w:lvlText w:val="•"/>
      <w:lvlJc w:val="left"/>
      <w:pPr>
        <w:tabs>
          <w:tab w:val="num" w:pos="-1503"/>
        </w:tabs>
        <w:ind w:left="-1503" w:hanging="283"/>
      </w:pPr>
      <w:rPr>
        <w:rFonts w:ascii="Calibri" w:hAnsi="Calibri" w:hint="default"/>
        <w:color w:val="auto"/>
        <w:sz w:val="22"/>
      </w:rPr>
    </w:lvl>
    <w:lvl w:ilvl="8">
      <w:start w:val="1"/>
      <w:numFmt w:val="none"/>
      <w:lvlText w:val=""/>
      <w:lvlJc w:val="left"/>
      <w:pPr>
        <w:tabs>
          <w:tab w:val="num" w:pos="-2070"/>
        </w:tabs>
        <w:ind w:left="-2070" w:firstLine="0"/>
      </w:pPr>
      <w:rPr>
        <w:rFonts w:hint="default"/>
      </w:rPr>
    </w:lvl>
  </w:abstractNum>
  <w:num w:numId="1">
    <w:abstractNumId w:val="5"/>
  </w:num>
  <w:num w:numId="2">
    <w:abstractNumId w:val="11"/>
    <w:lvlOverride w:ilvl="0">
      <w:lvl w:ilvl="0">
        <w:start w:val="1"/>
        <w:numFmt w:val="bullet"/>
        <w:pStyle w:val="Bullets1stindent"/>
        <w:lvlText w:val="•"/>
        <w:lvlJc w:val="left"/>
        <w:pPr>
          <w:tabs>
            <w:tab w:val="num" w:pos="-1276"/>
          </w:tabs>
          <w:ind w:left="-1276" w:hanging="284"/>
        </w:pPr>
        <w:rPr>
          <w:rFonts w:ascii="Calibri" w:hAnsi="Calibri" w:hint="default"/>
          <w:b w:val="0"/>
          <w:i w:val="0"/>
          <w:color w:val="231F20"/>
          <w:sz w:val="22"/>
        </w:rPr>
      </w:lvl>
    </w:lvlOverride>
  </w:num>
  <w:num w:numId="3">
    <w:abstractNumId w:val="0"/>
  </w:num>
  <w:num w:numId="4">
    <w:abstractNumId w:val="8"/>
  </w:num>
  <w:num w:numId="5">
    <w:abstractNumId w:val="1"/>
  </w:num>
  <w:num w:numId="6">
    <w:abstractNumId w:val="7"/>
  </w:num>
  <w:num w:numId="7">
    <w:abstractNumId w:val="2"/>
  </w:num>
  <w:num w:numId="8">
    <w:abstractNumId w:val="5"/>
  </w:num>
  <w:num w:numId="9">
    <w:abstractNumId w:val="5"/>
  </w:num>
  <w:num w:numId="10">
    <w:abstractNumId w:val="11"/>
  </w:num>
  <w:num w:numId="11">
    <w:abstractNumId w:val="5"/>
  </w:num>
  <w:num w:numId="12">
    <w:abstractNumId w:val="8"/>
  </w:num>
  <w:num w:numId="13">
    <w:abstractNumId w:val="8"/>
  </w:num>
  <w:num w:numId="14">
    <w:abstractNumId w:val="3"/>
  </w:num>
  <w:num w:numId="15">
    <w:abstractNumId w:val="4"/>
  </w:num>
  <w:num w:numId="16">
    <w:abstractNumId w:val="6"/>
  </w:num>
  <w:num w:numId="17">
    <w:abstractNumId w:val="9"/>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CB"/>
    <w:rsid w:val="00004E03"/>
    <w:rsid w:val="00007075"/>
    <w:rsid w:val="000448BD"/>
    <w:rsid w:val="00046C7D"/>
    <w:rsid w:val="00051A53"/>
    <w:rsid w:val="000551C5"/>
    <w:rsid w:val="0006039C"/>
    <w:rsid w:val="00070843"/>
    <w:rsid w:val="000A3995"/>
    <w:rsid w:val="000B5FCD"/>
    <w:rsid w:val="000C2764"/>
    <w:rsid w:val="000E48CA"/>
    <w:rsid w:val="000F5435"/>
    <w:rsid w:val="000F613B"/>
    <w:rsid w:val="000F6785"/>
    <w:rsid w:val="001050BB"/>
    <w:rsid w:val="00115659"/>
    <w:rsid w:val="00141C42"/>
    <w:rsid w:val="00143411"/>
    <w:rsid w:val="0015358F"/>
    <w:rsid w:val="00157247"/>
    <w:rsid w:val="00161D4A"/>
    <w:rsid w:val="0016230B"/>
    <w:rsid w:val="00180129"/>
    <w:rsid w:val="00180F7C"/>
    <w:rsid w:val="00187167"/>
    <w:rsid w:val="00191C7D"/>
    <w:rsid w:val="00192BCC"/>
    <w:rsid w:val="00194C57"/>
    <w:rsid w:val="00196878"/>
    <w:rsid w:val="001C77C9"/>
    <w:rsid w:val="001D186E"/>
    <w:rsid w:val="001D5CC6"/>
    <w:rsid w:val="001D69DA"/>
    <w:rsid w:val="001F7E6A"/>
    <w:rsid w:val="00220C4C"/>
    <w:rsid w:val="0022196C"/>
    <w:rsid w:val="00230B4D"/>
    <w:rsid w:val="002357AF"/>
    <w:rsid w:val="002448F5"/>
    <w:rsid w:val="00247A4A"/>
    <w:rsid w:val="00253C55"/>
    <w:rsid w:val="00260ACF"/>
    <w:rsid w:val="00267724"/>
    <w:rsid w:val="00276D1A"/>
    <w:rsid w:val="002771D4"/>
    <w:rsid w:val="00280201"/>
    <w:rsid w:val="002828F9"/>
    <w:rsid w:val="0028774F"/>
    <w:rsid w:val="002A7C00"/>
    <w:rsid w:val="002C4B92"/>
    <w:rsid w:val="002C549C"/>
    <w:rsid w:val="002C5F2F"/>
    <w:rsid w:val="002D1F4A"/>
    <w:rsid w:val="002D4DB0"/>
    <w:rsid w:val="003004D7"/>
    <w:rsid w:val="00301F54"/>
    <w:rsid w:val="003103C4"/>
    <w:rsid w:val="003155A9"/>
    <w:rsid w:val="00347455"/>
    <w:rsid w:val="00355373"/>
    <w:rsid w:val="00355DCD"/>
    <w:rsid w:val="0035604F"/>
    <w:rsid w:val="0037130E"/>
    <w:rsid w:val="003810FA"/>
    <w:rsid w:val="00384FFC"/>
    <w:rsid w:val="003A4D3F"/>
    <w:rsid w:val="003B22CE"/>
    <w:rsid w:val="003C6ACE"/>
    <w:rsid w:val="003E26F8"/>
    <w:rsid w:val="003E3195"/>
    <w:rsid w:val="003E4E62"/>
    <w:rsid w:val="003E7658"/>
    <w:rsid w:val="003F19CA"/>
    <w:rsid w:val="003F5135"/>
    <w:rsid w:val="00405492"/>
    <w:rsid w:val="00412BDC"/>
    <w:rsid w:val="004510AC"/>
    <w:rsid w:val="00451D12"/>
    <w:rsid w:val="0045309C"/>
    <w:rsid w:val="00471E82"/>
    <w:rsid w:val="004729A5"/>
    <w:rsid w:val="004972F6"/>
    <w:rsid w:val="004B0427"/>
    <w:rsid w:val="004B3895"/>
    <w:rsid w:val="004C1B7F"/>
    <w:rsid w:val="004C3B9E"/>
    <w:rsid w:val="004E2D8D"/>
    <w:rsid w:val="004F4A2D"/>
    <w:rsid w:val="004F68FE"/>
    <w:rsid w:val="00510F55"/>
    <w:rsid w:val="00521CD1"/>
    <w:rsid w:val="00523E24"/>
    <w:rsid w:val="00543EFF"/>
    <w:rsid w:val="00552C80"/>
    <w:rsid w:val="005533E0"/>
    <w:rsid w:val="00554954"/>
    <w:rsid w:val="00575A4C"/>
    <w:rsid w:val="00577D3F"/>
    <w:rsid w:val="00587AEF"/>
    <w:rsid w:val="00590735"/>
    <w:rsid w:val="0059105F"/>
    <w:rsid w:val="005A2068"/>
    <w:rsid w:val="005A35C1"/>
    <w:rsid w:val="005D320F"/>
    <w:rsid w:val="005D709D"/>
    <w:rsid w:val="005E7C3B"/>
    <w:rsid w:val="005F5774"/>
    <w:rsid w:val="00604DED"/>
    <w:rsid w:val="0062144A"/>
    <w:rsid w:val="006263C8"/>
    <w:rsid w:val="00636991"/>
    <w:rsid w:val="0063766E"/>
    <w:rsid w:val="006563F2"/>
    <w:rsid w:val="00672419"/>
    <w:rsid w:val="00675172"/>
    <w:rsid w:val="00691AD7"/>
    <w:rsid w:val="0069415C"/>
    <w:rsid w:val="006947C9"/>
    <w:rsid w:val="006972D5"/>
    <w:rsid w:val="006A5859"/>
    <w:rsid w:val="006B7457"/>
    <w:rsid w:val="006C0F31"/>
    <w:rsid w:val="006C5B74"/>
    <w:rsid w:val="006C5FE7"/>
    <w:rsid w:val="006D058D"/>
    <w:rsid w:val="006D0EDC"/>
    <w:rsid w:val="006D1FFA"/>
    <w:rsid w:val="006F02EF"/>
    <w:rsid w:val="006F0C54"/>
    <w:rsid w:val="006F78EF"/>
    <w:rsid w:val="00705708"/>
    <w:rsid w:val="00733462"/>
    <w:rsid w:val="00740F6F"/>
    <w:rsid w:val="00743322"/>
    <w:rsid w:val="00752C3E"/>
    <w:rsid w:val="00753D21"/>
    <w:rsid w:val="00761DC9"/>
    <w:rsid w:val="00765483"/>
    <w:rsid w:val="007672FF"/>
    <w:rsid w:val="00767721"/>
    <w:rsid w:val="0077075C"/>
    <w:rsid w:val="00776637"/>
    <w:rsid w:val="007772CC"/>
    <w:rsid w:val="00787DF8"/>
    <w:rsid w:val="00795262"/>
    <w:rsid w:val="0079750C"/>
    <w:rsid w:val="007C5026"/>
    <w:rsid w:val="007D1398"/>
    <w:rsid w:val="007D29CF"/>
    <w:rsid w:val="007D37A2"/>
    <w:rsid w:val="007E66CA"/>
    <w:rsid w:val="00800148"/>
    <w:rsid w:val="008227D6"/>
    <w:rsid w:val="00822C0A"/>
    <w:rsid w:val="00837955"/>
    <w:rsid w:val="00864D6B"/>
    <w:rsid w:val="00866C8B"/>
    <w:rsid w:val="0087001E"/>
    <w:rsid w:val="00876184"/>
    <w:rsid w:val="00883D92"/>
    <w:rsid w:val="00885CA3"/>
    <w:rsid w:val="008A22DA"/>
    <w:rsid w:val="008A3466"/>
    <w:rsid w:val="008B186D"/>
    <w:rsid w:val="008B1EBD"/>
    <w:rsid w:val="008C7411"/>
    <w:rsid w:val="008D4796"/>
    <w:rsid w:val="008D76B2"/>
    <w:rsid w:val="008F492D"/>
    <w:rsid w:val="009031D9"/>
    <w:rsid w:val="00915976"/>
    <w:rsid w:val="00920A25"/>
    <w:rsid w:val="00925CF2"/>
    <w:rsid w:val="009325D4"/>
    <w:rsid w:val="0093573D"/>
    <w:rsid w:val="00936874"/>
    <w:rsid w:val="009407CD"/>
    <w:rsid w:val="009447B4"/>
    <w:rsid w:val="00966B69"/>
    <w:rsid w:val="00970105"/>
    <w:rsid w:val="00971FC8"/>
    <w:rsid w:val="009725D3"/>
    <w:rsid w:val="009773BD"/>
    <w:rsid w:val="009A6404"/>
    <w:rsid w:val="009C76B9"/>
    <w:rsid w:val="009E47F2"/>
    <w:rsid w:val="009E6DCB"/>
    <w:rsid w:val="00A01D6E"/>
    <w:rsid w:val="00A032B4"/>
    <w:rsid w:val="00A061EE"/>
    <w:rsid w:val="00A142A7"/>
    <w:rsid w:val="00A157C1"/>
    <w:rsid w:val="00A1664A"/>
    <w:rsid w:val="00A16E6C"/>
    <w:rsid w:val="00A2552A"/>
    <w:rsid w:val="00A505CF"/>
    <w:rsid w:val="00A53E07"/>
    <w:rsid w:val="00A620F6"/>
    <w:rsid w:val="00A73151"/>
    <w:rsid w:val="00A808BB"/>
    <w:rsid w:val="00A83017"/>
    <w:rsid w:val="00A92D59"/>
    <w:rsid w:val="00AA27D6"/>
    <w:rsid w:val="00AB17B4"/>
    <w:rsid w:val="00AB3073"/>
    <w:rsid w:val="00AB34D3"/>
    <w:rsid w:val="00AC207A"/>
    <w:rsid w:val="00AC257D"/>
    <w:rsid w:val="00AD5962"/>
    <w:rsid w:val="00AE223B"/>
    <w:rsid w:val="00B034A6"/>
    <w:rsid w:val="00B07C29"/>
    <w:rsid w:val="00B1046F"/>
    <w:rsid w:val="00B11C24"/>
    <w:rsid w:val="00B2062E"/>
    <w:rsid w:val="00B408E9"/>
    <w:rsid w:val="00B52628"/>
    <w:rsid w:val="00B55947"/>
    <w:rsid w:val="00B76619"/>
    <w:rsid w:val="00B81DAF"/>
    <w:rsid w:val="00B9157F"/>
    <w:rsid w:val="00B92A96"/>
    <w:rsid w:val="00BC605E"/>
    <w:rsid w:val="00BD0C3F"/>
    <w:rsid w:val="00BD4242"/>
    <w:rsid w:val="00BE6A33"/>
    <w:rsid w:val="00BF56B7"/>
    <w:rsid w:val="00BF6F3D"/>
    <w:rsid w:val="00C02CE0"/>
    <w:rsid w:val="00C1383D"/>
    <w:rsid w:val="00C14F24"/>
    <w:rsid w:val="00C264C6"/>
    <w:rsid w:val="00C27D05"/>
    <w:rsid w:val="00C340FA"/>
    <w:rsid w:val="00C46B33"/>
    <w:rsid w:val="00C50437"/>
    <w:rsid w:val="00C53B66"/>
    <w:rsid w:val="00C57421"/>
    <w:rsid w:val="00C61A2D"/>
    <w:rsid w:val="00C61C91"/>
    <w:rsid w:val="00C72942"/>
    <w:rsid w:val="00C771F6"/>
    <w:rsid w:val="00C83B13"/>
    <w:rsid w:val="00C977EE"/>
    <w:rsid w:val="00CA10AC"/>
    <w:rsid w:val="00CB54C0"/>
    <w:rsid w:val="00CD264D"/>
    <w:rsid w:val="00CD3F03"/>
    <w:rsid w:val="00CE02AB"/>
    <w:rsid w:val="00CE7D60"/>
    <w:rsid w:val="00CF2145"/>
    <w:rsid w:val="00D059E3"/>
    <w:rsid w:val="00D07EB3"/>
    <w:rsid w:val="00D12879"/>
    <w:rsid w:val="00D1589E"/>
    <w:rsid w:val="00D15AFC"/>
    <w:rsid w:val="00D16F71"/>
    <w:rsid w:val="00D24910"/>
    <w:rsid w:val="00D31022"/>
    <w:rsid w:val="00D35F5E"/>
    <w:rsid w:val="00D377A6"/>
    <w:rsid w:val="00D42F5D"/>
    <w:rsid w:val="00D451DC"/>
    <w:rsid w:val="00D54468"/>
    <w:rsid w:val="00D669F2"/>
    <w:rsid w:val="00D73EED"/>
    <w:rsid w:val="00D80446"/>
    <w:rsid w:val="00D844E6"/>
    <w:rsid w:val="00D941A0"/>
    <w:rsid w:val="00D95185"/>
    <w:rsid w:val="00DA4EC9"/>
    <w:rsid w:val="00DA5675"/>
    <w:rsid w:val="00DB3A27"/>
    <w:rsid w:val="00DC52A2"/>
    <w:rsid w:val="00DD3031"/>
    <w:rsid w:val="00DE1640"/>
    <w:rsid w:val="00DF387A"/>
    <w:rsid w:val="00DF4262"/>
    <w:rsid w:val="00DF662B"/>
    <w:rsid w:val="00E0216E"/>
    <w:rsid w:val="00E05832"/>
    <w:rsid w:val="00E05FC5"/>
    <w:rsid w:val="00E15CBD"/>
    <w:rsid w:val="00E2347B"/>
    <w:rsid w:val="00E25708"/>
    <w:rsid w:val="00E41CDE"/>
    <w:rsid w:val="00E43427"/>
    <w:rsid w:val="00E50320"/>
    <w:rsid w:val="00E5363D"/>
    <w:rsid w:val="00E541C9"/>
    <w:rsid w:val="00E66160"/>
    <w:rsid w:val="00E74310"/>
    <w:rsid w:val="00E75F0B"/>
    <w:rsid w:val="00E81CCB"/>
    <w:rsid w:val="00E87039"/>
    <w:rsid w:val="00EA3EC9"/>
    <w:rsid w:val="00EB5E99"/>
    <w:rsid w:val="00EC09C6"/>
    <w:rsid w:val="00EC0A4D"/>
    <w:rsid w:val="00EC518E"/>
    <w:rsid w:val="00ED4C34"/>
    <w:rsid w:val="00ED57DA"/>
    <w:rsid w:val="00EF42B0"/>
    <w:rsid w:val="00F01EE6"/>
    <w:rsid w:val="00F320C5"/>
    <w:rsid w:val="00F368A8"/>
    <w:rsid w:val="00F4141F"/>
    <w:rsid w:val="00F50F37"/>
    <w:rsid w:val="00F5441F"/>
    <w:rsid w:val="00F55406"/>
    <w:rsid w:val="00F738A3"/>
    <w:rsid w:val="00F760F9"/>
    <w:rsid w:val="00F84CC0"/>
    <w:rsid w:val="00F976AF"/>
    <w:rsid w:val="00FA42A4"/>
    <w:rsid w:val="00FB4F45"/>
    <w:rsid w:val="00FC3D86"/>
    <w:rsid w:val="00FC40D0"/>
    <w:rsid w:val="00FE36A0"/>
    <w:rsid w:val="00FE5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1"/>
    <w:link w:val="Heading1Char"/>
    <w:qFormat/>
    <w:rsid w:val="00EF42B0"/>
    <w:pPr>
      <w:keepNext/>
      <w:spacing w:before="284" w:after="57" w:line="340" w:lineRule="atLeast"/>
      <w:outlineLvl w:val="0"/>
    </w:pPr>
    <w:rPr>
      <w:rFonts w:ascii="Calibri" w:eastAsia="Times New Roman" w:hAnsi="Calibri" w:cs="Times New Roman"/>
      <w:b/>
      <w:caps/>
      <w:color w:val="1F497D" w:themeColor="text2"/>
      <w:kern w:val="32"/>
      <w:sz w:val="28"/>
      <w:szCs w:val="32"/>
    </w:rPr>
  </w:style>
  <w:style w:type="paragraph" w:styleId="Heading2">
    <w:name w:val="heading 2"/>
    <w:next w:val="BodyText1"/>
    <w:link w:val="Heading2Char"/>
    <w:qFormat/>
    <w:rsid w:val="00EF42B0"/>
    <w:pPr>
      <w:keepNext/>
      <w:spacing w:before="284" w:after="57" w:line="340" w:lineRule="atLeast"/>
      <w:outlineLvl w:val="1"/>
    </w:pPr>
    <w:rPr>
      <w:rFonts w:ascii="Calibri" w:eastAsia="Times New Roman" w:hAnsi="Calibri" w:cs="Times New Roman"/>
      <w:b/>
      <w:color w:val="1F497D" w:themeColor="text2"/>
      <w:sz w:val="28"/>
      <w:szCs w:val="28"/>
    </w:rPr>
  </w:style>
  <w:style w:type="paragraph" w:styleId="Heading3">
    <w:name w:val="heading 3"/>
    <w:next w:val="BodyText1"/>
    <w:link w:val="Heading3Char"/>
    <w:qFormat/>
    <w:rsid w:val="00EF42B0"/>
    <w:pPr>
      <w:keepNext/>
      <w:spacing w:before="284" w:after="57" w:line="264" w:lineRule="atLeast"/>
      <w:outlineLvl w:val="2"/>
    </w:pPr>
    <w:rPr>
      <w:rFonts w:ascii="Calibri" w:eastAsia="Times New Roman" w:hAnsi="Calibri" w:cs="Times New Roman"/>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DC52A2"/>
    <w:pPr>
      <w:numPr>
        <w:numId w:val="1"/>
      </w:numPr>
      <w:tabs>
        <w:tab w:val="left" w:pos="510"/>
      </w:tabs>
      <w:spacing w:before="57" w:after="57" w:line="320" w:lineRule="atLeast"/>
    </w:pPr>
    <w:rPr>
      <w:rFonts w:ascii="Calibri" w:eastAsia="Times New Roman" w:hAnsi="Calibri" w:cs="Times New Roman"/>
      <w:color w:val="000000" w:themeColor="text1"/>
      <w:szCs w:val="24"/>
    </w:rPr>
  </w:style>
  <w:style w:type="character" w:customStyle="1" w:styleId="Heading1Char">
    <w:name w:val="Heading 1 Char"/>
    <w:basedOn w:val="DefaultParagraphFont"/>
    <w:link w:val="Heading1"/>
    <w:rsid w:val="00EF42B0"/>
    <w:rPr>
      <w:rFonts w:ascii="Calibri" w:eastAsia="Times New Roman" w:hAnsi="Calibri" w:cs="Times New Roman"/>
      <w:b/>
      <w:caps/>
      <w:color w:val="1F497D" w:themeColor="text2"/>
      <w:kern w:val="32"/>
      <w:sz w:val="28"/>
      <w:szCs w:val="32"/>
    </w:rPr>
  </w:style>
  <w:style w:type="character" w:customStyle="1" w:styleId="Heading2Char">
    <w:name w:val="Heading 2 Char"/>
    <w:basedOn w:val="DefaultParagraphFont"/>
    <w:link w:val="Heading2"/>
    <w:rsid w:val="00EF42B0"/>
    <w:rPr>
      <w:rFonts w:ascii="Calibri" w:eastAsia="Times New Roman" w:hAnsi="Calibri" w:cs="Times New Roman"/>
      <w:b/>
      <w:color w:val="1F497D" w:themeColor="text2"/>
      <w:sz w:val="28"/>
      <w:szCs w:val="28"/>
    </w:rPr>
  </w:style>
  <w:style w:type="character" w:customStyle="1" w:styleId="Heading3Char">
    <w:name w:val="Heading 3 Char"/>
    <w:basedOn w:val="DefaultParagraphFont"/>
    <w:link w:val="Heading3"/>
    <w:rsid w:val="00EF42B0"/>
    <w:rPr>
      <w:rFonts w:ascii="Calibri" w:eastAsia="Times New Roman" w:hAnsi="Calibri" w:cs="Times New Roman"/>
      <w:color w:val="1F497D" w:themeColor="text2"/>
      <w:szCs w:val="26"/>
    </w:rPr>
  </w:style>
  <w:style w:type="paragraph" w:customStyle="1" w:styleId="Bullets1stindent">
    <w:name w:val="Bullets (1st indent)"/>
    <w:basedOn w:val="BodyText1"/>
    <w:qFormat/>
    <w:rsid w:val="00EF42B0"/>
    <w:pPr>
      <w:numPr>
        <w:numId w:val="2"/>
      </w:numPr>
      <w:tabs>
        <w:tab w:val="clear" w:pos="510"/>
      </w:tabs>
    </w:pPr>
  </w:style>
  <w:style w:type="paragraph" w:customStyle="1" w:styleId="Bullets2ndindent">
    <w:name w:val="Bullets (2nd indent)"/>
    <w:basedOn w:val="BodyText1"/>
    <w:qFormat/>
    <w:rsid w:val="00EF42B0"/>
    <w:pPr>
      <w:numPr>
        <w:ilvl w:val="1"/>
        <w:numId w:val="2"/>
      </w:numPr>
      <w:tabs>
        <w:tab w:val="clear" w:pos="510"/>
      </w:tabs>
    </w:pPr>
  </w:style>
  <w:style w:type="paragraph" w:customStyle="1" w:styleId="Tablebullets2ndindent">
    <w:name w:val="Table bullets (2nd indent)"/>
    <w:basedOn w:val="Normal"/>
    <w:qFormat/>
    <w:rsid w:val="00EF42B0"/>
    <w:pPr>
      <w:numPr>
        <w:ilvl w:val="5"/>
        <w:numId w:val="2"/>
      </w:numPr>
      <w:spacing w:before="57" w:after="57" w:line="192" w:lineRule="atLeast"/>
      <w:ind w:right="85"/>
    </w:pPr>
    <w:rPr>
      <w:rFonts w:ascii="Calibri" w:eastAsia="Times New Roman" w:hAnsi="Calibri" w:cs="Times New Roman"/>
      <w:color w:val="000000" w:themeColor="text1"/>
      <w:sz w:val="16"/>
      <w:szCs w:val="24"/>
    </w:rPr>
  </w:style>
  <w:style w:type="paragraph" w:customStyle="1" w:styleId="Tablebullets1stindent">
    <w:name w:val="Table bullets (1st indent)"/>
    <w:basedOn w:val="Normal"/>
    <w:qFormat/>
    <w:rsid w:val="00EF42B0"/>
    <w:pPr>
      <w:numPr>
        <w:ilvl w:val="4"/>
        <w:numId w:val="2"/>
      </w:numPr>
      <w:spacing w:before="57" w:after="57" w:line="192" w:lineRule="atLeast"/>
      <w:ind w:right="85"/>
    </w:pPr>
    <w:rPr>
      <w:rFonts w:ascii="Calibri" w:eastAsia="Times New Roman" w:hAnsi="Calibri" w:cs="Times New Roman"/>
      <w:color w:val="000000" w:themeColor="text1"/>
      <w:sz w:val="16"/>
      <w:szCs w:val="24"/>
    </w:rPr>
  </w:style>
  <w:style w:type="numbering" w:customStyle="1" w:styleId="Bullets">
    <w:name w:val="Bullets"/>
    <w:basedOn w:val="NoList"/>
    <w:rsid w:val="00EF42B0"/>
    <w:pPr>
      <w:numPr>
        <w:numId w:val="10"/>
      </w:numPr>
    </w:pPr>
  </w:style>
  <w:style w:type="paragraph" w:customStyle="1" w:styleId="Casestudybullet">
    <w:name w:val="Case study bullet"/>
    <w:basedOn w:val="Normal"/>
    <w:rsid w:val="00EF42B0"/>
    <w:pPr>
      <w:numPr>
        <w:ilvl w:val="7"/>
        <w:numId w:val="2"/>
      </w:numPr>
      <w:spacing w:before="57" w:after="57" w:line="320" w:lineRule="atLeast"/>
      <w:ind w:right="284"/>
    </w:pPr>
    <w:rPr>
      <w:rFonts w:ascii="Calibri" w:eastAsia="Times New Roman" w:hAnsi="Calibri" w:cs="Times New Roman"/>
      <w:color w:val="000000" w:themeColor="text1"/>
      <w:szCs w:val="24"/>
    </w:rPr>
  </w:style>
  <w:style w:type="paragraph" w:customStyle="1" w:styleId="Bodytextnonumbering">
    <w:name w:val="Body text (no numbering)"/>
    <w:basedOn w:val="BodyText1"/>
    <w:qFormat/>
    <w:rsid w:val="00EF42B0"/>
    <w:pPr>
      <w:numPr>
        <w:numId w:val="0"/>
      </w:numPr>
    </w:pPr>
  </w:style>
  <w:style w:type="paragraph" w:styleId="FootnoteText">
    <w:name w:val="footnote text"/>
    <w:basedOn w:val="Normal"/>
    <w:link w:val="FootnoteTextChar"/>
    <w:uiPriority w:val="99"/>
    <w:semiHidden/>
    <w:unhideWhenUsed/>
    <w:rsid w:val="00EF42B0"/>
    <w:pPr>
      <w:spacing w:after="0" w:line="240" w:lineRule="auto"/>
    </w:pPr>
    <w:rPr>
      <w:rFonts w:ascii="Calibri" w:eastAsia="Times New Roman" w:hAnsi="Calibri"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EF42B0"/>
    <w:rPr>
      <w:rFonts w:ascii="Calibri" w:eastAsia="Times New Roman" w:hAnsi="Calibri" w:cs="Times New Roman"/>
      <w:color w:val="000000" w:themeColor="text1"/>
      <w:sz w:val="20"/>
      <w:szCs w:val="20"/>
    </w:rPr>
  </w:style>
  <w:style w:type="character" w:styleId="FootnoteReference">
    <w:name w:val="footnote reference"/>
    <w:basedOn w:val="DefaultParagraphFont"/>
    <w:uiPriority w:val="99"/>
    <w:semiHidden/>
    <w:unhideWhenUsed/>
    <w:rsid w:val="00EF42B0"/>
    <w:rPr>
      <w:vertAlign w:val="superscript"/>
    </w:rPr>
  </w:style>
  <w:style w:type="character" w:styleId="Strong">
    <w:name w:val="Strong"/>
    <w:basedOn w:val="DefaultParagraphFont"/>
    <w:uiPriority w:val="22"/>
    <w:qFormat/>
    <w:rsid w:val="00EF42B0"/>
    <w:rPr>
      <w:b/>
      <w:bCs/>
    </w:rPr>
  </w:style>
  <w:style w:type="paragraph" w:styleId="BalloonText">
    <w:name w:val="Balloon Text"/>
    <w:basedOn w:val="Normal"/>
    <w:link w:val="BalloonTextChar"/>
    <w:uiPriority w:val="99"/>
    <w:semiHidden/>
    <w:unhideWhenUsed/>
    <w:rsid w:val="00EF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B0"/>
    <w:rPr>
      <w:rFonts w:ascii="Tahoma" w:hAnsi="Tahoma" w:cs="Tahoma"/>
      <w:sz w:val="16"/>
      <w:szCs w:val="16"/>
    </w:rPr>
  </w:style>
  <w:style w:type="paragraph" w:styleId="ListParagraph">
    <w:name w:val="List Paragraph"/>
    <w:basedOn w:val="Normal"/>
    <w:uiPriority w:val="99"/>
    <w:qFormat/>
    <w:rsid w:val="00752C3E"/>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CABNETParagraph">
    <w:name w:val="CABNET Paragraph"/>
    <w:basedOn w:val="Normal"/>
    <w:link w:val="CABNETParagraphChar"/>
    <w:qFormat/>
    <w:rsid w:val="00521CD1"/>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521CD1"/>
    <w:rPr>
      <w:rFonts w:ascii="Verdana" w:hAnsi="Verdana"/>
    </w:rPr>
  </w:style>
  <w:style w:type="numbering" w:customStyle="1" w:styleId="BulletList">
    <w:name w:val="Bullet List"/>
    <w:uiPriority w:val="99"/>
    <w:rsid w:val="00C83B13"/>
    <w:pPr>
      <w:numPr>
        <w:numId w:val="3"/>
      </w:numPr>
    </w:pPr>
  </w:style>
  <w:style w:type="paragraph" w:customStyle="1" w:styleId="1BulletStyleList">
    <w:name w:val="1. Bullet Style List"/>
    <w:basedOn w:val="Normal"/>
    <w:link w:val="1BulletStyleListChar"/>
    <w:qFormat/>
    <w:rsid w:val="00C83B13"/>
    <w:pPr>
      <w:numPr>
        <w:numId w:val="4"/>
      </w:numPr>
      <w:spacing w:line="240" w:lineRule="auto"/>
    </w:pPr>
    <w:rPr>
      <w:rFonts w:ascii="Calibri" w:eastAsia="Times New Roman" w:hAnsi="Calibri" w:cs="Times New Roman"/>
      <w:sz w:val="24"/>
      <w:szCs w:val="20"/>
      <w:lang w:eastAsia="en-AU"/>
    </w:rPr>
  </w:style>
  <w:style w:type="character" w:customStyle="1" w:styleId="1BulletStyleListChar">
    <w:name w:val="1. Bullet Style List Char"/>
    <w:basedOn w:val="DefaultParagraphFont"/>
    <w:link w:val="1BulletStyleList"/>
    <w:rsid w:val="00C83B13"/>
    <w:rPr>
      <w:rFonts w:ascii="Calibri" w:eastAsia="Times New Roman" w:hAnsi="Calibri" w:cs="Times New Roman"/>
      <w:sz w:val="24"/>
      <w:szCs w:val="20"/>
      <w:lang w:eastAsia="en-AU"/>
    </w:rPr>
  </w:style>
  <w:style w:type="numbering" w:customStyle="1" w:styleId="CABNETList">
    <w:name w:val="CABNET List"/>
    <w:rsid w:val="0006039C"/>
    <w:pPr>
      <w:numPr>
        <w:numId w:val="7"/>
      </w:numPr>
    </w:pPr>
  </w:style>
  <w:style w:type="paragraph" w:styleId="NormalWeb">
    <w:name w:val="Normal (Web)"/>
    <w:basedOn w:val="Normal"/>
    <w:uiPriority w:val="99"/>
    <w:unhideWhenUsed/>
    <w:rsid w:val="001D69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69DA"/>
  </w:style>
  <w:style w:type="character" w:styleId="Hyperlink">
    <w:name w:val="Hyperlink"/>
    <w:basedOn w:val="DefaultParagraphFont"/>
    <w:uiPriority w:val="99"/>
    <w:semiHidden/>
    <w:unhideWhenUsed/>
    <w:rsid w:val="001D69DA"/>
    <w:rPr>
      <w:color w:val="0000FF"/>
      <w:u w:val="single"/>
    </w:rPr>
  </w:style>
  <w:style w:type="character" w:styleId="CommentReference">
    <w:name w:val="annotation reference"/>
    <w:basedOn w:val="DefaultParagraphFont"/>
    <w:uiPriority w:val="99"/>
    <w:semiHidden/>
    <w:unhideWhenUsed/>
    <w:rsid w:val="00F84CC0"/>
    <w:rPr>
      <w:sz w:val="16"/>
      <w:szCs w:val="16"/>
    </w:rPr>
  </w:style>
  <w:style w:type="paragraph" w:styleId="CommentText">
    <w:name w:val="annotation text"/>
    <w:basedOn w:val="Normal"/>
    <w:link w:val="CommentTextChar"/>
    <w:uiPriority w:val="99"/>
    <w:semiHidden/>
    <w:unhideWhenUsed/>
    <w:rsid w:val="00F84CC0"/>
    <w:pPr>
      <w:spacing w:line="240" w:lineRule="auto"/>
    </w:pPr>
    <w:rPr>
      <w:sz w:val="20"/>
      <w:szCs w:val="20"/>
    </w:rPr>
  </w:style>
  <w:style w:type="character" w:customStyle="1" w:styleId="CommentTextChar">
    <w:name w:val="Comment Text Char"/>
    <w:basedOn w:val="DefaultParagraphFont"/>
    <w:link w:val="CommentText"/>
    <w:uiPriority w:val="99"/>
    <w:semiHidden/>
    <w:rsid w:val="00F84CC0"/>
    <w:rPr>
      <w:sz w:val="20"/>
      <w:szCs w:val="20"/>
    </w:rPr>
  </w:style>
  <w:style w:type="paragraph" w:styleId="CommentSubject">
    <w:name w:val="annotation subject"/>
    <w:basedOn w:val="CommentText"/>
    <w:next w:val="CommentText"/>
    <w:link w:val="CommentSubjectChar"/>
    <w:uiPriority w:val="99"/>
    <w:semiHidden/>
    <w:unhideWhenUsed/>
    <w:rsid w:val="00C57421"/>
    <w:rPr>
      <w:b/>
      <w:bCs/>
    </w:rPr>
  </w:style>
  <w:style w:type="character" w:customStyle="1" w:styleId="CommentSubjectChar">
    <w:name w:val="Comment Subject Char"/>
    <w:basedOn w:val="CommentTextChar"/>
    <w:link w:val="CommentSubject"/>
    <w:uiPriority w:val="99"/>
    <w:semiHidden/>
    <w:rsid w:val="00C57421"/>
    <w:rPr>
      <w:b/>
      <w:bCs/>
      <w:sz w:val="20"/>
      <w:szCs w:val="20"/>
    </w:rPr>
  </w:style>
  <w:style w:type="paragraph" w:styleId="Header">
    <w:name w:val="header"/>
    <w:basedOn w:val="Normal"/>
    <w:link w:val="HeaderChar"/>
    <w:uiPriority w:val="99"/>
    <w:unhideWhenUsed/>
    <w:rsid w:val="0060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DED"/>
  </w:style>
  <w:style w:type="paragraph" w:styleId="Footer">
    <w:name w:val="footer"/>
    <w:basedOn w:val="Normal"/>
    <w:link w:val="FooterChar"/>
    <w:uiPriority w:val="99"/>
    <w:unhideWhenUsed/>
    <w:rsid w:val="0060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1"/>
    <w:link w:val="Heading1Char"/>
    <w:qFormat/>
    <w:rsid w:val="00EF42B0"/>
    <w:pPr>
      <w:keepNext/>
      <w:spacing w:before="284" w:after="57" w:line="340" w:lineRule="atLeast"/>
      <w:outlineLvl w:val="0"/>
    </w:pPr>
    <w:rPr>
      <w:rFonts w:ascii="Calibri" w:eastAsia="Times New Roman" w:hAnsi="Calibri" w:cs="Times New Roman"/>
      <w:b/>
      <w:caps/>
      <w:color w:val="1F497D" w:themeColor="text2"/>
      <w:kern w:val="32"/>
      <w:sz w:val="28"/>
      <w:szCs w:val="32"/>
    </w:rPr>
  </w:style>
  <w:style w:type="paragraph" w:styleId="Heading2">
    <w:name w:val="heading 2"/>
    <w:next w:val="BodyText1"/>
    <w:link w:val="Heading2Char"/>
    <w:qFormat/>
    <w:rsid w:val="00EF42B0"/>
    <w:pPr>
      <w:keepNext/>
      <w:spacing w:before="284" w:after="57" w:line="340" w:lineRule="atLeast"/>
      <w:outlineLvl w:val="1"/>
    </w:pPr>
    <w:rPr>
      <w:rFonts w:ascii="Calibri" w:eastAsia="Times New Roman" w:hAnsi="Calibri" w:cs="Times New Roman"/>
      <w:b/>
      <w:color w:val="1F497D" w:themeColor="text2"/>
      <w:sz w:val="28"/>
      <w:szCs w:val="28"/>
    </w:rPr>
  </w:style>
  <w:style w:type="paragraph" w:styleId="Heading3">
    <w:name w:val="heading 3"/>
    <w:next w:val="BodyText1"/>
    <w:link w:val="Heading3Char"/>
    <w:qFormat/>
    <w:rsid w:val="00EF42B0"/>
    <w:pPr>
      <w:keepNext/>
      <w:spacing w:before="284" w:after="57" w:line="264" w:lineRule="atLeast"/>
      <w:outlineLvl w:val="2"/>
    </w:pPr>
    <w:rPr>
      <w:rFonts w:ascii="Calibri" w:eastAsia="Times New Roman" w:hAnsi="Calibri" w:cs="Times New Roman"/>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DC52A2"/>
    <w:pPr>
      <w:numPr>
        <w:numId w:val="1"/>
      </w:numPr>
      <w:tabs>
        <w:tab w:val="left" w:pos="510"/>
      </w:tabs>
      <w:spacing w:before="57" w:after="57" w:line="320" w:lineRule="atLeast"/>
    </w:pPr>
    <w:rPr>
      <w:rFonts w:ascii="Calibri" w:eastAsia="Times New Roman" w:hAnsi="Calibri" w:cs="Times New Roman"/>
      <w:color w:val="000000" w:themeColor="text1"/>
      <w:szCs w:val="24"/>
    </w:rPr>
  </w:style>
  <w:style w:type="character" w:customStyle="1" w:styleId="Heading1Char">
    <w:name w:val="Heading 1 Char"/>
    <w:basedOn w:val="DefaultParagraphFont"/>
    <w:link w:val="Heading1"/>
    <w:rsid w:val="00EF42B0"/>
    <w:rPr>
      <w:rFonts w:ascii="Calibri" w:eastAsia="Times New Roman" w:hAnsi="Calibri" w:cs="Times New Roman"/>
      <w:b/>
      <w:caps/>
      <w:color w:val="1F497D" w:themeColor="text2"/>
      <w:kern w:val="32"/>
      <w:sz w:val="28"/>
      <w:szCs w:val="32"/>
    </w:rPr>
  </w:style>
  <w:style w:type="character" w:customStyle="1" w:styleId="Heading2Char">
    <w:name w:val="Heading 2 Char"/>
    <w:basedOn w:val="DefaultParagraphFont"/>
    <w:link w:val="Heading2"/>
    <w:rsid w:val="00EF42B0"/>
    <w:rPr>
      <w:rFonts w:ascii="Calibri" w:eastAsia="Times New Roman" w:hAnsi="Calibri" w:cs="Times New Roman"/>
      <w:b/>
      <w:color w:val="1F497D" w:themeColor="text2"/>
      <w:sz w:val="28"/>
      <w:szCs w:val="28"/>
    </w:rPr>
  </w:style>
  <w:style w:type="character" w:customStyle="1" w:styleId="Heading3Char">
    <w:name w:val="Heading 3 Char"/>
    <w:basedOn w:val="DefaultParagraphFont"/>
    <w:link w:val="Heading3"/>
    <w:rsid w:val="00EF42B0"/>
    <w:rPr>
      <w:rFonts w:ascii="Calibri" w:eastAsia="Times New Roman" w:hAnsi="Calibri" w:cs="Times New Roman"/>
      <w:color w:val="1F497D" w:themeColor="text2"/>
      <w:szCs w:val="26"/>
    </w:rPr>
  </w:style>
  <w:style w:type="paragraph" w:customStyle="1" w:styleId="Bullets1stindent">
    <w:name w:val="Bullets (1st indent)"/>
    <w:basedOn w:val="BodyText1"/>
    <w:qFormat/>
    <w:rsid w:val="00EF42B0"/>
    <w:pPr>
      <w:numPr>
        <w:numId w:val="2"/>
      </w:numPr>
      <w:tabs>
        <w:tab w:val="clear" w:pos="510"/>
      </w:tabs>
    </w:pPr>
  </w:style>
  <w:style w:type="paragraph" w:customStyle="1" w:styleId="Bullets2ndindent">
    <w:name w:val="Bullets (2nd indent)"/>
    <w:basedOn w:val="BodyText1"/>
    <w:qFormat/>
    <w:rsid w:val="00EF42B0"/>
    <w:pPr>
      <w:numPr>
        <w:ilvl w:val="1"/>
        <w:numId w:val="2"/>
      </w:numPr>
      <w:tabs>
        <w:tab w:val="clear" w:pos="510"/>
      </w:tabs>
    </w:pPr>
  </w:style>
  <w:style w:type="paragraph" w:customStyle="1" w:styleId="Tablebullets2ndindent">
    <w:name w:val="Table bullets (2nd indent)"/>
    <w:basedOn w:val="Normal"/>
    <w:qFormat/>
    <w:rsid w:val="00EF42B0"/>
    <w:pPr>
      <w:numPr>
        <w:ilvl w:val="5"/>
        <w:numId w:val="2"/>
      </w:numPr>
      <w:spacing w:before="57" w:after="57" w:line="192" w:lineRule="atLeast"/>
      <w:ind w:right="85"/>
    </w:pPr>
    <w:rPr>
      <w:rFonts w:ascii="Calibri" w:eastAsia="Times New Roman" w:hAnsi="Calibri" w:cs="Times New Roman"/>
      <w:color w:val="000000" w:themeColor="text1"/>
      <w:sz w:val="16"/>
      <w:szCs w:val="24"/>
    </w:rPr>
  </w:style>
  <w:style w:type="paragraph" w:customStyle="1" w:styleId="Tablebullets1stindent">
    <w:name w:val="Table bullets (1st indent)"/>
    <w:basedOn w:val="Normal"/>
    <w:qFormat/>
    <w:rsid w:val="00EF42B0"/>
    <w:pPr>
      <w:numPr>
        <w:ilvl w:val="4"/>
        <w:numId w:val="2"/>
      </w:numPr>
      <w:spacing w:before="57" w:after="57" w:line="192" w:lineRule="atLeast"/>
      <w:ind w:right="85"/>
    </w:pPr>
    <w:rPr>
      <w:rFonts w:ascii="Calibri" w:eastAsia="Times New Roman" w:hAnsi="Calibri" w:cs="Times New Roman"/>
      <w:color w:val="000000" w:themeColor="text1"/>
      <w:sz w:val="16"/>
      <w:szCs w:val="24"/>
    </w:rPr>
  </w:style>
  <w:style w:type="numbering" w:customStyle="1" w:styleId="Bullets">
    <w:name w:val="Bullets"/>
    <w:basedOn w:val="NoList"/>
    <w:rsid w:val="00EF42B0"/>
    <w:pPr>
      <w:numPr>
        <w:numId w:val="10"/>
      </w:numPr>
    </w:pPr>
  </w:style>
  <w:style w:type="paragraph" w:customStyle="1" w:styleId="Casestudybullet">
    <w:name w:val="Case study bullet"/>
    <w:basedOn w:val="Normal"/>
    <w:rsid w:val="00EF42B0"/>
    <w:pPr>
      <w:numPr>
        <w:ilvl w:val="7"/>
        <w:numId w:val="2"/>
      </w:numPr>
      <w:spacing w:before="57" w:after="57" w:line="320" w:lineRule="atLeast"/>
      <w:ind w:right="284"/>
    </w:pPr>
    <w:rPr>
      <w:rFonts w:ascii="Calibri" w:eastAsia="Times New Roman" w:hAnsi="Calibri" w:cs="Times New Roman"/>
      <w:color w:val="000000" w:themeColor="text1"/>
      <w:szCs w:val="24"/>
    </w:rPr>
  </w:style>
  <w:style w:type="paragraph" w:customStyle="1" w:styleId="Bodytextnonumbering">
    <w:name w:val="Body text (no numbering)"/>
    <w:basedOn w:val="BodyText1"/>
    <w:qFormat/>
    <w:rsid w:val="00EF42B0"/>
    <w:pPr>
      <w:numPr>
        <w:numId w:val="0"/>
      </w:numPr>
    </w:pPr>
  </w:style>
  <w:style w:type="paragraph" w:styleId="FootnoteText">
    <w:name w:val="footnote text"/>
    <w:basedOn w:val="Normal"/>
    <w:link w:val="FootnoteTextChar"/>
    <w:uiPriority w:val="99"/>
    <w:semiHidden/>
    <w:unhideWhenUsed/>
    <w:rsid w:val="00EF42B0"/>
    <w:pPr>
      <w:spacing w:after="0" w:line="240" w:lineRule="auto"/>
    </w:pPr>
    <w:rPr>
      <w:rFonts w:ascii="Calibri" w:eastAsia="Times New Roman" w:hAnsi="Calibri"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EF42B0"/>
    <w:rPr>
      <w:rFonts w:ascii="Calibri" w:eastAsia="Times New Roman" w:hAnsi="Calibri" w:cs="Times New Roman"/>
      <w:color w:val="000000" w:themeColor="text1"/>
      <w:sz w:val="20"/>
      <w:szCs w:val="20"/>
    </w:rPr>
  </w:style>
  <w:style w:type="character" w:styleId="FootnoteReference">
    <w:name w:val="footnote reference"/>
    <w:basedOn w:val="DefaultParagraphFont"/>
    <w:uiPriority w:val="99"/>
    <w:semiHidden/>
    <w:unhideWhenUsed/>
    <w:rsid w:val="00EF42B0"/>
    <w:rPr>
      <w:vertAlign w:val="superscript"/>
    </w:rPr>
  </w:style>
  <w:style w:type="character" w:styleId="Strong">
    <w:name w:val="Strong"/>
    <w:basedOn w:val="DefaultParagraphFont"/>
    <w:uiPriority w:val="22"/>
    <w:qFormat/>
    <w:rsid w:val="00EF42B0"/>
    <w:rPr>
      <w:b/>
      <w:bCs/>
    </w:rPr>
  </w:style>
  <w:style w:type="paragraph" w:styleId="BalloonText">
    <w:name w:val="Balloon Text"/>
    <w:basedOn w:val="Normal"/>
    <w:link w:val="BalloonTextChar"/>
    <w:uiPriority w:val="99"/>
    <w:semiHidden/>
    <w:unhideWhenUsed/>
    <w:rsid w:val="00EF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B0"/>
    <w:rPr>
      <w:rFonts w:ascii="Tahoma" w:hAnsi="Tahoma" w:cs="Tahoma"/>
      <w:sz w:val="16"/>
      <w:szCs w:val="16"/>
    </w:rPr>
  </w:style>
  <w:style w:type="paragraph" w:styleId="ListParagraph">
    <w:name w:val="List Paragraph"/>
    <w:basedOn w:val="Normal"/>
    <w:uiPriority w:val="99"/>
    <w:qFormat/>
    <w:rsid w:val="00752C3E"/>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CABNETParagraph">
    <w:name w:val="CABNET Paragraph"/>
    <w:basedOn w:val="Normal"/>
    <w:link w:val="CABNETParagraphChar"/>
    <w:qFormat/>
    <w:rsid w:val="00521CD1"/>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521CD1"/>
    <w:rPr>
      <w:rFonts w:ascii="Verdana" w:hAnsi="Verdana"/>
    </w:rPr>
  </w:style>
  <w:style w:type="numbering" w:customStyle="1" w:styleId="BulletList">
    <w:name w:val="Bullet List"/>
    <w:uiPriority w:val="99"/>
    <w:rsid w:val="00C83B13"/>
    <w:pPr>
      <w:numPr>
        <w:numId w:val="3"/>
      </w:numPr>
    </w:pPr>
  </w:style>
  <w:style w:type="paragraph" w:customStyle="1" w:styleId="1BulletStyleList">
    <w:name w:val="1. Bullet Style List"/>
    <w:basedOn w:val="Normal"/>
    <w:link w:val="1BulletStyleListChar"/>
    <w:qFormat/>
    <w:rsid w:val="00C83B13"/>
    <w:pPr>
      <w:numPr>
        <w:numId w:val="4"/>
      </w:numPr>
      <w:spacing w:line="240" w:lineRule="auto"/>
    </w:pPr>
    <w:rPr>
      <w:rFonts w:ascii="Calibri" w:eastAsia="Times New Roman" w:hAnsi="Calibri" w:cs="Times New Roman"/>
      <w:sz w:val="24"/>
      <w:szCs w:val="20"/>
      <w:lang w:eastAsia="en-AU"/>
    </w:rPr>
  </w:style>
  <w:style w:type="character" w:customStyle="1" w:styleId="1BulletStyleListChar">
    <w:name w:val="1. Bullet Style List Char"/>
    <w:basedOn w:val="DefaultParagraphFont"/>
    <w:link w:val="1BulletStyleList"/>
    <w:rsid w:val="00C83B13"/>
    <w:rPr>
      <w:rFonts w:ascii="Calibri" w:eastAsia="Times New Roman" w:hAnsi="Calibri" w:cs="Times New Roman"/>
      <w:sz w:val="24"/>
      <w:szCs w:val="20"/>
      <w:lang w:eastAsia="en-AU"/>
    </w:rPr>
  </w:style>
  <w:style w:type="numbering" w:customStyle="1" w:styleId="CABNETList">
    <w:name w:val="CABNET List"/>
    <w:rsid w:val="0006039C"/>
    <w:pPr>
      <w:numPr>
        <w:numId w:val="7"/>
      </w:numPr>
    </w:pPr>
  </w:style>
  <w:style w:type="paragraph" w:styleId="NormalWeb">
    <w:name w:val="Normal (Web)"/>
    <w:basedOn w:val="Normal"/>
    <w:uiPriority w:val="99"/>
    <w:unhideWhenUsed/>
    <w:rsid w:val="001D69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69DA"/>
  </w:style>
  <w:style w:type="character" w:styleId="Hyperlink">
    <w:name w:val="Hyperlink"/>
    <w:basedOn w:val="DefaultParagraphFont"/>
    <w:uiPriority w:val="99"/>
    <w:semiHidden/>
    <w:unhideWhenUsed/>
    <w:rsid w:val="001D69DA"/>
    <w:rPr>
      <w:color w:val="0000FF"/>
      <w:u w:val="single"/>
    </w:rPr>
  </w:style>
  <w:style w:type="character" w:styleId="CommentReference">
    <w:name w:val="annotation reference"/>
    <w:basedOn w:val="DefaultParagraphFont"/>
    <w:uiPriority w:val="99"/>
    <w:semiHidden/>
    <w:unhideWhenUsed/>
    <w:rsid w:val="00F84CC0"/>
    <w:rPr>
      <w:sz w:val="16"/>
      <w:szCs w:val="16"/>
    </w:rPr>
  </w:style>
  <w:style w:type="paragraph" w:styleId="CommentText">
    <w:name w:val="annotation text"/>
    <w:basedOn w:val="Normal"/>
    <w:link w:val="CommentTextChar"/>
    <w:uiPriority w:val="99"/>
    <w:semiHidden/>
    <w:unhideWhenUsed/>
    <w:rsid w:val="00F84CC0"/>
    <w:pPr>
      <w:spacing w:line="240" w:lineRule="auto"/>
    </w:pPr>
    <w:rPr>
      <w:sz w:val="20"/>
      <w:szCs w:val="20"/>
    </w:rPr>
  </w:style>
  <w:style w:type="character" w:customStyle="1" w:styleId="CommentTextChar">
    <w:name w:val="Comment Text Char"/>
    <w:basedOn w:val="DefaultParagraphFont"/>
    <w:link w:val="CommentText"/>
    <w:uiPriority w:val="99"/>
    <w:semiHidden/>
    <w:rsid w:val="00F84CC0"/>
    <w:rPr>
      <w:sz w:val="20"/>
      <w:szCs w:val="20"/>
    </w:rPr>
  </w:style>
  <w:style w:type="paragraph" w:styleId="CommentSubject">
    <w:name w:val="annotation subject"/>
    <w:basedOn w:val="CommentText"/>
    <w:next w:val="CommentText"/>
    <w:link w:val="CommentSubjectChar"/>
    <w:uiPriority w:val="99"/>
    <w:semiHidden/>
    <w:unhideWhenUsed/>
    <w:rsid w:val="00C57421"/>
    <w:rPr>
      <w:b/>
      <w:bCs/>
    </w:rPr>
  </w:style>
  <w:style w:type="character" w:customStyle="1" w:styleId="CommentSubjectChar">
    <w:name w:val="Comment Subject Char"/>
    <w:basedOn w:val="CommentTextChar"/>
    <w:link w:val="CommentSubject"/>
    <w:uiPriority w:val="99"/>
    <w:semiHidden/>
    <w:rsid w:val="00C57421"/>
    <w:rPr>
      <w:b/>
      <w:bCs/>
      <w:sz w:val="20"/>
      <w:szCs w:val="20"/>
    </w:rPr>
  </w:style>
  <w:style w:type="paragraph" w:styleId="Header">
    <w:name w:val="header"/>
    <w:basedOn w:val="Normal"/>
    <w:link w:val="HeaderChar"/>
    <w:uiPriority w:val="99"/>
    <w:unhideWhenUsed/>
    <w:rsid w:val="0060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DED"/>
  </w:style>
  <w:style w:type="paragraph" w:styleId="Footer">
    <w:name w:val="footer"/>
    <w:basedOn w:val="Normal"/>
    <w:link w:val="FooterChar"/>
    <w:uiPriority w:val="99"/>
    <w:unhideWhenUsed/>
    <w:rsid w:val="0060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0680">
      <w:bodyDiv w:val="1"/>
      <w:marLeft w:val="0"/>
      <w:marRight w:val="0"/>
      <w:marTop w:val="0"/>
      <w:marBottom w:val="0"/>
      <w:divBdr>
        <w:top w:val="none" w:sz="0" w:space="0" w:color="auto"/>
        <w:left w:val="none" w:sz="0" w:space="0" w:color="auto"/>
        <w:bottom w:val="none" w:sz="0" w:space="0" w:color="auto"/>
        <w:right w:val="none" w:sz="0" w:space="0" w:color="auto"/>
      </w:divBdr>
      <w:divsChild>
        <w:div w:id="1973703408">
          <w:marLeft w:val="274"/>
          <w:marRight w:val="0"/>
          <w:marTop w:val="0"/>
          <w:marBottom w:val="0"/>
          <w:divBdr>
            <w:top w:val="none" w:sz="0" w:space="0" w:color="auto"/>
            <w:left w:val="none" w:sz="0" w:space="0" w:color="auto"/>
            <w:bottom w:val="none" w:sz="0" w:space="0" w:color="auto"/>
            <w:right w:val="none" w:sz="0" w:space="0" w:color="auto"/>
          </w:divBdr>
        </w:div>
        <w:div w:id="1846478300">
          <w:marLeft w:val="274"/>
          <w:marRight w:val="0"/>
          <w:marTop w:val="48"/>
          <w:marBottom w:val="48"/>
          <w:divBdr>
            <w:top w:val="none" w:sz="0" w:space="0" w:color="auto"/>
            <w:left w:val="none" w:sz="0" w:space="0" w:color="auto"/>
            <w:bottom w:val="none" w:sz="0" w:space="0" w:color="auto"/>
            <w:right w:val="none" w:sz="0" w:space="0" w:color="auto"/>
          </w:divBdr>
        </w:div>
      </w:divsChild>
    </w:div>
    <w:div w:id="1804687856">
      <w:bodyDiv w:val="1"/>
      <w:marLeft w:val="0"/>
      <w:marRight w:val="0"/>
      <w:marTop w:val="0"/>
      <w:marBottom w:val="0"/>
      <w:divBdr>
        <w:top w:val="none" w:sz="0" w:space="0" w:color="auto"/>
        <w:left w:val="none" w:sz="0" w:space="0" w:color="auto"/>
        <w:bottom w:val="none" w:sz="0" w:space="0" w:color="auto"/>
        <w:right w:val="none" w:sz="0" w:space="0" w:color="auto"/>
      </w:divBdr>
    </w:div>
    <w:div w:id="20479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64D3-3CE0-462F-8D3E-3A200394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Todoroski</dc:creator>
  <cp:lastModifiedBy>Whittaker Stephen</cp:lastModifiedBy>
  <cp:revision>2</cp:revision>
  <cp:lastPrinted>2015-11-15T21:54:00Z</cp:lastPrinted>
  <dcterms:created xsi:type="dcterms:W3CDTF">2015-11-15T21:54:00Z</dcterms:created>
  <dcterms:modified xsi:type="dcterms:W3CDTF">2015-11-15T21:54:00Z</dcterms:modified>
</cp:coreProperties>
</file>