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D3" w:rsidRPr="00DC14D3" w:rsidRDefault="00DC14D3" w:rsidP="004A4257">
      <w:pPr>
        <w:ind w:left="567" w:hanging="567"/>
      </w:pPr>
      <w:r>
        <w:tab/>
      </w:r>
      <w:r>
        <w:tab/>
      </w:r>
      <w:r>
        <w:tab/>
      </w:r>
      <w:r>
        <w:tab/>
      </w:r>
      <w:r>
        <w:tab/>
      </w:r>
      <w:r>
        <w:tab/>
      </w:r>
      <w:r>
        <w:tab/>
      </w:r>
      <w:r>
        <w:tab/>
      </w:r>
      <w:r>
        <w:tab/>
      </w:r>
      <w:r>
        <w:tab/>
      </w:r>
      <w:r>
        <w:tab/>
      </w:r>
      <w:r>
        <w:tab/>
      </w:r>
      <w:r>
        <w:tab/>
      </w:r>
      <w:r w:rsidR="00EB0EE4">
        <w:t xml:space="preserve">      </w:t>
      </w:r>
      <w:r w:rsidR="00040328">
        <w:rPr>
          <w:noProof/>
          <w:lang w:eastAsia="en-GB"/>
        </w:rPr>
        <w:drawing>
          <wp:inline distT="0" distB="0" distL="0" distR="0">
            <wp:extent cx="2857500" cy="771525"/>
            <wp:effectExtent l="19050" t="0" r="0" b="0"/>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8" cstate="print"/>
                    <a:srcRect/>
                    <a:stretch>
                      <a:fillRect/>
                    </a:stretch>
                  </pic:blipFill>
                  <pic:spPr bwMode="auto">
                    <a:xfrm>
                      <a:off x="0" y="0"/>
                      <a:ext cx="2857500" cy="771525"/>
                    </a:xfrm>
                    <a:prstGeom prst="rect">
                      <a:avLst/>
                    </a:prstGeom>
                    <a:noFill/>
                    <a:ln w="9525">
                      <a:noFill/>
                      <a:miter lim="800000"/>
                      <a:headEnd/>
                      <a:tailEnd/>
                    </a:ln>
                  </pic:spPr>
                </pic:pic>
              </a:graphicData>
            </a:graphic>
          </wp:inline>
        </w:drawing>
      </w:r>
    </w:p>
    <w:p w:rsidR="00DC14D3" w:rsidRPr="00DC14D3" w:rsidRDefault="00DC14D3" w:rsidP="004A4257">
      <w:pPr>
        <w:ind w:left="567" w:hanging="567"/>
      </w:pPr>
    </w:p>
    <w:p w:rsidR="0060567B" w:rsidRDefault="004A4257" w:rsidP="004A4257">
      <w:pPr>
        <w:pStyle w:val="Titleblack"/>
        <w:spacing w:after="0" w:line="240" w:lineRule="auto"/>
      </w:pPr>
      <w:r>
        <w:t>Illegal offshore wagering and consumer protection</w:t>
      </w:r>
    </w:p>
    <w:p w:rsidR="00C943BD" w:rsidRPr="00C53DFF" w:rsidRDefault="004A4257" w:rsidP="004A4257">
      <w:pPr>
        <w:pStyle w:val="Maintext"/>
        <w:spacing w:line="240" w:lineRule="auto"/>
        <w:ind w:left="567" w:hanging="567"/>
        <w:rPr>
          <w:sz w:val="32"/>
          <w:szCs w:val="32"/>
        </w:rPr>
      </w:pPr>
      <w:r>
        <w:rPr>
          <w:sz w:val="32"/>
          <w:szCs w:val="32"/>
        </w:rPr>
        <w:t>November</w:t>
      </w:r>
      <w:r w:rsidR="00EB0EE4">
        <w:rPr>
          <w:sz w:val="32"/>
          <w:szCs w:val="32"/>
        </w:rPr>
        <w:t xml:space="preserve"> 20</w:t>
      </w:r>
      <w:r>
        <w:rPr>
          <w:sz w:val="32"/>
          <w:szCs w:val="32"/>
        </w:rPr>
        <w:t>15</w:t>
      </w:r>
    </w:p>
    <w:p w:rsidR="00FD09C5" w:rsidRDefault="00A450DA" w:rsidP="004A4257">
      <w:pPr>
        <w:ind w:left="567" w:hanging="567"/>
      </w:pPr>
      <w:r>
        <w:rPr>
          <w:noProof/>
          <w:lang w:eastAsia="en-GB"/>
        </w:rPr>
        <w:pict>
          <v:line id="_x0000_s1026" style="position:absolute;left:0;text-align:left;z-index:251656192" from="-1pt,5.7pt" to="479.95pt,5.7pt" strokeweight="2pt"/>
        </w:pict>
      </w:r>
    </w:p>
    <w:p w:rsidR="00737055" w:rsidRPr="00737055" w:rsidRDefault="00737055" w:rsidP="00737055">
      <w:pPr>
        <w:pStyle w:val="Paraheadblack"/>
        <w:spacing w:line="240" w:lineRule="auto"/>
        <w:ind w:left="567" w:firstLine="0"/>
        <w:rPr>
          <w:b w:val="0"/>
        </w:rPr>
      </w:pPr>
    </w:p>
    <w:p w:rsidR="003964A2" w:rsidRPr="004B01AC" w:rsidRDefault="004A4257" w:rsidP="000156C3">
      <w:pPr>
        <w:pStyle w:val="Paraheadblack"/>
        <w:numPr>
          <w:ilvl w:val="0"/>
          <w:numId w:val="2"/>
        </w:numPr>
        <w:spacing w:line="240" w:lineRule="auto"/>
        <w:ind w:left="567" w:hanging="567"/>
        <w:rPr>
          <w:rStyle w:val="ParanumberblueChar"/>
          <w:color w:val="000000"/>
          <w:sz w:val="32"/>
          <w:szCs w:val="32"/>
        </w:rPr>
      </w:pPr>
      <w:r>
        <w:t xml:space="preserve"> </w:t>
      </w:r>
      <w:r>
        <w:tab/>
      </w:r>
      <w:r w:rsidR="003964A2" w:rsidRPr="004B01AC">
        <w:t>Introduction</w:t>
      </w:r>
    </w:p>
    <w:p w:rsidR="0060567B" w:rsidRPr="00C26A10" w:rsidRDefault="0060567B" w:rsidP="004A4257">
      <w:pPr>
        <w:pStyle w:val="Basictext"/>
        <w:ind w:left="567" w:hanging="567"/>
      </w:pPr>
    </w:p>
    <w:p w:rsidR="004A4257" w:rsidRDefault="004A4257" w:rsidP="004A4257">
      <w:pPr>
        <w:pStyle w:val="ListParagraph"/>
        <w:autoSpaceDE w:val="0"/>
        <w:autoSpaceDN w:val="0"/>
        <w:adjustRightInd w:val="0"/>
        <w:spacing w:after="0" w:line="240" w:lineRule="auto"/>
        <w:ind w:left="567" w:hanging="567"/>
        <w:rPr>
          <w:rFonts w:ascii="Arial" w:hAnsi="Arial" w:cs="Arial"/>
          <w:color w:val="000000"/>
        </w:rPr>
      </w:pPr>
      <w:r>
        <w:rPr>
          <w:rFonts w:ascii="Arial" w:hAnsi="Arial" w:cs="Arial"/>
          <w:color w:val="000000"/>
        </w:rPr>
        <w:t xml:space="preserve">1.1 </w:t>
      </w:r>
      <w:r>
        <w:rPr>
          <w:rFonts w:ascii="Arial" w:hAnsi="Arial" w:cs="Arial"/>
          <w:color w:val="000000"/>
        </w:rPr>
        <w:tab/>
      </w:r>
      <w:r w:rsidRPr="009E060B">
        <w:rPr>
          <w:rFonts w:ascii="Arial" w:hAnsi="Arial" w:cs="Arial"/>
          <w:color w:val="000000"/>
        </w:rPr>
        <w:t>This is the British Gambling Commission’s response to the request from the Department of Social Services, Australian Government, for views on a number of questions relati</w:t>
      </w:r>
      <w:r>
        <w:rPr>
          <w:rFonts w:ascii="Arial" w:hAnsi="Arial" w:cs="Arial"/>
          <w:color w:val="000000"/>
        </w:rPr>
        <w:t>ng to illegal offshore wagering including the efficacy of approaches to protect the consumer.</w:t>
      </w:r>
    </w:p>
    <w:p w:rsidR="004A4257" w:rsidRPr="009E060B" w:rsidRDefault="004A4257" w:rsidP="004A4257">
      <w:pPr>
        <w:pStyle w:val="ListParagraph"/>
        <w:autoSpaceDE w:val="0"/>
        <w:autoSpaceDN w:val="0"/>
        <w:adjustRightInd w:val="0"/>
        <w:spacing w:after="0" w:line="240" w:lineRule="auto"/>
        <w:ind w:left="567" w:hanging="567"/>
        <w:rPr>
          <w:rFonts w:ascii="Arial" w:hAnsi="Arial" w:cs="Arial"/>
          <w:color w:val="000000"/>
        </w:rPr>
      </w:pPr>
    </w:p>
    <w:p w:rsidR="00C863FC" w:rsidRDefault="004A4257" w:rsidP="004A4257">
      <w:pPr>
        <w:pStyle w:val="ListParagraph"/>
        <w:spacing w:after="0" w:line="240" w:lineRule="auto"/>
        <w:ind w:left="567" w:hanging="567"/>
        <w:rPr>
          <w:rFonts w:ascii="Arial" w:hAnsi="Arial" w:cs="Arial"/>
          <w:color w:val="000000"/>
        </w:rPr>
      </w:pPr>
      <w:r>
        <w:rPr>
          <w:rFonts w:ascii="Arial" w:hAnsi="Arial" w:cs="Arial"/>
          <w:color w:val="000000"/>
        </w:rPr>
        <w:t xml:space="preserve">1.2 </w:t>
      </w:r>
      <w:r>
        <w:rPr>
          <w:rFonts w:ascii="Arial" w:hAnsi="Arial" w:cs="Arial"/>
          <w:color w:val="000000"/>
        </w:rPr>
        <w:tab/>
      </w:r>
      <w:r w:rsidRPr="00701362">
        <w:rPr>
          <w:rFonts w:ascii="Arial" w:hAnsi="Arial" w:cs="Arial"/>
          <w:color w:val="000000"/>
        </w:rPr>
        <w:t xml:space="preserve">We are not in a position to assess the impact of illegal offshore wagering and associated financial transactions on the Australian economy (question </w:t>
      </w:r>
      <w:r>
        <w:rPr>
          <w:rFonts w:ascii="Arial" w:hAnsi="Arial" w:cs="Arial"/>
          <w:color w:val="000000"/>
        </w:rPr>
        <w:t>2</w:t>
      </w:r>
      <w:r w:rsidRPr="00701362">
        <w:rPr>
          <w:rFonts w:ascii="Arial" w:hAnsi="Arial" w:cs="Arial"/>
          <w:color w:val="000000"/>
        </w:rPr>
        <w:t xml:space="preserve">) or directly to suggest what measures could be implemented to improve the enforcement of the Interactive Gambling Act 2001 or other relevant legislation (question </w:t>
      </w:r>
      <w:r>
        <w:rPr>
          <w:rFonts w:ascii="Arial" w:hAnsi="Arial" w:cs="Arial"/>
          <w:color w:val="000000"/>
        </w:rPr>
        <w:t>3</w:t>
      </w:r>
      <w:r w:rsidRPr="00701362">
        <w:rPr>
          <w:rFonts w:ascii="Arial" w:hAnsi="Arial" w:cs="Arial"/>
          <w:color w:val="000000"/>
        </w:rPr>
        <w:t>) but</w:t>
      </w:r>
      <w:r w:rsidR="00B0199F">
        <w:rPr>
          <w:rFonts w:ascii="Arial" w:hAnsi="Arial" w:cs="Arial"/>
          <w:color w:val="000000"/>
        </w:rPr>
        <w:t>,</w:t>
      </w:r>
      <w:r w:rsidRPr="00701362">
        <w:rPr>
          <w:rFonts w:ascii="Arial" w:hAnsi="Arial" w:cs="Arial"/>
          <w:color w:val="000000"/>
        </w:rPr>
        <w:t xml:space="preserve"> by describing our experience in tackling analogous issues in Britain, we may be able to assist the review in considering possible options and in answering the remaining questions (1, 4</w:t>
      </w:r>
      <w:r w:rsidR="00737055">
        <w:rPr>
          <w:rFonts w:ascii="Arial" w:hAnsi="Arial" w:cs="Arial"/>
          <w:color w:val="000000"/>
        </w:rPr>
        <w:t xml:space="preserve"> </w:t>
      </w:r>
      <w:r>
        <w:rPr>
          <w:rFonts w:ascii="Arial" w:hAnsi="Arial" w:cs="Arial"/>
          <w:color w:val="000000"/>
        </w:rPr>
        <w:t>-</w:t>
      </w:r>
      <w:r w:rsidR="00737055">
        <w:rPr>
          <w:rFonts w:ascii="Arial" w:hAnsi="Arial" w:cs="Arial"/>
          <w:color w:val="000000"/>
        </w:rPr>
        <w:t xml:space="preserve"> </w:t>
      </w:r>
      <w:r w:rsidRPr="00701362">
        <w:rPr>
          <w:rFonts w:ascii="Arial" w:hAnsi="Arial" w:cs="Arial"/>
          <w:color w:val="000000"/>
        </w:rPr>
        <w:t xml:space="preserve">7). </w:t>
      </w:r>
    </w:p>
    <w:p w:rsidR="00C863FC" w:rsidRPr="00F171CD" w:rsidRDefault="00C863FC" w:rsidP="004A4257">
      <w:pPr>
        <w:pStyle w:val="ListParagraph"/>
        <w:spacing w:after="0" w:line="240" w:lineRule="auto"/>
        <w:ind w:left="567" w:hanging="567"/>
        <w:rPr>
          <w:rFonts w:ascii="Arial" w:hAnsi="Arial" w:cs="Arial"/>
          <w:color w:val="000000"/>
        </w:rPr>
      </w:pPr>
    </w:p>
    <w:p w:rsidR="00B60681" w:rsidRDefault="00C863FC">
      <w:pPr>
        <w:pStyle w:val="ListParagraph"/>
        <w:spacing w:after="0" w:line="240" w:lineRule="auto"/>
        <w:ind w:left="567" w:hanging="567"/>
        <w:rPr>
          <w:rFonts w:ascii="Arial" w:hAnsi="Arial" w:cs="Arial"/>
          <w:color w:val="000000"/>
        </w:rPr>
      </w:pPr>
      <w:r w:rsidRPr="00F171CD">
        <w:rPr>
          <w:rFonts w:ascii="Arial" w:hAnsi="Arial" w:cs="Arial"/>
          <w:color w:val="000000"/>
        </w:rPr>
        <w:t xml:space="preserve">1.3 </w:t>
      </w:r>
      <w:r w:rsidR="00F171CD">
        <w:rPr>
          <w:rFonts w:ascii="Arial" w:hAnsi="Arial" w:cs="Arial"/>
          <w:color w:val="000000"/>
        </w:rPr>
        <w:t xml:space="preserve">   </w:t>
      </w:r>
      <w:r w:rsidR="003C4537" w:rsidRPr="003C4537">
        <w:rPr>
          <w:rFonts w:ascii="Arial" w:hAnsi="Arial" w:cs="Arial"/>
          <w:color w:val="000000"/>
        </w:rPr>
        <w:t>While we permit and regulate all forms of remote gambling</w:t>
      </w:r>
      <w:r w:rsidR="002C4DA3">
        <w:rPr>
          <w:rFonts w:ascii="Arial" w:hAnsi="Arial" w:cs="Arial"/>
          <w:color w:val="000000"/>
        </w:rPr>
        <w:t>,</w:t>
      </w:r>
      <w:r w:rsidR="003C4537" w:rsidRPr="003C4537">
        <w:rPr>
          <w:rFonts w:ascii="Arial" w:hAnsi="Arial" w:cs="Arial"/>
          <w:color w:val="000000"/>
        </w:rPr>
        <w:t xml:space="preserve"> this contribution focuses in </w:t>
      </w:r>
      <w:r w:rsidR="00F171CD">
        <w:rPr>
          <w:rFonts w:ascii="Arial" w:hAnsi="Arial" w:cs="Arial"/>
          <w:color w:val="000000"/>
        </w:rPr>
        <w:t xml:space="preserve">  </w:t>
      </w:r>
      <w:r w:rsidR="003C4537" w:rsidRPr="003C4537">
        <w:rPr>
          <w:rFonts w:ascii="Arial" w:hAnsi="Arial" w:cs="Arial"/>
          <w:color w:val="000000"/>
        </w:rPr>
        <w:t>particular on the regulation of betting but within an overall context that favours inclusive regulation and targeted controls</w:t>
      </w:r>
      <w:r w:rsidR="00F171CD">
        <w:rPr>
          <w:rFonts w:ascii="Arial" w:hAnsi="Arial" w:cs="Arial"/>
          <w:color w:val="000000"/>
        </w:rPr>
        <w:t>,</w:t>
      </w:r>
      <w:r w:rsidR="003C4537" w:rsidRPr="003C4537">
        <w:rPr>
          <w:rFonts w:ascii="Arial" w:hAnsi="Arial" w:cs="Arial"/>
          <w:color w:val="000000"/>
        </w:rPr>
        <w:t xml:space="preserve"> </w:t>
      </w:r>
      <w:r w:rsidR="00F171CD">
        <w:rPr>
          <w:rFonts w:ascii="Arial" w:hAnsi="Arial" w:cs="Arial"/>
          <w:color w:val="000000"/>
        </w:rPr>
        <w:t>rather than</w:t>
      </w:r>
      <w:r w:rsidR="003C4537" w:rsidRPr="003C4537">
        <w:rPr>
          <w:rFonts w:ascii="Arial" w:hAnsi="Arial" w:cs="Arial"/>
          <w:color w:val="000000"/>
        </w:rPr>
        <w:t xml:space="preserve"> prohibition</w:t>
      </w:r>
      <w:r w:rsidR="00F171CD">
        <w:rPr>
          <w:rFonts w:ascii="Arial" w:hAnsi="Arial" w:cs="Arial"/>
          <w:color w:val="000000"/>
        </w:rPr>
        <w:t>,</w:t>
      </w:r>
      <w:r w:rsidR="003C4537" w:rsidRPr="003C4537">
        <w:rPr>
          <w:rFonts w:ascii="Arial" w:hAnsi="Arial" w:cs="Arial"/>
          <w:color w:val="000000"/>
        </w:rPr>
        <w:t xml:space="preserve"> as a way to minimise gambling related harm and </w:t>
      </w:r>
      <w:r w:rsidR="002C4DA3">
        <w:rPr>
          <w:rFonts w:ascii="Arial" w:hAnsi="Arial" w:cs="Arial"/>
          <w:color w:val="000000"/>
        </w:rPr>
        <w:t>keep crime, such as sports betting corruption and organised crime, out of gambling.</w:t>
      </w:r>
      <w:r w:rsidR="003C4537" w:rsidRPr="003C4537">
        <w:rPr>
          <w:rFonts w:ascii="Arial" w:hAnsi="Arial" w:cs="Arial"/>
          <w:color w:val="000000"/>
        </w:rPr>
        <w:t xml:space="preserve">   </w:t>
      </w:r>
    </w:p>
    <w:p w:rsidR="00B60681" w:rsidRDefault="00B60681">
      <w:pPr>
        <w:pStyle w:val="ListParagraph"/>
        <w:spacing w:after="0" w:line="240" w:lineRule="auto"/>
        <w:ind w:left="567" w:hanging="567"/>
        <w:rPr>
          <w:rFonts w:ascii="Arial" w:hAnsi="Arial" w:cs="Arial"/>
          <w:color w:val="000000"/>
        </w:rPr>
      </w:pPr>
    </w:p>
    <w:p w:rsidR="00B60681" w:rsidRDefault="000D5A3B">
      <w:pPr>
        <w:pStyle w:val="ListParagraph"/>
        <w:spacing w:after="0" w:line="240" w:lineRule="auto"/>
        <w:ind w:left="567" w:hanging="567"/>
        <w:rPr>
          <w:rFonts w:ascii="Arial" w:hAnsi="Arial" w:cs="Arial"/>
          <w:color w:val="000000"/>
        </w:rPr>
      </w:pPr>
      <w:r>
        <w:rPr>
          <w:rFonts w:ascii="Arial" w:hAnsi="Arial" w:cs="Arial"/>
          <w:color w:val="000000"/>
        </w:rPr>
        <w:t xml:space="preserve">1.4    </w:t>
      </w:r>
      <w:r w:rsidR="003C4537" w:rsidRPr="003C4537">
        <w:rPr>
          <w:rFonts w:ascii="Arial" w:hAnsi="Arial" w:cs="Arial"/>
          <w:color w:val="000000"/>
        </w:rPr>
        <w:t>This note describe</w:t>
      </w:r>
      <w:r w:rsidR="00B0199F">
        <w:rPr>
          <w:rFonts w:ascii="Arial" w:hAnsi="Arial" w:cs="Arial"/>
          <w:color w:val="000000"/>
        </w:rPr>
        <w:t>s</w:t>
      </w:r>
      <w:r>
        <w:rPr>
          <w:rFonts w:ascii="Arial" w:hAnsi="Arial" w:cs="Arial"/>
          <w:color w:val="000000"/>
        </w:rPr>
        <w:t xml:space="preserve"> in</w:t>
      </w:r>
    </w:p>
    <w:p w:rsidR="00B60681" w:rsidRDefault="00B0199F">
      <w:pPr>
        <w:pStyle w:val="ListParagraph"/>
        <w:spacing w:after="0" w:line="240" w:lineRule="auto"/>
        <w:ind w:left="1440" w:hanging="360"/>
        <w:rPr>
          <w:rFonts w:ascii="Arial" w:hAnsi="Arial" w:cs="Arial"/>
          <w:color w:val="000000"/>
        </w:rPr>
      </w:pPr>
      <w:r>
        <w:rPr>
          <w:rFonts w:ascii="Arial" w:hAnsi="Arial" w:cs="Arial"/>
          <w:color w:val="000000"/>
        </w:rPr>
        <w:t>-</w:t>
      </w:r>
      <w:r>
        <w:rPr>
          <w:rFonts w:ascii="Arial" w:hAnsi="Arial" w:cs="Arial"/>
          <w:color w:val="000000"/>
        </w:rPr>
        <w:tab/>
      </w:r>
      <w:proofErr w:type="gramStart"/>
      <w:r w:rsidR="000D5A3B" w:rsidRPr="00B0199F">
        <w:rPr>
          <w:rFonts w:ascii="Arial" w:hAnsi="Arial" w:cs="Arial"/>
          <w:color w:val="000000"/>
        </w:rPr>
        <w:t>section</w:t>
      </w:r>
      <w:proofErr w:type="gramEnd"/>
      <w:r w:rsidR="000D5A3B" w:rsidRPr="00B0199F">
        <w:rPr>
          <w:rFonts w:ascii="Arial" w:hAnsi="Arial" w:cs="Arial"/>
          <w:color w:val="000000"/>
        </w:rPr>
        <w:t xml:space="preserve"> 2</w:t>
      </w:r>
      <w:r w:rsidR="000D5A3B">
        <w:rPr>
          <w:rFonts w:ascii="Arial" w:hAnsi="Arial" w:cs="Arial"/>
          <w:color w:val="000000"/>
        </w:rPr>
        <w:t xml:space="preserve">, </w:t>
      </w:r>
      <w:r w:rsidR="003C4537" w:rsidRPr="003C4537">
        <w:rPr>
          <w:rFonts w:ascii="Arial" w:hAnsi="Arial" w:cs="Arial"/>
          <w:color w:val="000000"/>
        </w:rPr>
        <w:t xml:space="preserve">the history and development of the current regulatory regime for gambling  in Britain </w:t>
      </w:r>
      <w:r>
        <w:rPr>
          <w:rFonts w:ascii="Arial" w:hAnsi="Arial" w:cs="Arial"/>
          <w:color w:val="000000"/>
        </w:rPr>
        <w:t xml:space="preserve">  </w:t>
      </w:r>
    </w:p>
    <w:p w:rsidR="00B60681" w:rsidRDefault="00B0199F">
      <w:pPr>
        <w:pStyle w:val="ListParagraph"/>
        <w:spacing w:after="0" w:line="240" w:lineRule="auto"/>
        <w:ind w:left="927" w:firstLine="153"/>
        <w:rPr>
          <w:rFonts w:ascii="Arial" w:hAnsi="Arial" w:cs="Arial"/>
          <w:color w:val="000000"/>
        </w:rPr>
      </w:pPr>
      <w:r>
        <w:rPr>
          <w:rFonts w:ascii="Arial" w:hAnsi="Arial" w:cs="Arial"/>
          <w:color w:val="000000"/>
        </w:rPr>
        <w:t xml:space="preserve">-     </w:t>
      </w:r>
      <w:proofErr w:type="gramStart"/>
      <w:r w:rsidR="000D5A3B">
        <w:rPr>
          <w:rFonts w:ascii="Arial" w:hAnsi="Arial" w:cs="Arial"/>
          <w:color w:val="000000"/>
        </w:rPr>
        <w:t>section</w:t>
      </w:r>
      <w:proofErr w:type="gramEnd"/>
      <w:r w:rsidR="000D5A3B">
        <w:rPr>
          <w:rFonts w:ascii="Arial" w:hAnsi="Arial" w:cs="Arial"/>
          <w:color w:val="000000"/>
        </w:rPr>
        <w:t xml:space="preserve"> 3, </w:t>
      </w:r>
      <w:r w:rsidR="003C4537" w:rsidRPr="003C4537">
        <w:rPr>
          <w:rFonts w:ascii="Arial" w:hAnsi="Arial" w:cs="Arial"/>
          <w:color w:val="000000"/>
        </w:rPr>
        <w:t>the current market size and gambling prevalence and</w:t>
      </w:r>
      <w:r>
        <w:rPr>
          <w:rFonts w:ascii="Arial" w:hAnsi="Arial" w:cs="Arial"/>
          <w:color w:val="000000"/>
        </w:rPr>
        <w:t xml:space="preserve"> </w:t>
      </w:r>
    </w:p>
    <w:p w:rsidR="00B60681" w:rsidRDefault="00B0199F">
      <w:pPr>
        <w:pStyle w:val="ListParagraph"/>
        <w:spacing w:after="0" w:line="240" w:lineRule="auto"/>
        <w:ind w:left="927" w:firstLine="153"/>
        <w:rPr>
          <w:rFonts w:ascii="Arial" w:hAnsi="Arial" w:cs="Arial"/>
          <w:color w:val="000000"/>
        </w:rPr>
      </w:pPr>
      <w:r>
        <w:rPr>
          <w:rFonts w:ascii="Arial" w:hAnsi="Arial" w:cs="Arial"/>
          <w:color w:val="000000"/>
        </w:rPr>
        <w:t xml:space="preserve">-     </w:t>
      </w:r>
      <w:proofErr w:type="gramStart"/>
      <w:r w:rsidR="000D5A3B">
        <w:rPr>
          <w:rFonts w:ascii="Arial" w:hAnsi="Arial" w:cs="Arial"/>
          <w:color w:val="000000"/>
        </w:rPr>
        <w:t>section</w:t>
      </w:r>
      <w:proofErr w:type="gramEnd"/>
      <w:r w:rsidR="000D5A3B">
        <w:rPr>
          <w:rFonts w:ascii="Arial" w:hAnsi="Arial" w:cs="Arial"/>
          <w:color w:val="000000"/>
        </w:rPr>
        <w:t xml:space="preserve"> 4, the </w:t>
      </w:r>
      <w:r w:rsidR="003C4537" w:rsidRPr="003C4537">
        <w:rPr>
          <w:rFonts w:ascii="Arial" w:hAnsi="Arial" w:cs="Arial"/>
          <w:color w:val="000000"/>
        </w:rPr>
        <w:t xml:space="preserve">prevalence and characteristics of problem and at risk gambling.  </w:t>
      </w:r>
    </w:p>
    <w:p w:rsidR="00B60681" w:rsidRDefault="003C4537">
      <w:pPr>
        <w:pStyle w:val="ListParagraph"/>
        <w:spacing w:after="0" w:line="240" w:lineRule="auto"/>
        <w:rPr>
          <w:rFonts w:ascii="Arial" w:hAnsi="Arial" w:cs="Arial"/>
          <w:color w:val="000000"/>
        </w:rPr>
      </w:pPr>
      <w:r w:rsidRPr="003C4537">
        <w:rPr>
          <w:rFonts w:ascii="Arial" w:hAnsi="Arial" w:cs="Arial"/>
          <w:color w:val="000000"/>
        </w:rPr>
        <w:t>It then goes on to discuss</w:t>
      </w:r>
      <w:r w:rsidR="000D5A3B">
        <w:rPr>
          <w:rFonts w:ascii="Arial" w:hAnsi="Arial" w:cs="Arial"/>
          <w:color w:val="000000"/>
        </w:rPr>
        <w:t xml:space="preserve"> in</w:t>
      </w:r>
    </w:p>
    <w:p w:rsidR="00B60681" w:rsidRDefault="003C4537">
      <w:pPr>
        <w:pStyle w:val="ListParagraph"/>
        <w:numPr>
          <w:ilvl w:val="0"/>
          <w:numId w:val="19"/>
        </w:numPr>
        <w:spacing w:after="0" w:line="240" w:lineRule="auto"/>
        <w:rPr>
          <w:rFonts w:ascii="Arial" w:hAnsi="Arial" w:cs="Arial"/>
          <w:color w:val="000000"/>
        </w:rPr>
      </w:pPr>
      <w:r w:rsidRPr="003C4537">
        <w:rPr>
          <w:rFonts w:ascii="Arial" w:hAnsi="Arial" w:cs="Arial"/>
          <w:color w:val="000000"/>
        </w:rPr>
        <w:t xml:space="preserve"> </w:t>
      </w:r>
      <w:r w:rsidR="000D5A3B">
        <w:rPr>
          <w:rFonts w:ascii="Arial" w:hAnsi="Arial" w:cs="Arial"/>
          <w:color w:val="000000"/>
        </w:rPr>
        <w:t xml:space="preserve">section 5, </w:t>
      </w:r>
      <w:r w:rsidRPr="003C4537">
        <w:rPr>
          <w:rFonts w:ascii="Arial" w:hAnsi="Arial" w:cs="Arial"/>
          <w:color w:val="000000"/>
        </w:rPr>
        <w:t xml:space="preserve">the British approach to maintaining a socially responsible legal gambling market and minimising illegal competition </w:t>
      </w:r>
      <w:r w:rsidR="00F171CD">
        <w:rPr>
          <w:rFonts w:ascii="Arial" w:hAnsi="Arial" w:cs="Arial"/>
          <w:color w:val="000000"/>
        </w:rPr>
        <w:t xml:space="preserve"> </w:t>
      </w:r>
      <w:r w:rsidRPr="003C4537">
        <w:rPr>
          <w:rFonts w:ascii="Arial" w:hAnsi="Arial" w:cs="Arial"/>
          <w:color w:val="000000"/>
        </w:rPr>
        <w:t xml:space="preserve">and </w:t>
      </w:r>
    </w:p>
    <w:p w:rsidR="00B60681" w:rsidRDefault="002C4DA3">
      <w:pPr>
        <w:pStyle w:val="ListParagraph"/>
        <w:numPr>
          <w:ilvl w:val="0"/>
          <w:numId w:val="19"/>
        </w:numPr>
        <w:spacing w:after="0" w:line="240" w:lineRule="auto"/>
        <w:rPr>
          <w:rFonts w:ascii="Arial" w:hAnsi="Arial" w:cs="Arial"/>
          <w:color w:val="000000"/>
        </w:rPr>
      </w:pPr>
      <w:r>
        <w:rPr>
          <w:rFonts w:ascii="Arial" w:hAnsi="Arial" w:cs="Arial"/>
          <w:color w:val="000000"/>
        </w:rPr>
        <w:t xml:space="preserve"> </w:t>
      </w:r>
      <w:proofErr w:type="gramStart"/>
      <w:r w:rsidR="000D5A3B">
        <w:rPr>
          <w:rFonts w:ascii="Arial" w:hAnsi="Arial" w:cs="Arial"/>
          <w:color w:val="000000"/>
        </w:rPr>
        <w:t>section</w:t>
      </w:r>
      <w:proofErr w:type="gramEnd"/>
      <w:r w:rsidR="000D5A3B">
        <w:rPr>
          <w:rFonts w:ascii="Arial" w:hAnsi="Arial" w:cs="Arial"/>
          <w:color w:val="000000"/>
        </w:rPr>
        <w:t xml:space="preserve"> 6, </w:t>
      </w:r>
      <w:r w:rsidR="003C4537" w:rsidRPr="003C4537">
        <w:rPr>
          <w:rFonts w:ascii="Arial" w:hAnsi="Arial" w:cs="Arial"/>
          <w:color w:val="000000"/>
        </w:rPr>
        <w:t xml:space="preserve">protecting the consumer </w:t>
      </w:r>
      <w:r w:rsidR="00F171CD">
        <w:rPr>
          <w:rFonts w:ascii="Arial" w:hAnsi="Arial" w:cs="Arial"/>
          <w:color w:val="000000"/>
        </w:rPr>
        <w:t xml:space="preserve">.  </w:t>
      </w:r>
    </w:p>
    <w:p w:rsidR="00B60681" w:rsidRDefault="003C4537">
      <w:pPr>
        <w:ind w:left="720"/>
        <w:rPr>
          <w:rFonts w:ascii="Arial" w:hAnsi="Arial" w:cs="Arial"/>
          <w:color w:val="000000"/>
          <w:sz w:val="22"/>
          <w:szCs w:val="22"/>
        </w:rPr>
      </w:pPr>
      <w:r w:rsidRPr="003C4537">
        <w:rPr>
          <w:rFonts w:ascii="Arial" w:hAnsi="Arial" w:cs="Arial"/>
          <w:color w:val="000000"/>
          <w:sz w:val="22"/>
          <w:szCs w:val="22"/>
        </w:rPr>
        <w:t xml:space="preserve">Finally the note </w:t>
      </w:r>
      <w:r w:rsidR="000D5A3B">
        <w:rPr>
          <w:rFonts w:ascii="Arial" w:hAnsi="Arial" w:cs="Arial"/>
          <w:color w:val="000000"/>
          <w:sz w:val="22"/>
          <w:szCs w:val="22"/>
        </w:rPr>
        <w:t xml:space="preserve">focuses in </w:t>
      </w:r>
    </w:p>
    <w:p w:rsidR="00B60681" w:rsidRDefault="003C4537">
      <w:pPr>
        <w:pStyle w:val="ListParagraph"/>
        <w:numPr>
          <w:ilvl w:val="0"/>
          <w:numId w:val="19"/>
        </w:numPr>
        <w:rPr>
          <w:rFonts w:ascii="Arial" w:hAnsi="Arial" w:cs="Arial"/>
          <w:color w:val="000000"/>
        </w:rPr>
      </w:pPr>
      <w:r w:rsidRPr="003C4537">
        <w:rPr>
          <w:rFonts w:ascii="Arial" w:hAnsi="Arial" w:cs="Arial"/>
          <w:color w:val="000000"/>
        </w:rPr>
        <w:t xml:space="preserve">section 7, on betting integrity issues  and </w:t>
      </w:r>
    </w:p>
    <w:p w:rsidR="00B60681" w:rsidRDefault="002C4DA3">
      <w:pPr>
        <w:pStyle w:val="ListParagraph"/>
        <w:numPr>
          <w:ilvl w:val="0"/>
          <w:numId w:val="19"/>
        </w:numPr>
        <w:rPr>
          <w:rFonts w:ascii="Arial" w:hAnsi="Arial" w:cs="Arial"/>
          <w:color w:val="000000"/>
        </w:rPr>
      </w:pPr>
      <w:proofErr w:type="gramStart"/>
      <w:r>
        <w:rPr>
          <w:rFonts w:ascii="Arial" w:hAnsi="Arial" w:cs="Arial"/>
          <w:color w:val="000000"/>
        </w:rPr>
        <w:t>section</w:t>
      </w:r>
      <w:proofErr w:type="gramEnd"/>
      <w:r>
        <w:rPr>
          <w:rFonts w:ascii="Arial" w:hAnsi="Arial" w:cs="Arial"/>
          <w:color w:val="000000"/>
        </w:rPr>
        <w:t xml:space="preserve"> 8, </w:t>
      </w:r>
      <w:r w:rsidR="000D5A3B">
        <w:rPr>
          <w:rFonts w:ascii="Arial" w:hAnsi="Arial" w:cs="Arial"/>
          <w:color w:val="000000"/>
        </w:rPr>
        <w:t xml:space="preserve">on </w:t>
      </w:r>
      <w:r w:rsidR="003C4537" w:rsidRPr="003C4537">
        <w:rPr>
          <w:rFonts w:ascii="Arial" w:hAnsi="Arial" w:cs="Arial"/>
          <w:color w:val="000000"/>
        </w:rPr>
        <w:t>our approach to compliance and enforcement for licensees.</w:t>
      </w:r>
    </w:p>
    <w:p w:rsidR="004A4257" w:rsidRDefault="004A4257" w:rsidP="004A4257">
      <w:pPr>
        <w:pStyle w:val="ListParagraph"/>
        <w:spacing w:after="0" w:line="240" w:lineRule="auto"/>
        <w:ind w:left="567" w:hanging="567"/>
        <w:rPr>
          <w:rFonts w:ascii="Arial" w:hAnsi="Arial" w:cs="Arial"/>
          <w:color w:val="000000"/>
        </w:rPr>
      </w:pPr>
    </w:p>
    <w:p w:rsidR="004A4257" w:rsidRPr="004A4257" w:rsidRDefault="004A4257" w:rsidP="000156C3">
      <w:pPr>
        <w:pStyle w:val="ListParagraph"/>
        <w:numPr>
          <w:ilvl w:val="0"/>
          <w:numId w:val="2"/>
        </w:numPr>
        <w:spacing w:after="0" w:line="240" w:lineRule="auto"/>
        <w:ind w:left="567" w:hanging="567"/>
        <w:rPr>
          <w:rFonts w:ascii="Arial" w:hAnsi="Arial" w:cs="Arial"/>
          <w:color w:val="000000"/>
        </w:rPr>
      </w:pPr>
      <w:r w:rsidRPr="004A4257">
        <w:rPr>
          <w:rFonts w:ascii="Arial" w:hAnsi="Arial" w:cs="Arial"/>
          <w:b/>
          <w:color w:val="000000"/>
          <w:sz w:val="32"/>
          <w:szCs w:val="32"/>
        </w:rPr>
        <w:t xml:space="preserve">Background </w:t>
      </w:r>
      <w:r w:rsidRPr="004A4257">
        <w:rPr>
          <w:rFonts w:ascii="Arial" w:hAnsi="Arial" w:cs="Arial"/>
          <w:color w:val="000000"/>
          <w:sz w:val="32"/>
          <w:szCs w:val="32"/>
        </w:rPr>
        <w:t xml:space="preserve"> </w:t>
      </w:r>
      <w:r>
        <w:rPr>
          <w:rFonts w:ascii="Arial" w:hAnsi="Arial" w:cs="Arial"/>
          <w:color w:val="000000"/>
          <w:sz w:val="32"/>
          <w:szCs w:val="32"/>
        </w:rPr>
        <w:br/>
      </w:r>
    </w:p>
    <w:p w:rsidR="004A4257" w:rsidRDefault="004A4257" w:rsidP="004A4257">
      <w:pPr>
        <w:pStyle w:val="ListParagraph"/>
        <w:spacing w:after="0" w:line="240" w:lineRule="auto"/>
        <w:ind w:left="567" w:right="403" w:hanging="567"/>
        <w:rPr>
          <w:rFonts w:ascii="Arial" w:hAnsi="Arial" w:cs="Arial"/>
          <w:color w:val="000000"/>
        </w:rPr>
      </w:pPr>
      <w:r>
        <w:rPr>
          <w:rFonts w:ascii="Arial" w:hAnsi="Arial" w:cs="Arial"/>
          <w:color w:val="000000"/>
        </w:rPr>
        <w:t xml:space="preserve">2.1 </w:t>
      </w:r>
      <w:r>
        <w:rPr>
          <w:rFonts w:ascii="Arial" w:hAnsi="Arial" w:cs="Arial"/>
          <w:color w:val="000000"/>
        </w:rPr>
        <w:tab/>
      </w:r>
      <w:r w:rsidRPr="009E060B">
        <w:rPr>
          <w:rFonts w:ascii="Arial" w:hAnsi="Arial" w:cs="Arial"/>
          <w:color w:val="000000"/>
        </w:rPr>
        <w:t xml:space="preserve">The Commission was set up under the Gambling Act 2005 (the Act) </w:t>
      </w:r>
      <w:r>
        <w:rPr>
          <w:rFonts w:ascii="Arial" w:hAnsi="Arial" w:cs="Arial"/>
          <w:color w:val="000000"/>
        </w:rPr>
        <w:t>as the national gambling regulator covering England, Scotland and Wales</w:t>
      </w:r>
      <w:r w:rsidR="00A52B34">
        <w:rPr>
          <w:rFonts w:ascii="Arial" w:hAnsi="Arial" w:cs="Arial"/>
          <w:color w:val="000000"/>
        </w:rPr>
        <w:t xml:space="preserve">. </w:t>
      </w:r>
      <w:r>
        <w:rPr>
          <w:rFonts w:ascii="Arial" w:hAnsi="Arial" w:cs="Arial"/>
          <w:color w:val="000000"/>
        </w:rPr>
        <w:t xml:space="preserve">It </w:t>
      </w:r>
      <w:r w:rsidRPr="009E060B">
        <w:rPr>
          <w:rFonts w:ascii="Arial" w:hAnsi="Arial" w:cs="Arial"/>
          <w:color w:val="000000"/>
        </w:rPr>
        <w:t>was formally established in October 2005</w:t>
      </w:r>
      <w:r>
        <w:rPr>
          <w:rFonts w:ascii="Arial" w:hAnsi="Arial" w:cs="Arial"/>
          <w:color w:val="000000"/>
        </w:rPr>
        <w:t xml:space="preserve"> and </w:t>
      </w:r>
      <w:r w:rsidRPr="009E060B">
        <w:rPr>
          <w:rFonts w:ascii="Arial" w:hAnsi="Arial" w:cs="Arial"/>
          <w:color w:val="000000"/>
        </w:rPr>
        <w:t xml:space="preserve">took over the role previously played by the Gaming Board for Great Britain in regulating casinos, bingo, gaming machines </w:t>
      </w:r>
      <w:r w:rsidR="00DE3BBE" w:rsidRPr="00DE3BBE">
        <w:rPr>
          <w:rFonts w:ascii="Arial" w:hAnsi="Arial" w:cs="Arial"/>
          <w:color w:val="000000"/>
        </w:rPr>
        <w:t>with its remit extended to cover almost all commercial gambling including</w:t>
      </w:r>
      <w:r w:rsidR="00DA14A4">
        <w:rPr>
          <w:rFonts w:ascii="Arial" w:hAnsi="Arial" w:cs="Arial"/>
          <w:color w:val="000000"/>
        </w:rPr>
        <w:t xml:space="preserve"> non remote </w:t>
      </w:r>
      <w:r w:rsidR="00DE3BBE" w:rsidRPr="00DE3BBE">
        <w:rPr>
          <w:rFonts w:ascii="Arial" w:hAnsi="Arial" w:cs="Arial"/>
          <w:color w:val="000000"/>
        </w:rPr>
        <w:t>betting and remote gambling</w:t>
      </w:r>
      <w:r w:rsidR="00DE3BBE">
        <w:rPr>
          <w:rFonts w:ascii="Arial" w:hAnsi="Arial" w:cs="Arial"/>
          <w:color w:val="000000"/>
        </w:rPr>
        <w:t>.</w:t>
      </w:r>
      <w:r w:rsidR="00C64B13">
        <w:rPr>
          <w:rStyle w:val="FootnoteReference"/>
          <w:rFonts w:ascii="Arial" w:hAnsi="Arial" w:cs="Arial"/>
          <w:color w:val="000000"/>
        </w:rPr>
        <w:footnoteReference w:id="1"/>
      </w:r>
    </w:p>
    <w:p w:rsidR="004A4257" w:rsidRPr="009E060B" w:rsidRDefault="004A4257" w:rsidP="004A4257">
      <w:pPr>
        <w:pStyle w:val="ListParagraph"/>
        <w:tabs>
          <w:tab w:val="left" w:pos="820"/>
        </w:tabs>
        <w:spacing w:after="0" w:line="240" w:lineRule="auto"/>
        <w:ind w:left="567" w:right="403" w:hanging="567"/>
        <w:rPr>
          <w:rFonts w:ascii="Arial" w:hAnsi="Arial" w:cs="Arial"/>
          <w:color w:val="000000"/>
        </w:rPr>
      </w:pPr>
    </w:p>
    <w:p w:rsidR="004A4257" w:rsidRPr="00C8147F" w:rsidRDefault="00BE3794" w:rsidP="000156C3">
      <w:pPr>
        <w:pStyle w:val="ListParagraph"/>
        <w:numPr>
          <w:ilvl w:val="1"/>
          <w:numId w:val="5"/>
        </w:numPr>
        <w:spacing w:after="0" w:line="240" w:lineRule="auto"/>
        <w:ind w:left="567" w:right="-20" w:hanging="567"/>
        <w:rPr>
          <w:rFonts w:ascii="Arial" w:hAnsi="Arial" w:cs="Arial"/>
          <w:b/>
          <w:color w:val="000000"/>
        </w:rPr>
      </w:pPr>
      <w:r>
        <w:rPr>
          <w:rFonts w:ascii="Arial" w:hAnsi="Arial" w:cs="Arial"/>
          <w:color w:val="000000"/>
        </w:rPr>
        <w:lastRenderedPageBreak/>
        <w:t>F</w:t>
      </w:r>
      <w:r w:rsidR="004A4257">
        <w:rPr>
          <w:rFonts w:ascii="Arial" w:hAnsi="Arial" w:cs="Arial"/>
          <w:color w:val="000000"/>
        </w:rPr>
        <w:t>rom 2007, when the Act came fully into force, t</w:t>
      </w:r>
      <w:r w:rsidR="004A4257" w:rsidRPr="00C8147F">
        <w:rPr>
          <w:rFonts w:ascii="Arial" w:hAnsi="Arial" w:cs="Arial"/>
          <w:color w:val="000000"/>
        </w:rPr>
        <w:t>he Commission regulate</w:t>
      </w:r>
      <w:r w:rsidR="004A4257">
        <w:rPr>
          <w:rFonts w:ascii="Arial" w:hAnsi="Arial" w:cs="Arial"/>
          <w:color w:val="000000"/>
        </w:rPr>
        <w:t>d</w:t>
      </w:r>
      <w:r w:rsidR="004A4257" w:rsidRPr="00C8147F">
        <w:rPr>
          <w:rFonts w:ascii="Arial" w:hAnsi="Arial" w:cs="Arial"/>
          <w:color w:val="000000"/>
        </w:rPr>
        <w:t xml:space="preserve"> all</w:t>
      </w:r>
      <w:r w:rsidR="004A4257">
        <w:rPr>
          <w:rFonts w:ascii="Arial" w:hAnsi="Arial" w:cs="Arial"/>
          <w:color w:val="000000"/>
        </w:rPr>
        <w:t xml:space="preserve"> British </w:t>
      </w:r>
      <w:r w:rsidR="004A4257" w:rsidRPr="00C8147F">
        <w:rPr>
          <w:rFonts w:ascii="Arial" w:hAnsi="Arial" w:cs="Arial"/>
          <w:color w:val="000000"/>
        </w:rPr>
        <w:t xml:space="preserve"> </w:t>
      </w:r>
      <w:r w:rsidR="004A4257">
        <w:rPr>
          <w:rFonts w:ascii="Arial" w:hAnsi="Arial" w:cs="Arial"/>
          <w:color w:val="000000"/>
        </w:rPr>
        <w:t xml:space="preserve">land based and online </w:t>
      </w:r>
      <w:r w:rsidR="004A4257" w:rsidRPr="00C8147F">
        <w:rPr>
          <w:rFonts w:ascii="Arial" w:hAnsi="Arial" w:cs="Arial"/>
          <w:color w:val="000000"/>
        </w:rPr>
        <w:t>commercial gambling</w:t>
      </w:r>
      <w:r w:rsidR="004A4257">
        <w:rPr>
          <w:rFonts w:ascii="Arial" w:hAnsi="Arial" w:cs="Arial"/>
          <w:color w:val="000000"/>
        </w:rPr>
        <w:t xml:space="preserve"> ,where the operator’s key equipment was based</w:t>
      </w:r>
      <w:r w:rsidR="004A4257" w:rsidRPr="00C8147F">
        <w:rPr>
          <w:rFonts w:ascii="Arial" w:hAnsi="Arial" w:cs="Arial"/>
          <w:color w:val="000000"/>
        </w:rPr>
        <w:t xml:space="preserve"> in Great Brit</w:t>
      </w:r>
      <w:r w:rsidR="00C863FC">
        <w:rPr>
          <w:rFonts w:ascii="Arial" w:hAnsi="Arial" w:cs="Arial"/>
          <w:color w:val="000000"/>
        </w:rPr>
        <w:t>ain apart from spread betting (</w:t>
      </w:r>
      <w:r w:rsidR="004A4257" w:rsidRPr="00C8147F">
        <w:rPr>
          <w:rFonts w:ascii="Arial" w:hAnsi="Arial" w:cs="Arial"/>
          <w:color w:val="000000"/>
        </w:rPr>
        <w:t>the responsibility of the Consumer and Markets Authority), larger society  lotteries</w:t>
      </w:r>
      <w:r w:rsidR="004A4257">
        <w:rPr>
          <w:rStyle w:val="FootnoteReference"/>
          <w:rFonts w:ascii="Arial" w:hAnsi="Arial" w:cs="Arial"/>
          <w:color w:val="000000"/>
        </w:rPr>
        <w:footnoteReference w:id="2"/>
      </w:r>
      <w:r w:rsidR="004A4257">
        <w:rPr>
          <w:rFonts w:ascii="Arial" w:hAnsi="Arial" w:cs="Arial"/>
          <w:color w:val="000000"/>
        </w:rPr>
        <w:t xml:space="preserve"> </w:t>
      </w:r>
      <w:r w:rsidR="004A4257" w:rsidRPr="00C8147F">
        <w:rPr>
          <w:rFonts w:ascii="Arial" w:hAnsi="Arial" w:cs="Arial"/>
          <w:color w:val="000000"/>
        </w:rPr>
        <w:t>and, since 2013, the National Lottery</w:t>
      </w:r>
      <w:r w:rsidR="004A4257">
        <w:rPr>
          <w:rStyle w:val="FootnoteReference"/>
          <w:rFonts w:ascii="Arial" w:hAnsi="Arial" w:cs="Arial"/>
          <w:color w:val="000000"/>
        </w:rPr>
        <w:footnoteReference w:id="3"/>
      </w:r>
      <w:r w:rsidR="00A52B34">
        <w:rPr>
          <w:rFonts w:ascii="Arial" w:hAnsi="Arial" w:cs="Arial"/>
          <w:color w:val="000000"/>
        </w:rPr>
        <w:t xml:space="preserve">. </w:t>
      </w:r>
      <w:r w:rsidR="004A4257" w:rsidRPr="00C8147F">
        <w:rPr>
          <w:rFonts w:ascii="Arial" w:hAnsi="Arial" w:cs="Arial"/>
          <w:color w:val="000000"/>
        </w:rPr>
        <w:t>The Commission is also responsible for advising</w:t>
      </w:r>
      <w:r w:rsidR="001C33A3">
        <w:rPr>
          <w:rFonts w:ascii="Arial" w:hAnsi="Arial" w:cs="Arial"/>
          <w:color w:val="000000"/>
        </w:rPr>
        <w:t xml:space="preserve"> central, devolved </w:t>
      </w:r>
      <w:r w:rsidR="003C207C">
        <w:rPr>
          <w:rFonts w:ascii="Arial" w:hAnsi="Arial" w:cs="Arial"/>
          <w:color w:val="000000"/>
        </w:rPr>
        <w:t xml:space="preserve">and </w:t>
      </w:r>
      <w:r w:rsidR="00DE3BBE" w:rsidRPr="00C8147F">
        <w:rPr>
          <w:rFonts w:ascii="Arial" w:hAnsi="Arial" w:cs="Arial"/>
          <w:color w:val="000000"/>
        </w:rPr>
        <w:t>local government</w:t>
      </w:r>
      <w:r w:rsidR="004A4257" w:rsidRPr="00C8147F">
        <w:rPr>
          <w:rFonts w:ascii="Arial" w:hAnsi="Arial" w:cs="Arial"/>
          <w:color w:val="000000"/>
        </w:rPr>
        <w:t xml:space="preserve"> on issues related to gambling. The Commission is a Non-Departmental Public Body, sponsored by the Department for Culture, Media and Sport (DCMS). It operates at arm’s length from government and its advice is independent. Its work is funded by licence fees, set by DCMS and approved by Parliament, from the gambling industry.</w:t>
      </w:r>
    </w:p>
    <w:p w:rsidR="004A4257" w:rsidRPr="00C8147F" w:rsidRDefault="004A4257" w:rsidP="004A4257">
      <w:pPr>
        <w:pStyle w:val="ListParagraph"/>
        <w:spacing w:after="0" w:line="240" w:lineRule="auto"/>
        <w:ind w:left="567" w:hanging="567"/>
        <w:rPr>
          <w:rFonts w:ascii="Arial" w:hAnsi="Arial" w:cs="Arial"/>
          <w:b/>
          <w:color w:val="000000"/>
        </w:rPr>
      </w:pPr>
    </w:p>
    <w:p w:rsidR="004A4257" w:rsidRPr="009E060B" w:rsidRDefault="004A4257" w:rsidP="004A4257">
      <w:pPr>
        <w:pStyle w:val="ListParagraph"/>
        <w:tabs>
          <w:tab w:val="left" w:pos="820"/>
        </w:tabs>
        <w:spacing w:after="0" w:line="240" w:lineRule="auto"/>
        <w:ind w:left="567" w:right="-20" w:hanging="567"/>
        <w:rPr>
          <w:rFonts w:ascii="Arial" w:hAnsi="Arial" w:cs="Arial"/>
          <w:color w:val="000000"/>
        </w:rPr>
      </w:pPr>
      <w:r>
        <w:rPr>
          <w:rFonts w:ascii="Arial" w:hAnsi="Arial" w:cs="Arial"/>
          <w:b/>
          <w:color w:val="000000"/>
        </w:rPr>
        <w:tab/>
      </w:r>
      <w:r w:rsidRPr="00C8147F">
        <w:rPr>
          <w:rFonts w:ascii="Arial" w:hAnsi="Arial" w:cs="Arial"/>
          <w:b/>
          <w:color w:val="000000"/>
        </w:rPr>
        <w:t>The Gambling Act 2005</w:t>
      </w:r>
    </w:p>
    <w:p w:rsidR="004A4257" w:rsidRPr="00C863FC" w:rsidRDefault="004A4257" w:rsidP="000156C3">
      <w:pPr>
        <w:pStyle w:val="ListParagraph"/>
        <w:numPr>
          <w:ilvl w:val="1"/>
          <w:numId w:val="5"/>
        </w:numPr>
        <w:spacing w:after="0" w:line="240" w:lineRule="auto"/>
        <w:ind w:left="567" w:right="113" w:hanging="567"/>
        <w:rPr>
          <w:rFonts w:ascii="Arial" w:hAnsi="Arial" w:cs="Arial"/>
          <w:color w:val="000000"/>
        </w:rPr>
      </w:pPr>
      <w:r w:rsidRPr="00C863FC">
        <w:rPr>
          <w:rFonts w:ascii="Arial" w:hAnsi="Arial" w:cs="Arial"/>
          <w:color w:val="000000"/>
        </w:rPr>
        <w:t xml:space="preserve">The Act extended national regulation to betting and arcades and permitted far wider advertising of gambling facilities. It introduced a statutory objective in relation to </w:t>
      </w:r>
      <w:r w:rsidR="001C33A3">
        <w:rPr>
          <w:rFonts w:ascii="Arial" w:hAnsi="Arial" w:cs="Arial"/>
          <w:color w:val="000000"/>
        </w:rPr>
        <w:t xml:space="preserve">protecting the </w:t>
      </w:r>
      <w:r w:rsidR="002C4851">
        <w:rPr>
          <w:rFonts w:ascii="Arial" w:hAnsi="Arial" w:cs="Arial"/>
          <w:color w:val="000000"/>
        </w:rPr>
        <w:t xml:space="preserve">under age and other vulnerable people from </w:t>
      </w:r>
      <w:r w:rsidRPr="00C863FC">
        <w:rPr>
          <w:rFonts w:ascii="Arial" w:hAnsi="Arial" w:cs="Arial"/>
          <w:color w:val="000000"/>
        </w:rPr>
        <w:t>gambling related harm and it put in place for the first time a framework for regulating internet gaming (</w:t>
      </w:r>
      <w:proofErr w:type="spellStart"/>
      <w:r w:rsidRPr="00C863FC">
        <w:rPr>
          <w:rFonts w:ascii="Arial" w:hAnsi="Arial" w:cs="Arial"/>
          <w:color w:val="000000"/>
        </w:rPr>
        <w:t>ie</w:t>
      </w:r>
      <w:proofErr w:type="spellEnd"/>
      <w:r w:rsidRPr="00C863FC">
        <w:rPr>
          <w:rFonts w:ascii="Arial" w:hAnsi="Arial" w:cs="Arial"/>
          <w:color w:val="000000"/>
        </w:rPr>
        <w:t xml:space="preserve"> casino and poker). </w:t>
      </w:r>
      <w:r w:rsidR="00C863FC" w:rsidRPr="00C863FC">
        <w:rPr>
          <w:rFonts w:ascii="Arial" w:hAnsi="Arial" w:cs="Arial"/>
          <w:color w:val="000000"/>
        </w:rPr>
        <w:br/>
      </w:r>
      <w:r w:rsidRPr="00C863FC">
        <w:rPr>
          <w:rFonts w:ascii="Arial" w:hAnsi="Arial" w:cs="Arial"/>
          <w:color w:val="000000"/>
        </w:rPr>
        <w:t>Previously only bookmakers, overseen by local authorities, were permitted to accept bets by remote communication as an extension of their premises based activity but remote gam</w:t>
      </w:r>
      <w:r w:rsidR="00D93D0B">
        <w:rPr>
          <w:rFonts w:ascii="Arial" w:hAnsi="Arial" w:cs="Arial"/>
          <w:color w:val="000000"/>
        </w:rPr>
        <w:t>ing</w:t>
      </w:r>
      <w:r w:rsidRPr="00C863FC">
        <w:rPr>
          <w:rFonts w:ascii="Arial" w:hAnsi="Arial" w:cs="Arial"/>
          <w:color w:val="000000"/>
        </w:rPr>
        <w:t xml:space="preserve"> operators had not been permitted to be based in Britain. </w:t>
      </w:r>
      <w:r w:rsidR="00A52B34" w:rsidRPr="00C863FC">
        <w:rPr>
          <w:rFonts w:ascii="Arial" w:hAnsi="Arial" w:cs="Arial"/>
          <w:color w:val="000000"/>
        </w:rPr>
        <w:br/>
      </w:r>
    </w:p>
    <w:p w:rsidR="004A4257" w:rsidRDefault="004A4257" w:rsidP="000156C3">
      <w:pPr>
        <w:pStyle w:val="ListParagraph"/>
        <w:numPr>
          <w:ilvl w:val="1"/>
          <w:numId w:val="5"/>
        </w:numPr>
        <w:spacing w:after="0" w:line="240" w:lineRule="auto"/>
        <w:ind w:left="567" w:right="113" w:hanging="567"/>
        <w:rPr>
          <w:rFonts w:ascii="Arial" w:hAnsi="Arial" w:cs="Arial"/>
          <w:color w:val="000000"/>
        </w:rPr>
      </w:pPr>
      <w:r w:rsidRPr="009E060B">
        <w:rPr>
          <w:rFonts w:ascii="Arial" w:hAnsi="Arial" w:cs="Arial"/>
          <w:color w:val="000000"/>
        </w:rPr>
        <w:t>Remote gambling was defined in the Act (section 4) as gambling in which persons participate by the use of remote communication (</w:t>
      </w:r>
      <w:proofErr w:type="spellStart"/>
      <w:r w:rsidRPr="009E060B">
        <w:rPr>
          <w:rFonts w:ascii="Arial" w:hAnsi="Arial" w:cs="Arial"/>
          <w:color w:val="000000"/>
        </w:rPr>
        <w:t>ie</w:t>
      </w:r>
      <w:proofErr w:type="spellEnd"/>
      <w:r w:rsidRPr="009E060B">
        <w:rPr>
          <w:rFonts w:ascii="Arial" w:hAnsi="Arial" w:cs="Arial"/>
          <w:color w:val="000000"/>
        </w:rPr>
        <w:t xml:space="preserve"> internet, telephone, television, radio or other technology for facilitating communication).There was no restriction on the number of remote operating licences that the Commission could issue (with the exception of </w:t>
      </w:r>
      <w:r w:rsidR="00C863FC">
        <w:rPr>
          <w:rFonts w:ascii="Arial" w:hAnsi="Arial" w:cs="Arial"/>
          <w:color w:val="000000"/>
        </w:rPr>
        <w:t xml:space="preserve">non-remote </w:t>
      </w:r>
      <w:r w:rsidRPr="009E060B">
        <w:rPr>
          <w:rFonts w:ascii="Arial" w:hAnsi="Arial" w:cs="Arial"/>
          <w:color w:val="000000"/>
        </w:rPr>
        <w:t>pool betting on horse racing which was restricted to one licensee)</w:t>
      </w:r>
      <w:r w:rsidRPr="009E060B">
        <w:rPr>
          <w:rStyle w:val="FootnoteReference"/>
          <w:rFonts w:ascii="Arial" w:hAnsi="Arial" w:cs="Arial"/>
          <w:color w:val="000000"/>
        </w:rPr>
        <w:footnoteReference w:id="4"/>
      </w:r>
      <w:r w:rsidRPr="009E060B">
        <w:rPr>
          <w:rFonts w:ascii="Arial" w:hAnsi="Arial" w:cs="Arial"/>
          <w:color w:val="000000"/>
        </w:rPr>
        <w:t xml:space="preserve"> but applicants needed to demonstrate that they are fit and proper to hold an operating licence. </w:t>
      </w:r>
    </w:p>
    <w:p w:rsidR="004A4257" w:rsidRPr="009E060B" w:rsidRDefault="004A4257" w:rsidP="004A4257">
      <w:pPr>
        <w:pStyle w:val="ListParagraph"/>
        <w:tabs>
          <w:tab w:val="left" w:pos="820"/>
        </w:tabs>
        <w:spacing w:after="0" w:line="240" w:lineRule="auto"/>
        <w:ind w:left="567" w:right="113" w:hanging="567"/>
        <w:rPr>
          <w:rFonts w:ascii="Arial" w:hAnsi="Arial" w:cs="Arial"/>
          <w:color w:val="000000"/>
        </w:rPr>
      </w:pPr>
    </w:p>
    <w:p w:rsidR="004A4257" w:rsidRPr="009E060B" w:rsidRDefault="004A4257" w:rsidP="000156C3">
      <w:pPr>
        <w:pStyle w:val="ListParagraph"/>
        <w:numPr>
          <w:ilvl w:val="1"/>
          <w:numId w:val="5"/>
        </w:numPr>
        <w:spacing w:after="0" w:line="240" w:lineRule="auto"/>
        <w:ind w:left="567" w:right="60" w:hanging="567"/>
        <w:rPr>
          <w:rFonts w:ascii="Arial" w:hAnsi="Arial" w:cs="Arial"/>
          <w:color w:val="000000"/>
        </w:rPr>
      </w:pPr>
      <w:r w:rsidRPr="009E060B">
        <w:rPr>
          <w:rFonts w:ascii="Arial" w:hAnsi="Arial" w:cs="Arial"/>
          <w:color w:val="000000"/>
        </w:rPr>
        <w:t>In exercising its functions under the Act the Commission is under a duty to pursue, and wherever appropriate to have regard to, the licensing objectives, and permit gambling, in so far as the Commission thinks it reasonably consistent with pursuit of the licensing objectives. The licensing objectives are:</w:t>
      </w:r>
    </w:p>
    <w:p w:rsidR="004A4257" w:rsidRPr="009E060B" w:rsidRDefault="00040328" w:rsidP="000156C3">
      <w:pPr>
        <w:pStyle w:val="ListParagraph"/>
        <w:numPr>
          <w:ilvl w:val="0"/>
          <w:numId w:val="4"/>
        </w:numPr>
        <w:spacing w:after="0" w:line="240" w:lineRule="auto"/>
        <w:ind w:left="1418" w:right="71" w:hanging="284"/>
        <w:rPr>
          <w:rFonts w:ascii="Arial" w:hAnsi="Arial" w:cs="Arial"/>
          <w:color w:val="000000"/>
        </w:rPr>
      </w:pPr>
      <w:r>
        <w:rPr>
          <w:rFonts w:ascii="Arial" w:hAnsi="Arial" w:cs="Arial"/>
          <w:noProof/>
          <w:lang w:eastAsia="en-GB"/>
        </w:rPr>
        <w:drawing>
          <wp:anchor distT="0" distB="0" distL="114300" distR="114300" simplePos="0" relativeHeight="251658240" behindDoc="1" locked="0" layoutInCell="1" allowOverlap="1">
            <wp:simplePos x="0" y="0"/>
            <wp:positionH relativeFrom="page">
              <wp:posOffset>1362710</wp:posOffset>
            </wp:positionH>
            <wp:positionV relativeFrom="paragraph">
              <wp:posOffset>318770</wp:posOffset>
            </wp:positionV>
            <wp:extent cx="128270" cy="34163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8270" cy="341630"/>
                    </a:xfrm>
                    <a:prstGeom prst="rect">
                      <a:avLst/>
                    </a:prstGeom>
                    <a:noFill/>
                  </pic:spPr>
                </pic:pic>
              </a:graphicData>
            </a:graphic>
          </wp:anchor>
        </w:drawing>
      </w:r>
      <w:r w:rsidR="004A4257" w:rsidRPr="009E060B">
        <w:rPr>
          <w:rFonts w:ascii="Arial" w:hAnsi="Arial" w:cs="Arial"/>
          <w:color w:val="000000"/>
        </w:rPr>
        <w:t>preventing gambling from being a source of crime or disorder, being associated with crime or disorder or being used to support crime</w:t>
      </w:r>
    </w:p>
    <w:p w:rsidR="004A4257" w:rsidRPr="009E060B" w:rsidRDefault="004A4257" w:rsidP="000156C3">
      <w:pPr>
        <w:pStyle w:val="ListParagraph"/>
        <w:numPr>
          <w:ilvl w:val="0"/>
          <w:numId w:val="4"/>
        </w:numPr>
        <w:spacing w:after="0" w:line="240" w:lineRule="auto"/>
        <w:ind w:left="1418" w:right="-20" w:hanging="284"/>
        <w:rPr>
          <w:rFonts w:ascii="Arial" w:hAnsi="Arial" w:cs="Arial"/>
          <w:color w:val="000000"/>
        </w:rPr>
      </w:pPr>
      <w:r w:rsidRPr="009E060B">
        <w:rPr>
          <w:rFonts w:ascii="Arial" w:hAnsi="Arial" w:cs="Arial"/>
          <w:color w:val="000000"/>
        </w:rPr>
        <w:t>ensuring that gambling is conducted in a fair and open way</w:t>
      </w:r>
    </w:p>
    <w:p w:rsidR="004A4257" w:rsidRDefault="004A4257" w:rsidP="000156C3">
      <w:pPr>
        <w:pStyle w:val="ListParagraph"/>
        <w:numPr>
          <w:ilvl w:val="0"/>
          <w:numId w:val="4"/>
        </w:numPr>
        <w:spacing w:after="0" w:line="240" w:lineRule="auto"/>
        <w:ind w:left="1418" w:right="129" w:hanging="284"/>
        <w:rPr>
          <w:rFonts w:ascii="Arial" w:hAnsi="Arial" w:cs="Arial"/>
          <w:color w:val="000000"/>
        </w:rPr>
      </w:pPr>
      <w:proofErr w:type="gramStart"/>
      <w:r w:rsidRPr="009E060B">
        <w:rPr>
          <w:rFonts w:ascii="Arial" w:hAnsi="Arial" w:cs="Arial"/>
          <w:color w:val="000000"/>
        </w:rPr>
        <w:t>protecting</w:t>
      </w:r>
      <w:proofErr w:type="gramEnd"/>
      <w:r w:rsidR="00737055">
        <w:rPr>
          <w:rFonts w:ascii="Arial" w:hAnsi="Arial" w:cs="Arial"/>
          <w:color w:val="000000"/>
        </w:rPr>
        <w:t xml:space="preserve"> </w:t>
      </w:r>
      <w:r w:rsidRPr="009E060B">
        <w:rPr>
          <w:rFonts w:ascii="Arial" w:hAnsi="Arial" w:cs="Arial"/>
          <w:color w:val="000000"/>
        </w:rPr>
        <w:t>children and other vulnerable persons from being harmed or exploited by gambling.</w:t>
      </w:r>
    </w:p>
    <w:p w:rsidR="004A4257" w:rsidRDefault="004A4257" w:rsidP="004A4257">
      <w:pPr>
        <w:pStyle w:val="ListParagraph"/>
        <w:spacing w:after="0" w:line="240" w:lineRule="auto"/>
        <w:ind w:left="567" w:right="129" w:hanging="567"/>
        <w:rPr>
          <w:rFonts w:ascii="Arial" w:hAnsi="Arial" w:cs="Arial"/>
          <w:color w:val="000000"/>
        </w:rPr>
      </w:pPr>
    </w:p>
    <w:p w:rsidR="004A4257" w:rsidRPr="004A4257" w:rsidRDefault="004A4257" w:rsidP="000156C3">
      <w:pPr>
        <w:pStyle w:val="ListParagraph"/>
        <w:numPr>
          <w:ilvl w:val="1"/>
          <w:numId w:val="5"/>
        </w:numPr>
        <w:spacing w:after="0" w:line="240" w:lineRule="auto"/>
        <w:ind w:left="567" w:right="129" w:hanging="567"/>
        <w:rPr>
          <w:rFonts w:ascii="Arial" w:hAnsi="Arial" w:cs="Arial"/>
          <w:color w:val="000000"/>
        </w:rPr>
      </w:pPr>
      <w:r w:rsidRPr="004A4257">
        <w:rPr>
          <w:rFonts w:ascii="Arial" w:hAnsi="Arial" w:cs="Arial"/>
          <w:color w:val="000000"/>
        </w:rPr>
        <w:t>The Commission’s functions in relation to licensing and regulation can broadly be categorised as those of licensing, compliance and enforcement</w:t>
      </w:r>
      <w:r w:rsidR="00C863FC">
        <w:rPr>
          <w:rFonts w:ascii="Arial" w:hAnsi="Arial" w:cs="Arial"/>
          <w:color w:val="000000"/>
        </w:rPr>
        <w:t xml:space="preserve"> (see </w:t>
      </w:r>
      <w:hyperlink r:id="rId10" w:history="1">
        <w:r w:rsidR="00C863FC" w:rsidRPr="00C863FC">
          <w:rPr>
            <w:rStyle w:val="Hyperlink"/>
            <w:rFonts w:ascii="Arial" w:hAnsi="Arial" w:cs="Arial"/>
          </w:rPr>
          <w:t>part 5 of the Act</w:t>
        </w:r>
      </w:hyperlink>
      <w:r w:rsidR="00C863FC">
        <w:rPr>
          <w:rFonts w:ascii="Arial" w:hAnsi="Arial" w:cs="Arial"/>
          <w:color w:val="000000"/>
        </w:rPr>
        <w:t>)</w:t>
      </w:r>
      <w:r>
        <w:rPr>
          <w:rFonts w:ascii="Arial" w:hAnsi="Arial" w:cs="Arial"/>
          <w:color w:val="000000"/>
        </w:rPr>
        <w:t>.</w:t>
      </w:r>
      <w:r w:rsidRPr="004A4257">
        <w:rPr>
          <w:rFonts w:ascii="Arial" w:hAnsi="Arial" w:cs="Arial"/>
          <w:color w:val="000000"/>
        </w:rPr>
        <w:t xml:space="preserve"> The ability to award or deny licences and to impose conditions on the way in which operators conduct their business is</w:t>
      </w:r>
      <w:r w:rsidR="00737055">
        <w:rPr>
          <w:rFonts w:ascii="Arial" w:hAnsi="Arial" w:cs="Arial"/>
          <w:color w:val="000000"/>
        </w:rPr>
        <w:t xml:space="preserve"> </w:t>
      </w:r>
      <w:proofErr w:type="gramStart"/>
      <w:r w:rsidRPr="004A4257">
        <w:rPr>
          <w:rFonts w:ascii="Arial" w:hAnsi="Arial" w:cs="Arial"/>
          <w:color w:val="000000"/>
        </w:rPr>
        <w:t>key</w:t>
      </w:r>
      <w:proofErr w:type="gramEnd"/>
      <w:r w:rsidRPr="004A4257">
        <w:rPr>
          <w:rFonts w:ascii="Arial" w:hAnsi="Arial" w:cs="Arial"/>
          <w:color w:val="000000"/>
        </w:rPr>
        <w:t xml:space="preserve"> in terms of ensuring that only suitable operators are involved in the provision of gambling. The Commission then has wide powers of investigation and regulatory and criminal prosecution powers with the ability to</w:t>
      </w:r>
      <w:r w:rsidR="00737055">
        <w:rPr>
          <w:rFonts w:ascii="Arial" w:hAnsi="Arial" w:cs="Arial"/>
          <w:color w:val="000000"/>
        </w:rPr>
        <w:t xml:space="preserve"> </w:t>
      </w:r>
      <w:proofErr w:type="gramStart"/>
      <w:r w:rsidRPr="004A4257">
        <w:rPr>
          <w:rFonts w:ascii="Arial" w:hAnsi="Arial" w:cs="Arial"/>
          <w:color w:val="000000"/>
        </w:rPr>
        <w:t>fine,</w:t>
      </w:r>
      <w:proofErr w:type="gramEnd"/>
      <w:r w:rsidRPr="004A4257">
        <w:rPr>
          <w:rFonts w:ascii="Arial" w:hAnsi="Arial" w:cs="Arial"/>
          <w:color w:val="000000"/>
        </w:rPr>
        <w:t xml:space="preserve"> impose additional conditions or revoke licences.</w:t>
      </w:r>
    </w:p>
    <w:p w:rsidR="004A4257" w:rsidRPr="009E060B" w:rsidRDefault="004A4257" w:rsidP="004A4257">
      <w:pPr>
        <w:pStyle w:val="ListParagraph"/>
        <w:tabs>
          <w:tab w:val="left" w:pos="820"/>
        </w:tabs>
        <w:spacing w:after="0" w:line="240" w:lineRule="auto"/>
        <w:ind w:left="567" w:right="1066" w:hanging="567"/>
        <w:rPr>
          <w:rFonts w:ascii="Arial" w:hAnsi="Arial" w:cs="Arial"/>
          <w:color w:val="000000"/>
        </w:rPr>
      </w:pPr>
    </w:p>
    <w:p w:rsidR="004A4257" w:rsidRPr="009E060B" w:rsidRDefault="004A4257" w:rsidP="000156C3">
      <w:pPr>
        <w:pStyle w:val="ListParagraph"/>
        <w:numPr>
          <w:ilvl w:val="1"/>
          <w:numId w:val="5"/>
        </w:numPr>
        <w:spacing w:after="0" w:line="240" w:lineRule="auto"/>
        <w:ind w:left="567" w:right="322" w:hanging="567"/>
        <w:rPr>
          <w:rFonts w:ascii="Arial" w:hAnsi="Arial" w:cs="Arial"/>
          <w:color w:val="000000"/>
        </w:rPr>
      </w:pPr>
      <w:r w:rsidRPr="009E060B">
        <w:rPr>
          <w:rFonts w:ascii="Arial" w:hAnsi="Arial" w:cs="Arial"/>
          <w:color w:val="000000"/>
        </w:rPr>
        <w:t xml:space="preserve">The Commission issues </w:t>
      </w:r>
      <w:r w:rsidR="00A52B34">
        <w:rPr>
          <w:rFonts w:ascii="Arial" w:hAnsi="Arial" w:cs="Arial"/>
          <w:color w:val="000000"/>
        </w:rPr>
        <w:t xml:space="preserve">remote and non-remote </w:t>
      </w:r>
      <w:r w:rsidRPr="009E060B">
        <w:rPr>
          <w:rFonts w:ascii="Arial" w:hAnsi="Arial" w:cs="Arial"/>
          <w:color w:val="000000"/>
        </w:rPr>
        <w:t xml:space="preserve">operating licences for the following gambling activities, </w:t>
      </w:r>
      <w:r>
        <w:rPr>
          <w:rFonts w:ascii="Arial" w:hAnsi="Arial" w:cs="Arial"/>
          <w:color w:val="000000"/>
        </w:rPr>
        <w:t>as applicable</w:t>
      </w:r>
      <w:r w:rsidRPr="009E060B">
        <w:rPr>
          <w:rFonts w:ascii="Arial" w:hAnsi="Arial" w:cs="Arial"/>
          <w:color w:val="000000"/>
        </w:rPr>
        <w:t>:</w:t>
      </w:r>
    </w:p>
    <w:p w:rsidR="004A4257" w:rsidRPr="009E060B" w:rsidRDefault="00040328" w:rsidP="000156C3">
      <w:pPr>
        <w:pStyle w:val="ListParagraph"/>
        <w:numPr>
          <w:ilvl w:val="2"/>
          <w:numId w:val="3"/>
        </w:numPr>
        <w:spacing w:after="0" w:line="240" w:lineRule="auto"/>
        <w:ind w:left="1418" w:right="-20" w:hanging="284"/>
        <w:rPr>
          <w:rFonts w:ascii="Arial" w:hAnsi="Arial" w:cs="Arial"/>
          <w:color w:val="000000"/>
        </w:rPr>
      </w:pPr>
      <w:r>
        <w:rPr>
          <w:rFonts w:ascii="Arial" w:hAnsi="Arial" w:cs="Arial"/>
          <w:noProof/>
          <w:lang w:eastAsia="en-GB"/>
        </w:rPr>
        <w:drawing>
          <wp:anchor distT="0" distB="0" distL="114300" distR="114300" simplePos="0" relativeHeight="251659264" behindDoc="1" locked="0" layoutInCell="1" allowOverlap="1">
            <wp:simplePos x="0" y="0"/>
            <wp:positionH relativeFrom="page">
              <wp:posOffset>1417320</wp:posOffset>
            </wp:positionH>
            <wp:positionV relativeFrom="paragraph">
              <wp:posOffset>-8890</wp:posOffset>
            </wp:positionV>
            <wp:extent cx="128270" cy="85217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8270" cy="852170"/>
                    </a:xfrm>
                    <a:prstGeom prst="rect">
                      <a:avLst/>
                    </a:prstGeom>
                    <a:noFill/>
                  </pic:spPr>
                </pic:pic>
              </a:graphicData>
            </a:graphic>
          </wp:anchor>
        </w:drawing>
      </w:r>
      <w:r w:rsidR="004A4257">
        <w:rPr>
          <w:rFonts w:ascii="Arial" w:hAnsi="Arial" w:cs="Arial"/>
          <w:color w:val="000000"/>
        </w:rPr>
        <w:t>b</w:t>
      </w:r>
      <w:r w:rsidR="004A4257" w:rsidRPr="009E060B">
        <w:rPr>
          <w:rFonts w:ascii="Arial" w:hAnsi="Arial" w:cs="Arial"/>
          <w:color w:val="000000"/>
        </w:rPr>
        <w:t>etting (including fixed odds betting, pool</w:t>
      </w:r>
      <w:r w:rsidR="004A4257">
        <w:rPr>
          <w:rFonts w:ascii="Arial" w:hAnsi="Arial" w:cs="Arial"/>
          <w:color w:val="000000"/>
        </w:rPr>
        <w:t xml:space="preserve"> betting and betting exchanges)</w:t>
      </w:r>
    </w:p>
    <w:p w:rsidR="004A4257" w:rsidRPr="009E060B" w:rsidRDefault="004A4257" w:rsidP="000156C3">
      <w:pPr>
        <w:pStyle w:val="ListParagraph"/>
        <w:numPr>
          <w:ilvl w:val="2"/>
          <w:numId w:val="3"/>
        </w:numPr>
        <w:spacing w:after="0" w:line="240" w:lineRule="auto"/>
        <w:ind w:left="1418" w:right="-20" w:hanging="284"/>
        <w:rPr>
          <w:rFonts w:ascii="Arial" w:hAnsi="Arial" w:cs="Arial"/>
          <w:color w:val="000000"/>
        </w:rPr>
      </w:pPr>
      <w:r w:rsidRPr="009E060B">
        <w:rPr>
          <w:rFonts w:ascii="Arial" w:hAnsi="Arial" w:cs="Arial"/>
          <w:color w:val="000000"/>
        </w:rPr>
        <w:t>casino (including</w:t>
      </w:r>
      <w:r>
        <w:rPr>
          <w:rFonts w:ascii="Arial" w:hAnsi="Arial" w:cs="Arial"/>
          <w:color w:val="000000"/>
        </w:rPr>
        <w:t xml:space="preserve"> casino games and poker)</w:t>
      </w:r>
    </w:p>
    <w:p w:rsidR="004A4257" w:rsidRPr="009E060B" w:rsidRDefault="004A4257" w:rsidP="000156C3">
      <w:pPr>
        <w:pStyle w:val="ListParagraph"/>
        <w:numPr>
          <w:ilvl w:val="2"/>
          <w:numId w:val="3"/>
        </w:numPr>
        <w:spacing w:after="0" w:line="240" w:lineRule="auto"/>
        <w:ind w:left="1418" w:right="-20" w:hanging="284"/>
        <w:rPr>
          <w:rFonts w:ascii="Arial" w:hAnsi="Arial" w:cs="Arial"/>
          <w:color w:val="000000"/>
        </w:rPr>
      </w:pPr>
      <w:r>
        <w:rPr>
          <w:rFonts w:ascii="Arial" w:hAnsi="Arial" w:cs="Arial"/>
          <w:color w:val="000000"/>
        </w:rPr>
        <w:t>bingo</w:t>
      </w:r>
    </w:p>
    <w:p w:rsidR="00A52B34" w:rsidRDefault="004A4257" w:rsidP="000156C3">
      <w:pPr>
        <w:pStyle w:val="ListParagraph"/>
        <w:numPr>
          <w:ilvl w:val="2"/>
          <w:numId w:val="3"/>
        </w:numPr>
        <w:spacing w:after="0" w:line="240" w:lineRule="auto"/>
        <w:ind w:left="1418" w:right="1247" w:hanging="284"/>
        <w:rPr>
          <w:rFonts w:ascii="Arial" w:hAnsi="Arial" w:cs="Arial"/>
          <w:color w:val="000000"/>
        </w:rPr>
      </w:pPr>
      <w:r w:rsidRPr="009E060B">
        <w:rPr>
          <w:rFonts w:ascii="Arial" w:hAnsi="Arial" w:cs="Arial"/>
          <w:color w:val="000000"/>
        </w:rPr>
        <w:t>lotteries and external lottery managers</w:t>
      </w:r>
    </w:p>
    <w:p w:rsidR="004A4257" w:rsidRDefault="004A4257" w:rsidP="000156C3">
      <w:pPr>
        <w:pStyle w:val="ListParagraph"/>
        <w:numPr>
          <w:ilvl w:val="2"/>
          <w:numId w:val="3"/>
        </w:numPr>
        <w:spacing w:after="0" w:line="240" w:lineRule="auto"/>
        <w:ind w:left="1418" w:right="1247" w:hanging="284"/>
        <w:rPr>
          <w:rFonts w:ascii="Arial" w:hAnsi="Arial" w:cs="Arial"/>
          <w:color w:val="000000"/>
        </w:rPr>
      </w:pPr>
      <w:proofErr w:type="gramStart"/>
      <w:r>
        <w:rPr>
          <w:rFonts w:ascii="Arial" w:hAnsi="Arial" w:cs="Arial"/>
          <w:color w:val="000000"/>
        </w:rPr>
        <w:t>s</w:t>
      </w:r>
      <w:r w:rsidRPr="009E060B">
        <w:rPr>
          <w:rFonts w:ascii="Arial" w:hAnsi="Arial" w:cs="Arial"/>
          <w:color w:val="000000"/>
        </w:rPr>
        <w:t>oftware</w:t>
      </w:r>
      <w:proofErr w:type="gramEnd"/>
      <w:r w:rsidRPr="009E060B">
        <w:rPr>
          <w:rFonts w:ascii="Arial" w:hAnsi="Arial" w:cs="Arial"/>
          <w:color w:val="000000"/>
        </w:rPr>
        <w:t xml:space="preserve"> developers</w:t>
      </w:r>
      <w:r>
        <w:rPr>
          <w:rFonts w:ascii="Arial" w:hAnsi="Arial" w:cs="Arial"/>
          <w:color w:val="000000"/>
        </w:rPr>
        <w:t xml:space="preserve"> and suppliers.</w:t>
      </w:r>
    </w:p>
    <w:p w:rsidR="004A4257" w:rsidRDefault="004A4257" w:rsidP="004A4257">
      <w:pPr>
        <w:ind w:left="567" w:right="170" w:hanging="567"/>
        <w:rPr>
          <w:rFonts w:ascii="Arial" w:hAnsi="Arial" w:cs="Arial"/>
          <w:color w:val="000000"/>
        </w:rPr>
      </w:pPr>
    </w:p>
    <w:p w:rsidR="004A4257" w:rsidRPr="004A4257" w:rsidRDefault="00A52B34" w:rsidP="004B4958">
      <w:pPr>
        <w:ind w:left="567" w:right="170" w:hanging="567"/>
        <w:rPr>
          <w:rFonts w:ascii="Arial" w:hAnsi="Arial" w:cs="Arial"/>
          <w:color w:val="000000"/>
          <w:sz w:val="22"/>
          <w:szCs w:val="22"/>
        </w:rPr>
      </w:pPr>
      <w:r>
        <w:rPr>
          <w:rFonts w:ascii="Arial" w:hAnsi="Arial" w:cs="Arial"/>
          <w:color w:val="000000"/>
          <w:sz w:val="22"/>
          <w:szCs w:val="22"/>
        </w:rPr>
        <w:t>2.8</w:t>
      </w:r>
      <w:r w:rsidR="004A4257" w:rsidRPr="004A4257">
        <w:rPr>
          <w:rFonts w:ascii="Arial" w:hAnsi="Arial" w:cs="Arial"/>
          <w:color w:val="000000"/>
          <w:sz w:val="22"/>
          <w:szCs w:val="22"/>
        </w:rPr>
        <w:t xml:space="preserve">  </w:t>
      </w:r>
      <w:r w:rsidR="004A4257" w:rsidRPr="004A4257">
        <w:rPr>
          <w:rFonts w:ascii="Arial" w:hAnsi="Arial" w:cs="Arial"/>
          <w:color w:val="000000"/>
          <w:sz w:val="22"/>
          <w:szCs w:val="22"/>
        </w:rPr>
        <w:tab/>
        <w:t>There is no distinction between licences for B2C and B2B operators</w:t>
      </w:r>
      <w:r w:rsidR="003D12DF">
        <w:rPr>
          <w:rFonts w:ascii="Arial" w:hAnsi="Arial" w:cs="Arial"/>
          <w:color w:val="000000"/>
          <w:sz w:val="22"/>
          <w:szCs w:val="22"/>
        </w:rPr>
        <w:t>; those</w:t>
      </w:r>
      <w:r w:rsidR="004017CB">
        <w:rPr>
          <w:rFonts w:ascii="Arial" w:hAnsi="Arial" w:cs="Arial"/>
          <w:color w:val="000000"/>
          <w:sz w:val="22"/>
          <w:szCs w:val="22"/>
        </w:rPr>
        <w:t xml:space="preserve"> B2B </w:t>
      </w:r>
      <w:r w:rsidR="003D12DF">
        <w:rPr>
          <w:rFonts w:ascii="Arial" w:hAnsi="Arial" w:cs="Arial"/>
          <w:color w:val="000000"/>
          <w:sz w:val="22"/>
          <w:szCs w:val="22"/>
        </w:rPr>
        <w:t xml:space="preserve">operators providing facilities for gambling to other gambling operators such as platforms providing </w:t>
      </w:r>
      <w:r w:rsidR="004017CB">
        <w:rPr>
          <w:rFonts w:ascii="Arial" w:hAnsi="Arial" w:cs="Arial"/>
          <w:color w:val="000000"/>
          <w:sz w:val="22"/>
          <w:szCs w:val="22"/>
        </w:rPr>
        <w:lastRenderedPageBreak/>
        <w:t xml:space="preserve">bingo, slots and poker facilities to B2C </w:t>
      </w:r>
      <w:proofErr w:type="gramStart"/>
      <w:r w:rsidR="004017CB">
        <w:rPr>
          <w:rFonts w:ascii="Arial" w:hAnsi="Arial" w:cs="Arial"/>
          <w:color w:val="000000"/>
          <w:sz w:val="22"/>
          <w:szCs w:val="22"/>
        </w:rPr>
        <w:t>operators,</w:t>
      </w:r>
      <w:proofErr w:type="gramEnd"/>
      <w:r w:rsidR="004017CB">
        <w:rPr>
          <w:rFonts w:ascii="Arial" w:hAnsi="Arial" w:cs="Arial"/>
          <w:color w:val="000000"/>
          <w:sz w:val="22"/>
          <w:szCs w:val="22"/>
        </w:rPr>
        <w:t xml:space="preserve"> require operating licences. Those developers and suppliers of gambling software</w:t>
      </w:r>
      <w:r w:rsidR="009E10F9">
        <w:rPr>
          <w:rStyle w:val="FootnoteReference"/>
          <w:rFonts w:ascii="Arial" w:hAnsi="Arial" w:cs="Arial"/>
          <w:color w:val="000000"/>
          <w:sz w:val="22"/>
          <w:szCs w:val="22"/>
        </w:rPr>
        <w:footnoteReference w:id="5"/>
      </w:r>
      <w:r w:rsidR="009E10F9">
        <w:rPr>
          <w:rFonts w:ascii="Arial" w:hAnsi="Arial" w:cs="Arial"/>
          <w:color w:val="000000"/>
          <w:sz w:val="22"/>
          <w:szCs w:val="22"/>
        </w:rPr>
        <w:t xml:space="preserve"> to our licensees </w:t>
      </w:r>
      <w:r w:rsidR="004017CB">
        <w:rPr>
          <w:rFonts w:ascii="Arial" w:hAnsi="Arial" w:cs="Arial"/>
          <w:color w:val="000000"/>
          <w:sz w:val="22"/>
          <w:szCs w:val="22"/>
        </w:rPr>
        <w:t>also require licences</w:t>
      </w:r>
      <w:r w:rsidR="004A4257" w:rsidRPr="004A4257">
        <w:rPr>
          <w:rFonts w:ascii="Arial" w:hAnsi="Arial" w:cs="Arial"/>
          <w:color w:val="000000"/>
          <w:sz w:val="22"/>
          <w:szCs w:val="22"/>
        </w:rPr>
        <w:t xml:space="preserve">. The Commission also requires personal management licences for holders of key functional posts such as finance director, CEO/COO and marketing director. </w:t>
      </w:r>
      <w:r w:rsidR="00C863FC">
        <w:rPr>
          <w:rFonts w:ascii="Arial" w:hAnsi="Arial" w:cs="Arial"/>
          <w:color w:val="000000"/>
          <w:sz w:val="22"/>
          <w:szCs w:val="22"/>
        </w:rPr>
        <w:br/>
      </w:r>
    </w:p>
    <w:p w:rsidR="00C863FC" w:rsidRDefault="00A52B34" w:rsidP="004A4257">
      <w:pPr>
        <w:pStyle w:val="ListParagraph"/>
        <w:spacing w:after="0" w:line="240" w:lineRule="auto"/>
        <w:ind w:left="567" w:right="382" w:hanging="567"/>
        <w:rPr>
          <w:rFonts w:ascii="Arial" w:hAnsi="Arial" w:cs="Arial"/>
          <w:color w:val="000000"/>
        </w:rPr>
      </w:pPr>
      <w:r>
        <w:rPr>
          <w:rFonts w:ascii="Arial" w:hAnsi="Arial" w:cs="Arial"/>
          <w:color w:val="000000"/>
        </w:rPr>
        <w:t>2.9</w:t>
      </w:r>
      <w:r>
        <w:rPr>
          <w:rFonts w:ascii="Arial" w:hAnsi="Arial" w:cs="Arial"/>
          <w:color w:val="000000"/>
        </w:rPr>
        <w:tab/>
      </w:r>
      <w:r w:rsidR="004A4257" w:rsidRPr="004A4257">
        <w:rPr>
          <w:rFonts w:ascii="Arial" w:hAnsi="Arial" w:cs="Arial"/>
          <w:color w:val="000000"/>
        </w:rPr>
        <w:t xml:space="preserve">The original 2005 Act permitted operators regulated in EEA States and in </w:t>
      </w:r>
      <w:proofErr w:type="spellStart"/>
      <w:r w:rsidR="004A4257" w:rsidRPr="004A4257">
        <w:rPr>
          <w:rFonts w:ascii="Arial" w:hAnsi="Arial" w:cs="Arial"/>
          <w:color w:val="000000"/>
        </w:rPr>
        <w:t>whitelisted</w:t>
      </w:r>
      <w:proofErr w:type="spellEnd"/>
      <w:r w:rsidR="004A4257" w:rsidRPr="004A4257">
        <w:rPr>
          <w:rFonts w:ascii="Arial" w:hAnsi="Arial" w:cs="Arial"/>
          <w:color w:val="000000"/>
        </w:rPr>
        <w:t xml:space="preserve"> jurisdictions</w:t>
      </w:r>
      <w:r w:rsidR="004A4257" w:rsidRPr="004A4257">
        <w:rPr>
          <w:rStyle w:val="FootnoteReference"/>
          <w:rFonts w:ascii="Arial" w:hAnsi="Arial" w:cs="Arial"/>
          <w:color w:val="000000"/>
        </w:rPr>
        <w:footnoteReference w:id="6"/>
      </w:r>
      <w:r w:rsidR="004A4257" w:rsidRPr="004A4257">
        <w:rPr>
          <w:rFonts w:ascii="Arial" w:hAnsi="Arial" w:cs="Arial"/>
          <w:color w:val="000000"/>
        </w:rPr>
        <w:t xml:space="preserve"> to advertise and offer services to UK consumers. </w:t>
      </w:r>
      <w:r w:rsidR="00C863FC" w:rsidRPr="00C863FC">
        <w:rPr>
          <w:rFonts w:ascii="Arial" w:hAnsi="Arial" w:cs="Arial"/>
          <w:color w:val="000000"/>
        </w:rPr>
        <w:t xml:space="preserve">In the years following the 2005 Act coming into effect, British based operators started to move their remote betting operations from the UK to </w:t>
      </w:r>
      <w:proofErr w:type="spellStart"/>
      <w:r w:rsidR="00C863FC" w:rsidRPr="00C863FC">
        <w:rPr>
          <w:rFonts w:ascii="Arial" w:hAnsi="Arial" w:cs="Arial"/>
          <w:color w:val="000000"/>
        </w:rPr>
        <w:t>whitelisted</w:t>
      </w:r>
      <w:proofErr w:type="spellEnd"/>
      <w:r w:rsidR="00C863FC" w:rsidRPr="00C863FC">
        <w:rPr>
          <w:rFonts w:ascii="Arial" w:hAnsi="Arial" w:cs="Arial"/>
          <w:color w:val="000000"/>
        </w:rPr>
        <w:t xml:space="preserve"> or EU jurisdictions such as Gibraltar where they could operate with little or no gambling duty or other obligations such as the horse race betting levy and</w:t>
      </w:r>
      <w:r w:rsidR="00DA14A4">
        <w:rPr>
          <w:rFonts w:ascii="Arial" w:hAnsi="Arial" w:cs="Arial"/>
          <w:color w:val="000000"/>
        </w:rPr>
        <w:t xml:space="preserve"> with</w:t>
      </w:r>
      <w:r w:rsidR="00C863FC" w:rsidRPr="00C863FC">
        <w:rPr>
          <w:rFonts w:ascii="Arial" w:hAnsi="Arial" w:cs="Arial"/>
          <w:color w:val="000000"/>
        </w:rPr>
        <w:t xml:space="preserve"> lower corporate tax. In addition other EU states, which had hitherto banned remote betting and gaming or limited it to  pool betting and state monopolies focussed on their home markets, started to licen</w:t>
      </w:r>
      <w:r w:rsidR="00C863FC">
        <w:rPr>
          <w:rFonts w:ascii="Arial" w:hAnsi="Arial" w:cs="Arial"/>
          <w:color w:val="000000"/>
        </w:rPr>
        <w:t>s</w:t>
      </w:r>
      <w:r w:rsidR="00C863FC" w:rsidRPr="00C863FC">
        <w:rPr>
          <w:rFonts w:ascii="Arial" w:hAnsi="Arial" w:cs="Arial"/>
          <w:color w:val="000000"/>
        </w:rPr>
        <w:t>e remote gambling operators, adding to the potential range of  legal gambling available to customers in Britain.</w:t>
      </w:r>
    </w:p>
    <w:p w:rsidR="00C863FC" w:rsidRDefault="00C863FC" w:rsidP="004A4257">
      <w:pPr>
        <w:pStyle w:val="ListParagraph"/>
        <w:spacing w:after="0" w:line="240" w:lineRule="auto"/>
        <w:ind w:left="567" w:right="382" w:hanging="567"/>
        <w:rPr>
          <w:rFonts w:ascii="Arial" w:hAnsi="Arial" w:cs="Arial"/>
          <w:color w:val="000000"/>
        </w:rPr>
      </w:pPr>
    </w:p>
    <w:p w:rsidR="004A4257" w:rsidRPr="009E060B" w:rsidRDefault="00A52B34" w:rsidP="00A52B34">
      <w:pPr>
        <w:pStyle w:val="ListParagraph"/>
        <w:spacing w:after="0" w:line="240" w:lineRule="auto"/>
        <w:ind w:left="567" w:right="382" w:hanging="567"/>
        <w:rPr>
          <w:rFonts w:ascii="Arial" w:hAnsi="Arial" w:cs="Arial"/>
          <w:color w:val="000000"/>
        </w:rPr>
      </w:pPr>
      <w:r>
        <w:rPr>
          <w:rFonts w:ascii="Arial" w:hAnsi="Arial" w:cs="Arial"/>
          <w:color w:val="000000"/>
        </w:rPr>
        <w:t xml:space="preserve">2.10 </w:t>
      </w:r>
      <w:r>
        <w:rPr>
          <w:rFonts w:ascii="Arial" w:hAnsi="Arial" w:cs="Arial"/>
          <w:color w:val="000000"/>
        </w:rPr>
        <w:tab/>
      </w:r>
      <w:r w:rsidR="004A4257" w:rsidRPr="009E060B">
        <w:rPr>
          <w:rFonts w:ascii="Arial" w:hAnsi="Arial" w:cs="Arial"/>
          <w:color w:val="000000"/>
        </w:rPr>
        <w:t xml:space="preserve">While by and large the licensing requirements of other EU and white listed jurisdictions were comparable to those in Britain, this had left the Commission with no information or oversight on the performance of operators supplying the vast bulk on the British market or on how the market was developing; very limited scope for identifying emerging risks or evaluating the effectiveness of regulatory measures and with consumers facing slightly different regulatory regimes and </w:t>
      </w:r>
      <w:r w:rsidR="004A4257">
        <w:rPr>
          <w:rFonts w:ascii="Arial" w:hAnsi="Arial" w:cs="Arial"/>
          <w:color w:val="000000"/>
        </w:rPr>
        <w:t xml:space="preserve">entirely different </w:t>
      </w:r>
      <w:r w:rsidR="004A4257" w:rsidRPr="009E060B">
        <w:rPr>
          <w:rFonts w:ascii="Arial" w:hAnsi="Arial" w:cs="Arial"/>
          <w:color w:val="000000"/>
        </w:rPr>
        <w:t xml:space="preserve">avenues for complaint and redress depending on which operator they transacted with. </w:t>
      </w:r>
    </w:p>
    <w:p w:rsidR="004A4257" w:rsidRPr="009E060B" w:rsidRDefault="004A4257" w:rsidP="004A4257">
      <w:pPr>
        <w:pStyle w:val="ListParagraph"/>
        <w:spacing w:after="0" w:line="240" w:lineRule="auto"/>
        <w:ind w:left="567" w:hanging="567"/>
        <w:rPr>
          <w:rFonts w:ascii="Arial" w:hAnsi="Arial" w:cs="Arial"/>
          <w:color w:val="000000"/>
        </w:rPr>
      </w:pPr>
    </w:p>
    <w:p w:rsidR="009C6B6F" w:rsidRDefault="00C863FC" w:rsidP="000156C3">
      <w:pPr>
        <w:pStyle w:val="ListParagraph"/>
        <w:numPr>
          <w:ilvl w:val="1"/>
          <w:numId w:val="6"/>
        </w:numPr>
        <w:spacing w:after="0" w:line="240" w:lineRule="auto"/>
        <w:ind w:left="567" w:right="382" w:hanging="567"/>
        <w:rPr>
          <w:rFonts w:ascii="Arial" w:hAnsi="Arial" w:cs="Arial"/>
          <w:color w:val="000000"/>
        </w:rPr>
      </w:pPr>
      <w:r w:rsidRPr="00654C02">
        <w:rPr>
          <w:rFonts w:ascii="Arial" w:hAnsi="Arial" w:cs="Arial"/>
          <w:color w:val="000000"/>
        </w:rPr>
        <w:t xml:space="preserve">The Commission was not therefore in a position to advise the government effectively on the impact of remote gambling or its regulation and, in so far as we were able to identify emerging </w:t>
      </w:r>
      <w:r w:rsidR="00513E85">
        <w:rPr>
          <w:rFonts w:ascii="Arial" w:hAnsi="Arial" w:cs="Arial"/>
          <w:color w:val="000000"/>
        </w:rPr>
        <w:t xml:space="preserve">risks or issues, would have to persuade an increasing number of other regulators, to act in concert with us if we were to be able to protect British consumers. Many of those regulators did not have our ability to change licensing requirements or take enforcement action without departmental or legislative approval. We were not able for example to insist on operators cooperating on a national self exclusion database for remote gambling or using only software suppliers also licensed by the Commission and we were constrained in terms of the player protection measures we could impose, given the scope for overseas-based competitors not facing the same requirements to attract customers away from GC licensees. </w:t>
      </w:r>
    </w:p>
    <w:p w:rsidR="008B5375" w:rsidRDefault="008B5375">
      <w:pPr>
        <w:pStyle w:val="ListParagraph"/>
        <w:tabs>
          <w:tab w:val="left" w:pos="820"/>
        </w:tabs>
        <w:spacing w:after="0" w:line="240" w:lineRule="auto"/>
        <w:ind w:left="420" w:right="382"/>
        <w:rPr>
          <w:rFonts w:ascii="Arial" w:hAnsi="Arial" w:cs="Arial"/>
          <w:color w:val="000000"/>
        </w:rPr>
      </w:pPr>
    </w:p>
    <w:p w:rsidR="004A4257" w:rsidRDefault="00654C02" w:rsidP="000156C3">
      <w:pPr>
        <w:pStyle w:val="ListParagraph"/>
        <w:numPr>
          <w:ilvl w:val="1"/>
          <w:numId w:val="6"/>
        </w:numPr>
        <w:spacing w:after="0" w:line="240" w:lineRule="auto"/>
        <w:ind w:left="567" w:right="382" w:hanging="567"/>
        <w:rPr>
          <w:rFonts w:ascii="Arial" w:hAnsi="Arial" w:cs="Arial"/>
          <w:color w:val="000000"/>
        </w:rPr>
      </w:pPr>
      <w:r>
        <w:rPr>
          <w:rFonts w:ascii="Arial" w:hAnsi="Arial" w:cs="Arial"/>
          <w:color w:val="000000"/>
        </w:rPr>
        <w:t>In relation to sports betting integrity</w:t>
      </w:r>
      <w:r w:rsidR="006D64D3">
        <w:rPr>
          <w:rFonts w:ascii="Arial" w:hAnsi="Arial" w:cs="Arial"/>
          <w:color w:val="000000"/>
        </w:rPr>
        <w:t>, the</w:t>
      </w:r>
      <w:r>
        <w:rPr>
          <w:rFonts w:ascii="Arial" w:hAnsi="Arial" w:cs="Arial"/>
          <w:color w:val="000000"/>
        </w:rPr>
        <w:t xml:space="preserve"> Commission was unable to require suspicious betting reports from overseas betting operators and could not access information on particular betting transactions without first satisfying other regulators of the need for such information. Depending on the powers of the other regulators, requests might have to be made via overseas police forces. While some suspicious and unusual betting information was provided voluntarily, particularly by </w:t>
      </w:r>
      <w:proofErr w:type="spellStart"/>
      <w:r>
        <w:rPr>
          <w:rFonts w:ascii="Arial" w:hAnsi="Arial" w:cs="Arial"/>
          <w:color w:val="000000"/>
        </w:rPr>
        <w:t>Betfair</w:t>
      </w:r>
      <w:proofErr w:type="spellEnd"/>
      <w:r>
        <w:rPr>
          <w:rFonts w:ascii="Arial" w:hAnsi="Arial" w:cs="Arial"/>
          <w:color w:val="000000"/>
        </w:rPr>
        <w:t>, its provision was patchy and the lack of timely information and the ability to investigate swiftly were major concerns for the Commission’s Sports Betting Intelligence Unit.</w:t>
      </w:r>
    </w:p>
    <w:p w:rsidR="004A4257" w:rsidRPr="009E060B" w:rsidRDefault="004A4257" w:rsidP="004A4257">
      <w:pPr>
        <w:pStyle w:val="ListParagraph"/>
        <w:spacing w:after="0" w:line="240" w:lineRule="auto"/>
        <w:ind w:left="567" w:hanging="567"/>
        <w:rPr>
          <w:rFonts w:ascii="Arial" w:hAnsi="Arial" w:cs="Arial"/>
          <w:color w:val="000000"/>
        </w:rPr>
      </w:pPr>
    </w:p>
    <w:p w:rsidR="004A4257" w:rsidRPr="009E060B" w:rsidRDefault="006D668B" w:rsidP="000156C3">
      <w:pPr>
        <w:pStyle w:val="ListParagraph"/>
        <w:numPr>
          <w:ilvl w:val="1"/>
          <w:numId w:val="6"/>
        </w:numPr>
        <w:spacing w:after="0" w:line="240" w:lineRule="auto"/>
        <w:ind w:left="567" w:right="382" w:hanging="567"/>
        <w:rPr>
          <w:rFonts w:ascii="Arial" w:hAnsi="Arial" w:cs="Arial"/>
          <w:color w:val="000000"/>
        </w:rPr>
      </w:pPr>
      <w:r>
        <w:rPr>
          <w:rFonts w:ascii="Arial" w:hAnsi="Arial" w:cs="Arial"/>
          <w:color w:val="000000"/>
        </w:rPr>
        <w:t xml:space="preserve">In </w:t>
      </w:r>
      <w:r w:rsidR="004A4257" w:rsidRPr="004B76EC">
        <w:rPr>
          <w:rFonts w:ascii="Arial" w:hAnsi="Arial" w:cs="Arial"/>
          <w:color w:val="000000"/>
        </w:rPr>
        <w:t>2010</w:t>
      </w:r>
      <w:r w:rsidR="004A4257">
        <w:rPr>
          <w:rFonts w:ascii="Arial" w:hAnsi="Arial" w:cs="Arial"/>
          <w:color w:val="000000"/>
        </w:rPr>
        <w:t xml:space="preserve"> t</w:t>
      </w:r>
      <w:r w:rsidR="004A4257" w:rsidRPr="009E060B">
        <w:rPr>
          <w:rFonts w:ascii="Arial" w:hAnsi="Arial" w:cs="Arial"/>
          <w:color w:val="000000"/>
        </w:rPr>
        <w:t xml:space="preserve">he government accepted the advice of the Commission that the Act should be amended to require all those advertising and providing facilities for  gambling to those in Britain to hold a Commission licence, in other words to change the main focus of regulation from the point of supply to the point of consumption. The amending legislation, </w:t>
      </w:r>
      <w:r w:rsidR="004A4257">
        <w:rPr>
          <w:rFonts w:ascii="Arial" w:hAnsi="Arial" w:cs="Arial"/>
          <w:color w:val="000000"/>
        </w:rPr>
        <w:t xml:space="preserve">the Gambling (Licensing and </w:t>
      </w:r>
      <w:r>
        <w:rPr>
          <w:rFonts w:ascii="Arial" w:hAnsi="Arial" w:cs="Arial"/>
          <w:color w:val="000000"/>
        </w:rPr>
        <w:t>Advertising)</w:t>
      </w:r>
      <w:r w:rsidR="004A4257">
        <w:rPr>
          <w:rFonts w:ascii="Arial" w:hAnsi="Arial" w:cs="Arial"/>
          <w:color w:val="000000"/>
        </w:rPr>
        <w:t xml:space="preserve"> Act</w:t>
      </w:r>
      <w:r w:rsidR="004A4257" w:rsidRPr="009E060B">
        <w:rPr>
          <w:rFonts w:ascii="Arial" w:hAnsi="Arial" w:cs="Arial"/>
          <w:color w:val="000000"/>
        </w:rPr>
        <w:t xml:space="preserve"> came into effect on 1 November 2014. By the time the necessary consultation processes had been completed and a slot found in the legislative timetable, over 85% of the British remote gambling market was being supplied by operators licensed elsewhere in the EU or in white listed jurisdictions.</w:t>
      </w:r>
    </w:p>
    <w:p w:rsidR="004A4257" w:rsidRPr="009E060B" w:rsidRDefault="004A4257" w:rsidP="004A4257">
      <w:pPr>
        <w:pStyle w:val="ListParagraph"/>
        <w:spacing w:after="0" w:line="240" w:lineRule="auto"/>
        <w:ind w:left="567" w:hanging="567"/>
        <w:rPr>
          <w:rFonts w:ascii="Arial" w:hAnsi="Arial" w:cs="Arial"/>
          <w:color w:val="000000"/>
        </w:rPr>
      </w:pPr>
    </w:p>
    <w:p w:rsidR="004A4257" w:rsidRDefault="004A4257" w:rsidP="000156C3">
      <w:pPr>
        <w:pStyle w:val="ListParagraph"/>
        <w:numPr>
          <w:ilvl w:val="1"/>
          <w:numId w:val="6"/>
        </w:numPr>
        <w:spacing w:after="0" w:line="240" w:lineRule="auto"/>
        <w:ind w:left="567" w:right="382" w:hanging="567"/>
        <w:rPr>
          <w:rFonts w:ascii="Arial" w:hAnsi="Arial" w:cs="Arial"/>
          <w:color w:val="000000"/>
        </w:rPr>
      </w:pPr>
      <w:r w:rsidRPr="00BD1703">
        <w:rPr>
          <w:rFonts w:ascii="Arial" w:hAnsi="Arial" w:cs="Arial"/>
          <w:color w:val="000000"/>
        </w:rPr>
        <w:t>Following implementation of the 2014 Act the Commission now licences operators responsible for virtually all the remote</w:t>
      </w:r>
      <w:r w:rsidR="00BA3D0D">
        <w:rPr>
          <w:rFonts w:ascii="Arial" w:hAnsi="Arial" w:cs="Arial"/>
          <w:color w:val="000000"/>
        </w:rPr>
        <w:t xml:space="preserve"> gaming and</w:t>
      </w:r>
      <w:r w:rsidRPr="00BD1703">
        <w:rPr>
          <w:rFonts w:ascii="Arial" w:hAnsi="Arial" w:cs="Arial"/>
          <w:color w:val="000000"/>
        </w:rPr>
        <w:t xml:space="preserve"> betting market in Britain, probably well over 95%. </w:t>
      </w:r>
      <w:r w:rsidR="00BA3D0D">
        <w:rPr>
          <w:rFonts w:ascii="Arial" w:hAnsi="Arial" w:cs="Arial"/>
          <w:color w:val="000000"/>
        </w:rPr>
        <w:t>Nearly 150 operators</w:t>
      </w:r>
      <w:r w:rsidR="00C863FC">
        <w:rPr>
          <w:rFonts w:ascii="Arial" w:hAnsi="Arial" w:cs="Arial"/>
          <w:color w:val="000000"/>
        </w:rPr>
        <w:t xml:space="preserve"> </w:t>
      </w:r>
      <w:r w:rsidRPr="00BD1703">
        <w:rPr>
          <w:rFonts w:ascii="Arial" w:hAnsi="Arial" w:cs="Arial"/>
          <w:color w:val="000000"/>
        </w:rPr>
        <w:t xml:space="preserve">are or have remained overseas-based but are </w:t>
      </w:r>
      <w:r w:rsidR="00BA3D0D">
        <w:rPr>
          <w:rFonts w:ascii="Arial" w:hAnsi="Arial" w:cs="Arial"/>
          <w:color w:val="000000"/>
        </w:rPr>
        <w:t xml:space="preserve">now </w:t>
      </w:r>
      <w:r w:rsidRPr="00BD1703">
        <w:rPr>
          <w:rFonts w:ascii="Arial" w:hAnsi="Arial" w:cs="Arial"/>
          <w:color w:val="000000"/>
        </w:rPr>
        <w:t xml:space="preserve">subject to Commission licensing </w:t>
      </w:r>
      <w:r>
        <w:rPr>
          <w:rFonts w:ascii="Arial" w:hAnsi="Arial" w:cs="Arial"/>
          <w:color w:val="000000"/>
        </w:rPr>
        <w:t>and regulation for their UK facing activity</w:t>
      </w:r>
      <w:r w:rsidR="00A52B34">
        <w:rPr>
          <w:rFonts w:ascii="Arial" w:hAnsi="Arial" w:cs="Arial"/>
          <w:color w:val="000000"/>
        </w:rPr>
        <w:t xml:space="preserve">. </w:t>
      </w:r>
      <w:r w:rsidRPr="00BD1703">
        <w:rPr>
          <w:rFonts w:ascii="Arial" w:hAnsi="Arial" w:cs="Arial"/>
          <w:color w:val="000000"/>
        </w:rPr>
        <w:t>They provide regulatory returns with information on their performance both in terms of revenue by type of gambling and in relation</w:t>
      </w:r>
      <w:r w:rsidR="00DD7975">
        <w:rPr>
          <w:rFonts w:ascii="Arial" w:hAnsi="Arial" w:cs="Arial"/>
          <w:color w:val="000000"/>
        </w:rPr>
        <w:t xml:space="preserve"> both</w:t>
      </w:r>
      <w:r w:rsidRPr="00BD1703">
        <w:rPr>
          <w:rFonts w:ascii="Arial" w:hAnsi="Arial" w:cs="Arial"/>
          <w:color w:val="000000"/>
        </w:rPr>
        <w:t xml:space="preserve"> to player characteristics and to compliance activities</w:t>
      </w:r>
      <w:r w:rsidR="00BA3D0D">
        <w:rPr>
          <w:rFonts w:ascii="Arial" w:hAnsi="Arial" w:cs="Arial"/>
          <w:color w:val="000000"/>
        </w:rPr>
        <w:t>,</w:t>
      </w:r>
      <w:r w:rsidRPr="00BD1703">
        <w:rPr>
          <w:rFonts w:ascii="Arial" w:hAnsi="Arial" w:cs="Arial"/>
          <w:color w:val="000000"/>
        </w:rPr>
        <w:t xml:space="preserve"> such as numbers </w:t>
      </w:r>
      <w:r w:rsidR="006D668B">
        <w:rPr>
          <w:rFonts w:ascii="Arial" w:hAnsi="Arial" w:cs="Arial"/>
          <w:color w:val="000000"/>
        </w:rPr>
        <w:t>self-excluding</w:t>
      </w:r>
      <w:r w:rsidRPr="00BD1703">
        <w:rPr>
          <w:rFonts w:ascii="Arial" w:hAnsi="Arial" w:cs="Arial"/>
          <w:color w:val="000000"/>
        </w:rPr>
        <w:t xml:space="preserve">, breach of </w:t>
      </w:r>
      <w:r w:rsidR="006D668B">
        <w:rPr>
          <w:rFonts w:ascii="Arial" w:hAnsi="Arial" w:cs="Arial"/>
          <w:color w:val="000000"/>
        </w:rPr>
        <w:t>self-exclusion</w:t>
      </w:r>
      <w:r w:rsidRPr="00BD1703">
        <w:rPr>
          <w:rFonts w:ascii="Arial" w:hAnsi="Arial" w:cs="Arial"/>
          <w:color w:val="000000"/>
        </w:rPr>
        <w:t xml:space="preserve">, software or security problems and changes in key personnel. </w:t>
      </w:r>
    </w:p>
    <w:p w:rsidR="004A4257" w:rsidRPr="00BD1703" w:rsidRDefault="004A4257" w:rsidP="004A4257">
      <w:pPr>
        <w:pStyle w:val="ListParagraph"/>
        <w:spacing w:after="0" w:line="240" w:lineRule="auto"/>
        <w:ind w:left="567" w:hanging="567"/>
        <w:rPr>
          <w:rFonts w:ascii="Arial" w:hAnsi="Arial" w:cs="Arial"/>
          <w:color w:val="000000"/>
        </w:rPr>
      </w:pPr>
    </w:p>
    <w:p w:rsidR="005B2A2F" w:rsidRPr="005B2A2F" w:rsidRDefault="004A4257" w:rsidP="000156C3">
      <w:pPr>
        <w:pStyle w:val="ListParagraph"/>
        <w:numPr>
          <w:ilvl w:val="1"/>
          <w:numId w:val="6"/>
        </w:numPr>
        <w:spacing w:after="0" w:line="240" w:lineRule="auto"/>
        <w:ind w:left="567" w:right="382" w:hanging="567"/>
        <w:rPr>
          <w:rFonts w:ascii="Arial" w:hAnsi="Arial" w:cs="Arial"/>
          <w:color w:val="000000"/>
          <w:sz w:val="16"/>
          <w:szCs w:val="16"/>
        </w:rPr>
      </w:pPr>
      <w:r w:rsidRPr="004B4958">
        <w:rPr>
          <w:rFonts w:ascii="Arial" w:hAnsi="Arial" w:cs="Arial"/>
          <w:color w:val="000000"/>
        </w:rPr>
        <w:t xml:space="preserve">More specifically in relation to remote betting activity, all operators legally providing betting facilities to those in Britain are now subject to licence conditions requiring them to report suspicious transactions or suspected breaches of sports governing bodies rules to both the sporting body and the Commission. </w:t>
      </w:r>
    </w:p>
    <w:p w:rsidR="00B60681" w:rsidRDefault="00B60681">
      <w:pPr>
        <w:pStyle w:val="ListParagraph"/>
        <w:rPr>
          <w:rFonts w:ascii="Arial" w:hAnsi="Arial" w:cs="Arial"/>
          <w:color w:val="000000"/>
        </w:rPr>
      </w:pPr>
    </w:p>
    <w:p w:rsidR="00AA3C2C" w:rsidRPr="00DB11BD" w:rsidRDefault="004A4257" w:rsidP="000156C3">
      <w:pPr>
        <w:pStyle w:val="ListParagraph"/>
        <w:numPr>
          <w:ilvl w:val="1"/>
          <w:numId w:val="6"/>
        </w:numPr>
        <w:spacing w:after="0" w:line="240" w:lineRule="auto"/>
        <w:ind w:left="567" w:right="382" w:hanging="567"/>
        <w:rPr>
          <w:rFonts w:ascii="Arial" w:hAnsi="Arial" w:cs="Arial"/>
          <w:color w:val="000000"/>
          <w:sz w:val="16"/>
          <w:szCs w:val="16"/>
        </w:rPr>
      </w:pPr>
      <w:r w:rsidRPr="004B4958">
        <w:rPr>
          <w:rFonts w:ascii="Arial" w:hAnsi="Arial" w:cs="Arial"/>
          <w:color w:val="000000"/>
        </w:rPr>
        <w:t>All are now also subject to the requirement to make a contribution towards research, education and treatment in relation to gambling-related harm</w:t>
      </w:r>
      <w:r w:rsidR="00AD48B0">
        <w:rPr>
          <w:rFonts w:ascii="Arial" w:hAnsi="Arial" w:cs="Arial"/>
          <w:color w:val="000000"/>
        </w:rPr>
        <w:t>.</w:t>
      </w:r>
      <w:r w:rsidRPr="004B4958">
        <w:rPr>
          <w:rFonts w:ascii="Arial" w:hAnsi="Arial" w:cs="Arial"/>
          <w:color w:val="000000"/>
        </w:rPr>
        <w:t xml:space="preserve"> Many overseas operators in fact already did so but the licence requirement greatly reduces the scope for freeloading and, as a backstop, brings such operators within the ambit of the 2005 Act’s reserve powers</w:t>
      </w:r>
      <w:r w:rsidR="00AA3C2C">
        <w:rPr>
          <w:rStyle w:val="FootnoteReference"/>
          <w:rFonts w:ascii="Arial" w:hAnsi="Arial" w:cs="Arial"/>
          <w:color w:val="000000"/>
        </w:rPr>
        <w:footnoteReference w:id="7"/>
      </w:r>
      <w:r w:rsidRPr="004B4958">
        <w:rPr>
          <w:rFonts w:ascii="Arial" w:hAnsi="Arial" w:cs="Arial"/>
          <w:color w:val="000000"/>
        </w:rPr>
        <w:t xml:space="preserve"> to raise a levy</w:t>
      </w:r>
      <w:r w:rsidR="00AA3C2C">
        <w:rPr>
          <w:rFonts w:ascii="Arial" w:hAnsi="Arial" w:cs="Arial"/>
          <w:color w:val="000000"/>
        </w:rPr>
        <w:t xml:space="preserve"> </w:t>
      </w:r>
      <w:r w:rsidR="00AA3C2C" w:rsidRPr="00AA3C2C">
        <w:rPr>
          <w:rFonts w:ascii="Arial" w:hAnsi="Arial" w:cs="Arial"/>
          <w:color w:val="000000"/>
        </w:rPr>
        <w:t>payable to the Gambling Commission for ‘purposes related to, or by way of providing financial assistance for projects related to</w:t>
      </w:r>
      <w:r w:rsidR="00AA3C2C">
        <w:rPr>
          <w:rFonts w:ascii="Arial" w:hAnsi="Arial" w:cs="Arial"/>
          <w:color w:val="000000"/>
        </w:rPr>
        <w:t>:</w:t>
      </w:r>
    </w:p>
    <w:p w:rsidR="00DB11BD" w:rsidRPr="00AA3C2C" w:rsidRDefault="00DB11BD" w:rsidP="00DB11BD">
      <w:pPr>
        <w:pStyle w:val="ListParagraph"/>
        <w:spacing w:after="0" w:line="240" w:lineRule="auto"/>
        <w:ind w:left="567" w:right="382"/>
        <w:rPr>
          <w:rFonts w:ascii="Arial" w:hAnsi="Arial" w:cs="Arial"/>
          <w:color w:val="000000"/>
          <w:sz w:val="16"/>
          <w:szCs w:val="16"/>
        </w:rPr>
      </w:pPr>
    </w:p>
    <w:p w:rsidR="00AA3C2C" w:rsidRPr="00AA3C2C" w:rsidRDefault="00AA3C2C" w:rsidP="00AA3C2C">
      <w:pPr>
        <w:pStyle w:val="ListParagraph"/>
        <w:spacing w:after="0" w:line="240" w:lineRule="auto"/>
        <w:ind w:left="993" w:right="382"/>
        <w:rPr>
          <w:rFonts w:ascii="Arial" w:hAnsi="Arial" w:cs="Arial"/>
          <w:color w:val="000000"/>
          <w:sz w:val="16"/>
          <w:szCs w:val="16"/>
        </w:rPr>
      </w:pPr>
      <w:r w:rsidRPr="00AA3C2C">
        <w:rPr>
          <w:rFonts w:ascii="Arial" w:hAnsi="Arial" w:cs="Arial"/>
          <w:color w:val="000000"/>
        </w:rPr>
        <w:t>a)</w:t>
      </w:r>
      <w:r>
        <w:rPr>
          <w:rFonts w:ascii="Arial" w:hAnsi="Arial" w:cs="Arial"/>
          <w:color w:val="000000"/>
        </w:rPr>
        <w:t xml:space="preserve"> </w:t>
      </w:r>
      <w:proofErr w:type="gramStart"/>
      <w:r w:rsidRPr="00AA3C2C">
        <w:rPr>
          <w:rFonts w:ascii="Arial" w:hAnsi="Arial" w:cs="Arial"/>
          <w:color w:val="000000"/>
        </w:rPr>
        <w:t>addiction</w:t>
      </w:r>
      <w:proofErr w:type="gramEnd"/>
      <w:r w:rsidRPr="00AA3C2C">
        <w:rPr>
          <w:rFonts w:ascii="Arial" w:hAnsi="Arial" w:cs="Arial"/>
          <w:color w:val="000000"/>
        </w:rPr>
        <w:t xml:space="preserve"> to gambling </w:t>
      </w:r>
      <w:r>
        <w:rPr>
          <w:rFonts w:ascii="Arial" w:hAnsi="Arial" w:cs="Arial"/>
          <w:color w:val="000000"/>
        </w:rPr>
        <w:br/>
      </w:r>
      <w:r w:rsidRPr="00AA3C2C">
        <w:rPr>
          <w:rFonts w:ascii="Arial" w:hAnsi="Arial" w:cs="Arial"/>
          <w:color w:val="000000"/>
        </w:rPr>
        <w:t>b)</w:t>
      </w:r>
      <w:r>
        <w:rPr>
          <w:rFonts w:ascii="Arial" w:hAnsi="Arial" w:cs="Arial"/>
          <w:color w:val="000000"/>
        </w:rPr>
        <w:t xml:space="preserve"> </w:t>
      </w:r>
      <w:r w:rsidRPr="00AA3C2C">
        <w:rPr>
          <w:rFonts w:ascii="Arial" w:hAnsi="Arial" w:cs="Arial"/>
          <w:color w:val="000000"/>
        </w:rPr>
        <w:t xml:space="preserve">other forms of harm or exploitation associated with gambling or </w:t>
      </w:r>
      <w:r>
        <w:rPr>
          <w:rFonts w:ascii="Arial" w:hAnsi="Arial" w:cs="Arial"/>
          <w:color w:val="000000"/>
        </w:rPr>
        <w:br/>
      </w:r>
      <w:r w:rsidRPr="00AA3C2C">
        <w:rPr>
          <w:rFonts w:ascii="Arial" w:hAnsi="Arial" w:cs="Arial"/>
          <w:color w:val="000000"/>
        </w:rPr>
        <w:t>c) any of the licensing objectives.</w:t>
      </w:r>
      <w:r w:rsidR="00AD48B0">
        <w:rPr>
          <w:rFonts w:ascii="Arial" w:hAnsi="Arial" w:cs="Arial"/>
          <w:color w:val="000000"/>
        </w:rPr>
        <w:t>’</w:t>
      </w:r>
    </w:p>
    <w:p w:rsidR="005B2A2F" w:rsidRDefault="005B2A2F" w:rsidP="00AA3C2C">
      <w:pPr>
        <w:pStyle w:val="ListParagraph"/>
        <w:spacing w:after="0" w:line="240" w:lineRule="auto"/>
        <w:ind w:left="567" w:right="382"/>
        <w:rPr>
          <w:rFonts w:ascii="Arial" w:hAnsi="Arial" w:cs="Arial"/>
          <w:color w:val="000000"/>
        </w:rPr>
      </w:pPr>
    </w:p>
    <w:p w:rsidR="004A4257" w:rsidRPr="004B4958" w:rsidRDefault="00AA3C2C" w:rsidP="00AA3C2C">
      <w:pPr>
        <w:pStyle w:val="ListParagraph"/>
        <w:spacing w:after="0" w:line="240" w:lineRule="auto"/>
        <w:ind w:left="567" w:right="382"/>
        <w:rPr>
          <w:rFonts w:ascii="Arial" w:hAnsi="Arial" w:cs="Arial"/>
          <w:color w:val="000000"/>
          <w:sz w:val="16"/>
          <w:szCs w:val="16"/>
        </w:rPr>
      </w:pPr>
      <w:r w:rsidRPr="00AA3C2C">
        <w:rPr>
          <w:rFonts w:ascii="Arial" w:hAnsi="Arial" w:cs="Arial"/>
          <w:color w:val="000000"/>
        </w:rPr>
        <w:t>To date the government has not used this power, relying instead on the voluntary contributions made by the industry to the Responsible Gambling Trust</w:t>
      </w:r>
      <w:r w:rsidR="004A4257" w:rsidRPr="004B4958">
        <w:rPr>
          <w:rFonts w:ascii="Arial" w:hAnsi="Arial" w:cs="Arial"/>
          <w:color w:val="000000"/>
        </w:rPr>
        <w:t>.</w:t>
      </w:r>
      <w:r w:rsidR="005B2A2F">
        <w:rPr>
          <w:rStyle w:val="FootnoteReference"/>
          <w:rFonts w:ascii="Arial" w:hAnsi="Arial" w:cs="Arial"/>
          <w:color w:val="000000"/>
        </w:rPr>
        <w:footnoteReference w:id="8"/>
      </w:r>
      <w:r w:rsidR="004A4257" w:rsidRPr="004B4958">
        <w:rPr>
          <w:rFonts w:ascii="Arial" w:hAnsi="Arial" w:cs="Arial"/>
          <w:color w:val="000000"/>
        </w:rPr>
        <w:t xml:space="preserve"> </w:t>
      </w:r>
      <w:r w:rsidR="006D668B" w:rsidRPr="004B4958">
        <w:rPr>
          <w:rFonts w:ascii="Arial" w:hAnsi="Arial" w:cs="Arial"/>
          <w:color w:val="000000"/>
        </w:rPr>
        <w:br/>
      </w:r>
    </w:p>
    <w:p w:rsidR="004A4257" w:rsidRPr="009E060B" w:rsidRDefault="00AA3C2C" w:rsidP="000156C3">
      <w:pPr>
        <w:pStyle w:val="ListParagraph"/>
        <w:numPr>
          <w:ilvl w:val="1"/>
          <w:numId w:val="6"/>
        </w:numPr>
        <w:spacing w:after="0" w:line="240" w:lineRule="auto"/>
        <w:ind w:left="567" w:right="382" w:hanging="567"/>
        <w:rPr>
          <w:rFonts w:ascii="Arial" w:hAnsi="Arial" w:cs="Arial"/>
          <w:color w:val="000000"/>
        </w:rPr>
      </w:pPr>
      <w:r w:rsidRPr="00AA3C2C">
        <w:rPr>
          <w:rFonts w:ascii="Arial" w:hAnsi="Arial" w:cs="Arial"/>
          <w:color w:val="000000"/>
        </w:rPr>
        <w:t>We now have a relatively complete picture of the British remote and non remote gambling market activity and are able to oversee and monitor operators, track trends and identify changes and the ability</w:t>
      </w:r>
      <w:r>
        <w:rPr>
          <w:rFonts w:ascii="Arial" w:hAnsi="Arial" w:cs="Arial"/>
          <w:color w:val="000000"/>
        </w:rPr>
        <w:t xml:space="preserve"> to move swiftly to address non-</w:t>
      </w:r>
      <w:r w:rsidRPr="00AA3C2C">
        <w:rPr>
          <w:rFonts w:ascii="Arial" w:hAnsi="Arial" w:cs="Arial"/>
          <w:color w:val="000000"/>
        </w:rPr>
        <w:t>compliance or emerging risks</w:t>
      </w:r>
      <w:r>
        <w:rPr>
          <w:rStyle w:val="FootnoteReference"/>
          <w:rFonts w:ascii="Arial" w:hAnsi="Arial" w:cs="Arial"/>
          <w:color w:val="000000"/>
        </w:rPr>
        <w:footnoteReference w:id="9"/>
      </w:r>
      <w:r w:rsidRPr="00AA3C2C">
        <w:rPr>
          <w:rFonts w:ascii="Arial" w:hAnsi="Arial" w:cs="Arial"/>
          <w:color w:val="000000"/>
        </w:rPr>
        <w:t>. With many people</w:t>
      </w:r>
      <w:r>
        <w:rPr>
          <w:rFonts w:ascii="Arial" w:hAnsi="Arial" w:cs="Arial"/>
          <w:color w:val="000000"/>
        </w:rPr>
        <w:t xml:space="preserve"> gambling both remotely and non-</w:t>
      </w:r>
      <w:r w:rsidRPr="00AA3C2C">
        <w:rPr>
          <w:rFonts w:ascii="Arial" w:hAnsi="Arial" w:cs="Arial"/>
          <w:color w:val="000000"/>
        </w:rPr>
        <w:t xml:space="preserve">remotely </w:t>
      </w:r>
      <w:proofErr w:type="spellStart"/>
      <w:r w:rsidRPr="00AA3C2C">
        <w:rPr>
          <w:rFonts w:ascii="Arial" w:hAnsi="Arial" w:cs="Arial"/>
          <w:color w:val="000000"/>
        </w:rPr>
        <w:t>ie</w:t>
      </w:r>
      <w:proofErr w:type="spellEnd"/>
      <w:r w:rsidRPr="00AA3C2C">
        <w:rPr>
          <w:rFonts w:ascii="Arial" w:hAnsi="Arial" w:cs="Arial"/>
          <w:color w:val="000000"/>
        </w:rPr>
        <w:t xml:space="preserve"> in premises</w:t>
      </w:r>
      <w:r>
        <w:rPr>
          <w:rFonts w:ascii="Arial" w:hAnsi="Arial" w:cs="Arial"/>
          <w:color w:val="000000"/>
        </w:rPr>
        <w:t xml:space="preserve"> and operators developing multi-</w:t>
      </w:r>
      <w:r w:rsidRPr="00AA3C2C">
        <w:rPr>
          <w:rFonts w:ascii="Arial" w:hAnsi="Arial" w:cs="Arial"/>
          <w:color w:val="000000"/>
        </w:rPr>
        <w:t>channel strategies, this overview of the complete market is important in terms of understanding and mitigating risks to players and to the licensing objectives.</w:t>
      </w:r>
    </w:p>
    <w:p w:rsidR="004A4257" w:rsidRDefault="004A4257" w:rsidP="004A4257">
      <w:pPr>
        <w:ind w:left="567" w:hanging="567"/>
        <w:rPr>
          <w:rFonts w:ascii="Arial" w:hAnsi="Arial" w:cs="Arial"/>
          <w:b/>
          <w:color w:val="000000"/>
          <w:sz w:val="16"/>
          <w:szCs w:val="16"/>
        </w:rPr>
      </w:pPr>
    </w:p>
    <w:p w:rsidR="00DA14A4" w:rsidRPr="004B4958" w:rsidRDefault="00DA14A4" w:rsidP="004A4257">
      <w:pPr>
        <w:ind w:left="567" w:hanging="567"/>
        <w:rPr>
          <w:rFonts w:ascii="Arial" w:hAnsi="Arial" w:cs="Arial"/>
          <w:b/>
          <w:color w:val="000000"/>
          <w:sz w:val="16"/>
          <w:szCs w:val="16"/>
        </w:rPr>
      </w:pPr>
    </w:p>
    <w:p w:rsidR="004A4257" w:rsidRPr="006D668B" w:rsidRDefault="006D668B" w:rsidP="000156C3">
      <w:pPr>
        <w:numPr>
          <w:ilvl w:val="0"/>
          <w:numId w:val="6"/>
        </w:numPr>
        <w:ind w:left="567" w:hanging="567"/>
        <w:rPr>
          <w:rFonts w:ascii="Arial" w:hAnsi="Arial" w:cs="Arial"/>
          <w:b/>
          <w:color w:val="000000"/>
          <w:sz w:val="32"/>
          <w:szCs w:val="32"/>
        </w:rPr>
      </w:pPr>
      <w:r w:rsidRPr="006D668B">
        <w:rPr>
          <w:rFonts w:ascii="Arial" w:hAnsi="Arial" w:cs="Arial"/>
          <w:b/>
          <w:color w:val="000000"/>
          <w:sz w:val="32"/>
          <w:szCs w:val="32"/>
        </w:rPr>
        <w:tab/>
      </w:r>
      <w:r w:rsidR="004A4257" w:rsidRPr="006D668B">
        <w:rPr>
          <w:rFonts w:ascii="Arial" w:hAnsi="Arial" w:cs="Arial"/>
          <w:b/>
          <w:color w:val="000000"/>
          <w:sz w:val="32"/>
          <w:szCs w:val="32"/>
        </w:rPr>
        <w:t>Current market size and gambling prevalence</w:t>
      </w:r>
    </w:p>
    <w:p w:rsidR="004A4257" w:rsidRPr="004B4958" w:rsidRDefault="004A4257" w:rsidP="004A4257">
      <w:pPr>
        <w:pStyle w:val="ListParagraph"/>
        <w:tabs>
          <w:tab w:val="left" w:pos="820"/>
        </w:tabs>
        <w:spacing w:after="0" w:line="240" w:lineRule="auto"/>
        <w:ind w:left="567" w:right="382" w:hanging="567"/>
        <w:rPr>
          <w:rFonts w:ascii="Arial" w:hAnsi="Arial" w:cs="Arial"/>
          <w:color w:val="000000"/>
          <w:sz w:val="16"/>
          <w:szCs w:val="16"/>
        </w:rPr>
      </w:pPr>
    </w:p>
    <w:p w:rsidR="00AA3C2C" w:rsidRDefault="006D668B" w:rsidP="006D668B">
      <w:pPr>
        <w:pStyle w:val="ListParagraph"/>
        <w:spacing w:after="0" w:line="240" w:lineRule="auto"/>
        <w:ind w:left="567" w:right="382" w:hanging="567"/>
        <w:rPr>
          <w:rFonts w:ascii="Arial" w:hAnsi="Arial" w:cs="Arial"/>
          <w:color w:val="000000"/>
        </w:rPr>
      </w:pPr>
      <w:r>
        <w:rPr>
          <w:rFonts w:ascii="Arial" w:hAnsi="Arial" w:cs="Arial"/>
          <w:color w:val="000000"/>
        </w:rPr>
        <w:t xml:space="preserve">3.1 </w:t>
      </w:r>
      <w:r>
        <w:rPr>
          <w:rFonts w:ascii="Arial" w:hAnsi="Arial" w:cs="Arial"/>
          <w:color w:val="000000"/>
        </w:rPr>
        <w:tab/>
      </w:r>
      <w:r w:rsidR="004A4257" w:rsidRPr="009E060B">
        <w:rPr>
          <w:rFonts w:ascii="Arial" w:hAnsi="Arial" w:cs="Arial"/>
          <w:color w:val="000000"/>
        </w:rPr>
        <w:t>In addition to the data provided by regulatory returns</w:t>
      </w:r>
      <w:r w:rsidR="004A4257">
        <w:rPr>
          <w:rFonts w:ascii="Arial" w:hAnsi="Arial" w:cs="Arial"/>
          <w:color w:val="000000"/>
        </w:rPr>
        <w:t xml:space="preserve"> from its licensees (see</w:t>
      </w:r>
      <w:r w:rsidR="00AA3C2C">
        <w:rPr>
          <w:rFonts w:ascii="Arial" w:hAnsi="Arial" w:cs="Arial"/>
          <w:color w:val="000000"/>
        </w:rPr>
        <w:t xml:space="preserve"> </w:t>
      </w:r>
      <w:hyperlink r:id="rId12" w:history="1">
        <w:r w:rsidR="00AA3C2C" w:rsidRPr="00AA3C2C">
          <w:rPr>
            <w:rStyle w:val="Hyperlink"/>
            <w:rFonts w:ascii="Arial" w:hAnsi="Arial" w:cs="Arial"/>
          </w:rPr>
          <w:t>our industry statistics</w:t>
        </w:r>
      </w:hyperlink>
      <w:r w:rsidR="004A4257">
        <w:rPr>
          <w:rFonts w:ascii="Arial" w:hAnsi="Arial" w:cs="Arial"/>
          <w:color w:val="000000"/>
        </w:rPr>
        <w:t>)</w:t>
      </w:r>
      <w:r w:rsidR="004A4257" w:rsidRPr="009E060B">
        <w:rPr>
          <w:rFonts w:ascii="Arial" w:hAnsi="Arial" w:cs="Arial"/>
          <w:color w:val="000000"/>
        </w:rPr>
        <w:t xml:space="preserve"> the Commission collect</w:t>
      </w:r>
      <w:r w:rsidR="00AA3C2C">
        <w:rPr>
          <w:rFonts w:ascii="Arial" w:hAnsi="Arial" w:cs="Arial"/>
          <w:color w:val="000000"/>
        </w:rPr>
        <w:t>s</w:t>
      </w:r>
      <w:r w:rsidR="004A4257" w:rsidRPr="009E060B">
        <w:rPr>
          <w:rFonts w:ascii="Arial" w:hAnsi="Arial" w:cs="Arial"/>
          <w:color w:val="000000"/>
        </w:rPr>
        <w:t xml:space="preserve"> quarterly survey data on participation in gambling and on attitudes to gambling. </w:t>
      </w:r>
      <w:r w:rsidR="00AA3C2C" w:rsidRPr="00AA3C2C">
        <w:rPr>
          <w:rFonts w:ascii="Arial" w:hAnsi="Arial" w:cs="Arial"/>
          <w:color w:val="000000"/>
        </w:rPr>
        <w:t>When it comes to participation, our latest published quarterly participation survey for online activity shows the following for those respondents which have engaged in any online activities over the past four w</w:t>
      </w:r>
      <w:r w:rsidR="006D64D3">
        <w:rPr>
          <w:rFonts w:ascii="Arial" w:hAnsi="Arial" w:cs="Arial"/>
          <w:color w:val="000000"/>
        </w:rPr>
        <w:t>eeks.</w:t>
      </w:r>
    </w:p>
    <w:p w:rsidR="006D64D3" w:rsidRDefault="006D64D3" w:rsidP="006D668B">
      <w:pPr>
        <w:pStyle w:val="ListParagraph"/>
        <w:spacing w:after="0" w:line="240" w:lineRule="auto"/>
        <w:ind w:left="567" w:right="382" w:hanging="567"/>
        <w:rPr>
          <w:rFonts w:ascii="Arial" w:hAnsi="Arial" w:cs="Arial"/>
          <w:color w:val="000000"/>
        </w:rPr>
      </w:pPr>
    </w:p>
    <w:tbl>
      <w:tblPr>
        <w:tblW w:w="8822" w:type="dxa"/>
        <w:tblInd w:w="675" w:type="dxa"/>
        <w:tblCellMar>
          <w:left w:w="0" w:type="dxa"/>
          <w:right w:w="0" w:type="dxa"/>
        </w:tblCellMar>
        <w:tblLook w:val="04A0"/>
      </w:tblPr>
      <w:tblGrid>
        <w:gridCol w:w="1539"/>
        <w:gridCol w:w="1020"/>
        <w:gridCol w:w="1019"/>
        <w:gridCol w:w="1020"/>
        <w:gridCol w:w="1019"/>
        <w:gridCol w:w="1018"/>
        <w:gridCol w:w="1028"/>
        <w:gridCol w:w="1159"/>
      </w:tblGrid>
      <w:tr w:rsidR="00E439D4" w:rsidRPr="00AA3C2C" w:rsidTr="006D64D3">
        <w:trPr>
          <w:trHeight w:val="950"/>
        </w:trPr>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3C2C" w:rsidRPr="00AA3C2C" w:rsidRDefault="00AA3C2C" w:rsidP="0001436D">
            <w:pPr>
              <w:rPr>
                <w:rFonts w:ascii="Arial" w:hAnsi="Arial" w:cs="Arial"/>
                <w:sz w:val="20"/>
              </w:rPr>
            </w:pPr>
            <w:r w:rsidRPr="00AA3C2C">
              <w:rPr>
                <w:rFonts w:ascii="Arial" w:hAnsi="Arial" w:cs="Arial"/>
                <w:sz w:val="20"/>
              </w:rPr>
              <w:t> </w:t>
            </w:r>
          </w:p>
        </w:tc>
        <w:tc>
          <w:tcPr>
            <w:tcW w:w="10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A3C2C" w:rsidRPr="00E439D4" w:rsidRDefault="00AA3C2C" w:rsidP="0001436D">
            <w:pPr>
              <w:jc w:val="center"/>
              <w:rPr>
                <w:rFonts w:ascii="Arial" w:hAnsi="Arial" w:cs="Arial"/>
                <w:b/>
                <w:sz w:val="20"/>
              </w:rPr>
            </w:pPr>
            <w:r w:rsidRPr="00E439D4">
              <w:rPr>
                <w:rFonts w:ascii="Arial" w:hAnsi="Arial" w:cs="Arial"/>
                <w:b/>
                <w:sz w:val="20"/>
              </w:rPr>
              <w:t>National Lottery</w:t>
            </w:r>
          </w:p>
        </w:tc>
        <w:tc>
          <w:tcPr>
            <w:tcW w:w="10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A3C2C" w:rsidRPr="00E439D4" w:rsidRDefault="00AA3C2C" w:rsidP="0001436D">
            <w:pPr>
              <w:jc w:val="center"/>
              <w:rPr>
                <w:rFonts w:ascii="Arial" w:hAnsi="Arial" w:cs="Arial"/>
                <w:b/>
                <w:sz w:val="20"/>
              </w:rPr>
            </w:pPr>
            <w:r w:rsidRPr="00E439D4">
              <w:rPr>
                <w:rFonts w:ascii="Arial" w:hAnsi="Arial" w:cs="Arial"/>
                <w:b/>
                <w:sz w:val="20"/>
              </w:rPr>
              <w:t>Sports betting</w:t>
            </w:r>
          </w:p>
        </w:tc>
        <w:tc>
          <w:tcPr>
            <w:tcW w:w="10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A3C2C" w:rsidRPr="00E439D4" w:rsidRDefault="00AA3C2C" w:rsidP="0001436D">
            <w:pPr>
              <w:jc w:val="center"/>
              <w:rPr>
                <w:rFonts w:ascii="Arial" w:hAnsi="Arial" w:cs="Arial"/>
                <w:b/>
                <w:sz w:val="20"/>
              </w:rPr>
            </w:pPr>
            <w:r w:rsidRPr="00E439D4">
              <w:rPr>
                <w:rFonts w:ascii="Arial" w:hAnsi="Arial" w:cs="Arial"/>
                <w:b/>
                <w:sz w:val="20"/>
              </w:rPr>
              <w:t>Other lotteries</w:t>
            </w:r>
          </w:p>
        </w:tc>
        <w:tc>
          <w:tcPr>
            <w:tcW w:w="10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A3C2C" w:rsidRPr="00E439D4" w:rsidRDefault="00AA3C2C" w:rsidP="0001436D">
            <w:pPr>
              <w:jc w:val="center"/>
              <w:rPr>
                <w:rFonts w:ascii="Arial" w:hAnsi="Arial" w:cs="Arial"/>
                <w:b/>
                <w:sz w:val="20"/>
              </w:rPr>
            </w:pPr>
            <w:r w:rsidRPr="00E439D4">
              <w:rPr>
                <w:rFonts w:ascii="Arial" w:hAnsi="Arial" w:cs="Arial"/>
                <w:b/>
                <w:sz w:val="20"/>
              </w:rPr>
              <w:t>Horse betting</w:t>
            </w:r>
          </w:p>
        </w:tc>
        <w:tc>
          <w:tcPr>
            <w:tcW w:w="10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A3C2C" w:rsidRPr="00E439D4" w:rsidRDefault="00AA3C2C" w:rsidP="0001436D">
            <w:pPr>
              <w:jc w:val="center"/>
              <w:rPr>
                <w:rFonts w:ascii="Arial" w:hAnsi="Arial" w:cs="Arial"/>
                <w:b/>
                <w:sz w:val="20"/>
              </w:rPr>
            </w:pPr>
            <w:r w:rsidRPr="00E439D4">
              <w:rPr>
                <w:rFonts w:ascii="Arial" w:hAnsi="Arial" w:cs="Arial"/>
                <w:b/>
                <w:sz w:val="20"/>
              </w:rPr>
              <w:t>Bingo</w:t>
            </w:r>
          </w:p>
        </w:tc>
        <w:tc>
          <w:tcPr>
            <w:tcW w:w="10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A3C2C" w:rsidRPr="00E439D4" w:rsidRDefault="00AA3C2C" w:rsidP="00AA3C2C">
            <w:pPr>
              <w:jc w:val="center"/>
              <w:rPr>
                <w:rFonts w:ascii="Arial" w:hAnsi="Arial" w:cs="Arial"/>
                <w:b/>
                <w:sz w:val="20"/>
              </w:rPr>
            </w:pPr>
            <w:r w:rsidRPr="00E439D4">
              <w:rPr>
                <w:rFonts w:ascii="Arial" w:hAnsi="Arial" w:cs="Arial"/>
                <w:b/>
                <w:sz w:val="20"/>
              </w:rPr>
              <w:t>Online fruit/slot machine games</w:t>
            </w:r>
          </w:p>
        </w:tc>
        <w:tc>
          <w:tcPr>
            <w:tcW w:w="11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A3C2C" w:rsidRPr="00E439D4" w:rsidRDefault="00AA3C2C" w:rsidP="0001436D">
            <w:pPr>
              <w:jc w:val="center"/>
              <w:rPr>
                <w:rFonts w:ascii="Arial" w:hAnsi="Arial" w:cs="Arial"/>
                <w:b/>
                <w:sz w:val="20"/>
              </w:rPr>
            </w:pPr>
            <w:r w:rsidRPr="00E439D4">
              <w:rPr>
                <w:rFonts w:ascii="Arial" w:hAnsi="Arial" w:cs="Arial"/>
                <w:b/>
                <w:sz w:val="20"/>
              </w:rPr>
              <w:t>Roulette, poker cards or dice</w:t>
            </w:r>
          </w:p>
        </w:tc>
      </w:tr>
      <w:tr w:rsidR="00AA3C2C" w:rsidRPr="00AA3C2C" w:rsidTr="006D64D3">
        <w:trPr>
          <w:trHeight w:val="290"/>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3C2C" w:rsidRPr="00AA3C2C" w:rsidRDefault="00AA3C2C" w:rsidP="0001436D">
            <w:pPr>
              <w:rPr>
                <w:rFonts w:ascii="Arial" w:hAnsi="Arial" w:cs="Arial"/>
                <w:sz w:val="20"/>
              </w:rPr>
            </w:pPr>
            <w:r w:rsidRPr="00AA3C2C">
              <w:rPr>
                <w:rFonts w:ascii="Arial" w:hAnsi="Arial" w:cs="Arial"/>
                <w:sz w:val="20"/>
              </w:rPr>
              <w:t>Four week participation (online)</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C2C" w:rsidRPr="00AA3C2C" w:rsidRDefault="00AA3C2C" w:rsidP="0001436D">
            <w:pPr>
              <w:jc w:val="right"/>
              <w:rPr>
                <w:rFonts w:ascii="Arial" w:hAnsi="Arial" w:cs="Arial"/>
                <w:sz w:val="20"/>
              </w:rPr>
            </w:pPr>
            <w:r w:rsidRPr="00AA3C2C">
              <w:rPr>
                <w:rFonts w:ascii="Arial" w:hAnsi="Arial" w:cs="Arial"/>
                <w:sz w:val="20"/>
              </w:rPr>
              <w:t>68%</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C2C" w:rsidRPr="00AA3C2C" w:rsidRDefault="00AA3C2C" w:rsidP="0001436D">
            <w:pPr>
              <w:jc w:val="right"/>
              <w:rPr>
                <w:rFonts w:ascii="Arial" w:hAnsi="Arial" w:cs="Arial"/>
                <w:sz w:val="20"/>
              </w:rPr>
            </w:pPr>
            <w:r w:rsidRPr="00AA3C2C">
              <w:rPr>
                <w:rFonts w:ascii="Arial" w:hAnsi="Arial" w:cs="Arial"/>
                <w:sz w:val="20"/>
              </w:rPr>
              <w:t>14%</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C2C" w:rsidRPr="00AA3C2C" w:rsidRDefault="00AA3C2C" w:rsidP="0001436D">
            <w:pPr>
              <w:jc w:val="right"/>
              <w:rPr>
                <w:rFonts w:ascii="Arial" w:hAnsi="Arial" w:cs="Arial"/>
                <w:sz w:val="20"/>
              </w:rPr>
            </w:pPr>
            <w:r w:rsidRPr="00AA3C2C">
              <w:rPr>
                <w:rFonts w:ascii="Arial" w:hAnsi="Arial" w:cs="Arial"/>
                <w:sz w:val="20"/>
              </w:rPr>
              <w:t>14%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C2C" w:rsidRPr="00AA3C2C" w:rsidRDefault="00AA3C2C" w:rsidP="0001436D">
            <w:pPr>
              <w:jc w:val="right"/>
              <w:rPr>
                <w:rFonts w:ascii="Arial" w:hAnsi="Arial" w:cs="Arial"/>
                <w:sz w:val="20"/>
              </w:rPr>
            </w:pPr>
            <w:r w:rsidRPr="00AA3C2C">
              <w:rPr>
                <w:rFonts w:ascii="Arial" w:hAnsi="Arial" w:cs="Arial"/>
                <w:sz w:val="20"/>
              </w:rPr>
              <w:t>10%</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C2C" w:rsidRPr="00AA3C2C" w:rsidRDefault="00AA3C2C" w:rsidP="0001436D">
            <w:pPr>
              <w:jc w:val="right"/>
              <w:rPr>
                <w:rFonts w:ascii="Arial" w:hAnsi="Arial" w:cs="Arial"/>
                <w:sz w:val="20"/>
              </w:rPr>
            </w:pPr>
            <w:r w:rsidRPr="00AA3C2C">
              <w:rPr>
                <w:rFonts w:ascii="Arial" w:hAnsi="Arial" w:cs="Arial"/>
                <w:sz w:val="20"/>
              </w:rPr>
              <w:t>5%</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C2C" w:rsidRPr="00AA3C2C" w:rsidRDefault="00AA3C2C" w:rsidP="0001436D">
            <w:pPr>
              <w:jc w:val="right"/>
              <w:rPr>
                <w:rFonts w:ascii="Arial" w:hAnsi="Arial" w:cs="Arial"/>
                <w:sz w:val="20"/>
              </w:rPr>
            </w:pPr>
            <w:r w:rsidRPr="00AA3C2C">
              <w:rPr>
                <w:rFonts w:ascii="Arial" w:hAnsi="Arial" w:cs="Arial"/>
                <w:sz w:val="20"/>
              </w:rPr>
              <w:t>4%</w:t>
            </w:r>
          </w:p>
        </w:tc>
        <w:tc>
          <w:tcPr>
            <w:tcW w:w="1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3C2C" w:rsidRPr="00AA3C2C" w:rsidRDefault="00AA3C2C" w:rsidP="0001436D">
            <w:pPr>
              <w:jc w:val="right"/>
              <w:rPr>
                <w:rFonts w:ascii="Arial" w:hAnsi="Arial" w:cs="Arial"/>
                <w:sz w:val="20"/>
              </w:rPr>
            </w:pPr>
            <w:r w:rsidRPr="00AA3C2C">
              <w:rPr>
                <w:rFonts w:ascii="Arial" w:hAnsi="Arial" w:cs="Arial"/>
                <w:sz w:val="20"/>
              </w:rPr>
              <w:t>4%</w:t>
            </w:r>
          </w:p>
        </w:tc>
      </w:tr>
    </w:tbl>
    <w:p w:rsidR="006D668B" w:rsidRPr="004B4958" w:rsidRDefault="006D668B" w:rsidP="004A4257">
      <w:pPr>
        <w:ind w:left="567" w:hanging="567"/>
        <w:rPr>
          <w:rFonts w:ascii="Arial" w:hAnsi="Arial" w:cs="Arial"/>
          <w:b/>
          <w:color w:val="000000"/>
          <w:sz w:val="16"/>
          <w:szCs w:val="16"/>
        </w:rPr>
      </w:pPr>
    </w:p>
    <w:p w:rsidR="00C06042" w:rsidRDefault="006D668B" w:rsidP="00A7225F">
      <w:pPr>
        <w:ind w:left="567" w:hanging="567"/>
        <w:rPr>
          <w:rFonts w:ascii="Arial" w:hAnsi="Arial" w:cs="Arial"/>
          <w:color w:val="000000"/>
          <w:sz w:val="22"/>
          <w:szCs w:val="22"/>
        </w:rPr>
      </w:pPr>
      <w:r>
        <w:rPr>
          <w:rFonts w:ascii="Arial" w:hAnsi="Arial" w:cs="Arial"/>
          <w:color w:val="000000"/>
          <w:sz w:val="22"/>
          <w:szCs w:val="22"/>
        </w:rPr>
        <w:lastRenderedPageBreak/>
        <w:t xml:space="preserve">3.2 </w:t>
      </w:r>
      <w:r>
        <w:rPr>
          <w:rFonts w:ascii="Arial" w:hAnsi="Arial" w:cs="Arial"/>
          <w:color w:val="000000"/>
          <w:sz w:val="22"/>
          <w:szCs w:val="22"/>
        </w:rPr>
        <w:tab/>
      </w:r>
      <w:r w:rsidR="00A7225F" w:rsidRPr="00A7225F">
        <w:rPr>
          <w:rFonts w:ascii="Arial" w:hAnsi="Arial" w:cs="Arial"/>
          <w:color w:val="000000"/>
          <w:sz w:val="22"/>
          <w:szCs w:val="22"/>
        </w:rPr>
        <w:t>Overall the gambling market (including the National Lottery) has increased for both the non-remote and remote sectors, although the table below highlights the difference in growth rates and shows remote</w:t>
      </w:r>
      <w:r w:rsidR="001F69BC">
        <w:rPr>
          <w:rFonts w:ascii="Arial" w:hAnsi="Arial" w:cs="Arial"/>
          <w:color w:val="000000"/>
          <w:sz w:val="22"/>
          <w:szCs w:val="22"/>
        </w:rPr>
        <w:t xml:space="preserve"> G</w:t>
      </w:r>
      <w:r w:rsidR="00286784">
        <w:rPr>
          <w:rFonts w:ascii="Arial" w:hAnsi="Arial" w:cs="Arial"/>
          <w:color w:val="000000"/>
          <w:sz w:val="22"/>
          <w:szCs w:val="22"/>
        </w:rPr>
        <w:t xml:space="preserve">ross </w:t>
      </w:r>
      <w:r w:rsidR="001F69BC">
        <w:rPr>
          <w:rFonts w:ascii="Arial" w:hAnsi="Arial" w:cs="Arial"/>
          <w:color w:val="000000"/>
          <w:sz w:val="22"/>
          <w:szCs w:val="22"/>
        </w:rPr>
        <w:t>G</w:t>
      </w:r>
      <w:r w:rsidR="00286784">
        <w:rPr>
          <w:rFonts w:ascii="Arial" w:hAnsi="Arial" w:cs="Arial"/>
          <w:color w:val="000000"/>
          <w:sz w:val="22"/>
          <w:szCs w:val="22"/>
        </w:rPr>
        <w:t>ambling</w:t>
      </w:r>
      <w:r w:rsidR="001F69BC">
        <w:rPr>
          <w:rFonts w:ascii="Arial" w:hAnsi="Arial" w:cs="Arial"/>
          <w:color w:val="000000"/>
          <w:sz w:val="22"/>
          <w:szCs w:val="22"/>
        </w:rPr>
        <w:t xml:space="preserve"> Yield (GGY) </w:t>
      </w:r>
      <w:proofErr w:type="spellStart"/>
      <w:r w:rsidR="001F69BC">
        <w:rPr>
          <w:rFonts w:ascii="Arial" w:hAnsi="Arial" w:cs="Arial"/>
          <w:color w:val="000000"/>
          <w:sz w:val="22"/>
          <w:szCs w:val="22"/>
        </w:rPr>
        <w:t>ie</w:t>
      </w:r>
      <w:proofErr w:type="spellEnd"/>
      <w:r w:rsidR="001F69BC">
        <w:rPr>
          <w:rFonts w:ascii="Arial" w:hAnsi="Arial" w:cs="Arial"/>
          <w:color w:val="000000"/>
          <w:sz w:val="22"/>
          <w:szCs w:val="22"/>
        </w:rPr>
        <w:t xml:space="preserve"> gambling</w:t>
      </w:r>
      <w:r w:rsidR="00286784">
        <w:rPr>
          <w:rFonts w:ascii="Arial" w:hAnsi="Arial" w:cs="Arial"/>
          <w:color w:val="000000"/>
          <w:sz w:val="22"/>
          <w:szCs w:val="22"/>
        </w:rPr>
        <w:t xml:space="preserve"> revenue less winnings paid </w:t>
      </w:r>
      <w:r w:rsidR="001F69BC">
        <w:rPr>
          <w:rFonts w:ascii="Arial" w:hAnsi="Arial" w:cs="Arial"/>
          <w:color w:val="000000"/>
          <w:sz w:val="22"/>
          <w:szCs w:val="22"/>
        </w:rPr>
        <w:t xml:space="preserve">out, </w:t>
      </w:r>
      <w:r w:rsidR="00A7225F" w:rsidRPr="00A7225F">
        <w:rPr>
          <w:rFonts w:ascii="Arial" w:hAnsi="Arial" w:cs="Arial"/>
          <w:color w:val="000000"/>
          <w:sz w:val="22"/>
          <w:szCs w:val="22"/>
        </w:rPr>
        <w:t>is estimated to have grown faster than the GGY for non-remote. Recent third party estimates for mobile GGY as a proportion of total interactive GGY (combined remote betting and gaming) show growth from 4% in 2008 to 42% in 2015(e)</w:t>
      </w:r>
      <w:r w:rsidR="001F69BC">
        <w:rPr>
          <w:rFonts w:ascii="Arial" w:hAnsi="Arial" w:cs="Arial"/>
          <w:color w:val="000000"/>
          <w:sz w:val="22"/>
          <w:szCs w:val="22"/>
        </w:rPr>
        <w:t>.</w:t>
      </w:r>
      <w:r w:rsidR="00A7225F" w:rsidRPr="00A7225F">
        <w:rPr>
          <w:rFonts w:ascii="Arial" w:hAnsi="Arial" w:cs="Arial"/>
          <w:color w:val="000000"/>
          <w:sz w:val="22"/>
          <w:szCs w:val="22"/>
        </w:rPr>
        <w:t xml:space="preserve"> </w:t>
      </w:r>
    </w:p>
    <w:p w:rsidR="001F69BC" w:rsidRDefault="001F69BC" w:rsidP="00A7225F">
      <w:pPr>
        <w:ind w:left="567" w:hanging="567"/>
        <w:rPr>
          <w:rFonts w:ascii="Arial" w:hAnsi="Arial" w:cs="Arial"/>
          <w:color w:val="000000"/>
          <w:sz w:val="22"/>
          <w:szCs w:val="22"/>
        </w:rPr>
      </w:pPr>
    </w:p>
    <w:p w:rsidR="004A4257" w:rsidRPr="006D668B" w:rsidRDefault="00C06042" w:rsidP="00A7225F">
      <w:pPr>
        <w:ind w:left="567" w:hanging="567"/>
        <w:rPr>
          <w:rFonts w:ascii="Arial" w:hAnsi="Arial" w:cs="Arial"/>
          <w:color w:val="000000"/>
          <w:sz w:val="22"/>
          <w:szCs w:val="22"/>
        </w:rPr>
      </w:pPr>
      <w:r>
        <w:rPr>
          <w:rFonts w:ascii="Arial" w:hAnsi="Arial" w:cs="Arial"/>
          <w:color w:val="000000"/>
          <w:sz w:val="22"/>
          <w:szCs w:val="22"/>
        </w:rPr>
        <w:t xml:space="preserve">3.3 </w:t>
      </w:r>
      <w:r>
        <w:rPr>
          <w:rFonts w:ascii="Arial" w:hAnsi="Arial" w:cs="Arial"/>
          <w:color w:val="000000"/>
          <w:sz w:val="22"/>
          <w:szCs w:val="22"/>
        </w:rPr>
        <w:tab/>
      </w:r>
      <w:r w:rsidR="00A7225F" w:rsidRPr="00A7225F">
        <w:rPr>
          <w:rFonts w:ascii="Arial" w:hAnsi="Arial" w:cs="Arial"/>
          <w:color w:val="000000"/>
          <w:sz w:val="22"/>
          <w:szCs w:val="22"/>
        </w:rPr>
        <w:t xml:space="preserve">Third party estimates of the size of the </w:t>
      </w:r>
      <w:r w:rsidR="00E45650">
        <w:rPr>
          <w:rFonts w:ascii="Arial" w:hAnsi="Arial" w:cs="Arial"/>
          <w:color w:val="000000"/>
          <w:sz w:val="22"/>
          <w:szCs w:val="22"/>
        </w:rPr>
        <w:t xml:space="preserve">British </w:t>
      </w:r>
      <w:r w:rsidR="00A7225F" w:rsidRPr="00A7225F">
        <w:rPr>
          <w:rFonts w:ascii="Arial" w:hAnsi="Arial" w:cs="Arial"/>
          <w:color w:val="000000"/>
          <w:sz w:val="22"/>
          <w:szCs w:val="22"/>
        </w:rPr>
        <w:t xml:space="preserve">remote betting market put it at </w:t>
      </w:r>
      <w:r w:rsidR="00426332">
        <w:rPr>
          <w:rFonts w:ascii="Arial" w:hAnsi="Arial" w:cs="Arial"/>
          <w:color w:val="000000"/>
          <w:sz w:val="22"/>
          <w:szCs w:val="22"/>
        </w:rPr>
        <w:t xml:space="preserve">around </w:t>
      </w:r>
      <w:r w:rsidR="00426332" w:rsidRPr="00A7225F">
        <w:rPr>
          <w:rFonts w:ascii="Arial" w:hAnsi="Arial" w:cs="Arial"/>
          <w:color w:val="000000"/>
          <w:sz w:val="22"/>
          <w:szCs w:val="22"/>
        </w:rPr>
        <w:t>£</w:t>
      </w:r>
      <w:r w:rsidR="00A7225F" w:rsidRPr="00A7225F">
        <w:rPr>
          <w:rFonts w:ascii="Arial" w:hAnsi="Arial" w:cs="Arial"/>
          <w:color w:val="000000"/>
          <w:sz w:val="22"/>
          <w:szCs w:val="22"/>
        </w:rPr>
        <w:t>1</w:t>
      </w:r>
      <w:r w:rsidR="001F69BC">
        <w:rPr>
          <w:rFonts w:ascii="Arial" w:hAnsi="Arial" w:cs="Arial"/>
          <w:color w:val="000000"/>
          <w:sz w:val="22"/>
          <w:szCs w:val="22"/>
        </w:rPr>
        <w:t xml:space="preserve">.4 </w:t>
      </w:r>
      <w:proofErr w:type="spellStart"/>
      <w:r w:rsidR="00A7225F" w:rsidRPr="00A7225F">
        <w:rPr>
          <w:rFonts w:ascii="Arial" w:hAnsi="Arial" w:cs="Arial"/>
          <w:color w:val="000000"/>
          <w:sz w:val="22"/>
          <w:szCs w:val="22"/>
        </w:rPr>
        <w:t>bn</w:t>
      </w:r>
      <w:proofErr w:type="spellEnd"/>
      <w:r w:rsidR="00A7225F" w:rsidRPr="00A7225F">
        <w:rPr>
          <w:rFonts w:ascii="Arial" w:hAnsi="Arial" w:cs="Arial"/>
          <w:color w:val="000000"/>
          <w:sz w:val="22"/>
          <w:szCs w:val="22"/>
        </w:rPr>
        <w:t xml:space="preserve"> by </w:t>
      </w:r>
      <w:r w:rsidR="001F69BC">
        <w:rPr>
          <w:rFonts w:ascii="Arial" w:hAnsi="Arial" w:cs="Arial"/>
          <w:color w:val="000000"/>
          <w:sz w:val="22"/>
          <w:szCs w:val="22"/>
        </w:rPr>
        <w:t>this</w:t>
      </w:r>
      <w:r w:rsidR="00A7225F" w:rsidRPr="00A7225F">
        <w:rPr>
          <w:rFonts w:ascii="Arial" w:hAnsi="Arial" w:cs="Arial"/>
          <w:color w:val="000000"/>
          <w:sz w:val="22"/>
          <w:szCs w:val="22"/>
        </w:rPr>
        <w:t xml:space="preserve"> year, having almost doubled in size since 2011 and set against a backdrop of an overall growth in remote </w:t>
      </w:r>
      <w:r w:rsidR="006D64D3" w:rsidRPr="00A7225F">
        <w:rPr>
          <w:rFonts w:ascii="Arial" w:hAnsi="Arial" w:cs="Arial"/>
          <w:color w:val="000000"/>
          <w:sz w:val="22"/>
          <w:szCs w:val="22"/>
        </w:rPr>
        <w:t>gambling of</w:t>
      </w:r>
      <w:r w:rsidR="00A7225F" w:rsidRPr="00A7225F">
        <w:rPr>
          <w:rFonts w:ascii="Arial" w:hAnsi="Arial" w:cs="Arial"/>
          <w:color w:val="000000"/>
          <w:sz w:val="22"/>
          <w:szCs w:val="22"/>
        </w:rPr>
        <w:t xml:space="preserve"> almost 55% </w:t>
      </w:r>
      <w:r w:rsidR="001F69BC">
        <w:rPr>
          <w:rFonts w:ascii="Arial" w:hAnsi="Arial" w:cs="Arial"/>
          <w:color w:val="000000"/>
          <w:sz w:val="22"/>
          <w:szCs w:val="22"/>
        </w:rPr>
        <w:t xml:space="preserve">to around </w:t>
      </w:r>
      <w:r w:rsidR="00E45650">
        <w:rPr>
          <w:rFonts w:ascii="Arial" w:hAnsi="Arial" w:cs="Arial"/>
          <w:color w:val="000000"/>
          <w:sz w:val="22"/>
          <w:szCs w:val="22"/>
        </w:rPr>
        <w:t xml:space="preserve">£3.4 </w:t>
      </w:r>
      <w:proofErr w:type="spellStart"/>
      <w:r w:rsidR="00E45650">
        <w:rPr>
          <w:rFonts w:ascii="Arial" w:hAnsi="Arial" w:cs="Arial"/>
          <w:color w:val="000000"/>
          <w:sz w:val="22"/>
          <w:szCs w:val="22"/>
        </w:rPr>
        <w:t>bn</w:t>
      </w:r>
      <w:proofErr w:type="spellEnd"/>
      <w:r w:rsidR="00E45650">
        <w:rPr>
          <w:rStyle w:val="FootnoteReference"/>
          <w:rFonts w:ascii="Arial" w:hAnsi="Arial" w:cs="Arial"/>
          <w:color w:val="000000"/>
          <w:sz w:val="22"/>
          <w:szCs w:val="22"/>
        </w:rPr>
        <w:footnoteReference w:id="10"/>
      </w:r>
      <w:r w:rsidR="00E45650">
        <w:rPr>
          <w:rFonts w:ascii="Arial" w:hAnsi="Arial" w:cs="Arial"/>
          <w:color w:val="000000"/>
          <w:sz w:val="22"/>
          <w:szCs w:val="22"/>
        </w:rPr>
        <w:t xml:space="preserve"> </w:t>
      </w:r>
      <w:r w:rsidR="00A7225F" w:rsidRPr="00A7225F">
        <w:rPr>
          <w:rFonts w:ascii="Arial" w:hAnsi="Arial" w:cs="Arial"/>
          <w:color w:val="000000"/>
          <w:sz w:val="22"/>
          <w:szCs w:val="22"/>
        </w:rPr>
        <w:t>during this period.</w:t>
      </w:r>
      <w:r w:rsidR="004A4257" w:rsidRPr="006D668B">
        <w:rPr>
          <w:rFonts w:ascii="Arial" w:hAnsi="Arial" w:cs="Arial"/>
          <w:color w:val="000000"/>
          <w:sz w:val="22"/>
          <w:szCs w:val="22"/>
        </w:rPr>
        <w:t xml:space="preserve"> </w:t>
      </w:r>
    </w:p>
    <w:p w:rsidR="006D668B" w:rsidRPr="004B4958" w:rsidRDefault="006D668B" w:rsidP="004A4257">
      <w:pPr>
        <w:ind w:left="567" w:hanging="567"/>
        <w:rPr>
          <w:rFonts w:ascii="Arial" w:hAnsi="Arial" w:cs="Arial"/>
          <w:color w:val="000000"/>
          <w:sz w:val="16"/>
          <w:szCs w:val="16"/>
        </w:rPr>
      </w:pPr>
    </w:p>
    <w:p w:rsidR="004A4257" w:rsidRPr="006D668B" w:rsidRDefault="006D668B" w:rsidP="004A4257">
      <w:pPr>
        <w:ind w:left="567" w:hanging="567"/>
        <w:rPr>
          <w:rFonts w:ascii="Arial" w:hAnsi="Arial" w:cs="Arial"/>
          <w:color w:val="000000"/>
          <w:sz w:val="22"/>
          <w:szCs w:val="22"/>
        </w:rPr>
      </w:pPr>
      <w:r>
        <w:rPr>
          <w:rFonts w:ascii="Arial" w:hAnsi="Arial" w:cs="Arial"/>
          <w:color w:val="000000"/>
          <w:sz w:val="22"/>
          <w:szCs w:val="22"/>
        </w:rPr>
        <w:t>3.</w:t>
      </w:r>
      <w:r w:rsidR="004B76EC">
        <w:rPr>
          <w:rFonts w:ascii="Arial" w:hAnsi="Arial" w:cs="Arial"/>
          <w:color w:val="000000"/>
          <w:sz w:val="22"/>
          <w:szCs w:val="22"/>
        </w:rPr>
        <w:t>4</w:t>
      </w:r>
      <w:r>
        <w:rPr>
          <w:rFonts w:ascii="Arial" w:hAnsi="Arial" w:cs="Arial"/>
          <w:color w:val="000000"/>
          <w:sz w:val="22"/>
          <w:szCs w:val="22"/>
        </w:rPr>
        <w:t xml:space="preserve"> </w:t>
      </w:r>
      <w:r>
        <w:rPr>
          <w:rFonts w:ascii="Arial" w:hAnsi="Arial" w:cs="Arial"/>
          <w:color w:val="000000"/>
          <w:sz w:val="22"/>
          <w:szCs w:val="22"/>
        </w:rPr>
        <w:tab/>
      </w:r>
      <w:r w:rsidR="004A4257" w:rsidRPr="006D668B">
        <w:rPr>
          <w:rFonts w:ascii="Arial" w:hAnsi="Arial" w:cs="Arial"/>
          <w:color w:val="000000"/>
          <w:sz w:val="22"/>
          <w:szCs w:val="22"/>
        </w:rPr>
        <w:t>In terms of non-remote, betting (excluding machines in bookmakers) has decreased slightly</w:t>
      </w:r>
      <w:r w:rsidR="0018512E">
        <w:rPr>
          <w:rFonts w:ascii="Arial" w:hAnsi="Arial" w:cs="Arial"/>
          <w:color w:val="000000"/>
          <w:sz w:val="22"/>
          <w:szCs w:val="22"/>
        </w:rPr>
        <w:t xml:space="preserve"> </w:t>
      </w:r>
      <w:proofErr w:type="gramStart"/>
      <w:r w:rsidR="0018512E">
        <w:rPr>
          <w:rFonts w:ascii="Arial" w:hAnsi="Arial" w:cs="Arial"/>
          <w:color w:val="000000"/>
          <w:sz w:val="22"/>
          <w:szCs w:val="22"/>
        </w:rPr>
        <w:t>to</w:t>
      </w:r>
      <w:proofErr w:type="gramEnd"/>
      <w:r w:rsidR="0018512E">
        <w:rPr>
          <w:rFonts w:ascii="Arial" w:hAnsi="Arial" w:cs="Arial"/>
          <w:color w:val="000000"/>
          <w:sz w:val="22"/>
          <w:szCs w:val="22"/>
        </w:rPr>
        <w:t xml:space="preserve"> around £1.5bn</w:t>
      </w:r>
      <w:r w:rsidR="004A4257" w:rsidRPr="006D668B">
        <w:rPr>
          <w:rFonts w:ascii="Arial" w:hAnsi="Arial" w:cs="Arial"/>
          <w:color w:val="000000"/>
          <w:sz w:val="22"/>
          <w:szCs w:val="22"/>
        </w:rPr>
        <w:t xml:space="preserve">, set against an increase of 14% for non-remote gambling in general. Growth in the </w:t>
      </w:r>
      <w:r w:rsidR="009B08A6">
        <w:rPr>
          <w:rFonts w:ascii="Arial" w:hAnsi="Arial" w:cs="Arial"/>
          <w:color w:val="000000"/>
          <w:sz w:val="22"/>
          <w:szCs w:val="22"/>
        </w:rPr>
        <w:t>non-remote sector</w:t>
      </w:r>
      <w:r w:rsidR="004A4257" w:rsidRPr="006D668B">
        <w:rPr>
          <w:rFonts w:ascii="Arial" w:hAnsi="Arial" w:cs="Arial"/>
          <w:color w:val="000000"/>
          <w:sz w:val="22"/>
          <w:szCs w:val="22"/>
        </w:rPr>
        <w:t xml:space="preserve"> is being driven by casinos and </w:t>
      </w:r>
      <w:r w:rsidR="009B08A6">
        <w:rPr>
          <w:rFonts w:ascii="Arial" w:hAnsi="Arial" w:cs="Arial"/>
          <w:color w:val="000000"/>
          <w:sz w:val="22"/>
          <w:szCs w:val="22"/>
        </w:rPr>
        <w:t xml:space="preserve">the </w:t>
      </w:r>
      <w:r w:rsidR="004A4257" w:rsidRPr="006D668B">
        <w:rPr>
          <w:rFonts w:ascii="Arial" w:hAnsi="Arial" w:cs="Arial"/>
          <w:color w:val="000000"/>
          <w:sz w:val="22"/>
          <w:szCs w:val="22"/>
        </w:rPr>
        <w:t>machine GGY contributing to certain sectors</w:t>
      </w:r>
      <w:r w:rsidR="00A7225F">
        <w:rPr>
          <w:rFonts w:ascii="Arial" w:hAnsi="Arial" w:cs="Arial"/>
          <w:color w:val="000000"/>
          <w:sz w:val="22"/>
          <w:szCs w:val="22"/>
        </w:rPr>
        <w:t>.</w:t>
      </w:r>
      <w:r w:rsidR="004A4257" w:rsidRPr="006D668B">
        <w:rPr>
          <w:rFonts w:ascii="Arial" w:hAnsi="Arial" w:cs="Arial"/>
          <w:color w:val="000000"/>
          <w:sz w:val="22"/>
          <w:szCs w:val="22"/>
        </w:rPr>
        <w:t xml:space="preserve"> </w:t>
      </w:r>
      <w:r w:rsidR="00A7225F">
        <w:rPr>
          <w:rFonts w:ascii="Arial" w:hAnsi="Arial" w:cs="Arial"/>
          <w:color w:val="000000"/>
          <w:sz w:val="22"/>
          <w:szCs w:val="22"/>
        </w:rPr>
        <w:t xml:space="preserve">In general this is indicative </w:t>
      </w:r>
      <w:r w:rsidR="00A7225F" w:rsidRPr="00A7225F">
        <w:rPr>
          <w:rFonts w:ascii="Arial" w:hAnsi="Arial" w:cs="Arial"/>
          <w:color w:val="000000"/>
          <w:sz w:val="22"/>
          <w:szCs w:val="22"/>
        </w:rPr>
        <w:t xml:space="preserve">of the wider customer move from non-remote to remote within the overall growth </w:t>
      </w:r>
      <w:r w:rsidR="00426332" w:rsidRPr="00A7225F">
        <w:rPr>
          <w:rFonts w:ascii="Arial" w:hAnsi="Arial" w:cs="Arial"/>
          <w:color w:val="000000"/>
          <w:sz w:val="22"/>
          <w:szCs w:val="22"/>
        </w:rPr>
        <w:t>in gambling</w:t>
      </w:r>
      <w:r w:rsidR="00A7225F" w:rsidRPr="00A7225F">
        <w:rPr>
          <w:rFonts w:ascii="Arial" w:hAnsi="Arial" w:cs="Arial"/>
          <w:color w:val="000000"/>
          <w:sz w:val="22"/>
          <w:szCs w:val="22"/>
        </w:rPr>
        <w:t xml:space="preserve"> revenue. Some examples are given below for the biggest non-remote sports betting sectors by GGY, showing a decrease for horses and dogs and an increase for football, although revenues for the latter are </w:t>
      </w:r>
      <w:r w:rsidR="004A79E4">
        <w:rPr>
          <w:rFonts w:ascii="Arial" w:hAnsi="Arial" w:cs="Arial"/>
          <w:color w:val="000000"/>
          <w:sz w:val="22"/>
          <w:szCs w:val="22"/>
        </w:rPr>
        <w:t xml:space="preserve">affected by </w:t>
      </w:r>
      <w:r w:rsidR="00A7225F" w:rsidRPr="00A7225F">
        <w:rPr>
          <w:rFonts w:ascii="Arial" w:hAnsi="Arial" w:cs="Arial"/>
          <w:color w:val="000000"/>
          <w:sz w:val="22"/>
          <w:szCs w:val="22"/>
        </w:rPr>
        <w:t xml:space="preserve">whether the year contains a significant football championship </w:t>
      </w:r>
      <w:r w:rsidR="004A79E4">
        <w:rPr>
          <w:rFonts w:ascii="Arial" w:hAnsi="Arial" w:cs="Arial"/>
          <w:color w:val="000000"/>
          <w:sz w:val="22"/>
          <w:szCs w:val="22"/>
        </w:rPr>
        <w:t xml:space="preserve">such as the </w:t>
      </w:r>
      <w:r w:rsidR="00A7225F" w:rsidRPr="00A7225F">
        <w:rPr>
          <w:rFonts w:ascii="Arial" w:hAnsi="Arial" w:cs="Arial"/>
          <w:color w:val="000000"/>
          <w:sz w:val="22"/>
          <w:szCs w:val="22"/>
        </w:rPr>
        <w:t>World Cup.</w:t>
      </w:r>
    </w:p>
    <w:p w:rsidR="006D668B" w:rsidRPr="006D668B" w:rsidRDefault="006D668B" w:rsidP="004A4257">
      <w:pPr>
        <w:ind w:left="567" w:hanging="567"/>
        <w:rPr>
          <w:rFonts w:ascii="Arial" w:hAnsi="Arial" w:cs="Arial"/>
          <w:color w:val="000000"/>
          <w:sz w:val="22"/>
          <w:szCs w:val="22"/>
        </w:rPr>
      </w:pPr>
    </w:p>
    <w:p w:rsidR="004A4257" w:rsidRDefault="006D668B" w:rsidP="004A4257">
      <w:pPr>
        <w:ind w:left="567" w:hanging="567"/>
        <w:rPr>
          <w:rFonts w:ascii="Arial" w:hAnsi="Arial" w:cs="Arial"/>
          <w:color w:val="000000"/>
          <w:sz w:val="22"/>
          <w:szCs w:val="22"/>
        </w:rPr>
      </w:pPr>
      <w:r>
        <w:rPr>
          <w:rFonts w:ascii="Arial" w:hAnsi="Arial" w:cs="Arial"/>
          <w:color w:val="000000"/>
          <w:sz w:val="22"/>
          <w:szCs w:val="22"/>
        </w:rPr>
        <w:t>3.</w:t>
      </w:r>
      <w:r w:rsidR="004B76EC">
        <w:rPr>
          <w:rFonts w:ascii="Arial" w:hAnsi="Arial" w:cs="Arial"/>
          <w:color w:val="000000"/>
          <w:sz w:val="22"/>
          <w:szCs w:val="22"/>
        </w:rPr>
        <w:t>5</w:t>
      </w:r>
      <w:r>
        <w:rPr>
          <w:rFonts w:ascii="Arial" w:hAnsi="Arial" w:cs="Arial"/>
          <w:color w:val="000000"/>
          <w:sz w:val="22"/>
          <w:szCs w:val="22"/>
        </w:rPr>
        <w:t xml:space="preserve"> </w:t>
      </w:r>
      <w:r>
        <w:rPr>
          <w:rFonts w:ascii="Arial" w:hAnsi="Arial" w:cs="Arial"/>
          <w:color w:val="000000"/>
          <w:sz w:val="22"/>
          <w:szCs w:val="22"/>
        </w:rPr>
        <w:tab/>
      </w:r>
      <w:r w:rsidR="00E439D4" w:rsidRPr="00E439D4">
        <w:rPr>
          <w:rFonts w:ascii="Arial" w:hAnsi="Arial" w:cs="Arial"/>
          <w:color w:val="000000"/>
          <w:sz w:val="22"/>
          <w:szCs w:val="22"/>
        </w:rPr>
        <w:t>We do not have a historical, detailed breakdown by individual sports for remote betting as this pre-dates the Gambling (Licensing and Advertising Act) 2014 and our newly acquired ability to collect data on all operators legally supplying our domestic market. Similarly we do not have Commission figures for the trends in in</w:t>
      </w:r>
      <w:r w:rsidR="00E439D4">
        <w:rPr>
          <w:rFonts w:ascii="Arial" w:hAnsi="Arial" w:cs="Arial"/>
          <w:color w:val="000000"/>
          <w:sz w:val="22"/>
          <w:szCs w:val="22"/>
        </w:rPr>
        <w:t>-</w:t>
      </w:r>
      <w:r w:rsidR="00E439D4" w:rsidRPr="00E439D4">
        <w:rPr>
          <w:rFonts w:ascii="Arial" w:hAnsi="Arial" w:cs="Arial"/>
          <w:color w:val="000000"/>
          <w:sz w:val="22"/>
          <w:szCs w:val="22"/>
        </w:rPr>
        <w:t>play betting or betting by mobile but initial indications from the first 6 months figures since the 2014 Act came into effect suggest that both now ac</w:t>
      </w:r>
      <w:r w:rsidR="00E439D4">
        <w:rPr>
          <w:rFonts w:ascii="Arial" w:hAnsi="Arial" w:cs="Arial"/>
          <w:color w:val="000000"/>
          <w:sz w:val="22"/>
          <w:szCs w:val="22"/>
        </w:rPr>
        <w:t xml:space="preserve">count for around </w:t>
      </w:r>
      <w:r w:rsidR="00E439D4" w:rsidRPr="00E439D4">
        <w:rPr>
          <w:rFonts w:ascii="Arial" w:hAnsi="Arial" w:cs="Arial"/>
          <w:color w:val="000000"/>
          <w:sz w:val="22"/>
          <w:szCs w:val="22"/>
        </w:rPr>
        <w:t>50% of total remote betting revenue</w:t>
      </w:r>
      <w:r w:rsidR="004A4257" w:rsidRPr="006D668B">
        <w:rPr>
          <w:rFonts w:ascii="Arial" w:hAnsi="Arial" w:cs="Arial"/>
          <w:color w:val="000000"/>
          <w:sz w:val="22"/>
          <w:szCs w:val="22"/>
        </w:rPr>
        <w:t xml:space="preserve">. </w:t>
      </w:r>
    </w:p>
    <w:p w:rsidR="006D668B" w:rsidRDefault="006D668B" w:rsidP="004A4257">
      <w:pPr>
        <w:ind w:left="567" w:hanging="567"/>
        <w:rPr>
          <w:rFonts w:ascii="Arial" w:hAnsi="Arial" w:cs="Arial"/>
          <w:b/>
          <w:color w:val="000000"/>
        </w:rPr>
      </w:pPr>
    </w:p>
    <w:tbl>
      <w:tblPr>
        <w:tblW w:w="88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4"/>
        <w:gridCol w:w="1335"/>
        <w:gridCol w:w="1335"/>
        <w:gridCol w:w="1335"/>
        <w:gridCol w:w="1335"/>
        <w:gridCol w:w="1335"/>
      </w:tblGrid>
      <w:tr w:rsidR="006D668B" w:rsidRPr="006D668B" w:rsidTr="006D668B">
        <w:trPr>
          <w:trHeight w:val="525"/>
        </w:trPr>
        <w:tc>
          <w:tcPr>
            <w:tcW w:w="2164" w:type="dxa"/>
            <w:shd w:val="clear" w:color="auto" w:fill="auto"/>
            <w:noWrap/>
            <w:vAlign w:val="center"/>
            <w:hideMark/>
          </w:tcPr>
          <w:p w:rsidR="004A4257" w:rsidRPr="006D668B" w:rsidRDefault="004A79E4" w:rsidP="006D668B">
            <w:pPr>
              <w:ind w:left="34"/>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 </w:t>
            </w:r>
            <w:r w:rsidR="004A4257" w:rsidRPr="006D668B">
              <w:rPr>
                <w:rFonts w:ascii="Arial" w:eastAsia="Times New Roman" w:hAnsi="Arial" w:cs="Arial"/>
                <w:b/>
                <w:bCs/>
                <w:color w:val="000000"/>
                <w:sz w:val="16"/>
                <w:szCs w:val="16"/>
                <w:lang w:eastAsia="en-GB"/>
              </w:rPr>
              <w:t>Growth</w:t>
            </w:r>
            <w:r w:rsidR="00E43B44">
              <w:rPr>
                <w:rFonts w:ascii="Arial" w:eastAsia="Times New Roman" w:hAnsi="Arial" w:cs="Arial"/>
                <w:b/>
                <w:bCs/>
                <w:color w:val="000000"/>
                <w:sz w:val="16"/>
                <w:szCs w:val="16"/>
                <w:lang w:eastAsia="en-GB"/>
              </w:rPr>
              <w:t xml:space="preserve"> in GGY</w:t>
            </w:r>
          </w:p>
        </w:tc>
        <w:tc>
          <w:tcPr>
            <w:tcW w:w="1335" w:type="dxa"/>
            <w:shd w:val="clear" w:color="000000" w:fill="A6A6A6"/>
            <w:vAlign w:val="center"/>
            <w:hideMark/>
          </w:tcPr>
          <w:p w:rsidR="004A4257" w:rsidRPr="00E439D4" w:rsidRDefault="004A4257" w:rsidP="005664C3">
            <w:pPr>
              <w:ind w:left="-4" w:firstLine="4"/>
              <w:jc w:val="center"/>
              <w:rPr>
                <w:rFonts w:ascii="Arial" w:eastAsia="Times New Roman" w:hAnsi="Arial" w:cs="Arial"/>
                <w:b/>
                <w:bCs/>
                <w:sz w:val="16"/>
                <w:szCs w:val="16"/>
                <w:lang w:eastAsia="en-GB"/>
              </w:rPr>
            </w:pPr>
            <w:r w:rsidRPr="00E439D4">
              <w:rPr>
                <w:rFonts w:ascii="Arial" w:eastAsia="Times New Roman" w:hAnsi="Arial" w:cs="Arial"/>
                <w:b/>
                <w:bCs/>
                <w:sz w:val="16"/>
                <w:szCs w:val="16"/>
                <w:lang w:eastAsia="en-GB"/>
              </w:rPr>
              <w:t>Apr 2011-</w:t>
            </w:r>
            <w:r w:rsidR="005664C3" w:rsidRPr="00E439D4">
              <w:rPr>
                <w:rFonts w:ascii="Arial" w:eastAsia="Times New Roman" w:hAnsi="Arial" w:cs="Arial"/>
                <w:b/>
                <w:bCs/>
                <w:sz w:val="16"/>
                <w:szCs w:val="16"/>
                <w:lang w:eastAsia="en-GB"/>
              </w:rPr>
              <w:br/>
            </w:r>
            <w:r w:rsidRPr="00E439D4">
              <w:rPr>
                <w:rFonts w:ascii="Arial" w:eastAsia="Times New Roman" w:hAnsi="Arial" w:cs="Arial"/>
                <w:b/>
                <w:bCs/>
                <w:sz w:val="16"/>
                <w:szCs w:val="16"/>
                <w:lang w:eastAsia="en-GB"/>
              </w:rPr>
              <w:t>Mar</w:t>
            </w:r>
            <w:r w:rsidR="005664C3" w:rsidRPr="00E439D4">
              <w:rPr>
                <w:rFonts w:ascii="Arial" w:eastAsia="Times New Roman" w:hAnsi="Arial" w:cs="Arial"/>
                <w:b/>
                <w:bCs/>
                <w:sz w:val="16"/>
                <w:szCs w:val="16"/>
                <w:lang w:eastAsia="en-GB"/>
              </w:rPr>
              <w:t xml:space="preserve"> </w:t>
            </w:r>
            <w:r w:rsidRPr="00E439D4">
              <w:rPr>
                <w:rFonts w:ascii="Arial" w:eastAsia="Times New Roman" w:hAnsi="Arial" w:cs="Arial"/>
                <w:b/>
                <w:bCs/>
                <w:sz w:val="16"/>
                <w:szCs w:val="16"/>
                <w:lang w:eastAsia="en-GB"/>
              </w:rPr>
              <w:t>2012</w:t>
            </w:r>
          </w:p>
        </w:tc>
        <w:tc>
          <w:tcPr>
            <w:tcW w:w="1335" w:type="dxa"/>
            <w:shd w:val="clear" w:color="000000" w:fill="A6A6A6"/>
            <w:vAlign w:val="center"/>
            <w:hideMark/>
          </w:tcPr>
          <w:p w:rsidR="004A4257" w:rsidRPr="00E439D4" w:rsidRDefault="004A4257" w:rsidP="005664C3">
            <w:pPr>
              <w:jc w:val="center"/>
              <w:rPr>
                <w:rFonts w:ascii="Arial" w:eastAsia="Times New Roman" w:hAnsi="Arial" w:cs="Arial"/>
                <w:b/>
                <w:bCs/>
                <w:sz w:val="16"/>
                <w:szCs w:val="16"/>
                <w:lang w:eastAsia="en-GB"/>
              </w:rPr>
            </w:pPr>
            <w:r w:rsidRPr="00E439D4">
              <w:rPr>
                <w:rFonts w:ascii="Arial" w:eastAsia="Times New Roman" w:hAnsi="Arial" w:cs="Arial"/>
                <w:b/>
                <w:bCs/>
                <w:sz w:val="16"/>
                <w:szCs w:val="16"/>
                <w:lang w:eastAsia="en-GB"/>
              </w:rPr>
              <w:t>Apr 2012-</w:t>
            </w:r>
            <w:r w:rsidR="005664C3" w:rsidRPr="00E439D4">
              <w:rPr>
                <w:rFonts w:ascii="Arial" w:eastAsia="Times New Roman" w:hAnsi="Arial" w:cs="Arial"/>
                <w:b/>
                <w:bCs/>
                <w:sz w:val="16"/>
                <w:szCs w:val="16"/>
                <w:lang w:eastAsia="en-GB"/>
              </w:rPr>
              <w:br/>
            </w:r>
            <w:r w:rsidRPr="00E439D4">
              <w:rPr>
                <w:rFonts w:ascii="Arial" w:eastAsia="Times New Roman" w:hAnsi="Arial" w:cs="Arial"/>
                <w:b/>
                <w:bCs/>
                <w:sz w:val="16"/>
                <w:szCs w:val="16"/>
                <w:lang w:eastAsia="en-GB"/>
              </w:rPr>
              <w:t>Mar 2013</w:t>
            </w:r>
          </w:p>
        </w:tc>
        <w:tc>
          <w:tcPr>
            <w:tcW w:w="1335" w:type="dxa"/>
            <w:shd w:val="clear" w:color="000000" w:fill="A6A6A6"/>
            <w:vAlign w:val="center"/>
            <w:hideMark/>
          </w:tcPr>
          <w:p w:rsidR="004A4257" w:rsidRPr="00E439D4" w:rsidRDefault="004A4257" w:rsidP="005664C3">
            <w:pPr>
              <w:jc w:val="center"/>
              <w:rPr>
                <w:rFonts w:ascii="Arial" w:eastAsia="Times New Roman" w:hAnsi="Arial" w:cs="Arial"/>
                <w:b/>
                <w:bCs/>
                <w:sz w:val="16"/>
                <w:szCs w:val="16"/>
                <w:lang w:eastAsia="en-GB"/>
              </w:rPr>
            </w:pPr>
            <w:r w:rsidRPr="00E439D4">
              <w:rPr>
                <w:rFonts w:ascii="Arial" w:eastAsia="Times New Roman" w:hAnsi="Arial" w:cs="Arial"/>
                <w:b/>
                <w:bCs/>
                <w:sz w:val="16"/>
                <w:szCs w:val="16"/>
                <w:lang w:eastAsia="en-GB"/>
              </w:rPr>
              <w:t>Apr 2013-</w:t>
            </w:r>
            <w:r w:rsidR="005664C3" w:rsidRPr="00E439D4">
              <w:rPr>
                <w:rFonts w:ascii="Arial" w:eastAsia="Times New Roman" w:hAnsi="Arial" w:cs="Arial"/>
                <w:b/>
                <w:bCs/>
                <w:sz w:val="16"/>
                <w:szCs w:val="16"/>
                <w:lang w:eastAsia="en-GB"/>
              </w:rPr>
              <w:br/>
            </w:r>
            <w:r w:rsidRPr="00E439D4">
              <w:rPr>
                <w:rFonts w:ascii="Arial" w:eastAsia="Times New Roman" w:hAnsi="Arial" w:cs="Arial"/>
                <w:b/>
                <w:bCs/>
                <w:sz w:val="16"/>
                <w:szCs w:val="16"/>
                <w:lang w:eastAsia="en-GB"/>
              </w:rPr>
              <w:t>Mar 2014</w:t>
            </w:r>
          </w:p>
        </w:tc>
        <w:tc>
          <w:tcPr>
            <w:tcW w:w="1335" w:type="dxa"/>
            <w:shd w:val="clear" w:color="000000" w:fill="A6A6A6"/>
            <w:vAlign w:val="center"/>
            <w:hideMark/>
          </w:tcPr>
          <w:p w:rsidR="004A4257" w:rsidRPr="00E439D4" w:rsidRDefault="004A4257" w:rsidP="005664C3">
            <w:pPr>
              <w:jc w:val="center"/>
              <w:rPr>
                <w:rFonts w:ascii="Arial" w:eastAsia="Times New Roman" w:hAnsi="Arial" w:cs="Arial"/>
                <w:b/>
                <w:bCs/>
                <w:sz w:val="16"/>
                <w:szCs w:val="16"/>
                <w:lang w:eastAsia="en-GB"/>
              </w:rPr>
            </w:pPr>
            <w:r w:rsidRPr="00E439D4">
              <w:rPr>
                <w:rFonts w:ascii="Arial" w:eastAsia="Times New Roman" w:hAnsi="Arial" w:cs="Arial"/>
                <w:b/>
                <w:bCs/>
                <w:sz w:val="16"/>
                <w:szCs w:val="16"/>
                <w:lang w:eastAsia="en-GB"/>
              </w:rPr>
              <w:t xml:space="preserve">Oct 2013- </w:t>
            </w:r>
            <w:r w:rsidR="005664C3" w:rsidRPr="00E439D4">
              <w:rPr>
                <w:rFonts w:ascii="Arial" w:eastAsia="Times New Roman" w:hAnsi="Arial" w:cs="Arial"/>
                <w:b/>
                <w:bCs/>
                <w:sz w:val="16"/>
                <w:szCs w:val="16"/>
                <w:lang w:eastAsia="en-GB"/>
              </w:rPr>
              <w:br/>
            </w:r>
            <w:r w:rsidRPr="00E439D4">
              <w:rPr>
                <w:rFonts w:ascii="Arial" w:eastAsia="Times New Roman" w:hAnsi="Arial" w:cs="Arial"/>
                <w:b/>
                <w:bCs/>
                <w:sz w:val="16"/>
                <w:szCs w:val="16"/>
                <w:lang w:eastAsia="en-GB"/>
              </w:rPr>
              <w:t>Sep 2014</w:t>
            </w:r>
          </w:p>
        </w:tc>
        <w:tc>
          <w:tcPr>
            <w:tcW w:w="1335" w:type="dxa"/>
            <w:shd w:val="clear" w:color="000000" w:fill="A6A6A6"/>
            <w:vAlign w:val="center"/>
            <w:hideMark/>
          </w:tcPr>
          <w:p w:rsidR="004A4257" w:rsidRPr="00E439D4" w:rsidRDefault="004A4257" w:rsidP="005664C3">
            <w:pPr>
              <w:jc w:val="center"/>
              <w:rPr>
                <w:rFonts w:ascii="Arial" w:eastAsia="Times New Roman" w:hAnsi="Arial" w:cs="Arial"/>
                <w:b/>
                <w:bCs/>
                <w:sz w:val="16"/>
                <w:szCs w:val="16"/>
                <w:lang w:eastAsia="en-GB"/>
              </w:rPr>
            </w:pPr>
            <w:r w:rsidRPr="00E439D4">
              <w:rPr>
                <w:rFonts w:ascii="Arial" w:eastAsia="Times New Roman" w:hAnsi="Arial" w:cs="Arial"/>
                <w:b/>
                <w:bCs/>
                <w:sz w:val="16"/>
                <w:szCs w:val="16"/>
                <w:lang w:eastAsia="en-GB"/>
              </w:rPr>
              <w:t>Change since 2011</w:t>
            </w:r>
          </w:p>
        </w:tc>
      </w:tr>
      <w:tr w:rsidR="006D668B" w:rsidRPr="006D668B" w:rsidTr="006D668B">
        <w:trPr>
          <w:trHeight w:val="368"/>
        </w:trPr>
        <w:tc>
          <w:tcPr>
            <w:tcW w:w="2164" w:type="dxa"/>
            <w:shd w:val="clear" w:color="auto" w:fill="auto"/>
            <w:noWrap/>
            <w:vAlign w:val="center"/>
            <w:hideMark/>
          </w:tcPr>
          <w:p w:rsidR="004A4257" w:rsidRPr="006D668B" w:rsidRDefault="004A4257" w:rsidP="006D668B">
            <w:pPr>
              <w:ind w:left="34"/>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 xml:space="preserve">Total market </w:t>
            </w:r>
            <w:r w:rsidR="006D668B">
              <w:rPr>
                <w:rFonts w:ascii="Arial" w:eastAsia="Times New Roman" w:hAnsi="Arial" w:cs="Arial"/>
                <w:color w:val="000000"/>
                <w:sz w:val="16"/>
                <w:szCs w:val="16"/>
                <w:lang w:eastAsia="en-GB"/>
              </w:rPr>
              <w:br/>
            </w:r>
            <w:r w:rsidRPr="006D668B">
              <w:rPr>
                <w:rFonts w:ascii="Arial" w:eastAsia="Times New Roman" w:hAnsi="Arial" w:cs="Arial"/>
                <w:color w:val="000000"/>
                <w:sz w:val="16"/>
                <w:szCs w:val="16"/>
                <w:lang w:eastAsia="en-GB"/>
              </w:rPr>
              <w:t>(including N</w:t>
            </w:r>
            <w:r w:rsidR="004A79E4">
              <w:rPr>
                <w:rFonts w:ascii="Arial" w:eastAsia="Times New Roman" w:hAnsi="Arial" w:cs="Arial"/>
                <w:color w:val="000000"/>
                <w:sz w:val="16"/>
                <w:szCs w:val="16"/>
                <w:lang w:eastAsia="en-GB"/>
              </w:rPr>
              <w:t xml:space="preserve">ational </w:t>
            </w:r>
            <w:r w:rsidRPr="006D668B">
              <w:rPr>
                <w:rFonts w:ascii="Arial" w:eastAsia="Times New Roman" w:hAnsi="Arial" w:cs="Arial"/>
                <w:color w:val="000000"/>
                <w:sz w:val="16"/>
                <w:szCs w:val="16"/>
                <w:lang w:eastAsia="en-GB"/>
              </w:rPr>
              <w:t>L</w:t>
            </w:r>
            <w:r w:rsidR="004A79E4">
              <w:rPr>
                <w:rFonts w:ascii="Arial" w:eastAsia="Times New Roman" w:hAnsi="Arial" w:cs="Arial"/>
                <w:color w:val="000000"/>
                <w:sz w:val="16"/>
                <w:szCs w:val="16"/>
                <w:lang w:eastAsia="en-GB"/>
              </w:rPr>
              <w:t>ottery</w:t>
            </w:r>
            <w:r w:rsidRPr="006D668B">
              <w:rPr>
                <w:rFonts w:ascii="Arial" w:eastAsia="Times New Roman" w:hAnsi="Arial" w:cs="Arial"/>
                <w:color w:val="000000"/>
                <w:sz w:val="16"/>
                <w:szCs w:val="16"/>
                <w:lang w:eastAsia="en-GB"/>
              </w:rPr>
              <w:t>)</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6.6%</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4.8%</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3.2%</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5.9%</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22.2%</w:t>
            </w:r>
          </w:p>
        </w:tc>
      </w:tr>
      <w:tr w:rsidR="006D668B" w:rsidRPr="006D668B" w:rsidTr="006D668B">
        <w:trPr>
          <w:trHeight w:val="368"/>
        </w:trPr>
        <w:tc>
          <w:tcPr>
            <w:tcW w:w="2164" w:type="dxa"/>
            <w:shd w:val="clear" w:color="auto" w:fill="auto"/>
            <w:noWrap/>
            <w:vAlign w:val="center"/>
            <w:hideMark/>
          </w:tcPr>
          <w:p w:rsidR="004A4257" w:rsidRPr="006D668B" w:rsidRDefault="006D668B" w:rsidP="006D668B">
            <w:pPr>
              <w:ind w:left="34"/>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Non-</w:t>
            </w:r>
            <w:r w:rsidR="004A4257" w:rsidRPr="006D668B">
              <w:rPr>
                <w:rFonts w:ascii="Arial" w:eastAsia="Times New Roman" w:hAnsi="Arial" w:cs="Arial"/>
                <w:color w:val="000000"/>
                <w:sz w:val="16"/>
                <w:szCs w:val="16"/>
                <w:lang w:eastAsia="en-GB"/>
              </w:rPr>
              <w:t>remote</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4.0%</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5.4%</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2.4%</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1.6%</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14.1%</w:t>
            </w:r>
          </w:p>
        </w:tc>
      </w:tr>
      <w:tr w:rsidR="006D668B" w:rsidRPr="006D668B" w:rsidTr="006D668B">
        <w:trPr>
          <w:trHeight w:val="368"/>
        </w:trPr>
        <w:tc>
          <w:tcPr>
            <w:tcW w:w="2164" w:type="dxa"/>
            <w:shd w:val="clear" w:color="auto" w:fill="auto"/>
            <w:noWrap/>
            <w:vAlign w:val="center"/>
            <w:hideMark/>
          </w:tcPr>
          <w:p w:rsidR="004A4257" w:rsidRPr="006D668B" w:rsidRDefault="004A4257" w:rsidP="006D668B">
            <w:pPr>
              <w:ind w:left="34"/>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 xml:space="preserve">Remote </w:t>
            </w:r>
            <w:r w:rsidR="006D668B">
              <w:rPr>
                <w:rFonts w:ascii="Arial" w:eastAsia="Times New Roman" w:hAnsi="Arial" w:cs="Arial"/>
                <w:color w:val="000000"/>
                <w:sz w:val="16"/>
                <w:szCs w:val="16"/>
                <w:lang w:eastAsia="en-GB"/>
              </w:rPr>
              <w:br/>
            </w:r>
            <w:r w:rsidRPr="006D668B">
              <w:rPr>
                <w:rFonts w:ascii="Arial" w:eastAsia="Times New Roman" w:hAnsi="Arial" w:cs="Arial"/>
                <w:color w:val="000000"/>
                <w:sz w:val="16"/>
                <w:szCs w:val="16"/>
                <w:lang w:eastAsia="en-GB"/>
              </w:rPr>
              <w:t>(UK consumer estimates)</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5.2%</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1.2%</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18.4%</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22.6%</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54.5%</w:t>
            </w:r>
          </w:p>
        </w:tc>
      </w:tr>
      <w:tr w:rsidR="006D668B" w:rsidRPr="006D668B" w:rsidTr="005664C3">
        <w:trPr>
          <w:trHeight w:val="204"/>
        </w:trPr>
        <w:tc>
          <w:tcPr>
            <w:tcW w:w="2164" w:type="dxa"/>
            <w:shd w:val="clear" w:color="auto" w:fill="D9D9D9"/>
            <w:noWrap/>
            <w:vAlign w:val="center"/>
            <w:hideMark/>
          </w:tcPr>
          <w:p w:rsidR="004A4257" w:rsidRPr="006D668B" w:rsidRDefault="004A4257" w:rsidP="006D668B">
            <w:pPr>
              <w:ind w:left="34"/>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r>
      <w:tr w:rsidR="006D668B" w:rsidRPr="006D668B" w:rsidTr="006D668B">
        <w:trPr>
          <w:trHeight w:val="368"/>
        </w:trPr>
        <w:tc>
          <w:tcPr>
            <w:tcW w:w="2164" w:type="dxa"/>
            <w:shd w:val="clear" w:color="auto" w:fill="auto"/>
            <w:noWrap/>
            <w:vAlign w:val="center"/>
            <w:hideMark/>
          </w:tcPr>
          <w:p w:rsidR="004A4257" w:rsidRPr="006D668B" w:rsidRDefault="006D668B" w:rsidP="006D668B">
            <w:pPr>
              <w:ind w:left="34"/>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Non-</w:t>
            </w:r>
            <w:r w:rsidR="004A4257" w:rsidRPr="006D668B">
              <w:rPr>
                <w:rFonts w:ascii="Arial" w:eastAsia="Times New Roman" w:hAnsi="Arial" w:cs="Arial"/>
                <w:color w:val="000000"/>
                <w:sz w:val="16"/>
                <w:szCs w:val="16"/>
                <w:lang w:eastAsia="en-GB"/>
              </w:rPr>
              <w:t>remote betting</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-5.2%</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6.9%</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-3.4%</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0.9%</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-1.2%</w:t>
            </w:r>
          </w:p>
        </w:tc>
      </w:tr>
      <w:tr w:rsidR="006D668B" w:rsidRPr="006D668B" w:rsidTr="006D668B">
        <w:trPr>
          <w:trHeight w:val="368"/>
        </w:trPr>
        <w:tc>
          <w:tcPr>
            <w:tcW w:w="2164" w:type="dxa"/>
            <w:shd w:val="clear" w:color="auto" w:fill="auto"/>
            <w:noWrap/>
            <w:vAlign w:val="center"/>
            <w:hideMark/>
          </w:tcPr>
          <w:p w:rsidR="004A4257" w:rsidRPr="006D668B" w:rsidRDefault="004A4257" w:rsidP="006D668B">
            <w:pPr>
              <w:ind w:left="34"/>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Remote betting</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11.8%</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27.8%</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18.5%</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16.8%</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97.6%</w:t>
            </w:r>
          </w:p>
        </w:tc>
      </w:tr>
      <w:tr w:rsidR="006D668B" w:rsidRPr="006D668B" w:rsidTr="005664C3">
        <w:trPr>
          <w:trHeight w:val="219"/>
        </w:trPr>
        <w:tc>
          <w:tcPr>
            <w:tcW w:w="2164" w:type="dxa"/>
            <w:shd w:val="clear" w:color="auto" w:fill="D9D9D9"/>
            <w:noWrap/>
            <w:vAlign w:val="center"/>
            <w:hideMark/>
          </w:tcPr>
          <w:p w:rsidR="004A4257" w:rsidRPr="006D668B" w:rsidRDefault="004A4257" w:rsidP="006D668B">
            <w:pPr>
              <w:ind w:left="34"/>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c>
          <w:tcPr>
            <w:tcW w:w="1335" w:type="dxa"/>
            <w:shd w:val="clear" w:color="auto" w:fill="D9D9D9"/>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p>
        </w:tc>
      </w:tr>
      <w:tr w:rsidR="006D668B" w:rsidRPr="006D668B" w:rsidTr="006D668B">
        <w:trPr>
          <w:trHeight w:val="368"/>
        </w:trPr>
        <w:tc>
          <w:tcPr>
            <w:tcW w:w="2164" w:type="dxa"/>
            <w:shd w:val="clear" w:color="auto" w:fill="auto"/>
            <w:noWrap/>
            <w:vAlign w:val="center"/>
            <w:hideMark/>
          </w:tcPr>
          <w:p w:rsidR="004A4257" w:rsidRPr="006D668B" w:rsidRDefault="006D668B" w:rsidP="006D668B">
            <w:pPr>
              <w:ind w:left="34"/>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Non-remote h</w:t>
            </w:r>
            <w:r w:rsidR="004A4257" w:rsidRPr="006D668B">
              <w:rPr>
                <w:rFonts w:ascii="Arial" w:eastAsia="Times New Roman" w:hAnsi="Arial" w:cs="Arial"/>
                <w:color w:val="000000"/>
                <w:sz w:val="16"/>
                <w:szCs w:val="16"/>
                <w:lang w:eastAsia="en-GB"/>
              </w:rPr>
              <w:t>orses</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-3.2%</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2.1%</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-0.1%</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-3.6%</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-4.8%</w:t>
            </w:r>
          </w:p>
        </w:tc>
      </w:tr>
      <w:tr w:rsidR="006D668B" w:rsidRPr="006D668B" w:rsidTr="006D668B">
        <w:trPr>
          <w:trHeight w:val="368"/>
        </w:trPr>
        <w:tc>
          <w:tcPr>
            <w:tcW w:w="2164" w:type="dxa"/>
            <w:shd w:val="clear" w:color="auto" w:fill="auto"/>
            <w:noWrap/>
            <w:vAlign w:val="center"/>
            <w:hideMark/>
          </w:tcPr>
          <w:p w:rsidR="004A4257" w:rsidRPr="006D668B" w:rsidRDefault="006D668B" w:rsidP="006D668B">
            <w:pPr>
              <w:ind w:left="34"/>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Non-remote d</w:t>
            </w:r>
            <w:r w:rsidR="004A4257" w:rsidRPr="006D668B">
              <w:rPr>
                <w:rFonts w:ascii="Arial" w:eastAsia="Times New Roman" w:hAnsi="Arial" w:cs="Arial"/>
                <w:color w:val="000000"/>
                <w:sz w:val="16"/>
                <w:szCs w:val="16"/>
                <w:lang w:eastAsia="en-GB"/>
              </w:rPr>
              <w:t>ogs</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-6.6%</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-2.4%</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-1.4%</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-2.7%</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-12.6%</w:t>
            </w:r>
          </w:p>
        </w:tc>
      </w:tr>
      <w:tr w:rsidR="006D668B" w:rsidRPr="006D668B" w:rsidTr="006D668B">
        <w:trPr>
          <w:trHeight w:val="368"/>
        </w:trPr>
        <w:tc>
          <w:tcPr>
            <w:tcW w:w="2164" w:type="dxa"/>
            <w:shd w:val="clear" w:color="auto" w:fill="auto"/>
            <w:noWrap/>
            <w:vAlign w:val="center"/>
            <w:hideMark/>
          </w:tcPr>
          <w:p w:rsidR="004A4257" w:rsidRPr="006D668B" w:rsidRDefault="006D668B" w:rsidP="006D668B">
            <w:pPr>
              <w:ind w:left="34"/>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Non-remote f</w:t>
            </w:r>
            <w:r w:rsidR="004A4257" w:rsidRPr="006D668B">
              <w:rPr>
                <w:rFonts w:ascii="Arial" w:eastAsia="Times New Roman" w:hAnsi="Arial" w:cs="Arial"/>
                <w:color w:val="000000"/>
                <w:sz w:val="16"/>
                <w:szCs w:val="16"/>
                <w:lang w:eastAsia="en-GB"/>
              </w:rPr>
              <w:t>ootball</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-13.5%</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21.1%</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-16.8%</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23.3%</w:t>
            </w:r>
          </w:p>
        </w:tc>
        <w:tc>
          <w:tcPr>
            <w:tcW w:w="1335" w:type="dxa"/>
            <w:shd w:val="clear" w:color="auto" w:fill="auto"/>
            <w:noWrap/>
            <w:vAlign w:val="center"/>
            <w:hideMark/>
          </w:tcPr>
          <w:p w:rsidR="004A4257" w:rsidRPr="006D668B" w:rsidRDefault="004A4257" w:rsidP="006D668B">
            <w:pPr>
              <w:ind w:left="567" w:hanging="567"/>
              <w:rPr>
                <w:rFonts w:ascii="Arial" w:eastAsia="Times New Roman" w:hAnsi="Arial" w:cs="Arial"/>
                <w:color w:val="000000"/>
                <w:sz w:val="16"/>
                <w:szCs w:val="16"/>
                <w:lang w:eastAsia="en-GB"/>
              </w:rPr>
            </w:pPr>
            <w:r w:rsidRPr="006D668B">
              <w:rPr>
                <w:rFonts w:ascii="Arial" w:eastAsia="Times New Roman" w:hAnsi="Arial" w:cs="Arial"/>
                <w:color w:val="000000"/>
                <w:sz w:val="16"/>
                <w:szCs w:val="16"/>
                <w:lang w:eastAsia="en-GB"/>
              </w:rPr>
              <w:t>7.5%</w:t>
            </w:r>
          </w:p>
        </w:tc>
      </w:tr>
    </w:tbl>
    <w:p w:rsidR="004A4257" w:rsidRPr="002130AE" w:rsidRDefault="006D668B" w:rsidP="004A4257">
      <w:pPr>
        <w:ind w:left="567" w:hanging="567"/>
        <w:rPr>
          <w:rFonts w:ascii="Arial" w:hAnsi="Arial"/>
          <w:b/>
          <w:color w:val="000000"/>
          <w:sz w:val="18"/>
        </w:rPr>
      </w:pPr>
      <w:r>
        <w:rPr>
          <w:rFonts w:ascii="Arial" w:hAnsi="Arial" w:cs="Arial"/>
          <w:b/>
          <w:color w:val="000000"/>
          <w:sz w:val="18"/>
          <w:szCs w:val="18"/>
        </w:rPr>
        <w:t xml:space="preserve"> </w:t>
      </w:r>
      <w:r>
        <w:rPr>
          <w:rFonts w:ascii="Arial" w:hAnsi="Arial" w:cs="Arial"/>
          <w:b/>
          <w:color w:val="000000"/>
          <w:sz w:val="18"/>
          <w:szCs w:val="18"/>
        </w:rPr>
        <w:br/>
      </w:r>
      <w:r w:rsidR="004A4257" w:rsidRPr="002130AE">
        <w:rPr>
          <w:rFonts w:ascii="Arial" w:hAnsi="Arial" w:cs="Arial"/>
          <w:b/>
          <w:color w:val="000000"/>
          <w:sz w:val="18"/>
          <w:szCs w:val="18"/>
        </w:rPr>
        <w:t xml:space="preserve">Source – Industry </w:t>
      </w:r>
      <w:r>
        <w:rPr>
          <w:rFonts w:ascii="Arial" w:hAnsi="Arial" w:cs="Arial"/>
          <w:b/>
          <w:color w:val="000000"/>
          <w:sz w:val="18"/>
          <w:szCs w:val="18"/>
        </w:rPr>
        <w:t>s</w:t>
      </w:r>
      <w:r w:rsidR="004A4257" w:rsidRPr="002130AE">
        <w:rPr>
          <w:rFonts w:ascii="Arial" w:hAnsi="Arial" w:cs="Arial"/>
          <w:b/>
          <w:color w:val="000000"/>
          <w:sz w:val="18"/>
          <w:szCs w:val="18"/>
        </w:rPr>
        <w:t>tatistics (</w:t>
      </w:r>
      <w:r>
        <w:rPr>
          <w:rFonts w:ascii="Arial" w:hAnsi="Arial" w:cs="Arial"/>
          <w:b/>
          <w:color w:val="000000"/>
          <w:sz w:val="18"/>
          <w:szCs w:val="18"/>
        </w:rPr>
        <w:t>n</w:t>
      </w:r>
      <w:r w:rsidR="004A4257" w:rsidRPr="002130AE">
        <w:rPr>
          <w:rFonts w:ascii="Arial" w:hAnsi="Arial" w:cs="Arial"/>
          <w:b/>
          <w:color w:val="000000"/>
          <w:sz w:val="18"/>
          <w:szCs w:val="18"/>
        </w:rPr>
        <w:t>on-remote), Gambling</w:t>
      </w:r>
      <w:r>
        <w:rPr>
          <w:rFonts w:ascii="Arial" w:hAnsi="Arial" w:cs="Arial"/>
          <w:b/>
          <w:color w:val="000000"/>
          <w:sz w:val="18"/>
          <w:szCs w:val="18"/>
        </w:rPr>
        <w:t xml:space="preserve"> </w:t>
      </w:r>
      <w:r w:rsidR="004A4257" w:rsidRPr="002130AE">
        <w:rPr>
          <w:rFonts w:ascii="Arial" w:hAnsi="Arial" w:cs="Arial"/>
          <w:b/>
          <w:color w:val="000000"/>
          <w:sz w:val="18"/>
          <w:szCs w:val="18"/>
        </w:rPr>
        <w:t>Compliance &amp; H2GC (</w:t>
      </w:r>
      <w:r>
        <w:rPr>
          <w:rFonts w:ascii="Arial" w:hAnsi="Arial" w:cs="Arial"/>
          <w:b/>
          <w:color w:val="000000"/>
          <w:sz w:val="18"/>
          <w:szCs w:val="18"/>
        </w:rPr>
        <w:t>r</w:t>
      </w:r>
      <w:r w:rsidR="004A4257" w:rsidRPr="002130AE">
        <w:rPr>
          <w:rFonts w:ascii="Arial" w:hAnsi="Arial" w:cs="Arial"/>
          <w:b/>
          <w:color w:val="000000"/>
          <w:sz w:val="18"/>
          <w:szCs w:val="18"/>
        </w:rPr>
        <w:t>emote)</w:t>
      </w:r>
    </w:p>
    <w:p w:rsidR="006D668B" w:rsidRDefault="006D668B" w:rsidP="004A4257">
      <w:pPr>
        <w:ind w:left="567" w:hanging="567"/>
        <w:rPr>
          <w:rFonts w:ascii="Arial" w:hAnsi="Arial" w:cs="Arial"/>
          <w:b/>
          <w:color w:val="000000"/>
        </w:rPr>
      </w:pPr>
    </w:p>
    <w:p w:rsidR="004A4257" w:rsidRPr="00DC0399" w:rsidRDefault="00DC0399" w:rsidP="000156C3">
      <w:pPr>
        <w:numPr>
          <w:ilvl w:val="0"/>
          <w:numId w:val="6"/>
        </w:numPr>
        <w:ind w:left="567" w:hanging="567"/>
        <w:rPr>
          <w:rFonts w:ascii="Arial" w:hAnsi="Arial" w:cs="Arial"/>
          <w:b/>
          <w:color w:val="000000"/>
          <w:sz w:val="32"/>
          <w:szCs w:val="32"/>
        </w:rPr>
      </w:pPr>
      <w:r w:rsidRPr="00DC0399">
        <w:rPr>
          <w:rFonts w:ascii="Arial" w:hAnsi="Arial" w:cs="Arial"/>
          <w:b/>
          <w:color w:val="000000"/>
          <w:sz w:val="32"/>
          <w:szCs w:val="32"/>
        </w:rPr>
        <w:tab/>
      </w:r>
      <w:r w:rsidR="004A4257" w:rsidRPr="00DC0399">
        <w:rPr>
          <w:rFonts w:ascii="Arial" w:hAnsi="Arial" w:cs="Arial"/>
          <w:b/>
          <w:color w:val="000000"/>
          <w:sz w:val="32"/>
          <w:szCs w:val="32"/>
        </w:rPr>
        <w:t xml:space="preserve">Problem gambling </w:t>
      </w:r>
    </w:p>
    <w:p w:rsidR="004A4257" w:rsidRPr="00B869C7" w:rsidRDefault="004A4257" w:rsidP="004A4257">
      <w:pPr>
        <w:pStyle w:val="ListParagraph"/>
        <w:spacing w:after="0" w:line="240" w:lineRule="auto"/>
        <w:ind w:left="567" w:hanging="567"/>
        <w:rPr>
          <w:rFonts w:ascii="Arial" w:hAnsi="Arial" w:cs="Arial"/>
          <w:color w:val="1F497D"/>
        </w:rPr>
      </w:pPr>
    </w:p>
    <w:p w:rsidR="004A4257" w:rsidRPr="001779F5" w:rsidRDefault="00DC0399" w:rsidP="00DC0399">
      <w:pPr>
        <w:pStyle w:val="ListParagraph"/>
        <w:spacing w:after="0" w:line="240" w:lineRule="auto"/>
        <w:ind w:left="567" w:hanging="567"/>
      </w:pPr>
      <w:r>
        <w:rPr>
          <w:rFonts w:ascii="Arial" w:hAnsi="Arial" w:cs="Arial"/>
          <w:color w:val="000000"/>
        </w:rPr>
        <w:t xml:space="preserve">4.1 </w:t>
      </w:r>
      <w:r>
        <w:rPr>
          <w:rFonts w:ascii="Arial" w:hAnsi="Arial" w:cs="Arial"/>
          <w:color w:val="000000"/>
        </w:rPr>
        <w:tab/>
      </w:r>
      <w:r w:rsidR="004A4257" w:rsidRPr="0019657E">
        <w:rPr>
          <w:rFonts w:ascii="Arial" w:hAnsi="Arial" w:cs="Arial"/>
          <w:color w:val="000000"/>
        </w:rPr>
        <w:t xml:space="preserve">We also work with the Departments of Health in England and Scotland to run problem gambling question modules in their regular health surveys. </w:t>
      </w:r>
      <w:r w:rsidR="004A4257">
        <w:rPr>
          <w:rFonts w:ascii="Arial" w:hAnsi="Arial" w:cs="Arial"/>
          <w:color w:val="000000"/>
        </w:rPr>
        <w:t xml:space="preserve">We deliberately moved away from </w:t>
      </w:r>
      <w:r w:rsidR="004A4257" w:rsidRPr="0019657E">
        <w:rPr>
          <w:rFonts w:ascii="Arial" w:hAnsi="Arial" w:cs="Arial"/>
          <w:color w:val="000000"/>
        </w:rPr>
        <w:t>the earlier British Gambling Prevalence Studies run in 1999/2007/2010 as the</w:t>
      </w:r>
      <w:r w:rsidR="004A4257">
        <w:rPr>
          <w:rFonts w:ascii="Arial" w:hAnsi="Arial" w:cs="Arial"/>
          <w:color w:val="000000"/>
        </w:rPr>
        <w:t xml:space="preserve"> health </w:t>
      </w:r>
      <w:r>
        <w:rPr>
          <w:rFonts w:ascii="Arial" w:hAnsi="Arial" w:cs="Arial"/>
          <w:color w:val="000000"/>
        </w:rPr>
        <w:t>surveys</w:t>
      </w:r>
      <w:r w:rsidR="004A4257" w:rsidRPr="0019657E">
        <w:rPr>
          <w:rFonts w:ascii="Arial" w:hAnsi="Arial" w:cs="Arial"/>
          <w:color w:val="000000"/>
        </w:rPr>
        <w:t xml:space="preserve"> provide us with f</w:t>
      </w:r>
      <w:r w:rsidR="00426332">
        <w:rPr>
          <w:rFonts w:ascii="Arial" w:hAnsi="Arial" w:cs="Arial"/>
          <w:color w:val="000000"/>
        </w:rPr>
        <w:t>a</w:t>
      </w:r>
      <w:r w:rsidR="004A4257" w:rsidRPr="0019657E">
        <w:rPr>
          <w:rFonts w:ascii="Arial" w:hAnsi="Arial" w:cs="Arial"/>
          <w:color w:val="000000"/>
        </w:rPr>
        <w:t>r more detailed demographic data and, as a larger survey</w:t>
      </w:r>
      <w:r w:rsidR="00E439D4">
        <w:rPr>
          <w:rStyle w:val="FootnoteReference"/>
          <w:rFonts w:ascii="Arial" w:hAnsi="Arial" w:cs="Arial"/>
          <w:color w:val="000000"/>
        </w:rPr>
        <w:footnoteReference w:id="11"/>
      </w:r>
      <w:r w:rsidR="004A4257" w:rsidRPr="0019657E">
        <w:rPr>
          <w:rFonts w:ascii="Arial" w:hAnsi="Arial" w:cs="Arial"/>
          <w:color w:val="000000"/>
        </w:rPr>
        <w:t>, more gamblers at risk or with gambling problems.</w:t>
      </w:r>
    </w:p>
    <w:p w:rsidR="004A4257" w:rsidRPr="0019657E" w:rsidRDefault="004A4257" w:rsidP="00DC0399">
      <w:pPr>
        <w:pStyle w:val="ListParagraph"/>
        <w:spacing w:after="0" w:line="240" w:lineRule="auto"/>
        <w:ind w:left="567" w:hanging="567"/>
      </w:pPr>
    </w:p>
    <w:p w:rsidR="004A4257" w:rsidRPr="00DC0399" w:rsidRDefault="00E439D4" w:rsidP="000156C3">
      <w:pPr>
        <w:pStyle w:val="ListParagraph"/>
        <w:numPr>
          <w:ilvl w:val="1"/>
          <w:numId w:val="7"/>
        </w:numPr>
        <w:spacing w:after="0" w:line="240" w:lineRule="auto"/>
        <w:ind w:left="567" w:hanging="567"/>
      </w:pPr>
      <w:r w:rsidRPr="00E439D4">
        <w:rPr>
          <w:rFonts w:ascii="Arial" w:hAnsi="Arial" w:cs="Arial"/>
        </w:rPr>
        <w:lastRenderedPageBreak/>
        <w:t>Annex 1 provides more detailed analysis of the results of the health and prevalence studies</w:t>
      </w:r>
      <w:r w:rsidR="0018512E">
        <w:rPr>
          <w:rStyle w:val="FootnoteReference"/>
          <w:rFonts w:ascii="Arial" w:hAnsi="Arial" w:cs="Arial"/>
        </w:rPr>
        <w:footnoteReference w:id="12"/>
      </w:r>
      <w:r w:rsidRPr="00E439D4">
        <w:rPr>
          <w:rFonts w:ascii="Arial" w:hAnsi="Arial" w:cs="Arial"/>
        </w:rPr>
        <w:t>. Broadly speaking participation, in terms of people gambling</w:t>
      </w:r>
      <w:r w:rsidR="0018512E">
        <w:rPr>
          <w:rFonts w:ascii="Arial" w:hAnsi="Arial" w:cs="Arial"/>
        </w:rPr>
        <w:t>,</w:t>
      </w:r>
      <w:r w:rsidRPr="00E439D4">
        <w:rPr>
          <w:rFonts w:ascii="Arial" w:hAnsi="Arial" w:cs="Arial"/>
        </w:rPr>
        <w:t xml:space="preserve"> remains fairly stable, if participation in the national lottery main draws is excluded, despite the big increase in advertising and the accessibility of gambling. The revenue from gambling has however increased overall.  Similarly the rates of problem and at risk gambling appear to be largely stable </w:t>
      </w:r>
      <w:r w:rsidRPr="004B76EC">
        <w:rPr>
          <w:rFonts w:ascii="Arial" w:hAnsi="Arial" w:cs="Arial"/>
        </w:rPr>
        <w:t>possibly even falling</w:t>
      </w:r>
      <w:r w:rsidRPr="00E439D4">
        <w:rPr>
          <w:rFonts w:ascii="Arial" w:hAnsi="Arial" w:cs="Arial"/>
        </w:rPr>
        <w:t>. Interestingly the best correlat</w:t>
      </w:r>
      <w:r w:rsidR="005E2A56">
        <w:rPr>
          <w:rFonts w:ascii="Arial" w:hAnsi="Arial" w:cs="Arial"/>
        </w:rPr>
        <w:t xml:space="preserve">ion </w:t>
      </w:r>
      <w:r w:rsidRPr="00E439D4">
        <w:rPr>
          <w:rFonts w:ascii="Arial" w:hAnsi="Arial" w:cs="Arial"/>
        </w:rPr>
        <w:t>with problem gambling is with the number of activities an individual undertakes not with particular products. This suggests that banning or restricting particular products</w:t>
      </w:r>
      <w:r w:rsidR="005E2A56">
        <w:rPr>
          <w:rFonts w:ascii="Arial" w:hAnsi="Arial" w:cs="Arial"/>
        </w:rPr>
        <w:t>,</w:t>
      </w:r>
      <w:r w:rsidRPr="00E439D4">
        <w:rPr>
          <w:rFonts w:ascii="Arial" w:hAnsi="Arial" w:cs="Arial"/>
        </w:rPr>
        <w:t xml:space="preserve"> as opposed to monitoring players’ use of such products and intervening appropriately, risks displacing problematic gambling either to other gambling products or to illegal providers of the particular product.</w:t>
      </w:r>
      <w:r w:rsidR="004A4257" w:rsidRPr="00DC0399">
        <w:rPr>
          <w:rFonts w:ascii="Arial" w:hAnsi="Arial" w:cs="Arial"/>
        </w:rPr>
        <w:t xml:space="preserve"> </w:t>
      </w:r>
    </w:p>
    <w:p w:rsidR="004A4257" w:rsidRPr="00DC0399" w:rsidRDefault="004A4257" w:rsidP="00DC0399">
      <w:pPr>
        <w:pStyle w:val="ListParagraph"/>
        <w:spacing w:after="0" w:line="240" w:lineRule="auto"/>
        <w:ind w:left="567" w:hanging="567"/>
      </w:pPr>
    </w:p>
    <w:p w:rsidR="004A4257" w:rsidRPr="00DC0399" w:rsidRDefault="004A4257" w:rsidP="000156C3">
      <w:pPr>
        <w:pStyle w:val="ListParagraph"/>
        <w:numPr>
          <w:ilvl w:val="1"/>
          <w:numId w:val="7"/>
        </w:numPr>
        <w:spacing w:after="0" w:line="240" w:lineRule="auto"/>
        <w:ind w:left="567" w:hanging="567"/>
        <w:rPr>
          <w:rFonts w:ascii="Arial" w:hAnsi="Arial" w:cs="Arial"/>
        </w:rPr>
      </w:pPr>
      <w:r w:rsidRPr="00DC0399">
        <w:rPr>
          <w:rFonts w:ascii="Arial" w:hAnsi="Arial" w:cs="Arial"/>
        </w:rPr>
        <w:t xml:space="preserve">From February 2016 the Commission will </w:t>
      </w:r>
      <w:r w:rsidR="00DC0399" w:rsidRPr="00DC0399">
        <w:rPr>
          <w:rFonts w:ascii="Arial" w:hAnsi="Arial" w:cs="Arial"/>
        </w:rPr>
        <w:t>start publishing the</w:t>
      </w:r>
      <w:r w:rsidRPr="00DC0399">
        <w:rPr>
          <w:rFonts w:ascii="Arial" w:hAnsi="Arial" w:cs="Arial"/>
        </w:rPr>
        <w:t xml:space="preserve"> results quarterly of a</w:t>
      </w:r>
      <w:r w:rsidR="005E2A56">
        <w:rPr>
          <w:rFonts w:ascii="Arial" w:hAnsi="Arial" w:cs="Arial"/>
        </w:rPr>
        <w:t>n</w:t>
      </w:r>
      <w:r w:rsidRPr="00DC0399">
        <w:rPr>
          <w:rFonts w:ascii="Arial" w:hAnsi="Arial" w:cs="Arial"/>
        </w:rPr>
        <w:t xml:space="preserve"> on line tracker survey started earlier this year. The survey explores online gambling behaviour in-depth and includes questions for example on gambling </w:t>
      </w:r>
      <w:r w:rsidR="00DC0399" w:rsidRPr="00DC0399">
        <w:rPr>
          <w:rFonts w:ascii="Arial" w:hAnsi="Arial" w:cs="Arial"/>
        </w:rPr>
        <w:t>activities,</w:t>
      </w:r>
      <w:r w:rsidRPr="00DC0399">
        <w:rPr>
          <w:rFonts w:ascii="Arial" w:hAnsi="Arial" w:cs="Arial"/>
        </w:rPr>
        <w:t xml:space="preserve"> devices </w:t>
      </w:r>
      <w:r w:rsidR="00DC0399" w:rsidRPr="00DC0399">
        <w:rPr>
          <w:rFonts w:ascii="Arial" w:hAnsi="Arial" w:cs="Arial"/>
        </w:rPr>
        <w:t>used,</w:t>
      </w:r>
      <w:r w:rsidRPr="00DC0399">
        <w:rPr>
          <w:rFonts w:ascii="Arial" w:hAnsi="Arial" w:cs="Arial"/>
        </w:rPr>
        <w:t xml:space="preserve"> number of </w:t>
      </w:r>
      <w:r w:rsidR="00DC0399" w:rsidRPr="00DC0399">
        <w:rPr>
          <w:rFonts w:ascii="Arial" w:hAnsi="Arial" w:cs="Arial"/>
        </w:rPr>
        <w:t>accounts,</w:t>
      </w:r>
      <w:r w:rsidRPr="00DC0399">
        <w:rPr>
          <w:rFonts w:ascii="Arial" w:hAnsi="Arial" w:cs="Arial"/>
        </w:rPr>
        <w:t xml:space="preserve"> social gaming</w:t>
      </w:r>
      <w:r w:rsidR="00A52B34" w:rsidRPr="00DC0399">
        <w:rPr>
          <w:rFonts w:ascii="Arial" w:hAnsi="Arial" w:cs="Arial"/>
        </w:rPr>
        <w:t xml:space="preserve">. </w:t>
      </w:r>
      <w:r w:rsidRPr="00DC0399">
        <w:rPr>
          <w:rFonts w:ascii="Arial" w:hAnsi="Arial" w:cs="Arial"/>
        </w:rPr>
        <w:t xml:space="preserve">It will </w:t>
      </w:r>
      <w:r w:rsidR="00DC0399" w:rsidRPr="00DC0399">
        <w:rPr>
          <w:rFonts w:ascii="Arial" w:hAnsi="Arial" w:cs="Arial"/>
        </w:rPr>
        <w:t>include a</w:t>
      </w:r>
      <w:r w:rsidRPr="00DC0399">
        <w:rPr>
          <w:rFonts w:ascii="Arial" w:hAnsi="Arial" w:cs="Arial"/>
        </w:rPr>
        <w:t xml:space="preserve"> mini problem gambling screen that we have developed and validated against the health survey figures </w:t>
      </w:r>
      <w:r w:rsidR="00DC0399" w:rsidRPr="00DC0399">
        <w:rPr>
          <w:rFonts w:ascii="Arial" w:hAnsi="Arial" w:cs="Arial"/>
        </w:rPr>
        <w:t>to give</w:t>
      </w:r>
      <w:r w:rsidRPr="00DC0399">
        <w:rPr>
          <w:rFonts w:ascii="Arial" w:hAnsi="Arial" w:cs="Arial"/>
        </w:rPr>
        <w:t xml:space="preserve"> us an early indication of trends in problem and at risk gambling.</w:t>
      </w:r>
    </w:p>
    <w:p w:rsidR="005E2A56" w:rsidRDefault="005E2A56" w:rsidP="004A4257">
      <w:pPr>
        <w:pStyle w:val="ListParagraph"/>
        <w:tabs>
          <w:tab w:val="left" w:pos="820"/>
        </w:tabs>
        <w:spacing w:after="0" w:line="240" w:lineRule="auto"/>
        <w:ind w:left="567" w:right="382" w:hanging="567"/>
        <w:rPr>
          <w:rFonts w:ascii="Arial" w:hAnsi="Arial" w:cs="Arial"/>
          <w:color w:val="000000"/>
        </w:rPr>
      </w:pPr>
    </w:p>
    <w:p w:rsidR="006D64D3" w:rsidRPr="009E060B" w:rsidRDefault="006D64D3" w:rsidP="004A4257">
      <w:pPr>
        <w:pStyle w:val="ListParagraph"/>
        <w:tabs>
          <w:tab w:val="left" w:pos="820"/>
        </w:tabs>
        <w:spacing w:after="0" w:line="240" w:lineRule="auto"/>
        <w:ind w:left="567" w:right="382" w:hanging="567"/>
        <w:rPr>
          <w:rFonts w:ascii="Arial" w:hAnsi="Arial" w:cs="Arial"/>
          <w:color w:val="000000"/>
        </w:rPr>
      </w:pPr>
    </w:p>
    <w:p w:rsidR="004A4257" w:rsidRPr="00DC0399" w:rsidRDefault="00DC0399" w:rsidP="004A4257">
      <w:pPr>
        <w:pStyle w:val="ListParagraph"/>
        <w:tabs>
          <w:tab w:val="left" w:pos="820"/>
        </w:tabs>
        <w:spacing w:after="0" w:line="240" w:lineRule="auto"/>
        <w:ind w:left="567" w:right="382" w:hanging="567"/>
        <w:rPr>
          <w:rFonts w:ascii="Arial" w:hAnsi="Arial" w:cs="Arial"/>
          <w:b/>
          <w:color w:val="000000"/>
          <w:sz w:val="32"/>
          <w:szCs w:val="32"/>
        </w:rPr>
      </w:pPr>
      <w:r w:rsidRPr="00DC0399">
        <w:rPr>
          <w:rFonts w:ascii="Arial" w:hAnsi="Arial" w:cs="Arial"/>
          <w:b/>
          <w:color w:val="000000"/>
          <w:sz w:val="32"/>
          <w:szCs w:val="32"/>
        </w:rPr>
        <w:t xml:space="preserve">5  </w:t>
      </w:r>
      <w:r w:rsidRPr="00DC0399">
        <w:rPr>
          <w:rFonts w:ascii="Arial" w:hAnsi="Arial" w:cs="Arial"/>
          <w:b/>
          <w:color w:val="000000"/>
          <w:sz w:val="32"/>
          <w:szCs w:val="32"/>
        </w:rPr>
        <w:tab/>
      </w:r>
      <w:r w:rsidR="004A4257" w:rsidRPr="00DC0399">
        <w:rPr>
          <w:rFonts w:ascii="Arial" w:hAnsi="Arial" w:cs="Arial"/>
          <w:b/>
          <w:color w:val="000000"/>
          <w:sz w:val="32"/>
          <w:szCs w:val="32"/>
        </w:rPr>
        <w:t>Maintaining a socially responsible legal gambling market and minimising illegal competition</w:t>
      </w:r>
    </w:p>
    <w:p w:rsidR="004A4257" w:rsidRPr="009E060B" w:rsidRDefault="004A4257" w:rsidP="004A4257">
      <w:pPr>
        <w:pStyle w:val="ListParagraph"/>
        <w:tabs>
          <w:tab w:val="left" w:pos="820"/>
        </w:tabs>
        <w:spacing w:after="0" w:line="240" w:lineRule="auto"/>
        <w:ind w:left="567" w:right="382" w:hanging="567"/>
        <w:rPr>
          <w:rFonts w:ascii="Arial" w:hAnsi="Arial" w:cs="Arial"/>
          <w:b/>
          <w:color w:val="000000"/>
        </w:rPr>
      </w:pPr>
    </w:p>
    <w:p w:rsidR="004A4257" w:rsidRPr="009E060B" w:rsidRDefault="00642F2E" w:rsidP="000156C3">
      <w:pPr>
        <w:pStyle w:val="ListParagraph"/>
        <w:numPr>
          <w:ilvl w:val="1"/>
          <w:numId w:val="8"/>
        </w:numPr>
        <w:spacing w:after="0" w:line="240" w:lineRule="auto"/>
        <w:ind w:left="567" w:right="382" w:hanging="567"/>
        <w:rPr>
          <w:rFonts w:ascii="Arial" w:hAnsi="Arial" w:cs="Arial"/>
          <w:color w:val="000000"/>
        </w:rPr>
      </w:pPr>
      <w:r>
        <w:rPr>
          <w:rFonts w:ascii="Arial" w:hAnsi="Arial" w:cs="Arial"/>
          <w:color w:val="000000"/>
        </w:rPr>
        <w:t>T</w:t>
      </w:r>
      <w:r w:rsidR="004A4257" w:rsidRPr="009E060B">
        <w:rPr>
          <w:rFonts w:ascii="Arial" w:hAnsi="Arial" w:cs="Arial"/>
          <w:color w:val="000000"/>
        </w:rPr>
        <w:t xml:space="preserve">he British experience suggests that having </w:t>
      </w:r>
      <w:r w:rsidR="00DC0399" w:rsidRPr="009E060B">
        <w:rPr>
          <w:rFonts w:ascii="Arial" w:hAnsi="Arial" w:cs="Arial"/>
          <w:color w:val="000000"/>
        </w:rPr>
        <w:t>a legal</w:t>
      </w:r>
      <w:r w:rsidR="004A4257" w:rsidRPr="009E060B">
        <w:rPr>
          <w:rFonts w:ascii="Arial" w:hAnsi="Arial" w:cs="Arial"/>
          <w:color w:val="000000"/>
        </w:rPr>
        <w:t xml:space="preserve"> gambling market which is attractive to players in terms of </w:t>
      </w:r>
      <w:r w:rsidR="004A4257">
        <w:rPr>
          <w:rFonts w:ascii="Arial" w:hAnsi="Arial" w:cs="Arial"/>
          <w:color w:val="000000"/>
        </w:rPr>
        <w:t xml:space="preserve">choice and (price) competitiveness of the </w:t>
      </w:r>
      <w:r w:rsidR="004A4257" w:rsidRPr="009E060B">
        <w:rPr>
          <w:rFonts w:ascii="Arial" w:hAnsi="Arial" w:cs="Arial"/>
          <w:color w:val="000000"/>
        </w:rPr>
        <w:t xml:space="preserve">products available to them and attractive to operators in terms of there being scope to make </w:t>
      </w:r>
      <w:r w:rsidR="004A4257">
        <w:rPr>
          <w:rFonts w:ascii="Arial" w:hAnsi="Arial" w:cs="Arial"/>
          <w:color w:val="000000"/>
        </w:rPr>
        <w:t>a reasonable commercial return</w:t>
      </w:r>
      <w:r w:rsidR="004A4257" w:rsidRPr="009E060B">
        <w:rPr>
          <w:rFonts w:ascii="Arial" w:hAnsi="Arial" w:cs="Arial"/>
          <w:color w:val="000000"/>
        </w:rPr>
        <w:t xml:space="preserve"> from providing gambling in a highly responsible way, will greatly reduce the scale of any illegal activity. Conversely if players cannot get access to </w:t>
      </w:r>
      <w:r w:rsidR="004A4257">
        <w:rPr>
          <w:rFonts w:ascii="Arial" w:hAnsi="Arial" w:cs="Arial"/>
          <w:color w:val="000000"/>
        </w:rPr>
        <w:t xml:space="preserve">a </w:t>
      </w:r>
      <w:r w:rsidR="004A4257" w:rsidRPr="009E060B">
        <w:rPr>
          <w:rFonts w:ascii="Arial" w:hAnsi="Arial" w:cs="Arial"/>
          <w:color w:val="000000"/>
        </w:rPr>
        <w:t xml:space="preserve">reasonably priced </w:t>
      </w:r>
      <w:r w:rsidR="004A4257">
        <w:rPr>
          <w:rFonts w:ascii="Arial" w:hAnsi="Arial" w:cs="Arial"/>
          <w:color w:val="000000"/>
        </w:rPr>
        <w:t xml:space="preserve">attractive range of </w:t>
      </w:r>
      <w:r w:rsidR="004A4257" w:rsidRPr="009E060B">
        <w:rPr>
          <w:rFonts w:ascii="Arial" w:hAnsi="Arial" w:cs="Arial"/>
          <w:color w:val="000000"/>
        </w:rPr>
        <w:t xml:space="preserve">gambling products, they are likely to be receptive to approaches from illegal/unlicensed operators. And if </w:t>
      </w:r>
      <w:r w:rsidR="004A4257">
        <w:rPr>
          <w:rFonts w:ascii="Arial" w:hAnsi="Arial" w:cs="Arial"/>
          <w:color w:val="000000"/>
        </w:rPr>
        <w:t xml:space="preserve">competing </w:t>
      </w:r>
      <w:r w:rsidR="004A4257" w:rsidRPr="009E060B">
        <w:rPr>
          <w:rFonts w:ascii="Arial" w:hAnsi="Arial" w:cs="Arial"/>
          <w:color w:val="000000"/>
        </w:rPr>
        <w:t xml:space="preserve">operators find the black market </w:t>
      </w:r>
      <w:r w:rsidR="004A4257">
        <w:rPr>
          <w:rFonts w:ascii="Arial" w:hAnsi="Arial" w:cs="Arial"/>
          <w:color w:val="000000"/>
        </w:rPr>
        <w:t xml:space="preserve">commercially attractive by being able to </w:t>
      </w:r>
      <w:r w:rsidR="00DC0399">
        <w:rPr>
          <w:rFonts w:ascii="Arial" w:hAnsi="Arial" w:cs="Arial"/>
          <w:color w:val="000000"/>
        </w:rPr>
        <w:t xml:space="preserve">offer </w:t>
      </w:r>
      <w:r w:rsidR="00DC0399" w:rsidRPr="009E060B">
        <w:rPr>
          <w:rFonts w:ascii="Arial" w:hAnsi="Arial" w:cs="Arial"/>
          <w:color w:val="000000"/>
        </w:rPr>
        <w:t>consumers</w:t>
      </w:r>
      <w:r w:rsidR="004A4257" w:rsidRPr="009E060B">
        <w:rPr>
          <w:rFonts w:ascii="Arial" w:hAnsi="Arial" w:cs="Arial"/>
          <w:color w:val="000000"/>
        </w:rPr>
        <w:t xml:space="preserve"> products which are no</w:t>
      </w:r>
      <w:r w:rsidR="00E439D4">
        <w:rPr>
          <w:rFonts w:ascii="Arial" w:hAnsi="Arial" w:cs="Arial"/>
          <w:color w:val="000000"/>
        </w:rPr>
        <w:t>t permitted legally, such as in-</w:t>
      </w:r>
      <w:r w:rsidR="004A4257">
        <w:rPr>
          <w:rFonts w:ascii="Arial" w:hAnsi="Arial" w:cs="Arial"/>
          <w:color w:val="000000"/>
        </w:rPr>
        <w:t>play</w:t>
      </w:r>
      <w:r w:rsidR="004A4257" w:rsidRPr="009E060B">
        <w:rPr>
          <w:rFonts w:ascii="Arial" w:hAnsi="Arial" w:cs="Arial"/>
          <w:color w:val="000000"/>
        </w:rPr>
        <w:t xml:space="preserve"> betting, tha</w:t>
      </w:r>
      <w:r w:rsidR="004A4257">
        <w:rPr>
          <w:rFonts w:ascii="Arial" w:hAnsi="Arial" w:cs="Arial"/>
          <w:color w:val="000000"/>
        </w:rPr>
        <w:t xml:space="preserve">t undermines the commercial viability and attractiveness </w:t>
      </w:r>
      <w:r w:rsidR="00DC0399">
        <w:rPr>
          <w:rFonts w:ascii="Arial" w:hAnsi="Arial" w:cs="Arial"/>
          <w:color w:val="000000"/>
        </w:rPr>
        <w:t xml:space="preserve">of </w:t>
      </w:r>
      <w:r w:rsidR="00DC0399" w:rsidRPr="009E060B">
        <w:rPr>
          <w:rFonts w:ascii="Arial" w:hAnsi="Arial" w:cs="Arial"/>
          <w:color w:val="000000"/>
        </w:rPr>
        <w:t>the</w:t>
      </w:r>
      <w:r w:rsidR="004A4257" w:rsidRPr="009E060B">
        <w:rPr>
          <w:rFonts w:ascii="Arial" w:hAnsi="Arial" w:cs="Arial"/>
          <w:color w:val="000000"/>
        </w:rPr>
        <w:t xml:space="preserve"> licensed market</w:t>
      </w:r>
      <w:r w:rsidR="004A4257">
        <w:rPr>
          <w:rFonts w:ascii="Arial" w:hAnsi="Arial" w:cs="Arial"/>
          <w:color w:val="000000"/>
        </w:rPr>
        <w:t xml:space="preserve"> with </w:t>
      </w:r>
      <w:r w:rsidR="004A4257" w:rsidRPr="009E060B">
        <w:rPr>
          <w:rFonts w:ascii="Arial" w:hAnsi="Arial" w:cs="Arial"/>
          <w:color w:val="000000"/>
        </w:rPr>
        <w:t>the overheads of responsible gambling provision.</w:t>
      </w:r>
    </w:p>
    <w:p w:rsidR="004A4257" w:rsidRPr="009E060B" w:rsidRDefault="004A4257" w:rsidP="004A4257">
      <w:pPr>
        <w:pStyle w:val="ListParagraph"/>
        <w:tabs>
          <w:tab w:val="left" w:pos="820"/>
        </w:tabs>
        <w:spacing w:after="0" w:line="240" w:lineRule="auto"/>
        <w:ind w:left="567" w:right="382" w:hanging="567"/>
        <w:rPr>
          <w:rFonts w:ascii="Arial" w:hAnsi="Arial" w:cs="Arial"/>
          <w:color w:val="000000"/>
        </w:rPr>
      </w:pPr>
    </w:p>
    <w:p w:rsidR="004A4257" w:rsidRPr="00DC0399" w:rsidRDefault="004A4257" w:rsidP="000156C3">
      <w:pPr>
        <w:pStyle w:val="ListParagraph"/>
        <w:numPr>
          <w:ilvl w:val="1"/>
          <w:numId w:val="8"/>
        </w:numPr>
        <w:spacing w:after="0" w:line="240" w:lineRule="auto"/>
        <w:ind w:left="567" w:right="382" w:hanging="567"/>
        <w:rPr>
          <w:rFonts w:ascii="Arial" w:hAnsi="Arial" w:cs="Arial"/>
          <w:color w:val="000000"/>
        </w:rPr>
      </w:pPr>
      <w:r w:rsidRPr="00DC0399">
        <w:rPr>
          <w:rFonts w:ascii="Arial" w:hAnsi="Arial" w:cs="Arial"/>
          <w:color w:val="000000"/>
        </w:rPr>
        <w:t>The British approach therefore tries to combine an attractive legal market</w:t>
      </w:r>
      <w:r w:rsidR="00DC0399" w:rsidRPr="00DC0399">
        <w:rPr>
          <w:rFonts w:ascii="Arial" w:hAnsi="Arial" w:cs="Arial"/>
          <w:color w:val="000000"/>
        </w:rPr>
        <w:t>, open</w:t>
      </w:r>
      <w:r w:rsidRPr="00DC0399">
        <w:rPr>
          <w:rFonts w:ascii="Arial" w:hAnsi="Arial" w:cs="Arial"/>
          <w:color w:val="000000"/>
        </w:rPr>
        <w:t xml:space="preserve"> to innovation with as wide a range of products as possible, with a regulatory framework and tools that, while minimising the regulatory overhead</w:t>
      </w:r>
      <w:r w:rsidR="00DC0399" w:rsidRPr="00DC0399">
        <w:rPr>
          <w:rFonts w:ascii="Arial" w:hAnsi="Arial" w:cs="Arial"/>
          <w:color w:val="000000"/>
        </w:rPr>
        <w:t>, supports</w:t>
      </w:r>
      <w:r w:rsidRPr="00DC0399">
        <w:rPr>
          <w:rFonts w:ascii="Arial" w:hAnsi="Arial" w:cs="Arial"/>
          <w:color w:val="000000"/>
        </w:rPr>
        <w:t xml:space="preserve"> </w:t>
      </w:r>
      <w:r w:rsidRPr="00DC0399">
        <w:rPr>
          <w:rFonts w:ascii="Arial" w:hAnsi="Arial" w:cs="Arial"/>
          <w:vanish/>
          <w:color w:val="000000"/>
        </w:rPr>
        <w:t xml:space="preserve">responsibility standards </w:t>
      </w:r>
      <w:r w:rsidRPr="00DC0399">
        <w:rPr>
          <w:rFonts w:ascii="Arial" w:hAnsi="Arial" w:cs="Arial"/>
          <w:color w:val="000000"/>
        </w:rPr>
        <w:t xml:space="preserve"> the pursuit of the licensing objectives </w:t>
      </w:r>
      <w:proofErr w:type="spellStart"/>
      <w:r w:rsidRPr="00DC0399">
        <w:rPr>
          <w:rFonts w:ascii="Arial" w:hAnsi="Arial" w:cs="Arial"/>
          <w:color w:val="000000"/>
        </w:rPr>
        <w:t>ie</w:t>
      </w:r>
      <w:proofErr w:type="spellEnd"/>
      <w:r w:rsidRPr="00DC0399">
        <w:rPr>
          <w:rFonts w:ascii="Arial" w:hAnsi="Arial" w:cs="Arial"/>
          <w:color w:val="000000"/>
        </w:rPr>
        <w:t xml:space="preserve"> keeping gambling crime free, fair and open and protecting the vulnerable, and deters the less responsible or plain illegal from undercutting and undermining the responsible licensees</w:t>
      </w:r>
      <w:r w:rsidR="00A52B34" w:rsidRPr="00DC0399">
        <w:rPr>
          <w:rFonts w:ascii="Arial" w:hAnsi="Arial" w:cs="Arial"/>
          <w:color w:val="000000"/>
        </w:rPr>
        <w:t xml:space="preserve">. </w:t>
      </w:r>
      <w:r w:rsidRPr="00DC0399">
        <w:rPr>
          <w:rFonts w:ascii="Arial" w:hAnsi="Arial" w:cs="Arial"/>
          <w:color w:val="000000"/>
        </w:rPr>
        <w:t xml:space="preserve">We see a </w:t>
      </w:r>
      <w:r w:rsidR="00DA70B9">
        <w:rPr>
          <w:rFonts w:ascii="Arial" w:hAnsi="Arial" w:cs="Arial"/>
          <w:color w:val="000000"/>
        </w:rPr>
        <w:t xml:space="preserve">potential </w:t>
      </w:r>
      <w:r w:rsidRPr="00DC0399">
        <w:rPr>
          <w:rFonts w:ascii="Arial" w:hAnsi="Arial" w:cs="Arial"/>
          <w:color w:val="000000"/>
        </w:rPr>
        <w:t>virtuous circle in</w:t>
      </w:r>
      <w:r w:rsidR="00DC0399" w:rsidRPr="00DC0399">
        <w:rPr>
          <w:rFonts w:ascii="Arial" w:hAnsi="Arial" w:cs="Arial"/>
          <w:color w:val="000000"/>
        </w:rPr>
        <w:t>:</w:t>
      </w:r>
    </w:p>
    <w:p w:rsidR="004A4257" w:rsidRDefault="004A4257" w:rsidP="000156C3">
      <w:pPr>
        <w:pStyle w:val="ListParagraph"/>
        <w:numPr>
          <w:ilvl w:val="0"/>
          <w:numId w:val="9"/>
        </w:numPr>
        <w:spacing w:after="0" w:line="240" w:lineRule="auto"/>
        <w:ind w:left="1418" w:right="382" w:hanging="284"/>
        <w:rPr>
          <w:rFonts w:ascii="Arial" w:hAnsi="Arial" w:cs="Arial"/>
          <w:color w:val="000000"/>
        </w:rPr>
      </w:pPr>
      <w:r>
        <w:rPr>
          <w:rFonts w:ascii="Arial" w:hAnsi="Arial" w:cs="Arial"/>
          <w:color w:val="000000"/>
        </w:rPr>
        <w:t>regulating rather than prohibiting</w:t>
      </w:r>
    </w:p>
    <w:p w:rsidR="004A4257" w:rsidRDefault="004A4257" w:rsidP="000156C3">
      <w:pPr>
        <w:pStyle w:val="ListParagraph"/>
        <w:numPr>
          <w:ilvl w:val="0"/>
          <w:numId w:val="9"/>
        </w:numPr>
        <w:spacing w:after="0" w:line="240" w:lineRule="auto"/>
        <w:ind w:left="1418" w:right="382" w:hanging="284"/>
        <w:rPr>
          <w:rFonts w:ascii="Arial" w:hAnsi="Arial" w:cs="Arial"/>
          <w:color w:val="000000"/>
        </w:rPr>
      </w:pPr>
      <w:r>
        <w:rPr>
          <w:rFonts w:ascii="Arial" w:hAnsi="Arial" w:cs="Arial"/>
          <w:color w:val="000000"/>
        </w:rPr>
        <w:t>enabling consumers to have access to the products they want at reasonable prices but in a regulated and monitored environment</w:t>
      </w:r>
    </w:p>
    <w:p w:rsidR="004A4257" w:rsidRPr="009E060B" w:rsidRDefault="004A4257" w:rsidP="000156C3">
      <w:pPr>
        <w:pStyle w:val="ListParagraph"/>
        <w:numPr>
          <w:ilvl w:val="0"/>
          <w:numId w:val="9"/>
        </w:numPr>
        <w:spacing w:after="0" w:line="240" w:lineRule="auto"/>
        <w:ind w:left="1418" w:right="382" w:hanging="284"/>
        <w:rPr>
          <w:rFonts w:ascii="Arial" w:hAnsi="Arial" w:cs="Arial"/>
          <w:color w:val="000000"/>
        </w:rPr>
      </w:pPr>
      <w:r>
        <w:rPr>
          <w:rFonts w:ascii="Arial" w:hAnsi="Arial" w:cs="Arial"/>
          <w:color w:val="000000"/>
        </w:rPr>
        <w:t>requiring high social responsibility standards from licensees in the way they market and provide gambling</w:t>
      </w:r>
    </w:p>
    <w:p w:rsidR="004A4257" w:rsidRDefault="004A4257" w:rsidP="000156C3">
      <w:pPr>
        <w:pStyle w:val="ListParagraph"/>
        <w:numPr>
          <w:ilvl w:val="0"/>
          <w:numId w:val="9"/>
        </w:numPr>
        <w:spacing w:after="0" w:line="240" w:lineRule="auto"/>
        <w:ind w:left="1418" w:hanging="284"/>
        <w:rPr>
          <w:rFonts w:ascii="Arial" w:hAnsi="Arial" w:cs="Arial"/>
          <w:color w:val="000000"/>
        </w:rPr>
      </w:pPr>
      <w:r>
        <w:rPr>
          <w:rFonts w:ascii="Arial" w:hAnsi="Arial" w:cs="Arial"/>
          <w:color w:val="000000"/>
        </w:rPr>
        <w:t xml:space="preserve">limiting access to legal marketing and </w:t>
      </w:r>
      <w:r w:rsidR="00DC0399">
        <w:rPr>
          <w:rFonts w:ascii="Arial" w:hAnsi="Arial" w:cs="Arial"/>
          <w:color w:val="000000"/>
        </w:rPr>
        <w:t>payment providers</w:t>
      </w:r>
      <w:r>
        <w:rPr>
          <w:rFonts w:ascii="Arial" w:hAnsi="Arial" w:cs="Arial"/>
          <w:color w:val="000000"/>
        </w:rPr>
        <w:t xml:space="preserve"> to those with licences</w:t>
      </w:r>
      <w:r w:rsidR="00E439D4">
        <w:rPr>
          <w:rFonts w:ascii="Arial" w:hAnsi="Arial" w:cs="Arial"/>
          <w:color w:val="000000"/>
        </w:rPr>
        <w:t xml:space="preserve"> </w:t>
      </w:r>
      <w:r w:rsidR="00E439D4" w:rsidRPr="00E439D4">
        <w:rPr>
          <w:rFonts w:ascii="Arial" w:hAnsi="Arial" w:cs="Arial"/>
          <w:color w:val="000000"/>
        </w:rPr>
        <w:t>with firm action against those attempting illegal access to the market</w:t>
      </w:r>
    </w:p>
    <w:p w:rsidR="00E439D4" w:rsidRDefault="00E439D4" w:rsidP="000156C3">
      <w:pPr>
        <w:pStyle w:val="ListParagraph"/>
        <w:numPr>
          <w:ilvl w:val="0"/>
          <w:numId w:val="9"/>
        </w:numPr>
        <w:spacing w:after="0" w:line="240" w:lineRule="auto"/>
        <w:ind w:left="1418" w:hanging="284"/>
        <w:rPr>
          <w:rFonts w:ascii="Arial" w:hAnsi="Arial" w:cs="Arial"/>
          <w:color w:val="000000"/>
        </w:rPr>
      </w:pPr>
      <w:proofErr w:type="gramStart"/>
      <w:r w:rsidRPr="00E439D4">
        <w:rPr>
          <w:rFonts w:ascii="Arial" w:hAnsi="Arial" w:cs="Arial"/>
          <w:color w:val="000000"/>
        </w:rPr>
        <w:t>building</w:t>
      </w:r>
      <w:proofErr w:type="gramEnd"/>
      <w:r w:rsidRPr="00E439D4">
        <w:rPr>
          <w:rFonts w:ascii="Arial" w:hAnsi="Arial" w:cs="Arial"/>
          <w:color w:val="000000"/>
        </w:rPr>
        <w:t xml:space="preserve"> up the evidence base by requiring data from licensees and looking to them to develop and improve their own monitoring and player protection tools and contribute to communal research education and treatment.</w:t>
      </w:r>
    </w:p>
    <w:p w:rsidR="00E439D4" w:rsidRDefault="00E439D4" w:rsidP="00E439D4">
      <w:pPr>
        <w:pStyle w:val="ListParagraph"/>
        <w:spacing w:after="0" w:line="240" w:lineRule="auto"/>
        <w:rPr>
          <w:rFonts w:ascii="Arial" w:hAnsi="Arial" w:cs="Arial"/>
          <w:color w:val="000000"/>
        </w:rPr>
      </w:pPr>
    </w:p>
    <w:p w:rsidR="00E439D4" w:rsidRDefault="00E439D4" w:rsidP="00E439D4">
      <w:pPr>
        <w:pStyle w:val="ListParagraph"/>
        <w:spacing w:after="0" w:line="240" w:lineRule="auto"/>
        <w:ind w:left="567"/>
        <w:rPr>
          <w:rFonts w:ascii="Arial" w:hAnsi="Arial" w:cs="Arial"/>
          <w:color w:val="000000"/>
        </w:rPr>
      </w:pPr>
      <w:r w:rsidRPr="00E439D4">
        <w:rPr>
          <w:rFonts w:ascii="Arial" w:hAnsi="Arial" w:cs="Arial"/>
          <w:color w:val="000000"/>
        </w:rPr>
        <w:t>In this way operators have the incentive (underpinned by regulation and sanction) both to operate in the licensed market and to work together with other stakeholders and the regulator to develop and maintain improved ways of protecting consumers and promoting betting integrity.</w:t>
      </w:r>
    </w:p>
    <w:p w:rsidR="004A4257" w:rsidRPr="009E060B" w:rsidRDefault="004A4257" w:rsidP="004A4257">
      <w:pPr>
        <w:pStyle w:val="ListParagraph"/>
        <w:spacing w:after="0" w:line="240" w:lineRule="auto"/>
        <w:ind w:left="567" w:hanging="567"/>
        <w:rPr>
          <w:rFonts w:ascii="Arial" w:hAnsi="Arial" w:cs="Arial"/>
          <w:color w:val="000000"/>
        </w:rPr>
      </w:pPr>
    </w:p>
    <w:p w:rsidR="00B60681" w:rsidRDefault="00B60681">
      <w:pPr>
        <w:pStyle w:val="ListParagraph"/>
        <w:spacing w:after="0" w:line="240" w:lineRule="auto"/>
        <w:ind w:left="567" w:right="382"/>
        <w:rPr>
          <w:rFonts w:ascii="Arial" w:hAnsi="Arial" w:cs="Arial"/>
          <w:color w:val="000000"/>
        </w:rPr>
      </w:pPr>
    </w:p>
    <w:p w:rsidR="00B60681" w:rsidRDefault="00B60681">
      <w:pPr>
        <w:pStyle w:val="ListParagraph"/>
        <w:spacing w:after="0" w:line="240" w:lineRule="auto"/>
        <w:ind w:left="567" w:right="382"/>
        <w:rPr>
          <w:rFonts w:ascii="Arial" w:hAnsi="Arial" w:cs="Arial"/>
          <w:color w:val="000000"/>
        </w:rPr>
      </w:pPr>
    </w:p>
    <w:p w:rsidR="008B5375" w:rsidRDefault="004A4257" w:rsidP="000156C3">
      <w:pPr>
        <w:pStyle w:val="ListParagraph"/>
        <w:numPr>
          <w:ilvl w:val="1"/>
          <w:numId w:val="8"/>
        </w:numPr>
        <w:spacing w:after="0" w:line="240" w:lineRule="auto"/>
        <w:ind w:left="567" w:right="382" w:hanging="567"/>
        <w:rPr>
          <w:rFonts w:ascii="Arial" w:hAnsi="Arial" w:cs="Arial"/>
          <w:color w:val="000000"/>
        </w:rPr>
      </w:pPr>
      <w:r w:rsidRPr="006D64D3">
        <w:rPr>
          <w:rFonts w:ascii="Arial" w:hAnsi="Arial" w:cs="Arial"/>
          <w:color w:val="000000"/>
        </w:rPr>
        <w:t xml:space="preserve">The key features that contribute to the effectiveness of </w:t>
      </w:r>
      <w:r w:rsidR="00C95B2F">
        <w:rPr>
          <w:rFonts w:ascii="Arial" w:hAnsi="Arial" w:cs="Arial"/>
          <w:color w:val="000000"/>
        </w:rPr>
        <w:t xml:space="preserve">the </w:t>
      </w:r>
      <w:r w:rsidRPr="006D64D3">
        <w:rPr>
          <w:rFonts w:ascii="Arial" w:hAnsi="Arial" w:cs="Arial"/>
          <w:color w:val="000000"/>
        </w:rPr>
        <w:t>Commission</w:t>
      </w:r>
      <w:r w:rsidR="00C95B2F">
        <w:rPr>
          <w:rFonts w:ascii="Arial" w:hAnsi="Arial" w:cs="Arial"/>
          <w:color w:val="000000"/>
        </w:rPr>
        <w:t>’s</w:t>
      </w:r>
      <w:r w:rsidRPr="006D64D3">
        <w:rPr>
          <w:rFonts w:ascii="Arial" w:hAnsi="Arial" w:cs="Arial"/>
          <w:color w:val="000000"/>
        </w:rPr>
        <w:t xml:space="preserve"> approach in relation to minimising illegal competition are: </w:t>
      </w:r>
    </w:p>
    <w:p w:rsidR="00642F2E" w:rsidRPr="006D64D3" w:rsidRDefault="00642F2E" w:rsidP="00642F2E">
      <w:pPr>
        <w:pStyle w:val="ListParagraph"/>
        <w:spacing w:after="0" w:line="240" w:lineRule="auto"/>
        <w:ind w:left="567" w:right="382"/>
        <w:rPr>
          <w:rFonts w:ascii="Arial" w:hAnsi="Arial" w:cs="Arial"/>
          <w:color w:val="000000"/>
        </w:rPr>
      </w:pPr>
    </w:p>
    <w:p w:rsidR="00B60681" w:rsidRDefault="004A4257">
      <w:pPr>
        <w:pStyle w:val="ListParagraph"/>
        <w:numPr>
          <w:ilvl w:val="0"/>
          <w:numId w:val="10"/>
        </w:numPr>
        <w:spacing w:after="0" w:line="240" w:lineRule="auto"/>
        <w:ind w:left="1418" w:right="380" w:hanging="284"/>
        <w:rPr>
          <w:rFonts w:ascii="Arial" w:hAnsi="Arial" w:cs="Arial"/>
          <w:color w:val="000000"/>
        </w:rPr>
      </w:pPr>
      <w:r w:rsidRPr="006D64D3">
        <w:rPr>
          <w:rFonts w:ascii="Arial" w:hAnsi="Arial" w:cs="Arial"/>
          <w:color w:val="000000"/>
        </w:rPr>
        <w:t xml:space="preserve">It is risk and principled based focused on outcomes not detailed prescription. It places the onus on the operator to act responsibly and to lead developments in responsible gambling and combating crime and sports betting corruption. Operators are better placed than the regulator to work out how most cost </w:t>
      </w:r>
      <w:r w:rsidR="00DC0399" w:rsidRPr="006D64D3">
        <w:rPr>
          <w:rFonts w:ascii="Arial" w:hAnsi="Arial" w:cs="Arial"/>
          <w:color w:val="000000"/>
        </w:rPr>
        <w:t>effectively to</w:t>
      </w:r>
      <w:r w:rsidRPr="006D64D3">
        <w:rPr>
          <w:rFonts w:ascii="Arial" w:hAnsi="Arial" w:cs="Arial"/>
          <w:color w:val="000000"/>
        </w:rPr>
        <w:t xml:space="preserve"> secure licensing objectives. The role of the regulator in our view is to oversee and hold operators to account for their performance in relation to the licensing objectives. This helps holds the regulatory overhead on business to the minimum consistent with maintaining high consumer protection standards</w:t>
      </w:r>
      <w:r w:rsidR="00A52B34" w:rsidRPr="006D64D3">
        <w:rPr>
          <w:rFonts w:ascii="Arial" w:hAnsi="Arial" w:cs="Arial"/>
          <w:color w:val="000000"/>
        </w:rPr>
        <w:t xml:space="preserve">. </w:t>
      </w:r>
      <w:r w:rsidRPr="006D64D3">
        <w:rPr>
          <w:rFonts w:ascii="Arial" w:hAnsi="Arial" w:cs="Arial"/>
          <w:color w:val="000000"/>
        </w:rPr>
        <w:t xml:space="preserve">That in turn makes it harder for unlicensed operators to </w:t>
      </w:r>
      <w:r w:rsidR="00DC0399" w:rsidRPr="006D64D3">
        <w:rPr>
          <w:rFonts w:ascii="Arial" w:hAnsi="Arial" w:cs="Arial"/>
          <w:color w:val="000000"/>
        </w:rPr>
        <w:t>undercut our</w:t>
      </w:r>
      <w:r w:rsidRPr="006D64D3">
        <w:rPr>
          <w:rFonts w:ascii="Arial" w:hAnsi="Arial" w:cs="Arial"/>
          <w:color w:val="000000"/>
        </w:rPr>
        <w:t xml:space="preserve"> licensees.</w:t>
      </w:r>
    </w:p>
    <w:p w:rsidR="00642F2E" w:rsidRPr="006D64D3" w:rsidRDefault="00642F2E" w:rsidP="00642F2E">
      <w:pPr>
        <w:pStyle w:val="ListParagraph"/>
        <w:spacing w:after="0" w:line="240" w:lineRule="auto"/>
        <w:ind w:left="1418" w:right="382"/>
        <w:rPr>
          <w:rFonts w:ascii="Arial" w:hAnsi="Arial" w:cs="Arial"/>
          <w:color w:val="000000"/>
        </w:rPr>
      </w:pPr>
    </w:p>
    <w:p w:rsidR="00B60681" w:rsidRDefault="00461D41">
      <w:pPr>
        <w:pStyle w:val="ListParagraph"/>
        <w:numPr>
          <w:ilvl w:val="0"/>
          <w:numId w:val="10"/>
        </w:numPr>
        <w:spacing w:after="0" w:line="240" w:lineRule="auto"/>
        <w:ind w:left="1418" w:right="382" w:hanging="284"/>
        <w:rPr>
          <w:rFonts w:ascii="Arial" w:hAnsi="Arial" w:cs="Arial"/>
          <w:color w:val="000000"/>
        </w:rPr>
      </w:pPr>
      <w:r w:rsidRPr="006D64D3">
        <w:rPr>
          <w:rFonts w:ascii="Arial" w:hAnsi="Arial" w:cs="Arial"/>
          <w:color w:val="000000"/>
        </w:rPr>
        <w:t>There is s</w:t>
      </w:r>
      <w:r w:rsidR="00E439D4" w:rsidRPr="006D64D3">
        <w:rPr>
          <w:rFonts w:ascii="Arial" w:hAnsi="Arial" w:cs="Arial"/>
          <w:color w:val="000000"/>
        </w:rPr>
        <w:t>trong</w:t>
      </w:r>
      <w:r w:rsidR="004A4257" w:rsidRPr="006D64D3">
        <w:rPr>
          <w:rFonts w:ascii="Arial" w:hAnsi="Arial" w:cs="Arial"/>
          <w:color w:val="000000"/>
        </w:rPr>
        <w:t xml:space="preserve"> deterrence and disruption for those attempting to supply illegally</w:t>
      </w:r>
      <w:r w:rsidR="006D64D3">
        <w:rPr>
          <w:rFonts w:ascii="Arial" w:hAnsi="Arial" w:cs="Arial"/>
          <w:color w:val="000000"/>
        </w:rPr>
        <w:t>:</w:t>
      </w:r>
      <w:r w:rsidR="009B70F7" w:rsidRPr="006D64D3">
        <w:rPr>
          <w:rFonts w:ascii="Arial" w:hAnsi="Arial" w:cs="Arial"/>
          <w:color w:val="000000"/>
        </w:rPr>
        <w:t xml:space="preserve"> </w:t>
      </w:r>
    </w:p>
    <w:p w:rsidR="00B60681" w:rsidRDefault="00B60681">
      <w:pPr>
        <w:pStyle w:val="ListParagraph"/>
        <w:spacing w:after="0" w:line="240" w:lineRule="auto"/>
        <w:ind w:left="1418" w:right="382"/>
        <w:rPr>
          <w:rFonts w:ascii="Arial" w:hAnsi="Arial" w:cs="Arial"/>
          <w:color w:val="000000"/>
        </w:rPr>
      </w:pPr>
    </w:p>
    <w:p w:rsidR="00B60681" w:rsidRDefault="009B70F7">
      <w:pPr>
        <w:pStyle w:val="ListParagraph"/>
        <w:numPr>
          <w:ilvl w:val="1"/>
          <w:numId w:val="10"/>
        </w:numPr>
        <w:spacing w:line="240" w:lineRule="auto"/>
        <w:ind w:right="382"/>
        <w:rPr>
          <w:rFonts w:ascii="Arial" w:hAnsi="Arial" w:cs="Arial"/>
          <w:color w:val="000000"/>
        </w:rPr>
      </w:pPr>
      <w:r w:rsidRPr="00642F2E">
        <w:rPr>
          <w:rFonts w:ascii="Arial" w:hAnsi="Arial" w:cs="Arial"/>
          <w:color w:val="000000"/>
        </w:rPr>
        <w:t>The requirement for licences for B2Bs as well as B2Cs, for licensed operators to use only Commission licensed software suppliers and then holding licensees jointly and separately responsible for any shortcomings, expecting licensees to terminate contracts with those who are not up to standard and or who deal with unlicensed or illegal operators competing with our licensees.</w:t>
      </w:r>
    </w:p>
    <w:p w:rsidR="00B60681" w:rsidRDefault="00B60681">
      <w:pPr>
        <w:pStyle w:val="ListParagraph"/>
        <w:spacing w:after="0" w:line="240" w:lineRule="auto"/>
        <w:ind w:left="2410" w:right="382" w:hanging="283"/>
        <w:rPr>
          <w:rFonts w:ascii="Arial" w:hAnsi="Arial" w:cs="Arial"/>
          <w:color w:val="000000"/>
        </w:rPr>
      </w:pPr>
    </w:p>
    <w:p w:rsidR="00B60681" w:rsidRDefault="006D64D3">
      <w:pPr>
        <w:pStyle w:val="ListParagraph"/>
        <w:numPr>
          <w:ilvl w:val="1"/>
          <w:numId w:val="10"/>
        </w:numPr>
        <w:spacing w:line="240" w:lineRule="auto"/>
        <w:ind w:right="382"/>
        <w:rPr>
          <w:rFonts w:ascii="Arial" w:hAnsi="Arial" w:cs="Arial"/>
          <w:color w:val="000000"/>
        </w:rPr>
      </w:pPr>
      <w:r w:rsidRPr="00642F2E">
        <w:rPr>
          <w:rFonts w:ascii="Arial" w:hAnsi="Arial" w:cs="Arial"/>
          <w:color w:val="000000"/>
        </w:rPr>
        <w:t>The</w:t>
      </w:r>
      <w:r w:rsidR="004A4257" w:rsidRPr="00642F2E">
        <w:rPr>
          <w:rFonts w:ascii="Arial" w:hAnsi="Arial" w:cs="Arial"/>
          <w:color w:val="000000"/>
        </w:rPr>
        <w:t xml:space="preserve"> requirement for personal licences for key executives including the marketing director (given the critical importance of marketing to the success of remote gambling businesses) and holding those licensees personally to account for the conduct of their businesses and who they associate with.</w:t>
      </w:r>
      <w:r w:rsidR="009B70F7" w:rsidRPr="00642F2E">
        <w:rPr>
          <w:rFonts w:ascii="Arial" w:hAnsi="Arial" w:cs="Arial"/>
          <w:color w:val="000000"/>
        </w:rPr>
        <w:t xml:space="preserve">  </w:t>
      </w:r>
    </w:p>
    <w:p w:rsidR="00B60681" w:rsidRDefault="00B60681">
      <w:pPr>
        <w:pStyle w:val="ListParagraph"/>
        <w:spacing w:line="240" w:lineRule="auto"/>
        <w:rPr>
          <w:rFonts w:ascii="Arial" w:hAnsi="Arial" w:cs="Arial"/>
          <w:color w:val="000000"/>
        </w:rPr>
      </w:pPr>
    </w:p>
    <w:p w:rsidR="00B60681" w:rsidRDefault="00642F2E">
      <w:pPr>
        <w:pStyle w:val="ListParagraph"/>
        <w:numPr>
          <w:ilvl w:val="3"/>
          <w:numId w:val="16"/>
        </w:numPr>
        <w:spacing w:after="0" w:line="240" w:lineRule="auto"/>
        <w:ind w:left="1418" w:right="382" w:hanging="284"/>
        <w:rPr>
          <w:rFonts w:ascii="Arial" w:hAnsi="Arial" w:cs="Arial"/>
          <w:color w:val="000000"/>
        </w:rPr>
      </w:pPr>
      <w:r w:rsidRPr="00642F2E">
        <w:rPr>
          <w:rFonts w:ascii="Arial" w:hAnsi="Arial" w:cs="Arial"/>
          <w:color w:val="000000"/>
        </w:rPr>
        <w:t>Working</w:t>
      </w:r>
      <w:r w:rsidR="009B70F7" w:rsidRPr="00642F2E">
        <w:rPr>
          <w:rFonts w:ascii="Arial" w:hAnsi="Arial" w:cs="Arial"/>
          <w:color w:val="000000"/>
        </w:rPr>
        <w:t xml:space="preserve"> </w:t>
      </w:r>
      <w:r>
        <w:rPr>
          <w:rFonts w:ascii="Arial" w:hAnsi="Arial" w:cs="Arial"/>
          <w:color w:val="000000"/>
        </w:rPr>
        <w:t>w</w:t>
      </w:r>
      <w:r w:rsidR="004A4257" w:rsidRPr="00642F2E">
        <w:rPr>
          <w:rFonts w:ascii="Arial" w:hAnsi="Arial" w:cs="Arial"/>
          <w:color w:val="000000"/>
        </w:rPr>
        <w:t xml:space="preserve">ith third-party advertising and marketing organisations such as Google and </w:t>
      </w:r>
      <w:proofErr w:type="spellStart"/>
      <w:r w:rsidR="004A4257" w:rsidRPr="00642F2E">
        <w:rPr>
          <w:rFonts w:ascii="Arial" w:hAnsi="Arial" w:cs="Arial"/>
          <w:color w:val="000000"/>
        </w:rPr>
        <w:t>Facebook</w:t>
      </w:r>
      <w:proofErr w:type="spellEnd"/>
      <w:r w:rsidR="004A4257" w:rsidRPr="00642F2E">
        <w:rPr>
          <w:rFonts w:ascii="Arial" w:hAnsi="Arial" w:cs="Arial"/>
          <w:color w:val="000000"/>
        </w:rPr>
        <w:t xml:space="preserve"> to ensure they understand that any operator or affiliate trying to market products from an unlicensed operator would be acting illegally and that they would be potentially liable themselves to prosecution and indeed involvement in money laundering if they knowingly carried or benefited from illegal product.</w:t>
      </w:r>
      <w:r w:rsidR="006D64D3" w:rsidRPr="00642F2E">
        <w:rPr>
          <w:rFonts w:ascii="Arial" w:hAnsi="Arial" w:cs="Arial"/>
          <w:color w:val="000000"/>
        </w:rPr>
        <w:t xml:space="preserve"> </w:t>
      </w:r>
      <w:r w:rsidR="004A4257" w:rsidRPr="00642F2E">
        <w:rPr>
          <w:rFonts w:ascii="Arial" w:hAnsi="Arial" w:cs="Arial"/>
          <w:color w:val="000000"/>
        </w:rPr>
        <w:t xml:space="preserve">The requirement on licensees to display the Commission </w:t>
      </w:r>
      <w:proofErr w:type="spellStart"/>
      <w:r w:rsidR="004A4257" w:rsidRPr="00642F2E">
        <w:rPr>
          <w:rFonts w:ascii="Arial" w:hAnsi="Arial" w:cs="Arial"/>
          <w:color w:val="000000"/>
        </w:rPr>
        <w:t>kitemark</w:t>
      </w:r>
      <w:proofErr w:type="spellEnd"/>
      <w:r w:rsidR="004A4257" w:rsidRPr="00642F2E">
        <w:rPr>
          <w:rFonts w:ascii="Arial" w:hAnsi="Arial" w:cs="Arial"/>
          <w:color w:val="000000"/>
        </w:rPr>
        <w:t xml:space="preserve"> which can be checked against the Commission licence register provides an easy way to check legal status.</w:t>
      </w:r>
      <w:r w:rsidR="007D1A91" w:rsidRPr="00642F2E">
        <w:rPr>
          <w:rFonts w:ascii="Arial" w:hAnsi="Arial" w:cs="Arial"/>
          <w:color w:val="000000"/>
        </w:rPr>
        <w:t xml:space="preserve">  </w:t>
      </w:r>
    </w:p>
    <w:p w:rsidR="00B60681" w:rsidRDefault="00B60681">
      <w:pPr>
        <w:pStyle w:val="ListParagraph"/>
        <w:spacing w:after="0" w:line="240" w:lineRule="auto"/>
        <w:ind w:left="1418" w:right="382"/>
        <w:rPr>
          <w:rFonts w:ascii="Arial" w:hAnsi="Arial" w:cs="Arial"/>
          <w:color w:val="000000"/>
        </w:rPr>
      </w:pPr>
    </w:p>
    <w:p w:rsidR="00B60681" w:rsidRDefault="00325FBA">
      <w:pPr>
        <w:pStyle w:val="ListParagraph"/>
        <w:numPr>
          <w:ilvl w:val="3"/>
          <w:numId w:val="16"/>
        </w:numPr>
        <w:spacing w:after="0" w:line="240" w:lineRule="auto"/>
        <w:ind w:left="1418" w:right="382" w:hanging="284"/>
        <w:rPr>
          <w:rFonts w:ascii="Arial" w:hAnsi="Arial" w:cs="Arial"/>
          <w:color w:val="000000"/>
        </w:rPr>
      </w:pPr>
      <w:r>
        <w:rPr>
          <w:rFonts w:ascii="Arial" w:hAnsi="Arial" w:cs="Arial"/>
          <w:color w:val="000000"/>
        </w:rPr>
        <w:t>Working with</w:t>
      </w:r>
      <w:r w:rsidR="007D1A91">
        <w:rPr>
          <w:rFonts w:ascii="Arial" w:hAnsi="Arial" w:cs="Arial"/>
          <w:color w:val="000000"/>
        </w:rPr>
        <w:t xml:space="preserve"> </w:t>
      </w:r>
      <w:r w:rsidRPr="00325FBA">
        <w:rPr>
          <w:rFonts w:ascii="Arial" w:hAnsi="Arial" w:cs="Arial"/>
          <w:iCs/>
          <w:color w:val="000000"/>
        </w:rPr>
        <w:t>payment providers where we have arrangements with Visa, MasterCard and others whereby if we demonstrate an operator does not have a licence, the merchant acquirer will refuse to continue to deal with them, a powerful deterrent and disruption tool as that potentially affects the operator’s business dealings worldwide. We are encouraging, and seeing evidence of, merchant acquirers checking that operators are properly licensed before providing processing facilities</w:t>
      </w:r>
      <w:r>
        <w:rPr>
          <w:rFonts w:ascii="Arial" w:hAnsi="Arial" w:cs="Arial"/>
          <w:iCs/>
          <w:color w:val="000000"/>
        </w:rPr>
        <w:t xml:space="preserve"> to them.</w:t>
      </w:r>
      <w:r w:rsidRPr="00325FBA">
        <w:rPr>
          <w:rFonts w:ascii="Times New Roman" w:hAnsi="Times New Roman"/>
          <w:iCs/>
        </w:rPr>
        <w:t xml:space="preserve"> </w:t>
      </w:r>
    </w:p>
    <w:p w:rsidR="00B60681" w:rsidRDefault="00B60681">
      <w:pPr>
        <w:ind w:right="382"/>
        <w:rPr>
          <w:rFonts w:ascii="Arial" w:hAnsi="Arial" w:cs="Arial"/>
          <w:color w:val="000000"/>
        </w:rPr>
      </w:pPr>
    </w:p>
    <w:p w:rsidR="00B60681" w:rsidRDefault="00D71D3D">
      <w:pPr>
        <w:pStyle w:val="ListParagraph"/>
        <w:numPr>
          <w:ilvl w:val="2"/>
          <w:numId w:val="17"/>
        </w:numPr>
        <w:spacing w:after="0" w:line="240" w:lineRule="auto"/>
        <w:ind w:left="1418" w:right="382" w:hanging="284"/>
        <w:rPr>
          <w:rFonts w:ascii="Arial" w:hAnsi="Arial" w:cs="Arial"/>
          <w:color w:val="000000"/>
        </w:rPr>
      </w:pPr>
      <w:r w:rsidRPr="00D71D3D">
        <w:rPr>
          <w:rFonts w:ascii="Arial" w:hAnsi="Arial" w:cs="Arial"/>
          <w:color w:val="000000"/>
        </w:rPr>
        <w:t>Co-operation and sharing of intelligence with other regulators and law enforcement bodies. When licensing operators we ask for their rationale for operating in any “grey” market which they are deliberately targeting or from which they get 3% or more of their total revenue from players or in the case of operators with total revenue of less than £5m per annum – any markets they are targeting where the revenue is more than 10% of their total revenue. We ask why they are satisfied that such operations are lega</w:t>
      </w:r>
      <w:r>
        <w:rPr>
          <w:rFonts w:ascii="Arial" w:hAnsi="Arial" w:cs="Arial"/>
          <w:color w:val="000000"/>
        </w:rPr>
        <w:t>lly and financially responsible</w:t>
      </w:r>
      <w:r w:rsidR="004A4257">
        <w:rPr>
          <w:rFonts w:ascii="Arial" w:hAnsi="Arial" w:cs="Arial"/>
          <w:color w:val="000000"/>
        </w:rPr>
        <w:t>.</w:t>
      </w:r>
    </w:p>
    <w:p w:rsidR="00B60681" w:rsidRDefault="00B60681">
      <w:pPr>
        <w:pStyle w:val="ListParagraph"/>
        <w:spacing w:after="0" w:line="240" w:lineRule="auto"/>
        <w:ind w:right="382"/>
        <w:rPr>
          <w:rFonts w:ascii="Arial" w:hAnsi="Arial" w:cs="Arial"/>
          <w:color w:val="000000"/>
        </w:rPr>
      </w:pPr>
    </w:p>
    <w:p w:rsidR="00D71D3D" w:rsidRDefault="00D71D3D" w:rsidP="00D71D3D">
      <w:pPr>
        <w:pStyle w:val="ListParagraph"/>
        <w:spacing w:after="0" w:line="240" w:lineRule="auto"/>
        <w:ind w:right="382"/>
        <w:rPr>
          <w:rFonts w:ascii="Arial" w:hAnsi="Arial" w:cs="Arial"/>
          <w:color w:val="000000"/>
        </w:rPr>
      </w:pPr>
    </w:p>
    <w:p w:rsidR="00B60681" w:rsidRDefault="00B60681">
      <w:pPr>
        <w:pStyle w:val="ListParagraph"/>
        <w:spacing w:after="0" w:line="240" w:lineRule="auto"/>
        <w:ind w:left="567" w:right="382"/>
        <w:rPr>
          <w:rFonts w:ascii="Arial" w:hAnsi="Arial" w:cs="Arial"/>
          <w:color w:val="000000"/>
          <w:sz w:val="32"/>
          <w:szCs w:val="32"/>
        </w:rPr>
      </w:pPr>
    </w:p>
    <w:p w:rsidR="00B60681" w:rsidRDefault="00B60681">
      <w:pPr>
        <w:pStyle w:val="ListParagraph"/>
        <w:spacing w:after="0" w:line="240" w:lineRule="auto"/>
        <w:ind w:left="567" w:right="382"/>
        <w:rPr>
          <w:rFonts w:ascii="Arial" w:hAnsi="Arial" w:cs="Arial"/>
          <w:color w:val="000000"/>
          <w:sz w:val="32"/>
          <w:szCs w:val="32"/>
        </w:rPr>
      </w:pPr>
    </w:p>
    <w:p w:rsidR="004A4257" w:rsidRPr="008346D4" w:rsidRDefault="008346D4" w:rsidP="000156C3">
      <w:pPr>
        <w:pStyle w:val="ListParagraph"/>
        <w:numPr>
          <w:ilvl w:val="0"/>
          <w:numId w:val="8"/>
        </w:numPr>
        <w:spacing w:after="0" w:line="240" w:lineRule="auto"/>
        <w:ind w:left="567" w:right="382" w:hanging="567"/>
        <w:rPr>
          <w:rFonts w:ascii="Arial" w:hAnsi="Arial" w:cs="Arial"/>
          <w:color w:val="000000"/>
          <w:sz w:val="32"/>
          <w:szCs w:val="32"/>
        </w:rPr>
      </w:pPr>
      <w:r w:rsidRPr="008346D4">
        <w:rPr>
          <w:rFonts w:ascii="Arial" w:hAnsi="Arial" w:cs="Arial"/>
          <w:b/>
          <w:color w:val="000000"/>
          <w:sz w:val="32"/>
          <w:szCs w:val="32"/>
        </w:rPr>
        <w:tab/>
      </w:r>
      <w:r w:rsidR="004A4257" w:rsidRPr="008346D4">
        <w:rPr>
          <w:rFonts w:ascii="Arial" w:hAnsi="Arial" w:cs="Arial"/>
          <w:b/>
          <w:color w:val="000000"/>
          <w:sz w:val="32"/>
          <w:szCs w:val="32"/>
        </w:rPr>
        <w:t>Approaches to protect the consumer</w:t>
      </w:r>
    </w:p>
    <w:p w:rsidR="004A4257" w:rsidRPr="004B4958" w:rsidRDefault="004A4257" w:rsidP="004A4257">
      <w:pPr>
        <w:pStyle w:val="ListParagraph"/>
        <w:spacing w:after="0" w:line="240" w:lineRule="auto"/>
        <w:ind w:left="567" w:hanging="567"/>
        <w:rPr>
          <w:rFonts w:ascii="Arial" w:hAnsi="Arial" w:cs="Arial"/>
          <w:color w:val="000000"/>
          <w:sz w:val="16"/>
          <w:szCs w:val="16"/>
        </w:rPr>
      </w:pPr>
    </w:p>
    <w:p w:rsidR="004A4257" w:rsidRPr="008346D4" w:rsidRDefault="008346D4" w:rsidP="008346D4">
      <w:pPr>
        <w:pStyle w:val="ListParagraph"/>
        <w:spacing w:after="0" w:line="240" w:lineRule="auto"/>
        <w:ind w:left="567" w:right="382" w:hanging="567"/>
        <w:rPr>
          <w:rFonts w:ascii="Arial" w:hAnsi="Arial" w:cs="Arial"/>
          <w:b/>
          <w:color w:val="000000"/>
        </w:rPr>
      </w:pPr>
      <w:r w:rsidRPr="008346D4">
        <w:rPr>
          <w:rFonts w:ascii="Arial" w:hAnsi="Arial" w:cs="Arial"/>
          <w:color w:val="000000"/>
        </w:rPr>
        <w:t xml:space="preserve">6.1  </w:t>
      </w:r>
      <w:r>
        <w:rPr>
          <w:rFonts w:ascii="Arial" w:hAnsi="Arial" w:cs="Arial"/>
          <w:color w:val="000000"/>
        </w:rPr>
        <w:tab/>
      </w:r>
      <w:r w:rsidR="00E439D4">
        <w:rPr>
          <w:rFonts w:ascii="Arial" w:hAnsi="Arial" w:cs="Arial"/>
          <w:color w:val="000000"/>
        </w:rPr>
        <w:t xml:space="preserve">There are </w:t>
      </w:r>
      <w:r w:rsidR="004A4257" w:rsidRPr="008346D4">
        <w:rPr>
          <w:rFonts w:ascii="Arial" w:hAnsi="Arial" w:cs="Arial"/>
          <w:color w:val="000000"/>
        </w:rPr>
        <w:t>three main strands to the Commission’s approach to protecting the consumer</w:t>
      </w:r>
      <w:r>
        <w:rPr>
          <w:rFonts w:ascii="Arial" w:hAnsi="Arial" w:cs="Arial"/>
          <w:color w:val="000000"/>
        </w:rPr>
        <w:t>:</w:t>
      </w:r>
    </w:p>
    <w:p w:rsidR="004A4257" w:rsidRPr="008346D4" w:rsidRDefault="004A4257" w:rsidP="000156C3">
      <w:pPr>
        <w:pStyle w:val="ListParagraph"/>
        <w:numPr>
          <w:ilvl w:val="0"/>
          <w:numId w:val="11"/>
        </w:numPr>
        <w:spacing w:after="0" w:line="240" w:lineRule="auto"/>
        <w:ind w:left="1418" w:right="382" w:hanging="284"/>
        <w:rPr>
          <w:rFonts w:ascii="Arial" w:hAnsi="Arial" w:cs="Arial"/>
          <w:b/>
          <w:color w:val="000000"/>
        </w:rPr>
      </w:pPr>
      <w:r w:rsidRPr="008346D4">
        <w:rPr>
          <w:rFonts w:ascii="Arial" w:hAnsi="Arial" w:cs="Arial"/>
          <w:color w:val="000000"/>
        </w:rPr>
        <w:t>building our understanding of the risks to the consumer and how best to mitigate them</w:t>
      </w:r>
    </w:p>
    <w:p w:rsidR="004A4257" w:rsidRPr="008346D4" w:rsidRDefault="004A4257" w:rsidP="000156C3">
      <w:pPr>
        <w:pStyle w:val="ListParagraph"/>
        <w:numPr>
          <w:ilvl w:val="0"/>
          <w:numId w:val="11"/>
        </w:numPr>
        <w:spacing w:after="0" w:line="240" w:lineRule="auto"/>
        <w:ind w:left="1418" w:right="382" w:hanging="284"/>
        <w:rPr>
          <w:rFonts w:ascii="Arial" w:hAnsi="Arial" w:cs="Arial"/>
          <w:b/>
          <w:color w:val="000000"/>
        </w:rPr>
      </w:pPr>
      <w:r w:rsidRPr="008346D4">
        <w:rPr>
          <w:rFonts w:ascii="Arial" w:hAnsi="Arial" w:cs="Arial"/>
          <w:color w:val="000000"/>
        </w:rPr>
        <w:t>ensuring our licensees are focused on maintaining and improving the way in which they provide gambling responsibly</w:t>
      </w:r>
    </w:p>
    <w:p w:rsidR="004A4257" w:rsidRPr="008346D4" w:rsidRDefault="004A4257" w:rsidP="000156C3">
      <w:pPr>
        <w:pStyle w:val="ListParagraph"/>
        <w:numPr>
          <w:ilvl w:val="0"/>
          <w:numId w:val="11"/>
        </w:numPr>
        <w:spacing w:after="0" w:line="240" w:lineRule="auto"/>
        <w:ind w:left="1418" w:right="382" w:hanging="284"/>
        <w:rPr>
          <w:rFonts w:ascii="Arial" w:hAnsi="Arial" w:cs="Arial"/>
          <w:b/>
          <w:color w:val="000000"/>
        </w:rPr>
      </w:pPr>
      <w:proofErr w:type="gramStart"/>
      <w:r w:rsidRPr="008346D4">
        <w:rPr>
          <w:rFonts w:ascii="Arial" w:hAnsi="Arial" w:cs="Arial"/>
          <w:color w:val="000000"/>
        </w:rPr>
        <w:t>promoting</w:t>
      </w:r>
      <w:proofErr w:type="gramEnd"/>
      <w:r w:rsidRPr="008346D4">
        <w:rPr>
          <w:rFonts w:ascii="Arial" w:hAnsi="Arial" w:cs="Arial"/>
          <w:color w:val="000000"/>
        </w:rPr>
        <w:t xml:space="preserve"> better public understanding of gambling related harm and how to minimise it</w:t>
      </w:r>
      <w:r w:rsidR="00E439D4">
        <w:rPr>
          <w:rFonts w:ascii="Arial" w:hAnsi="Arial" w:cs="Arial"/>
          <w:color w:val="000000"/>
        </w:rPr>
        <w:t>.</w:t>
      </w:r>
      <w:r w:rsidRPr="008346D4">
        <w:rPr>
          <w:rFonts w:ascii="Arial" w:hAnsi="Arial" w:cs="Arial"/>
          <w:color w:val="000000"/>
        </w:rPr>
        <w:t xml:space="preserve"> </w:t>
      </w:r>
    </w:p>
    <w:p w:rsidR="004A4257" w:rsidRPr="008346D4" w:rsidRDefault="00E439D4" w:rsidP="00E439D4">
      <w:pPr>
        <w:ind w:left="567" w:right="101"/>
        <w:rPr>
          <w:rFonts w:ascii="Arial" w:hAnsi="Arial" w:cs="Arial"/>
          <w:color w:val="000000"/>
          <w:sz w:val="22"/>
          <w:szCs w:val="22"/>
        </w:rPr>
      </w:pPr>
      <w:r w:rsidRPr="006D64D3">
        <w:rPr>
          <w:rFonts w:ascii="Arial" w:hAnsi="Arial" w:cs="Arial"/>
          <w:color w:val="000000"/>
          <w:sz w:val="16"/>
          <w:szCs w:val="16"/>
        </w:rPr>
        <w:br/>
      </w:r>
      <w:proofErr w:type="gramStart"/>
      <w:r w:rsidR="005E2A56">
        <w:rPr>
          <w:rFonts w:ascii="Arial" w:hAnsi="Arial" w:cs="Arial"/>
          <w:color w:val="000000"/>
          <w:sz w:val="22"/>
          <w:szCs w:val="22"/>
        </w:rPr>
        <w:t>w</w:t>
      </w:r>
      <w:r w:rsidRPr="008346D4">
        <w:rPr>
          <w:rFonts w:ascii="Arial" w:hAnsi="Arial" w:cs="Arial"/>
          <w:color w:val="000000"/>
          <w:sz w:val="22"/>
          <w:szCs w:val="22"/>
        </w:rPr>
        <w:t>ith</w:t>
      </w:r>
      <w:proofErr w:type="gramEnd"/>
      <w:r w:rsidR="004A4257" w:rsidRPr="008346D4">
        <w:rPr>
          <w:rFonts w:ascii="Arial" w:hAnsi="Arial" w:cs="Arial"/>
          <w:color w:val="000000"/>
          <w:sz w:val="22"/>
          <w:szCs w:val="22"/>
        </w:rPr>
        <w:t xml:space="preserve"> the Commission’s </w:t>
      </w:r>
      <w:r w:rsidR="004A4257" w:rsidRPr="008346D4">
        <w:rPr>
          <w:rFonts w:ascii="Arial" w:hAnsi="Arial" w:cs="Arial"/>
          <w:i/>
          <w:color w:val="000000"/>
          <w:sz w:val="22"/>
          <w:szCs w:val="22"/>
        </w:rPr>
        <w:t xml:space="preserve">Licence </w:t>
      </w:r>
      <w:r>
        <w:rPr>
          <w:rFonts w:ascii="Arial" w:hAnsi="Arial" w:cs="Arial"/>
          <w:i/>
          <w:color w:val="000000"/>
          <w:sz w:val="22"/>
          <w:szCs w:val="22"/>
        </w:rPr>
        <w:t>c</w:t>
      </w:r>
      <w:r w:rsidR="004A4257" w:rsidRPr="008346D4">
        <w:rPr>
          <w:rFonts w:ascii="Arial" w:hAnsi="Arial" w:cs="Arial"/>
          <w:i/>
          <w:color w:val="000000"/>
          <w:sz w:val="22"/>
          <w:szCs w:val="22"/>
        </w:rPr>
        <w:t xml:space="preserve">onditions and </w:t>
      </w:r>
      <w:r>
        <w:rPr>
          <w:rFonts w:ascii="Arial" w:hAnsi="Arial" w:cs="Arial"/>
          <w:i/>
          <w:color w:val="000000"/>
          <w:sz w:val="22"/>
          <w:szCs w:val="22"/>
        </w:rPr>
        <w:t>c</w:t>
      </w:r>
      <w:r w:rsidR="004A4257" w:rsidRPr="008346D4">
        <w:rPr>
          <w:rFonts w:ascii="Arial" w:hAnsi="Arial" w:cs="Arial"/>
          <w:i/>
          <w:color w:val="000000"/>
          <w:sz w:val="22"/>
          <w:szCs w:val="22"/>
        </w:rPr>
        <w:t xml:space="preserve">odes of </w:t>
      </w:r>
      <w:r>
        <w:rPr>
          <w:rFonts w:ascii="Arial" w:hAnsi="Arial" w:cs="Arial"/>
          <w:i/>
          <w:color w:val="000000"/>
          <w:sz w:val="22"/>
          <w:szCs w:val="22"/>
        </w:rPr>
        <w:t>p</w:t>
      </w:r>
      <w:r w:rsidR="004A4257" w:rsidRPr="008346D4">
        <w:rPr>
          <w:rFonts w:ascii="Arial" w:hAnsi="Arial" w:cs="Arial"/>
          <w:i/>
          <w:color w:val="000000"/>
          <w:sz w:val="22"/>
          <w:szCs w:val="22"/>
        </w:rPr>
        <w:t>ractice</w:t>
      </w:r>
      <w:r w:rsidR="004A4257" w:rsidRPr="008346D4">
        <w:rPr>
          <w:rFonts w:ascii="Arial" w:hAnsi="Arial" w:cs="Arial"/>
          <w:color w:val="000000"/>
          <w:sz w:val="22"/>
          <w:szCs w:val="22"/>
        </w:rPr>
        <w:t xml:space="preserve"> (LCCP) critical to achieving each.</w:t>
      </w:r>
      <w:r w:rsidR="004A4257" w:rsidRPr="008346D4">
        <w:rPr>
          <w:rStyle w:val="FootnoteReference"/>
          <w:rFonts w:ascii="Arial" w:hAnsi="Arial" w:cs="Arial"/>
          <w:color w:val="000000"/>
          <w:sz w:val="22"/>
          <w:szCs w:val="22"/>
        </w:rPr>
        <w:footnoteReference w:id="13"/>
      </w:r>
      <w:r w:rsidR="004A4257" w:rsidRPr="008346D4">
        <w:rPr>
          <w:rFonts w:ascii="Arial" w:hAnsi="Arial" w:cs="Arial"/>
          <w:color w:val="000000"/>
          <w:sz w:val="22"/>
          <w:szCs w:val="22"/>
        </w:rPr>
        <w:t xml:space="preserve"> </w:t>
      </w:r>
    </w:p>
    <w:p w:rsidR="004A4257" w:rsidRPr="004B4958" w:rsidRDefault="004A4257" w:rsidP="004A4257">
      <w:pPr>
        <w:tabs>
          <w:tab w:val="left" w:pos="820"/>
        </w:tabs>
        <w:ind w:left="567" w:right="101" w:hanging="567"/>
        <w:rPr>
          <w:rFonts w:ascii="Arial" w:hAnsi="Arial" w:cs="Arial"/>
          <w:color w:val="000000"/>
          <w:sz w:val="16"/>
          <w:szCs w:val="16"/>
        </w:rPr>
      </w:pPr>
    </w:p>
    <w:p w:rsidR="004A4257" w:rsidRDefault="004A4257" w:rsidP="000156C3">
      <w:pPr>
        <w:pStyle w:val="ListParagraph"/>
        <w:numPr>
          <w:ilvl w:val="1"/>
          <w:numId w:val="12"/>
        </w:numPr>
        <w:spacing w:after="0" w:line="240" w:lineRule="auto"/>
        <w:ind w:left="567" w:right="101" w:hanging="567"/>
        <w:rPr>
          <w:rFonts w:ascii="Arial" w:hAnsi="Arial" w:cs="Arial"/>
          <w:color w:val="000000"/>
        </w:rPr>
      </w:pPr>
      <w:r w:rsidRPr="008346D4">
        <w:rPr>
          <w:rFonts w:ascii="Arial" w:hAnsi="Arial" w:cs="Arial"/>
          <w:color w:val="000000"/>
        </w:rPr>
        <w:t>The LCCP set out the rules</w:t>
      </w:r>
      <w:r w:rsidR="008346D4" w:rsidRPr="008346D4">
        <w:rPr>
          <w:rFonts w:ascii="Arial" w:hAnsi="Arial" w:cs="Arial"/>
          <w:color w:val="000000"/>
        </w:rPr>
        <w:t xml:space="preserve"> </w:t>
      </w:r>
      <w:r w:rsidRPr="008346D4">
        <w:rPr>
          <w:rFonts w:ascii="Arial" w:hAnsi="Arial" w:cs="Arial"/>
          <w:color w:val="000000"/>
        </w:rPr>
        <w:t xml:space="preserve">which operators must observe to meet the Commission’s three licensing objectives. Provisions within the conditions and codes cover issues including the promotion of responsible gambling, tools to help players control their gambling, marketing and </w:t>
      </w:r>
      <w:r w:rsidR="006D668B" w:rsidRPr="008346D4">
        <w:rPr>
          <w:rFonts w:ascii="Arial" w:hAnsi="Arial" w:cs="Arial"/>
          <w:color w:val="000000"/>
        </w:rPr>
        <w:t>self-exclusion</w:t>
      </w:r>
      <w:r w:rsidRPr="008346D4">
        <w:rPr>
          <w:rFonts w:ascii="Arial" w:hAnsi="Arial" w:cs="Arial"/>
          <w:color w:val="000000"/>
        </w:rPr>
        <w:t>, and secure the provision of data to help build the evidence base</w:t>
      </w:r>
      <w:r w:rsidR="00A52B34" w:rsidRPr="008346D4">
        <w:rPr>
          <w:rFonts w:ascii="Arial" w:hAnsi="Arial" w:cs="Arial"/>
          <w:color w:val="000000"/>
        </w:rPr>
        <w:t xml:space="preserve">. </w:t>
      </w:r>
      <w:r w:rsidRPr="008346D4">
        <w:rPr>
          <w:rFonts w:ascii="Arial" w:hAnsi="Arial" w:cs="Arial"/>
          <w:color w:val="000000"/>
        </w:rPr>
        <w:t>For example, the following provisions in place since 2007 are relevant to all licensees, but this is not an exhaustive list:</w:t>
      </w:r>
    </w:p>
    <w:p w:rsidR="00B437FE" w:rsidRPr="008346D4" w:rsidRDefault="00B437FE" w:rsidP="00B437FE">
      <w:pPr>
        <w:pStyle w:val="ListParagraph"/>
        <w:spacing w:after="0" w:line="240" w:lineRule="auto"/>
        <w:ind w:left="567" w:right="101"/>
        <w:rPr>
          <w:rFonts w:ascii="Arial" w:hAnsi="Arial" w:cs="Arial"/>
          <w:color w:val="000000"/>
        </w:rPr>
      </w:pPr>
    </w:p>
    <w:p w:rsidR="004A4257" w:rsidRPr="008346D4" w:rsidRDefault="004A4257" w:rsidP="000156C3">
      <w:pPr>
        <w:pStyle w:val="ListParagraph"/>
        <w:numPr>
          <w:ilvl w:val="0"/>
          <w:numId w:val="13"/>
        </w:numPr>
        <w:spacing w:after="0" w:line="240" w:lineRule="auto"/>
        <w:ind w:left="1418" w:right="-20" w:hanging="284"/>
        <w:rPr>
          <w:rFonts w:ascii="Arial" w:hAnsi="Arial" w:cs="Arial"/>
          <w:color w:val="000000"/>
        </w:rPr>
      </w:pPr>
      <w:r w:rsidRPr="008346D4">
        <w:rPr>
          <w:rFonts w:ascii="Arial" w:hAnsi="Arial" w:cs="Arial"/>
          <w:color w:val="000000"/>
        </w:rPr>
        <w:t>report suspicious betting activity to the Commission and sports bodies</w:t>
      </w:r>
    </w:p>
    <w:p w:rsidR="004A4257" w:rsidRPr="008346D4" w:rsidRDefault="004A4257" w:rsidP="000156C3">
      <w:pPr>
        <w:pStyle w:val="ListParagraph"/>
        <w:numPr>
          <w:ilvl w:val="0"/>
          <w:numId w:val="13"/>
        </w:numPr>
        <w:spacing w:after="0" w:line="240" w:lineRule="auto"/>
        <w:ind w:left="1418" w:right="1002" w:hanging="284"/>
        <w:rPr>
          <w:rFonts w:ascii="Arial" w:hAnsi="Arial" w:cs="Arial"/>
          <w:color w:val="000000"/>
        </w:rPr>
      </w:pPr>
      <w:r w:rsidRPr="008346D4">
        <w:rPr>
          <w:rFonts w:ascii="Arial" w:hAnsi="Arial" w:cs="Arial"/>
          <w:color w:val="000000"/>
        </w:rPr>
        <w:t>adhere to regulations for the prevention, detection an</w:t>
      </w:r>
      <w:r w:rsidR="008346D4">
        <w:rPr>
          <w:rFonts w:ascii="Arial" w:hAnsi="Arial" w:cs="Arial"/>
          <w:color w:val="000000"/>
        </w:rPr>
        <w:t>d reporting of money laundering</w:t>
      </w:r>
    </w:p>
    <w:p w:rsidR="004A4257" w:rsidRPr="008346D4" w:rsidRDefault="004A4257" w:rsidP="000156C3">
      <w:pPr>
        <w:pStyle w:val="ListParagraph"/>
        <w:numPr>
          <w:ilvl w:val="0"/>
          <w:numId w:val="13"/>
        </w:numPr>
        <w:spacing w:after="0" w:line="240" w:lineRule="auto"/>
        <w:ind w:left="1418" w:right="-20" w:hanging="284"/>
        <w:rPr>
          <w:rFonts w:ascii="Arial" w:hAnsi="Arial" w:cs="Arial"/>
          <w:color w:val="000000"/>
        </w:rPr>
      </w:pPr>
      <w:r w:rsidRPr="008346D4">
        <w:rPr>
          <w:rFonts w:ascii="Arial" w:hAnsi="Arial" w:cs="Arial"/>
          <w:color w:val="000000"/>
        </w:rPr>
        <w:t xml:space="preserve">employ stringent age verification checks and other key social responsibility </w:t>
      </w:r>
      <w:r w:rsidR="008346D4">
        <w:rPr>
          <w:rFonts w:ascii="Arial" w:hAnsi="Arial" w:cs="Arial"/>
          <w:color w:val="000000"/>
        </w:rPr>
        <w:t>measures</w:t>
      </w:r>
    </w:p>
    <w:p w:rsidR="004A4257" w:rsidRPr="008346D4" w:rsidRDefault="008346D4" w:rsidP="000156C3">
      <w:pPr>
        <w:pStyle w:val="ListParagraph"/>
        <w:numPr>
          <w:ilvl w:val="0"/>
          <w:numId w:val="13"/>
        </w:numPr>
        <w:spacing w:after="0" w:line="240" w:lineRule="auto"/>
        <w:ind w:left="1418" w:right="-20" w:hanging="284"/>
        <w:rPr>
          <w:rFonts w:ascii="Arial" w:hAnsi="Arial" w:cs="Arial"/>
          <w:color w:val="000000"/>
        </w:rPr>
      </w:pPr>
      <w:r>
        <w:rPr>
          <w:rFonts w:ascii="Arial" w:hAnsi="Arial" w:cs="Arial"/>
          <w:color w:val="000000"/>
        </w:rPr>
        <w:t>p</w:t>
      </w:r>
      <w:r w:rsidR="004A4257" w:rsidRPr="008346D4">
        <w:rPr>
          <w:rFonts w:ascii="Arial" w:hAnsi="Arial" w:cs="Arial"/>
          <w:color w:val="000000"/>
        </w:rPr>
        <w:t>rovide players with the ability to limit deposits and time playing</w:t>
      </w:r>
    </w:p>
    <w:p w:rsidR="00E439D4" w:rsidRPr="00E439D4" w:rsidRDefault="00E439D4" w:rsidP="000156C3">
      <w:pPr>
        <w:numPr>
          <w:ilvl w:val="0"/>
          <w:numId w:val="14"/>
        </w:numPr>
        <w:ind w:left="1418" w:right="464" w:hanging="284"/>
        <w:rPr>
          <w:rFonts w:ascii="Arial" w:hAnsi="Arial" w:cs="Arial"/>
          <w:color w:val="000000"/>
          <w:sz w:val="22"/>
          <w:szCs w:val="22"/>
        </w:rPr>
      </w:pPr>
      <w:r>
        <w:rPr>
          <w:rFonts w:ascii="Arial" w:hAnsi="Arial" w:cs="Arial"/>
          <w:color w:val="000000"/>
          <w:sz w:val="22"/>
          <w:szCs w:val="22"/>
        </w:rPr>
        <w:t>o</w:t>
      </w:r>
      <w:r w:rsidRPr="00E439D4">
        <w:rPr>
          <w:rFonts w:ascii="Arial" w:hAnsi="Arial" w:cs="Arial"/>
          <w:color w:val="000000"/>
          <w:sz w:val="22"/>
          <w:szCs w:val="22"/>
        </w:rPr>
        <w:t>nly provide credit for betting under strict conditions relating to the customer’s circumstances</w:t>
      </w:r>
    </w:p>
    <w:p w:rsidR="00E439D4" w:rsidRPr="00E439D4" w:rsidRDefault="00E439D4" w:rsidP="000156C3">
      <w:pPr>
        <w:numPr>
          <w:ilvl w:val="0"/>
          <w:numId w:val="14"/>
        </w:numPr>
        <w:ind w:left="1418" w:right="464" w:hanging="284"/>
        <w:rPr>
          <w:rFonts w:ascii="Arial" w:hAnsi="Arial" w:cs="Arial"/>
          <w:color w:val="000000"/>
          <w:sz w:val="22"/>
          <w:szCs w:val="22"/>
        </w:rPr>
      </w:pPr>
      <w:r w:rsidRPr="00E439D4">
        <w:rPr>
          <w:rFonts w:ascii="Arial" w:hAnsi="Arial" w:cs="Arial"/>
          <w:color w:val="000000"/>
          <w:sz w:val="22"/>
          <w:szCs w:val="22"/>
        </w:rPr>
        <w:t>periodically report activity such as revenue, amount of customer funds held and other key</w:t>
      </w:r>
      <w:r>
        <w:rPr>
          <w:rFonts w:ascii="Arial" w:hAnsi="Arial" w:cs="Arial"/>
          <w:color w:val="000000"/>
          <w:sz w:val="22"/>
          <w:szCs w:val="22"/>
        </w:rPr>
        <w:t xml:space="preserve"> gambling related information</w:t>
      </w:r>
      <w:r w:rsidRPr="00E439D4">
        <w:rPr>
          <w:rFonts w:ascii="Arial" w:hAnsi="Arial" w:cs="Arial"/>
          <w:color w:val="000000"/>
          <w:sz w:val="22"/>
          <w:szCs w:val="22"/>
        </w:rPr>
        <w:t xml:space="preserve">  </w:t>
      </w:r>
    </w:p>
    <w:p w:rsidR="00E439D4" w:rsidRPr="00E439D4" w:rsidRDefault="00E439D4" w:rsidP="000156C3">
      <w:pPr>
        <w:numPr>
          <w:ilvl w:val="0"/>
          <w:numId w:val="14"/>
        </w:numPr>
        <w:ind w:left="1418" w:right="464" w:hanging="284"/>
        <w:rPr>
          <w:rFonts w:ascii="Arial" w:hAnsi="Arial" w:cs="Arial"/>
          <w:color w:val="000000"/>
          <w:sz w:val="22"/>
          <w:szCs w:val="22"/>
        </w:rPr>
      </w:pPr>
      <w:r w:rsidRPr="00E439D4">
        <w:rPr>
          <w:rFonts w:ascii="Arial" w:hAnsi="Arial" w:cs="Arial"/>
          <w:color w:val="000000"/>
          <w:sz w:val="22"/>
          <w:szCs w:val="22"/>
        </w:rPr>
        <w:t>report significant events and provide information about their business to enable the Commission to monitor the o</w:t>
      </w:r>
      <w:r>
        <w:rPr>
          <w:rFonts w:ascii="Arial" w:hAnsi="Arial" w:cs="Arial"/>
          <w:color w:val="000000"/>
          <w:sz w:val="22"/>
          <w:szCs w:val="22"/>
        </w:rPr>
        <w:t>ngoing suitability of licensees</w:t>
      </w:r>
    </w:p>
    <w:p w:rsidR="00E439D4" w:rsidRPr="00E439D4" w:rsidRDefault="00E439D4" w:rsidP="000156C3">
      <w:pPr>
        <w:numPr>
          <w:ilvl w:val="0"/>
          <w:numId w:val="14"/>
        </w:numPr>
        <w:ind w:left="1418" w:right="464" w:hanging="284"/>
        <w:rPr>
          <w:rFonts w:ascii="Arial" w:hAnsi="Arial" w:cs="Arial"/>
          <w:color w:val="000000"/>
          <w:sz w:val="22"/>
          <w:szCs w:val="22"/>
        </w:rPr>
      </w:pPr>
      <w:r w:rsidRPr="00E439D4">
        <w:rPr>
          <w:rFonts w:ascii="Arial" w:hAnsi="Arial" w:cs="Arial"/>
          <w:color w:val="000000"/>
          <w:sz w:val="22"/>
          <w:szCs w:val="22"/>
        </w:rPr>
        <w:t>comply with technical and information security requirements</w:t>
      </w:r>
      <w:r w:rsidR="00BC38D5">
        <w:rPr>
          <w:rStyle w:val="FootnoteReference"/>
          <w:rFonts w:ascii="Arial" w:hAnsi="Arial" w:cs="Arial"/>
          <w:color w:val="000000"/>
          <w:sz w:val="22"/>
          <w:szCs w:val="22"/>
        </w:rPr>
        <w:footnoteReference w:id="14"/>
      </w:r>
      <w:r w:rsidRPr="00E439D4">
        <w:rPr>
          <w:rFonts w:ascii="Arial" w:hAnsi="Arial" w:cs="Arial"/>
          <w:color w:val="000000"/>
          <w:sz w:val="22"/>
          <w:szCs w:val="22"/>
        </w:rPr>
        <w:t xml:space="preserve"> and commission independent testing of gambling syste</w:t>
      </w:r>
      <w:r>
        <w:rPr>
          <w:rFonts w:ascii="Arial" w:hAnsi="Arial" w:cs="Arial"/>
          <w:color w:val="000000"/>
          <w:sz w:val="22"/>
          <w:szCs w:val="22"/>
        </w:rPr>
        <w:t>ms before they are released</w:t>
      </w:r>
    </w:p>
    <w:p w:rsidR="004A4257" w:rsidRPr="008346D4" w:rsidRDefault="00E439D4" w:rsidP="000156C3">
      <w:pPr>
        <w:numPr>
          <w:ilvl w:val="0"/>
          <w:numId w:val="14"/>
        </w:numPr>
        <w:ind w:left="1418" w:right="464" w:hanging="284"/>
        <w:rPr>
          <w:rFonts w:ascii="Arial" w:hAnsi="Arial" w:cs="Arial"/>
          <w:color w:val="000000"/>
          <w:sz w:val="22"/>
          <w:szCs w:val="22"/>
        </w:rPr>
      </w:pPr>
      <w:proofErr w:type="gramStart"/>
      <w:r w:rsidRPr="00E439D4">
        <w:rPr>
          <w:rFonts w:ascii="Arial" w:hAnsi="Arial" w:cs="Arial"/>
          <w:color w:val="000000"/>
          <w:sz w:val="22"/>
          <w:szCs w:val="22"/>
        </w:rPr>
        <w:t>make</w:t>
      </w:r>
      <w:proofErr w:type="gramEnd"/>
      <w:r w:rsidRPr="00E439D4">
        <w:rPr>
          <w:rFonts w:ascii="Arial" w:hAnsi="Arial" w:cs="Arial"/>
          <w:color w:val="000000"/>
          <w:sz w:val="22"/>
          <w:szCs w:val="22"/>
        </w:rPr>
        <w:t xml:space="preserve"> contributions to research, education and treatment.</w:t>
      </w:r>
    </w:p>
    <w:p w:rsidR="004A4257" w:rsidRDefault="004A4257" w:rsidP="004A4257">
      <w:pPr>
        <w:ind w:left="567" w:right="464" w:hanging="567"/>
        <w:rPr>
          <w:rFonts w:ascii="Arial" w:hAnsi="Arial" w:cs="Arial"/>
          <w:color w:val="000000"/>
          <w:sz w:val="16"/>
          <w:szCs w:val="16"/>
        </w:rPr>
      </w:pPr>
    </w:p>
    <w:p w:rsidR="00996A8E" w:rsidRPr="004B4958" w:rsidRDefault="00996A8E" w:rsidP="004A4257">
      <w:pPr>
        <w:ind w:left="567" w:right="464" w:hanging="567"/>
        <w:rPr>
          <w:rFonts w:ascii="Arial" w:hAnsi="Arial" w:cs="Arial"/>
          <w:color w:val="000000"/>
          <w:sz w:val="16"/>
          <w:szCs w:val="16"/>
        </w:rPr>
      </w:pPr>
    </w:p>
    <w:p w:rsidR="004A4257" w:rsidRPr="008346D4" w:rsidRDefault="004A4257" w:rsidP="000156C3">
      <w:pPr>
        <w:pStyle w:val="ListParagraph"/>
        <w:numPr>
          <w:ilvl w:val="1"/>
          <w:numId w:val="12"/>
        </w:numPr>
        <w:spacing w:after="0" w:line="240" w:lineRule="auto"/>
        <w:ind w:left="567" w:hanging="567"/>
        <w:rPr>
          <w:rFonts w:ascii="Arial" w:hAnsi="Arial" w:cs="Arial"/>
          <w:color w:val="000000"/>
        </w:rPr>
      </w:pPr>
      <w:r w:rsidRPr="008346D4">
        <w:rPr>
          <w:rFonts w:ascii="Arial" w:hAnsi="Arial" w:cs="Arial"/>
          <w:color w:val="000000"/>
        </w:rPr>
        <w:t xml:space="preserve">With nearly a decade’s </w:t>
      </w:r>
      <w:r w:rsidR="008346D4" w:rsidRPr="008346D4">
        <w:rPr>
          <w:rFonts w:ascii="Arial" w:hAnsi="Arial" w:cs="Arial"/>
          <w:color w:val="000000"/>
        </w:rPr>
        <w:t>experience of regulating</w:t>
      </w:r>
      <w:r w:rsidRPr="008346D4">
        <w:rPr>
          <w:rFonts w:ascii="Arial" w:hAnsi="Arial" w:cs="Arial"/>
          <w:color w:val="000000"/>
        </w:rPr>
        <w:t xml:space="preserve"> remote gambling and working with other regulators facing similar issues </w:t>
      </w:r>
      <w:r w:rsidR="008346D4" w:rsidRPr="008346D4">
        <w:rPr>
          <w:rFonts w:ascii="Arial" w:hAnsi="Arial" w:cs="Arial"/>
          <w:color w:val="000000"/>
        </w:rPr>
        <w:t>and the</w:t>
      </w:r>
      <w:r w:rsidRPr="008346D4">
        <w:rPr>
          <w:rFonts w:ascii="Arial" w:hAnsi="Arial" w:cs="Arial"/>
          <w:color w:val="000000"/>
        </w:rPr>
        <w:t xml:space="preserve"> move to point of consumption regulation</w:t>
      </w:r>
      <w:r w:rsidR="008346D4" w:rsidRPr="008346D4">
        <w:rPr>
          <w:rFonts w:ascii="Arial" w:hAnsi="Arial" w:cs="Arial"/>
          <w:color w:val="000000"/>
        </w:rPr>
        <w:t>, we</w:t>
      </w:r>
      <w:r w:rsidRPr="008346D4">
        <w:rPr>
          <w:rFonts w:ascii="Arial" w:hAnsi="Arial" w:cs="Arial"/>
          <w:color w:val="000000"/>
        </w:rPr>
        <w:t xml:space="preserve"> reviewed and strengthened the LCCP provisions relating to social responsibility.</w:t>
      </w:r>
      <w:r w:rsidRPr="008346D4">
        <w:rPr>
          <w:rStyle w:val="FootnoteReference"/>
          <w:rFonts w:ascii="Arial" w:hAnsi="Arial" w:cs="Arial"/>
          <w:color w:val="000000"/>
        </w:rPr>
        <w:footnoteReference w:id="15"/>
      </w:r>
      <w:r w:rsidRPr="008346D4">
        <w:rPr>
          <w:rFonts w:ascii="Arial" w:hAnsi="Arial" w:cs="Arial"/>
          <w:color w:val="000000"/>
        </w:rPr>
        <w:t xml:space="preserve"> The longstanding provisions for providing players with the ability to set deposit limits and to self exclude have been tightened up</w:t>
      </w:r>
      <w:r w:rsidR="00A52B34" w:rsidRPr="008346D4">
        <w:rPr>
          <w:rFonts w:ascii="Arial" w:hAnsi="Arial" w:cs="Arial"/>
          <w:color w:val="000000"/>
        </w:rPr>
        <w:t xml:space="preserve">. </w:t>
      </w:r>
      <w:r w:rsidRPr="008346D4">
        <w:rPr>
          <w:rFonts w:ascii="Arial" w:hAnsi="Arial" w:cs="Arial"/>
          <w:color w:val="000000"/>
        </w:rPr>
        <w:t xml:space="preserve">Provision for </w:t>
      </w:r>
      <w:r w:rsidR="00654687">
        <w:rPr>
          <w:rFonts w:ascii="Arial" w:hAnsi="Arial" w:cs="Arial"/>
          <w:color w:val="000000"/>
        </w:rPr>
        <w:t>‘</w:t>
      </w:r>
      <w:r w:rsidRPr="008346D4">
        <w:rPr>
          <w:rFonts w:ascii="Arial" w:hAnsi="Arial" w:cs="Arial"/>
          <w:color w:val="000000"/>
        </w:rPr>
        <w:t>time out</w:t>
      </w:r>
      <w:r w:rsidR="00654687">
        <w:rPr>
          <w:rFonts w:ascii="Arial" w:hAnsi="Arial" w:cs="Arial"/>
          <w:color w:val="000000"/>
        </w:rPr>
        <w:t>’ (short periods of exclusion of 1 day, I week and I month)</w:t>
      </w:r>
      <w:r w:rsidRPr="008346D4">
        <w:rPr>
          <w:rFonts w:ascii="Arial" w:hAnsi="Arial" w:cs="Arial"/>
          <w:color w:val="000000"/>
        </w:rPr>
        <w:t xml:space="preserve"> must now be offered. In addition to the ability to self exclude from an individual operator,</w:t>
      </w:r>
      <w:r w:rsidR="008346D4">
        <w:rPr>
          <w:rFonts w:ascii="Arial" w:hAnsi="Arial" w:cs="Arial"/>
          <w:color w:val="000000"/>
        </w:rPr>
        <w:t xml:space="preserve"> customers will be able to self-</w:t>
      </w:r>
      <w:r w:rsidRPr="008346D4">
        <w:rPr>
          <w:rFonts w:ascii="Arial" w:hAnsi="Arial" w:cs="Arial"/>
          <w:color w:val="000000"/>
        </w:rPr>
        <w:t xml:space="preserve">exclude from all remote operators once the national </w:t>
      </w:r>
      <w:r w:rsidR="006D668B" w:rsidRPr="008346D4">
        <w:rPr>
          <w:rFonts w:ascii="Arial" w:hAnsi="Arial" w:cs="Arial"/>
          <w:color w:val="000000"/>
        </w:rPr>
        <w:t>self-exclusion</w:t>
      </w:r>
      <w:r w:rsidRPr="008346D4">
        <w:rPr>
          <w:rFonts w:ascii="Arial" w:hAnsi="Arial" w:cs="Arial"/>
          <w:color w:val="000000"/>
        </w:rPr>
        <w:t xml:space="preserve"> scheme has been developed. Operators are now required to keep customers’ funds segregated from working capital and to disclose to customers what if any protection there is in the event of bankruptcy. The Gambling Commission ‘kite mark’</w:t>
      </w:r>
      <w:r w:rsidR="00654687">
        <w:rPr>
          <w:rFonts w:ascii="Arial" w:hAnsi="Arial" w:cs="Arial"/>
          <w:color w:val="000000"/>
        </w:rPr>
        <w:t xml:space="preserve">, </w:t>
      </w:r>
      <w:r w:rsidR="00654687" w:rsidRPr="008346D4">
        <w:rPr>
          <w:rFonts w:ascii="Arial" w:hAnsi="Arial" w:cs="Arial"/>
          <w:color w:val="000000"/>
        </w:rPr>
        <w:t>which links to the Commission licensing register</w:t>
      </w:r>
      <w:r w:rsidR="00654687">
        <w:rPr>
          <w:rFonts w:ascii="Arial" w:hAnsi="Arial" w:cs="Arial"/>
          <w:color w:val="000000"/>
        </w:rPr>
        <w:t xml:space="preserve">, </w:t>
      </w:r>
      <w:r w:rsidRPr="008346D4">
        <w:rPr>
          <w:rFonts w:ascii="Arial" w:hAnsi="Arial" w:cs="Arial"/>
          <w:color w:val="000000"/>
        </w:rPr>
        <w:t>must be displayed by licensees. This enables players and third parties to check an operator’s licensed status.</w:t>
      </w:r>
    </w:p>
    <w:p w:rsidR="004A4257" w:rsidRDefault="004A4257" w:rsidP="004A4257">
      <w:pPr>
        <w:pStyle w:val="ListParagraph"/>
        <w:spacing w:after="0" w:line="240" w:lineRule="auto"/>
        <w:ind w:left="567" w:hanging="567"/>
        <w:rPr>
          <w:rFonts w:ascii="Arial" w:hAnsi="Arial" w:cs="Arial"/>
          <w:color w:val="000000"/>
          <w:sz w:val="16"/>
          <w:szCs w:val="16"/>
        </w:rPr>
      </w:pPr>
    </w:p>
    <w:p w:rsidR="00DA14A4" w:rsidRDefault="00DA14A4" w:rsidP="004A4257">
      <w:pPr>
        <w:pStyle w:val="ListParagraph"/>
        <w:spacing w:after="0" w:line="240" w:lineRule="auto"/>
        <w:ind w:left="567" w:hanging="567"/>
        <w:rPr>
          <w:rFonts w:ascii="Arial" w:hAnsi="Arial" w:cs="Arial"/>
          <w:color w:val="000000"/>
          <w:sz w:val="16"/>
          <w:szCs w:val="16"/>
        </w:rPr>
      </w:pPr>
    </w:p>
    <w:p w:rsidR="00DA14A4" w:rsidRPr="004B4958" w:rsidRDefault="00DA14A4" w:rsidP="004A4257">
      <w:pPr>
        <w:pStyle w:val="ListParagraph"/>
        <w:spacing w:after="0" w:line="240" w:lineRule="auto"/>
        <w:ind w:left="567" w:hanging="567"/>
        <w:rPr>
          <w:rFonts w:ascii="Arial" w:hAnsi="Arial" w:cs="Arial"/>
          <w:color w:val="000000"/>
          <w:sz w:val="16"/>
          <w:szCs w:val="16"/>
        </w:rPr>
      </w:pPr>
    </w:p>
    <w:p w:rsidR="00800356" w:rsidRDefault="004A4257" w:rsidP="000156C3">
      <w:pPr>
        <w:pStyle w:val="ListParagraph"/>
        <w:numPr>
          <w:ilvl w:val="1"/>
          <w:numId w:val="12"/>
        </w:numPr>
        <w:spacing w:after="0" w:line="240" w:lineRule="auto"/>
        <w:ind w:left="567" w:hanging="567"/>
        <w:rPr>
          <w:rFonts w:ascii="Arial" w:hAnsi="Arial" w:cs="Arial"/>
          <w:color w:val="000000"/>
        </w:rPr>
      </w:pPr>
      <w:r w:rsidRPr="008346D4">
        <w:rPr>
          <w:rFonts w:ascii="Arial" w:hAnsi="Arial" w:cs="Arial"/>
          <w:color w:val="000000"/>
        </w:rPr>
        <w:lastRenderedPageBreak/>
        <w:t xml:space="preserve">The </w:t>
      </w:r>
      <w:r w:rsidR="00BC38D5" w:rsidRPr="00BC38D5">
        <w:rPr>
          <w:rFonts w:ascii="Arial" w:hAnsi="Arial" w:cs="Arial"/>
          <w:color w:val="000000"/>
        </w:rPr>
        <w:t>Advertising Standards Authority’s code is supported by LCCP and a requirement has been introduced to display key terms and condition</w:t>
      </w:r>
      <w:r w:rsidR="002149E5">
        <w:rPr>
          <w:rFonts w:ascii="Arial" w:hAnsi="Arial" w:cs="Arial"/>
          <w:color w:val="000000"/>
        </w:rPr>
        <w:t>s</w:t>
      </w:r>
      <w:r w:rsidR="00BC38D5" w:rsidRPr="00BC38D5">
        <w:rPr>
          <w:rFonts w:ascii="Arial" w:hAnsi="Arial" w:cs="Arial"/>
          <w:color w:val="000000"/>
        </w:rPr>
        <w:t xml:space="preserve"> prominently alongside any marketing offers or within one click if space is restricted. Misleading and potentially unfair marketing of ‘free bets and bonuses’ is an area where we still have concerns and we are focussing our efforts on raising standards. </w:t>
      </w:r>
    </w:p>
    <w:p w:rsidR="00800356" w:rsidRPr="00800356" w:rsidRDefault="00800356" w:rsidP="00800356">
      <w:pPr>
        <w:pStyle w:val="ListParagraph"/>
        <w:rPr>
          <w:rFonts w:ascii="Arial" w:hAnsi="Arial" w:cs="Arial"/>
          <w:color w:val="000000"/>
        </w:rPr>
      </w:pPr>
    </w:p>
    <w:p w:rsidR="004A4257" w:rsidRDefault="00800356" w:rsidP="000156C3">
      <w:pPr>
        <w:pStyle w:val="ListParagraph"/>
        <w:numPr>
          <w:ilvl w:val="1"/>
          <w:numId w:val="12"/>
        </w:numPr>
        <w:spacing w:after="0" w:line="240" w:lineRule="auto"/>
        <w:ind w:left="567" w:hanging="567"/>
        <w:rPr>
          <w:rFonts w:ascii="Arial" w:hAnsi="Arial" w:cs="Arial"/>
          <w:color w:val="000000"/>
        </w:rPr>
      </w:pPr>
      <w:r>
        <w:rPr>
          <w:rFonts w:ascii="Arial" w:hAnsi="Arial" w:cs="Arial"/>
          <w:color w:val="000000"/>
        </w:rPr>
        <w:t>Further</w:t>
      </w:r>
      <w:r w:rsidRPr="00BC38D5">
        <w:rPr>
          <w:rFonts w:ascii="Arial" w:hAnsi="Arial" w:cs="Arial"/>
          <w:color w:val="000000"/>
        </w:rPr>
        <w:t xml:space="preserve"> revisions to LCCP may be needed but this illustrates the potential value in licensing operators who then have an incentive to comply with raised marketing standards to retain their ability to market legally </w:t>
      </w:r>
      <w:r w:rsidR="002149E5">
        <w:rPr>
          <w:rFonts w:ascii="Arial" w:hAnsi="Arial" w:cs="Arial"/>
          <w:color w:val="000000"/>
        </w:rPr>
        <w:t xml:space="preserve">as they </w:t>
      </w:r>
      <w:r w:rsidRPr="00BC38D5">
        <w:rPr>
          <w:rFonts w:ascii="Arial" w:hAnsi="Arial" w:cs="Arial"/>
          <w:color w:val="000000"/>
        </w:rPr>
        <w:t>are subject to sanctions if they do not</w:t>
      </w:r>
      <w:r>
        <w:rPr>
          <w:rFonts w:ascii="Arial" w:hAnsi="Arial" w:cs="Arial"/>
          <w:color w:val="000000"/>
        </w:rPr>
        <w:t>.</w:t>
      </w:r>
      <w:r>
        <w:rPr>
          <w:rFonts w:ascii="Arial" w:hAnsi="Arial" w:cs="Arial"/>
          <w:color w:val="000000"/>
        </w:rPr>
        <w:br/>
      </w:r>
    </w:p>
    <w:p w:rsidR="004A4257" w:rsidRPr="008346D4" w:rsidRDefault="004A4257" w:rsidP="000156C3">
      <w:pPr>
        <w:pStyle w:val="ListParagraph"/>
        <w:numPr>
          <w:ilvl w:val="1"/>
          <w:numId w:val="12"/>
        </w:numPr>
        <w:spacing w:after="0" w:line="240" w:lineRule="auto"/>
        <w:ind w:left="567" w:hanging="567"/>
        <w:rPr>
          <w:rFonts w:ascii="Arial" w:hAnsi="Arial" w:cs="Arial"/>
          <w:color w:val="000000"/>
        </w:rPr>
      </w:pPr>
      <w:r w:rsidRPr="008346D4">
        <w:rPr>
          <w:rFonts w:ascii="Arial" w:hAnsi="Arial" w:cs="Arial"/>
          <w:color w:val="000000"/>
        </w:rPr>
        <w:t xml:space="preserve">Operators are also required to monitor players’ behaviour and to consider intervention if their play indicates potential issues such </w:t>
      </w:r>
      <w:r w:rsidR="008346D4" w:rsidRPr="008346D4">
        <w:rPr>
          <w:rFonts w:ascii="Arial" w:hAnsi="Arial" w:cs="Arial"/>
          <w:color w:val="000000"/>
        </w:rPr>
        <w:t>as problem</w:t>
      </w:r>
      <w:r w:rsidRPr="008346D4">
        <w:rPr>
          <w:rFonts w:ascii="Arial" w:hAnsi="Arial" w:cs="Arial"/>
          <w:color w:val="000000"/>
        </w:rPr>
        <w:t xml:space="preserve"> gambling or money laundering (not mutually exclusive). Remote gambling has the advantage over much non</w:t>
      </w:r>
      <w:r w:rsidR="00BC38D5">
        <w:rPr>
          <w:rFonts w:ascii="Arial" w:hAnsi="Arial" w:cs="Arial"/>
          <w:color w:val="000000"/>
        </w:rPr>
        <w:t>-</w:t>
      </w:r>
      <w:r w:rsidRPr="008346D4">
        <w:rPr>
          <w:rFonts w:ascii="Arial" w:hAnsi="Arial" w:cs="Arial"/>
          <w:color w:val="000000"/>
        </w:rPr>
        <w:t>remote gambling in that it is account based and leaves a highly detailed audit trail</w:t>
      </w:r>
      <w:r w:rsidR="00A52B34" w:rsidRPr="008346D4">
        <w:rPr>
          <w:rFonts w:ascii="Arial" w:hAnsi="Arial" w:cs="Arial"/>
          <w:color w:val="000000"/>
        </w:rPr>
        <w:t xml:space="preserve">. </w:t>
      </w:r>
      <w:r w:rsidRPr="008346D4">
        <w:rPr>
          <w:rFonts w:ascii="Arial" w:hAnsi="Arial" w:cs="Arial"/>
          <w:color w:val="000000"/>
        </w:rPr>
        <w:t xml:space="preserve">It lends itself therefore to the development of indicators of potential harm and provides the material for developing and evaluating various tools for players to control their own </w:t>
      </w:r>
      <w:r w:rsidR="008346D4" w:rsidRPr="008346D4">
        <w:rPr>
          <w:rFonts w:ascii="Arial" w:hAnsi="Arial" w:cs="Arial"/>
          <w:color w:val="000000"/>
        </w:rPr>
        <w:t>gambling and</w:t>
      </w:r>
      <w:r w:rsidRPr="008346D4">
        <w:rPr>
          <w:rFonts w:ascii="Arial" w:hAnsi="Arial" w:cs="Arial"/>
          <w:color w:val="000000"/>
        </w:rPr>
        <w:t xml:space="preserve"> for operators to spot the potential need to offer assistance. The Commission, advised by its Responsible Gambling Strategy Board</w:t>
      </w:r>
      <w:r w:rsidRPr="008346D4">
        <w:rPr>
          <w:rStyle w:val="FootnoteReference"/>
          <w:rFonts w:ascii="Arial" w:hAnsi="Arial" w:cs="Arial"/>
          <w:color w:val="000000"/>
        </w:rPr>
        <w:footnoteReference w:id="16"/>
      </w:r>
      <w:r w:rsidR="006D64D3">
        <w:rPr>
          <w:rFonts w:ascii="Arial" w:hAnsi="Arial" w:cs="Arial"/>
          <w:color w:val="000000"/>
        </w:rPr>
        <w:t>,</w:t>
      </w:r>
      <w:r w:rsidRPr="008346D4">
        <w:rPr>
          <w:rFonts w:ascii="Arial" w:hAnsi="Arial" w:cs="Arial"/>
          <w:color w:val="000000"/>
        </w:rPr>
        <w:t xml:space="preserve"> has been encouraging the industry funded Responsible Gambling Fund to commission research into identifying indicators of potential harm in remote play patterns and then to trial and evaluate ways of using such indicators to mitigate the risks, for example by improved tools offered to players or by more effective intervention by the operator</w:t>
      </w:r>
      <w:r w:rsidR="00BC38D5">
        <w:rPr>
          <w:rFonts w:ascii="Arial" w:hAnsi="Arial" w:cs="Arial"/>
          <w:color w:val="000000"/>
        </w:rPr>
        <w:t>.</w:t>
      </w:r>
    </w:p>
    <w:p w:rsidR="004A4257" w:rsidRPr="008346D4" w:rsidRDefault="004A4257" w:rsidP="004A4257">
      <w:pPr>
        <w:pStyle w:val="ListParagraph"/>
        <w:spacing w:after="0" w:line="240" w:lineRule="auto"/>
        <w:ind w:left="567" w:hanging="567"/>
        <w:rPr>
          <w:rFonts w:ascii="Arial" w:hAnsi="Arial" w:cs="Arial"/>
          <w:color w:val="000000"/>
        </w:rPr>
      </w:pPr>
    </w:p>
    <w:p w:rsidR="00BC38D5" w:rsidRDefault="004A4257" w:rsidP="000156C3">
      <w:pPr>
        <w:pStyle w:val="ListParagraph"/>
        <w:numPr>
          <w:ilvl w:val="1"/>
          <w:numId w:val="12"/>
        </w:numPr>
        <w:spacing w:after="0" w:line="240" w:lineRule="auto"/>
        <w:ind w:left="567" w:hanging="567"/>
        <w:rPr>
          <w:rFonts w:ascii="Arial" w:hAnsi="Arial" w:cs="Arial"/>
          <w:color w:val="000000"/>
        </w:rPr>
      </w:pPr>
      <w:r w:rsidRPr="008346D4">
        <w:rPr>
          <w:rFonts w:ascii="Arial" w:hAnsi="Arial" w:cs="Arial"/>
          <w:color w:val="000000"/>
        </w:rPr>
        <w:t xml:space="preserve">Other areas </w:t>
      </w:r>
      <w:r w:rsidR="00C63732" w:rsidRPr="008346D4">
        <w:rPr>
          <w:rFonts w:ascii="Arial" w:hAnsi="Arial" w:cs="Arial"/>
          <w:color w:val="000000"/>
        </w:rPr>
        <w:t>being researched</w:t>
      </w:r>
      <w:r w:rsidRPr="008346D4">
        <w:rPr>
          <w:rFonts w:ascii="Arial" w:hAnsi="Arial" w:cs="Arial"/>
          <w:color w:val="000000"/>
        </w:rPr>
        <w:t xml:space="preserve"> include improving the way in which information on the return to players is provided, considering the impact of voluntary and enforced pauses in play, </w:t>
      </w:r>
      <w:r w:rsidR="00C63732" w:rsidRPr="008346D4">
        <w:rPr>
          <w:rFonts w:ascii="Arial" w:hAnsi="Arial" w:cs="Arial"/>
          <w:color w:val="000000"/>
        </w:rPr>
        <w:t>and considering</w:t>
      </w:r>
      <w:r w:rsidRPr="008346D4">
        <w:rPr>
          <w:rFonts w:ascii="Arial" w:hAnsi="Arial" w:cs="Arial"/>
          <w:color w:val="000000"/>
        </w:rPr>
        <w:t xml:space="preserve"> what might usefully be done by way of educating players and those who might influence them on how to gamble safely but there is </w:t>
      </w:r>
      <w:r w:rsidR="00D11346">
        <w:rPr>
          <w:rFonts w:ascii="Arial" w:hAnsi="Arial" w:cs="Arial"/>
          <w:color w:val="000000"/>
        </w:rPr>
        <w:t xml:space="preserve">still </w:t>
      </w:r>
      <w:r w:rsidRPr="008346D4">
        <w:rPr>
          <w:rFonts w:ascii="Arial" w:hAnsi="Arial" w:cs="Arial"/>
          <w:color w:val="000000"/>
        </w:rPr>
        <w:t xml:space="preserve">remarkably little </w:t>
      </w:r>
      <w:r w:rsidR="00D11346">
        <w:rPr>
          <w:rFonts w:ascii="Arial" w:hAnsi="Arial" w:cs="Arial"/>
          <w:color w:val="000000"/>
        </w:rPr>
        <w:t xml:space="preserve">robust </w:t>
      </w:r>
      <w:r w:rsidRPr="008346D4">
        <w:rPr>
          <w:rFonts w:ascii="Arial" w:hAnsi="Arial" w:cs="Arial"/>
          <w:color w:val="000000"/>
        </w:rPr>
        <w:t>evidence about what works either in the UK or elsewhere</w:t>
      </w:r>
      <w:r w:rsidR="00A52B34" w:rsidRPr="008346D4">
        <w:rPr>
          <w:rFonts w:ascii="Arial" w:hAnsi="Arial" w:cs="Arial"/>
          <w:color w:val="000000"/>
        </w:rPr>
        <w:t xml:space="preserve">. </w:t>
      </w:r>
      <w:r w:rsidR="00BC38D5" w:rsidRPr="00BC38D5">
        <w:rPr>
          <w:rFonts w:ascii="Arial" w:hAnsi="Arial" w:cs="Arial"/>
          <w:color w:val="000000"/>
        </w:rPr>
        <w:t>In many cases the Commission has used informed judgement, based on advice for example from the RGSB, to put in place prudential player protection requirements pending improved understanding from research and evaluation of those measures.</w:t>
      </w:r>
    </w:p>
    <w:p w:rsidR="00BC38D5" w:rsidRDefault="00BC38D5" w:rsidP="00BC38D5">
      <w:pPr>
        <w:pStyle w:val="ListParagraph"/>
        <w:rPr>
          <w:rFonts w:ascii="Arial" w:hAnsi="Arial" w:cs="Arial"/>
          <w:color w:val="000000"/>
        </w:rPr>
      </w:pPr>
    </w:p>
    <w:p w:rsidR="004A4257" w:rsidRPr="008346D4" w:rsidRDefault="004A4257" w:rsidP="000156C3">
      <w:pPr>
        <w:pStyle w:val="ListParagraph"/>
        <w:numPr>
          <w:ilvl w:val="1"/>
          <w:numId w:val="12"/>
        </w:numPr>
        <w:spacing w:after="0" w:line="240" w:lineRule="auto"/>
        <w:ind w:left="567" w:hanging="567"/>
        <w:rPr>
          <w:rFonts w:ascii="Arial" w:hAnsi="Arial" w:cs="Arial"/>
          <w:color w:val="000000"/>
        </w:rPr>
      </w:pPr>
      <w:r w:rsidRPr="008346D4">
        <w:rPr>
          <w:rFonts w:ascii="Arial" w:hAnsi="Arial" w:cs="Arial"/>
          <w:color w:val="000000"/>
        </w:rPr>
        <w:t>While our data on underage gambling suggests that despite the degree of normalisation and advertising of gambling over the past decade, problem and at risk gambling rates among children and young people have not increased and if anything may have declined slightly, we remain particularly focussed on the need  to protect  the underage and improving ways to do so</w:t>
      </w:r>
      <w:r w:rsidR="00A52B34" w:rsidRPr="008346D4">
        <w:rPr>
          <w:rFonts w:ascii="Arial" w:hAnsi="Arial" w:cs="Arial"/>
          <w:color w:val="000000"/>
        </w:rPr>
        <w:t xml:space="preserve">. </w:t>
      </w:r>
      <w:r w:rsidRPr="008346D4">
        <w:rPr>
          <w:rFonts w:ascii="Arial" w:hAnsi="Arial" w:cs="Arial"/>
          <w:color w:val="000000"/>
        </w:rPr>
        <w:t xml:space="preserve">An area of current concern to the Commission and government is the use of social media to market betting and other forms of gambling targeted on those with specific sports or gaming interests when the recipients may in fact be underage as there is no age verification in relation to the marketing. Again we are working with other regulators (the ASA, </w:t>
      </w:r>
      <w:proofErr w:type="spellStart"/>
      <w:r w:rsidRPr="008346D4">
        <w:rPr>
          <w:rFonts w:ascii="Arial" w:hAnsi="Arial" w:cs="Arial"/>
          <w:color w:val="000000"/>
        </w:rPr>
        <w:t>Ofcom</w:t>
      </w:r>
      <w:proofErr w:type="spellEnd"/>
      <w:r w:rsidRPr="008346D4">
        <w:rPr>
          <w:rFonts w:ascii="Arial" w:hAnsi="Arial" w:cs="Arial"/>
          <w:color w:val="000000"/>
        </w:rPr>
        <w:t xml:space="preserve"> etc) to see how best to use our various powers to protect the underage from gambling related harm when using social media.</w:t>
      </w:r>
    </w:p>
    <w:p w:rsidR="004A4257" w:rsidRPr="008346D4" w:rsidRDefault="004A4257" w:rsidP="004A4257">
      <w:pPr>
        <w:pStyle w:val="ListParagraph"/>
        <w:spacing w:after="0" w:line="240" w:lineRule="auto"/>
        <w:ind w:left="567" w:hanging="567"/>
        <w:rPr>
          <w:rFonts w:ascii="Arial" w:hAnsi="Arial" w:cs="Arial"/>
          <w:color w:val="000000"/>
        </w:rPr>
      </w:pPr>
    </w:p>
    <w:p w:rsidR="004A4257" w:rsidRPr="008346D4" w:rsidRDefault="004A4257" w:rsidP="000156C3">
      <w:pPr>
        <w:pStyle w:val="ListParagraph"/>
        <w:numPr>
          <w:ilvl w:val="1"/>
          <w:numId w:val="12"/>
        </w:numPr>
        <w:spacing w:after="0" w:line="240" w:lineRule="auto"/>
        <w:ind w:left="567" w:hanging="567"/>
        <w:rPr>
          <w:rFonts w:ascii="Arial" w:hAnsi="Arial" w:cs="Arial"/>
          <w:color w:val="000000"/>
        </w:rPr>
      </w:pPr>
      <w:r w:rsidRPr="008346D4">
        <w:rPr>
          <w:rFonts w:ascii="Arial" w:hAnsi="Arial" w:cs="Arial"/>
          <w:color w:val="000000"/>
        </w:rPr>
        <w:t xml:space="preserve">As part of the process of ensuring that operators put the pursuit of the licensing objectives (keeping gambling fair and safe for all) at the heart of what they do, we have introduced a requirement on the </w:t>
      </w:r>
      <w:r w:rsidR="00996A8E">
        <w:rPr>
          <w:rFonts w:ascii="Arial" w:hAnsi="Arial" w:cs="Arial"/>
          <w:color w:val="000000"/>
        </w:rPr>
        <w:t>‘</w:t>
      </w:r>
      <w:r w:rsidRPr="008346D4">
        <w:rPr>
          <w:rFonts w:ascii="Arial" w:hAnsi="Arial" w:cs="Arial"/>
          <w:color w:val="000000"/>
        </w:rPr>
        <w:t>high impact</w:t>
      </w:r>
      <w:r w:rsidR="00996A8E">
        <w:rPr>
          <w:rFonts w:ascii="Arial" w:hAnsi="Arial" w:cs="Arial"/>
          <w:color w:val="000000"/>
        </w:rPr>
        <w:t>’</w:t>
      </w:r>
      <w:r w:rsidRPr="008346D4">
        <w:rPr>
          <w:rFonts w:ascii="Arial" w:hAnsi="Arial" w:cs="Arial"/>
          <w:color w:val="000000"/>
        </w:rPr>
        <w:t xml:space="preserve"> </w:t>
      </w:r>
      <w:r w:rsidR="00D11346">
        <w:rPr>
          <w:rFonts w:ascii="Arial" w:hAnsi="Arial" w:cs="Arial"/>
          <w:color w:val="000000"/>
        </w:rPr>
        <w:t xml:space="preserve">gaming and betting </w:t>
      </w:r>
      <w:r w:rsidRPr="008346D4">
        <w:rPr>
          <w:rFonts w:ascii="Arial" w:hAnsi="Arial" w:cs="Arial"/>
          <w:color w:val="000000"/>
        </w:rPr>
        <w:t>operators (which between them account for over 80% of the British market) to produce annual assurance statements</w:t>
      </w:r>
      <w:r w:rsidR="00A52B34" w:rsidRPr="008346D4">
        <w:rPr>
          <w:rFonts w:ascii="Arial" w:hAnsi="Arial" w:cs="Arial"/>
          <w:color w:val="000000"/>
        </w:rPr>
        <w:t xml:space="preserve">. </w:t>
      </w:r>
      <w:r w:rsidRPr="008346D4">
        <w:rPr>
          <w:rFonts w:ascii="Arial" w:hAnsi="Arial" w:cs="Arial"/>
          <w:color w:val="000000"/>
        </w:rPr>
        <w:t>These, like statements of internal control in financial accounts</w:t>
      </w:r>
      <w:r w:rsidR="00D7448F">
        <w:rPr>
          <w:rFonts w:ascii="Arial" w:hAnsi="Arial" w:cs="Arial"/>
          <w:color w:val="000000"/>
        </w:rPr>
        <w:t>,</w:t>
      </w:r>
      <w:r w:rsidRPr="008346D4">
        <w:rPr>
          <w:rFonts w:ascii="Arial" w:hAnsi="Arial" w:cs="Arial"/>
          <w:color w:val="000000"/>
        </w:rPr>
        <w:t xml:space="preserve"> are intended </w:t>
      </w:r>
      <w:r w:rsidR="006D64D3" w:rsidRPr="008346D4">
        <w:rPr>
          <w:rFonts w:ascii="Arial" w:hAnsi="Arial" w:cs="Arial"/>
          <w:color w:val="000000"/>
        </w:rPr>
        <w:t>to be</w:t>
      </w:r>
      <w:r w:rsidRPr="008346D4">
        <w:rPr>
          <w:rFonts w:ascii="Arial" w:hAnsi="Arial" w:cs="Arial"/>
          <w:color w:val="000000"/>
        </w:rPr>
        <w:t xml:space="preserve"> succinct statements of how the operator is pursuing the licensing objectives and how effective they think they are. They will include a narrative statement about the extent to which they are reliant on money from those gambling to excess and what they are doing to reduce that dependence. This should require relatively little extra effort from operators who are already putting social responsibility at the heart of what they do but will help force </w:t>
      </w:r>
      <w:r w:rsidR="00C63732" w:rsidRPr="008346D4">
        <w:rPr>
          <w:rFonts w:ascii="Arial" w:hAnsi="Arial" w:cs="Arial"/>
          <w:color w:val="000000"/>
        </w:rPr>
        <w:t>others,</w:t>
      </w:r>
      <w:r w:rsidRPr="008346D4">
        <w:rPr>
          <w:rFonts w:ascii="Arial" w:hAnsi="Arial" w:cs="Arial"/>
          <w:color w:val="000000"/>
        </w:rPr>
        <w:t xml:space="preserve"> in particular their boards and senior executives, to give social responsibility the attention it needs. It will also help </w:t>
      </w:r>
      <w:r w:rsidR="00C63732" w:rsidRPr="008346D4">
        <w:rPr>
          <w:rFonts w:ascii="Arial" w:hAnsi="Arial" w:cs="Arial"/>
          <w:color w:val="000000"/>
        </w:rPr>
        <w:t>foster and</w:t>
      </w:r>
      <w:r w:rsidRPr="008346D4">
        <w:rPr>
          <w:rFonts w:ascii="Arial" w:hAnsi="Arial" w:cs="Arial"/>
          <w:color w:val="000000"/>
        </w:rPr>
        <w:t xml:space="preserve"> enable the Commission to disseminate emerging good practise. </w:t>
      </w:r>
    </w:p>
    <w:p w:rsidR="004A4257" w:rsidRPr="00C63732" w:rsidRDefault="00BC38D5" w:rsidP="000156C3">
      <w:pPr>
        <w:pStyle w:val="ListParagraph"/>
        <w:numPr>
          <w:ilvl w:val="0"/>
          <w:numId w:val="12"/>
        </w:numPr>
        <w:spacing w:after="0" w:line="240" w:lineRule="auto"/>
        <w:ind w:left="567" w:hanging="567"/>
        <w:rPr>
          <w:rFonts w:ascii="Arial" w:hAnsi="Arial" w:cs="Arial"/>
          <w:b/>
          <w:color w:val="000000"/>
          <w:sz w:val="32"/>
          <w:szCs w:val="32"/>
        </w:rPr>
      </w:pPr>
      <w:r>
        <w:rPr>
          <w:rFonts w:ascii="Arial" w:hAnsi="Arial" w:cs="Arial"/>
          <w:b/>
          <w:color w:val="000000"/>
          <w:sz w:val="32"/>
          <w:szCs w:val="32"/>
        </w:rPr>
        <w:lastRenderedPageBreak/>
        <w:t xml:space="preserve">  </w:t>
      </w:r>
      <w:r w:rsidR="00C63732" w:rsidRPr="00C63732">
        <w:rPr>
          <w:rFonts w:ascii="Arial" w:hAnsi="Arial" w:cs="Arial"/>
          <w:b/>
          <w:color w:val="000000"/>
          <w:sz w:val="32"/>
          <w:szCs w:val="32"/>
        </w:rPr>
        <w:t>Betting i</w:t>
      </w:r>
      <w:r w:rsidR="004A4257" w:rsidRPr="00C63732">
        <w:rPr>
          <w:rFonts w:ascii="Arial" w:hAnsi="Arial" w:cs="Arial"/>
          <w:b/>
          <w:color w:val="000000"/>
          <w:sz w:val="32"/>
          <w:szCs w:val="32"/>
        </w:rPr>
        <w:t>ntegrity</w:t>
      </w:r>
    </w:p>
    <w:p w:rsidR="004A4257" w:rsidRPr="006D64D3" w:rsidRDefault="004A4257" w:rsidP="004A4257">
      <w:pPr>
        <w:pStyle w:val="ListParagraph"/>
        <w:spacing w:after="0" w:line="240" w:lineRule="auto"/>
        <w:ind w:left="567" w:hanging="567"/>
        <w:rPr>
          <w:rFonts w:ascii="Arial" w:hAnsi="Arial" w:cs="Arial"/>
          <w:color w:val="000000"/>
          <w:sz w:val="16"/>
          <w:szCs w:val="16"/>
        </w:rPr>
      </w:pPr>
    </w:p>
    <w:p w:rsidR="004A4257" w:rsidRPr="009E060B" w:rsidRDefault="00C63732" w:rsidP="00C63732">
      <w:pPr>
        <w:pStyle w:val="Default"/>
        <w:ind w:left="567" w:hanging="567"/>
        <w:rPr>
          <w:sz w:val="22"/>
          <w:szCs w:val="22"/>
          <w:lang w:eastAsia="en-US"/>
        </w:rPr>
      </w:pPr>
      <w:r>
        <w:rPr>
          <w:sz w:val="22"/>
          <w:szCs w:val="22"/>
          <w:lang w:eastAsia="en-US"/>
        </w:rPr>
        <w:t xml:space="preserve">7.1 </w:t>
      </w:r>
      <w:r>
        <w:rPr>
          <w:sz w:val="22"/>
          <w:szCs w:val="22"/>
          <w:lang w:eastAsia="en-US"/>
        </w:rPr>
        <w:tab/>
      </w:r>
      <w:r w:rsidR="004A4257" w:rsidRPr="009E060B">
        <w:rPr>
          <w:sz w:val="22"/>
          <w:szCs w:val="22"/>
          <w:lang w:eastAsia="en-US"/>
        </w:rPr>
        <w:t>A</w:t>
      </w:r>
      <w:r w:rsidR="008544A8">
        <w:rPr>
          <w:sz w:val="22"/>
          <w:szCs w:val="22"/>
          <w:lang w:eastAsia="en-US"/>
        </w:rPr>
        <w:t xml:space="preserve"> </w:t>
      </w:r>
      <w:r w:rsidR="004A4257" w:rsidRPr="009E060B">
        <w:rPr>
          <w:sz w:val="22"/>
          <w:szCs w:val="22"/>
          <w:lang w:eastAsia="en-US"/>
        </w:rPr>
        <w:t>key component of the Commission’s work on betting integrity is the licence condition 15.1 which requires betting operators to share information on suspicious activity with the Commission and sports governing bodies. This information is reported to the Commission’s Sports Betting</w:t>
      </w:r>
      <w:r w:rsidR="004A4257">
        <w:rPr>
          <w:sz w:val="22"/>
          <w:szCs w:val="22"/>
          <w:lang w:eastAsia="en-US"/>
        </w:rPr>
        <w:t xml:space="preserve"> Intelligence Unit</w:t>
      </w:r>
      <w:r w:rsidR="004A4257" w:rsidRPr="009E060B">
        <w:rPr>
          <w:sz w:val="22"/>
          <w:szCs w:val="22"/>
          <w:lang w:eastAsia="en-US"/>
        </w:rPr>
        <w:t xml:space="preserve"> wh</w:t>
      </w:r>
      <w:r w:rsidR="004A4257">
        <w:rPr>
          <w:sz w:val="22"/>
          <w:szCs w:val="22"/>
          <w:lang w:eastAsia="en-US"/>
        </w:rPr>
        <w:t>ich</w:t>
      </w:r>
      <w:r w:rsidR="004A4257" w:rsidRPr="009E060B">
        <w:rPr>
          <w:sz w:val="22"/>
          <w:szCs w:val="22"/>
          <w:lang w:eastAsia="en-US"/>
        </w:rPr>
        <w:t xml:space="preserve"> work</w:t>
      </w:r>
      <w:r w:rsidR="004A4257">
        <w:rPr>
          <w:sz w:val="22"/>
          <w:szCs w:val="22"/>
          <w:lang w:eastAsia="en-US"/>
        </w:rPr>
        <w:t>s</w:t>
      </w:r>
      <w:r w:rsidR="004A4257" w:rsidRPr="009E060B">
        <w:rPr>
          <w:sz w:val="22"/>
          <w:szCs w:val="22"/>
          <w:lang w:eastAsia="en-US"/>
        </w:rPr>
        <w:t xml:space="preserve"> with operators, sports and law enforcement to ensure an early and effective response to emergent issues</w:t>
      </w:r>
      <w:r w:rsidR="00A52B34">
        <w:rPr>
          <w:sz w:val="22"/>
          <w:szCs w:val="22"/>
          <w:lang w:eastAsia="en-US"/>
        </w:rPr>
        <w:t xml:space="preserve">. </w:t>
      </w:r>
    </w:p>
    <w:p w:rsidR="004A4257" w:rsidRPr="006D64D3" w:rsidRDefault="004A4257" w:rsidP="004A4257">
      <w:pPr>
        <w:pStyle w:val="Default"/>
        <w:ind w:left="567" w:hanging="567"/>
        <w:rPr>
          <w:sz w:val="16"/>
          <w:szCs w:val="16"/>
          <w:lang w:eastAsia="en-US"/>
        </w:rPr>
      </w:pPr>
    </w:p>
    <w:p w:rsidR="004A4257" w:rsidRPr="009E060B" w:rsidRDefault="00C63732" w:rsidP="00C63732">
      <w:pPr>
        <w:pStyle w:val="Default"/>
        <w:ind w:left="567" w:hanging="567"/>
        <w:rPr>
          <w:sz w:val="22"/>
          <w:szCs w:val="22"/>
          <w:lang w:eastAsia="en-US"/>
        </w:rPr>
      </w:pPr>
      <w:r>
        <w:rPr>
          <w:sz w:val="22"/>
          <w:szCs w:val="22"/>
          <w:lang w:eastAsia="en-US"/>
        </w:rPr>
        <w:t xml:space="preserve">7.2  </w:t>
      </w:r>
      <w:r>
        <w:rPr>
          <w:sz w:val="22"/>
          <w:szCs w:val="22"/>
          <w:lang w:eastAsia="en-US"/>
        </w:rPr>
        <w:tab/>
      </w:r>
      <w:r w:rsidR="004A4257" w:rsidRPr="009E060B">
        <w:rPr>
          <w:sz w:val="22"/>
          <w:szCs w:val="22"/>
          <w:lang w:eastAsia="en-US"/>
        </w:rPr>
        <w:t xml:space="preserve">The changes to legislation in 2014 now require all operators offering markets in </w:t>
      </w:r>
      <w:r w:rsidR="006D64D3" w:rsidRPr="009E060B">
        <w:rPr>
          <w:sz w:val="22"/>
          <w:szCs w:val="22"/>
          <w:lang w:eastAsia="en-US"/>
        </w:rPr>
        <w:t>Britain to</w:t>
      </w:r>
      <w:r w:rsidR="004A4257" w:rsidRPr="009E060B">
        <w:rPr>
          <w:sz w:val="22"/>
          <w:szCs w:val="22"/>
          <w:lang w:eastAsia="en-US"/>
        </w:rPr>
        <w:t xml:space="preserve"> be licensed by the Commission and are therefore bound by this licence condition</w:t>
      </w:r>
      <w:r w:rsidR="004A4257">
        <w:rPr>
          <w:sz w:val="22"/>
          <w:szCs w:val="22"/>
          <w:lang w:eastAsia="en-US"/>
        </w:rPr>
        <w:t>.</w:t>
      </w:r>
      <w:r w:rsidR="004A4257" w:rsidRPr="009E060B">
        <w:rPr>
          <w:sz w:val="22"/>
          <w:szCs w:val="22"/>
          <w:lang w:eastAsia="en-US"/>
        </w:rPr>
        <w:t xml:space="preserve"> This has greatly enhanced our oversight of the domestic gambling market</w:t>
      </w:r>
      <w:r w:rsidR="004A4257">
        <w:rPr>
          <w:sz w:val="22"/>
          <w:szCs w:val="22"/>
          <w:lang w:eastAsia="en-US"/>
        </w:rPr>
        <w:t>. It</w:t>
      </w:r>
      <w:r w:rsidR="004A4257" w:rsidRPr="009E060B">
        <w:rPr>
          <w:sz w:val="22"/>
          <w:szCs w:val="22"/>
          <w:lang w:eastAsia="en-US"/>
        </w:rPr>
        <w:t xml:space="preserve"> enables us to combine information from the remote and non remote sectors and the leverage to require operators to look at players acr</w:t>
      </w:r>
      <w:r>
        <w:rPr>
          <w:sz w:val="22"/>
          <w:szCs w:val="22"/>
          <w:lang w:eastAsia="en-US"/>
        </w:rPr>
        <w:t>oss channels (</w:t>
      </w:r>
      <w:proofErr w:type="spellStart"/>
      <w:r>
        <w:rPr>
          <w:sz w:val="22"/>
          <w:szCs w:val="22"/>
          <w:lang w:eastAsia="en-US"/>
        </w:rPr>
        <w:t>ie</w:t>
      </w:r>
      <w:proofErr w:type="spellEnd"/>
      <w:r>
        <w:rPr>
          <w:sz w:val="22"/>
          <w:szCs w:val="22"/>
          <w:lang w:eastAsia="en-US"/>
        </w:rPr>
        <w:t xml:space="preserve"> remote and non-</w:t>
      </w:r>
      <w:r w:rsidR="004A4257" w:rsidRPr="009E060B">
        <w:rPr>
          <w:sz w:val="22"/>
          <w:szCs w:val="22"/>
          <w:lang w:eastAsia="en-US"/>
        </w:rPr>
        <w:t>remote, different gambling activities) giv</w:t>
      </w:r>
      <w:r w:rsidR="004A4257">
        <w:rPr>
          <w:sz w:val="22"/>
          <w:szCs w:val="22"/>
          <w:lang w:eastAsia="en-US"/>
        </w:rPr>
        <w:t>ing</w:t>
      </w:r>
      <w:r w:rsidR="004A4257" w:rsidRPr="009E060B">
        <w:rPr>
          <w:sz w:val="22"/>
          <w:szCs w:val="22"/>
          <w:lang w:eastAsia="en-US"/>
        </w:rPr>
        <w:t xml:space="preserve"> us greater access to information. Such information is not of course available from unregulated or illegal markets making sports betting corruption in those markets far harder to detect or deter.</w:t>
      </w:r>
    </w:p>
    <w:p w:rsidR="004A4257" w:rsidRPr="006D64D3" w:rsidRDefault="004A4257" w:rsidP="004A4257">
      <w:pPr>
        <w:pStyle w:val="ListParagraph"/>
        <w:spacing w:after="0" w:line="240" w:lineRule="auto"/>
        <w:ind w:left="567" w:hanging="567"/>
        <w:rPr>
          <w:rFonts w:ascii="Arial" w:hAnsi="Arial" w:cs="Arial"/>
          <w:sz w:val="16"/>
          <w:szCs w:val="16"/>
        </w:rPr>
      </w:pPr>
    </w:p>
    <w:p w:rsidR="004A4257" w:rsidRPr="006D64D3" w:rsidRDefault="004A4257" w:rsidP="000156C3">
      <w:pPr>
        <w:pStyle w:val="ListParagraph"/>
        <w:numPr>
          <w:ilvl w:val="1"/>
          <w:numId w:val="15"/>
        </w:numPr>
        <w:spacing w:after="0" w:line="240" w:lineRule="auto"/>
        <w:ind w:left="567" w:hanging="567"/>
        <w:rPr>
          <w:rFonts w:ascii="Arial" w:hAnsi="Arial" w:cs="Arial"/>
          <w:color w:val="000000"/>
          <w:sz w:val="16"/>
          <w:szCs w:val="16"/>
        </w:rPr>
      </w:pPr>
      <w:r w:rsidRPr="006D64D3">
        <w:rPr>
          <w:rFonts w:ascii="Arial" w:hAnsi="Arial" w:cs="Arial"/>
          <w:color w:val="000000"/>
        </w:rPr>
        <w:t xml:space="preserve">Although the Commission could impose restrictions on types of bets offered or insist on approving sports governing bodies’ rules before allowing operators to offer betting on those sports we do not consider that such action is necessary or would be proportionate in the </w:t>
      </w:r>
      <w:r w:rsidR="00C63732" w:rsidRPr="006D64D3">
        <w:rPr>
          <w:rFonts w:ascii="Arial" w:hAnsi="Arial" w:cs="Arial"/>
          <w:color w:val="000000"/>
        </w:rPr>
        <w:t>British context</w:t>
      </w:r>
      <w:r w:rsidR="00A52B34" w:rsidRPr="006D64D3">
        <w:rPr>
          <w:rFonts w:ascii="Arial" w:hAnsi="Arial" w:cs="Arial"/>
          <w:color w:val="000000"/>
        </w:rPr>
        <w:t xml:space="preserve">. </w:t>
      </w:r>
      <w:r w:rsidRPr="006D64D3">
        <w:rPr>
          <w:rFonts w:ascii="Arial" w:hAnsi="Arial" w:cs="Arial"/>
          <w:color w:val="000000"/>
        </w:rPr>
        <w:t>In particular we considered whether to restrict in play betting in 2009</w:t>
      </w:r>
      <w:r w:rsidRPr="009E060B">
        <w:rPr>
          <w:rStyle w:val="FootnoteReference"/>
          <w:rFonts w:ascii="Arial" w:hAnsi="Arial" w:cs="Arial"/>
          <w:color w:val="000000"/>
        </w:rPr>
        <w:footnoteReference w:id="17"/>
      </w:r>
      <w:r w:rsidRPr="006D64D3">
        <w:rPr>
          <w:rFonts w:ascii="Arial" w:hAnsi="Arial" w:cs="Arial"/>
          <w:color w:val="000000"/>
        </w:rPr>
        <w:t xml:space="preserve"> but concluded there was no real evidence that this would help the fight against sports betting corruption and a risk that, given its growing popularity, consumers would simply try to access illegal sites. We have continued to monitor developments in this area and need to </w:t>
      </w:r>
      <w:r w:rsidR="00C63732" w:rsidRPr="006D64D3">
        <w:rPr>
          <w:rFonts w:ascii="Arial" w:hAnsi="Arial" w:cs="Arial"/>
          <w:color w:val="000000"/>
        </w:rPr>
        <w:t>update</w:t>
      </w:r>
      <w:r w:rsidRPr="006D64D3">
        <w:rPr>
          <w:rFonts w:ascii="Arial" w:hAnsi="Arial" w:cs="Arial"/>
          <w:color w:val="000000"/>
        </w:rPr>
        <w:t xml:space="preserve"> our earlier position </w:t>
      </w:r>
      <w:r w:rsidR="00C63732" w:rsidRPr="006D64D3">
        <w:rPr>
          <w:rFonts w:ascii="Arial" w:hAnsi="Arial" w:cs="Arial"/>
          <w:color w:val="000000"/>
        </w:rPr>
        <w:t>paper which</w:t>
      </w:r>
      <w:r w:rsidRPr="006D64D3">
        <w:rPr>
          <w:rFonts w:ascii="Arial" w:hAnsi="Arial" w:cs="Arial"/>
          <w:color w:val="000000"/>
        </w:rPr>
        <w:t xml:space="preserve"> is now some dated technologically.</w:t>
      </w:r>
      <w:r w:rsidR="00C63732" w:rsidRPr="006D64D3">
        <w:rPr>
          <w:rFonts w:ascii="Arial" w:hAnsi="Arial" w:cs="Arial"/>
          <w:color w:val="000000"/>
        </w:rPr>
        <w:t xml:space="preserve"> </w:t>
      </w:r>
      <w:r w:rsidRPr="006D64D3">
        <w:rPr>
          <w:rFonts w:ascii="Arial" w:hAnsi="Arial" w:cs="Arial"/>
          <w:color w:val="000000"/>
        </w:rPr>
        <w:t>We have however no indications that our views should change</w:t>
      </w:r>
      <w:r w:rsidR="00A52B34" w:rsidRPr="006D64D3">
        <w:rPr>
          <w:rFonts w:ascii="Arial" w:hAnsi="Arial" w:cs="Arial"/>
          <w:color w:val="000000"/>
        </w:rPr>
        <w:t xml:space="preserve">. </w:t>
      </w:r>
      <w:r w:rsidR="00BC38D5" w:rsidRPr="006D64D3">
        <w:rPr>
          <w:rFonts w:ascii="Arial" w:hAnsi="Arial" w:cs="Arial"/>
          <w:color w:val="000000"/>
        </w:rPr>
        <w:t>In-</w:t>
      </w:r>
      <w:r w:rsidRPr="006D64D3">
        <w:rPr>
          <w:rFonts w:ascii="Arial" w:hAnsi="Arial" w:cs="Arial"/>
          <w:color w:val="000000"/>
        </w:rPr>
        <w:t xml:space="preserve">play betting </w:t>
      </w:r>
      <w:r w:rsidR="006D64D3" w:rsidRPr="006D64D3">
        <w:rPr>
          <w:rFonts w:ascii="Arial" w:hAnsi="Arial" w:cs="Arial"/>
          <w:color w:val="000000"/>
        </w:rPr>
        <w:t>is popular and</w:t>
      </w:r>
      <w:r w:rsidRPr="006D64D3">
        <w:rPr>
          <w:rFonts w:ascii="Arial" w:hAnsi="Arial" w:cs="Arial"/>
          <w:color w:val="000000"/>
        </w:rPr>
        <w:t xml:space="preserve"> some sports see it as helping to maintain support for matches and teams that might otherwise struggle to attract much attention. </w:t>
      </w:r>
      <w:r w:rsidR="00BC38D5" w:rsidRPr="006D64D3">
        <w:rPr>
          <w:rFonts w:ascii="Arial" w:hAnsi="Arial" w:cs="Arial"/>
          <w:color w:val="000000"/>
        </w:rPr>
        <w:br/>
      </w:r>
    </w:p>
    <w:p w:rsidR="004A4257" w:rsidRPr="009E060B" w:rsidRDefault="004A4257" w:rsidP="000156C3">
      <w:pPr>
        <w:pStyle w:val="ListParagraph"/>
        <w:numPr>
          <w:ilvl w:val="1"/>
          <w:numId w:val="15"/>
        </w:numPr>
        <w:spacing w:after="0" w:line="240" w:lineRule="auto"/>
        <w:ind w:left="567" w:hanging="567"/>
        <w:rPr>
          <w:rFonts w:ascii="Arial" w:hAnsi="Arial" w:cs="Arial"/>
          <w:color w:val="000000"/>
        </w:rPr>
      </w:pPr>
      <w:r w:rsidRPr="009E060B">
        <w:rPr>
          <w:rFonts w:ascii="Arial" w:hAnsi="Arial" w:cs="Arial"/>
          <w:color w:val="000000"/>
        </w:rPr>
        <w:t xml:space="preserve">While </w:t>
      </w:r>
      <w:r w:rsidR="00BC38D5">
        <w:rPr>
          <w:rFonts w:ascii="Arial" w:hAnsi="Arial" w:cs="Arial"/>
          <w:color w:val="000000"/>
        </w:rPr>
        <w:t>in-</w:t>
      </w:r>
      <w:r>
        <w:rPr>
          <w:rFonts w:ascii="Arial" w:hAnsi="Arial" w:cs="Arial"/>
          <w:color w:val="000000"/>
        </w:rPr>
        <w:t xml:space="preserve">play </w:t>
      </w:r>
      <w:r w:rsidR="00C63732">
        <w:rPr>
          <w:rFonts w:ascii="Arial" w:hAnsi="Arial" w:cs="Arial"/>
          <w:color w:val="000000"/>
        </w:rPr>
        <w:t xml:space="preserve">betting </w:t>
      </w:r>
      <w:r w:rsidR="00C63732" w:rsidRPr="009E060B">
        <w:rPr>
          <w:rFonts w:ascii="Arial" w:hAnsi="Arial" w:cs="Arial"/>
          <w:color w:val="000000"/>
        </w:rPr>
        <w:t>may</w:t>
      </w:r>
      <w:r w:rsidRPr="009E060B">
        <w:rPr>
          <w:rFonts w:ascii="Arial" w:hAnsi="Arial" w:cs="Arial"/>
          <w:color w:val="000000"/>
        </w:rPr>
        <w:t xml:space="preserve"> </w:t>
      </w:r>
      <w:r>
        <w:rPr>
          <w:rFonts w:ascii="Arial" w:hAnsi="Arial" w:cs="Arial"/>
          <w:color w:val="000000"/>
        </w:rPr>
        <w:t xml:space="preserve">theoretically </w:t>
      </w:r>
      <w:r w:rsidR="00C63732">
        <w:rPr>
          <w:rFonts w:ascii="Arial" w:hAnsi="Arial" w:cs="Arial"/>
          <w:color w:val="000000"/>
        </w:rPr>
        <w:t xml:space="preserve">provide </w:t>
      </w:r>
      <w:r w:rsidR="00C63732" w:rsidRPr="009E060B">
        <w:rPr>
          <w:rFonts w:ascii="Arial" w:hAnsi="Arial" w:cs="Arial"/>
          <w:color w:val="000000"/>
        </w:rPr>
        <w:t>some</w:t>
      </w:r>
      <w:r w:rsidRPr="009E060B">
        <w:rPr>
          <w:rFonts w:ascii="Arial" w:hAnsi="Arial" w:cs="Arial"/>
          <w:color w:val="000000"/>
        </w:rPr>
        <w:t xml:space="preserve"> increased opportunities for </w:t>
      </w:r>
      <w:r w:rsidR="00C63732" w:rsidRPr="009E060B">
        <w:rPr>
          <w:rFonts w:ascii="Arial" w:hAnsi="Arial" w:cs="Arial"/>
          <w:color w:val="000000"/>
        </w:rPr>
        <w:t>corruption, there</w:t>
      </w:r>
      <w:r>
        <w:rPr>
          <w:rFonts w:ascii="Arial" w:hAnsi="Arial" w:cs="Arial"/>
          <w:color w:val="000000"/>
        </w:rPr>
        <w:t xml:space="preserve"> is little evidence to support the view that in play betting fosters betting corruption in well regulated markets</w:t>
      </w:r>
      <w:r w:rsidR="00A52B34">
        <w:rPr>
          <w:rFonts w:ascii="Arial" w:hAnsi="Arial" w:cs="Arial"/>
          <w:color w:val="000000"/>
        </w:rPr>
        <w:t xml:space="preserve">. </w:t>
      </w:r>
      <w:r>
        <w:rPr>
          <w:rFonts w:ascii="Arial" w:hAnsi="Arial" w:cs="Arial"/>
          <w:color w:val="000000"/>
        </w:rPr>
        <w:t>See for example the extensive discuss</w:t>
      </w:r>
      <w:r w:rsidR="00BC38D5">
        <w:rPr>
          <w:rFonts w:ascii="Arial" w:hAnsi="Arial" w:cs="Arial"/>
          <w:color w:val="000000"/>
        </w:rPr>
        <w:t xml:space="preserve">ion of this in the RGA report </w:t>
      </w:r>
      <w:r w:rsidR="00BC38D5" w:rsidRPr="00BC38D5">
        <w:rPr>
          <w:rFonts w:ascii="Arial" w:hAnsi="Arial" w:cs="Arial"/>
          <w:i/>
          <w:color w:val="000000"/>
        </w:rPr>
        <w:t>S</w:t>
      </w:r>
      <w:r w:rsidRPr="00BC38D5">
        <w:rPr>
          <w:rFonts w:ascii="Arial" w:hAnsi="Arial" w:cs="Arial"/>
          <w:i/>
          <w:color w:val="000000"/>
        </w:rPr>
        <w:t xml:space="preserve">ports </w:t>
      </w:r>
      <w:r w:rsidR="00C63732" w:rsidRPr="00BC38D5">
        <w:rPr>
          <w:rFonts w:ascii="Arial" w:hAnsi="Arial" w:cs="Arial"/>
          <w:i/>
          <w:color w:val="000000"/>
        </w:rPr>
        <w:t xml:space="preserve">betting: </w:t>
      </w:r>
      <w:r w:rsidR="00BC38D5" w:rsidRPr="00BC38D5">
        <w:rPr>
          <w:rFonts w:ascii="Arial" w:hAnsi="Arial" w:cs="Arial"/>
          <w:i/>
          <w:color w:val="000000"/>
        </w:rPr>
        <w:t>c</w:t>
      </w:r>
      <w:r w:rsidR="00C63732" w:rsidRPr="00BC38D5">
        <w:rPr>
          <w:rFonts w:ascii="Arial" w:hAnsi="Arial" w:cs="Arial"/>
          <w:i/>
          <w:color w:val="000000"/>
        </w:rPr>
        <w:t>ommercial</w:t>
      </w:r>
      <w:r w:rsidRPr="00BC38D5">
        <w:rPr>
          <w:rFonts w:ascii="Arial" w:hAnsi="Arial" w:cs="Arial"/>
          <w:i/>
          <w:color w:val="000000"/>
        </w:rPr>
        <w:t xml:space="preserve"> and integrity issues</w:t>
      </w:r>
      <w:r>
        <w:rPr>
          <w:rStyle w:val="FootnoteReference"/>
          <w:rFonts w:ascii="Arial" w:hAnsi="Arial" w:cs="Arial"/>
          <w:color w:val="000000"/>
        </w:rPr>
        <w:footnoteReference w:id="18"/>
      </w:r>
      <w:r>
        <w:rPr>
          <w:rFonts w:ascii="Arial" w:hAnsi="Arial" w:cs="Arial"/>
          <w:color w:val="000000"/>
        </w:rPr>
        <w:t xml:space="preserve"> which </w:t>
      </w:r>
      <w:r w:rsidR="00C63732">
        <w:rPr>
          <w:rFonts w:ascii="Arial" w:hAnsi="Arial" w:cs="Arial"/>
          <w:color w:val="000000"/>
        </w:rPr>
        <w:t>reviews various</w:t>
      </w:r>
      <w:r>
        <w:rPr>
          <w:rFonts w:ascii="Arial" w:hAnsi="Arial" w:cs="Arial"/>
          <w:color w:val="000000"/>
        </w:rPr>
        <w:t xml:space="preserve"> studies in section 4.38 onwards</w:t>
      </w:r>
      <w:r w:rsidR="00A52B34">
        <w:rPr>
          <w:rFonts w:ascii="Arial" w:hAnsi="Arial" w:cs="Arial"/>
          <w:color w:val="000000"/>
        </w:rPr>
        <w:t xml:space="preserve">. </w:t>
      </w:r>
      <w:r>
        <w:rPr>
          <w:rFonts w:ascii="Arial" w:hAnsi="Arial" w:cs="Arial"/>
          <w:color w:val="000000"/>
        </w:rPr>
        <w:t>O</w:t>
      </w:r>
      <w:r w:rsidRPr="009E060B">
        <w:rPr>
          <w:rFonts w:ascii="Arial" w:hAnsi="Arial" w:cs="Arial"/>
          <w:color w:val="000000"/>
        </w:rPr>
        <w:t>ur view remains   that having and sharing the information on su</w:t>
      </w:r>
      <w:r>
        <w:rPr>
          <w:rFonts w:ascii="Arial" w:hAnsi="Arial" w:cs="Arial"/>
          <w:color w:val="000000"/>
        </w:rPr>
        <w:t>spicious</w:t>
      </w:r>
      <w:r w:rsidRPr="009E060B">
        <w:rPr>
          <w:rFonts w:ascii="Arial" w:hAnsi="Arial" w:cs="Arial"/>
          <w:color w:val="000000"/>
        </w:rPr>
        <w:t xml:space="preserve"> betting patterns combined with strict and enforced sport rules for players and sports officials is a more effective approach to deterring and detecting any problems than </w:t>
      </w:r>
      <w:r>
        <w:rPr>
          <w:rFonts w:ascii="Arial" w:hAnsi="Arial" w:cs="Arial"/>
          <w:color w:val="000000"/>
        </w:rPr>
        <w:t xml:space="preserve">blanket </w:t>
      </w:r>
      <w:r w:rsidRPr="009E060B">
        <w:rPr>
          <w:rFonts w:ascii="Arial" w:hAnsi="Arial" w:cs="Arial"/>
          <w:color w:val="000000"/>
        </w:rPr>
        <w:t>prohibition and driving those keen to bet in play on to illegal sites.</w:t>
      </w:r>
      <w:r>
        <w:rPr>
          <w:rFonts w:ascii="Arial" w:hAnsi="Arial" w:cs="Arial"/>
          <w:color w:val="000000"/>
        </w:rPr>
        <w:t xml:space="preserve"> It is in the interests </w:t>
      </w:r>
      <w:r w:rsidR="00C63732">
        <w:rPr>
          <w:rFonts w:ascii="Arial" w:hAnsi="Arial" w:cs="Arial"/>
          <w:color w:val="000000"/>
        </w:rPr>
        <w:t>of the</w:t>
      </w:r>
      <w:r>
        <w:rPr>
          <w:rFonts w:ascii="Arial" w:hAnsi="Arial" w:cs="Arial"/>
          <w:color w:val="000000"/>
        </w:rPr>
        <w:t xml:space="preserve"> licensed industry to work with regulators, law enforcement and the </w:t>
      </w:r>
      <w:r w:rsidR="00C63732">
        <w:rPr>
          <w:rFonts w:ascii="Arial" w:hAnsi="Arial" w:cs="Arial"/>
          <w:color w:val="000000"/>
        </w:rPr>
        <w:t>sport’s</w:t>
      </w:r>
      <w:r>
        <w:rPr>
          <w:rFonts w:ascii="Arial" w:hAnsi="Arial" w:cs="Arial"/>
          <w:color w:val="000000"/>
        </w:rPr>
        <w:t xml:space="preserve"> governing bodies and pool information to deter and detect betting corruption. </w:t>
      </w:r>
    </w:p>
    <w:p w:rsidR="004A4257" w:rsidRPr="006D64D3" w:rsidRDefault="004A4257" w:rsidP="004A4257">
      <w:pPr>
        <w:pStyle w:val="ListParagraph"/>
        <w:spacing w:after="0" w:line="240" w:lineRule="auto"/>
        <w:ind w:left="567" w:hanging="567"/>
        <w:rPr>
          <w:rFonts w:ascii="Arial" w:hAnsi="Arial" w:cs="Arial"/>
          <w:color w:val="000000"/>
          <w:sz w:val="16"/>
          <w:szCs w:val="16"/>
        </w:rPr>
      </w:pPr>
    </w:p>
    <w:p w:rsidR="004A4257" w:rsidRPr="00C63732" w:rsidRDefault="004A4257" w:rsidP="000156C3">
      <w:pPr>
        <w:pStyle w:val="ListParagraph"/>
        <w:numPr>
          <w:ilvl w:val="1"/>
          <w:numId w:val="15"/>
        </w:numPr>
        <w:spacing w:after="0" w:line="240" w:lineRule="auto"/>
        <w:ind w:left="567" w:hanging="567"/>
        <w:rPr>
          <w:rFonts w:ascii="Arial" w:hAnsi="Arial" w:cs="Arial"/>
        </w:rPr>
      </w:pPr>
      <w:r w:rsidRPr="00C63732">
        <w:rPr>
          <w:rFonts w:ascii="Arial" w:hAnsi="Arial" w:cs="Arial"/>
        </w:rPr>
        <w:t xml:space="preserve">In September 2015 the UK published the Sports and </w:t>
      </w:r>
      <w:hyperlink r:id="rId13" w:history="1">
        <w:r w:rsidRPr="00211E52">
          <w:rPr>
            <w:rStyle w:val="Hyperlink"/>
            <w:rFonts w:ascii="Arial" w:hAnsi="Arial" w:cs="Arial"/>
          </w:rPr>
          <w:t>Sports Betting Integrity Action Plan</w:t>
        </w:r>
      </w:hyperlink>
      <w:r w:rsidRPr="00C63732">
        <w:rPr>
          <w:rStyle w:val="FootnoteReference"/>
          <w:rFonts w:ascii="Arial" w:hAnsi="Arial" w:cs="Arial"/>
        </w:rPr>
        <w:footnoteReference w:id="19"/>
      </w:r>
      <w:r w:rsidRPr="00C63732">
        <w:rPr>
          <w:rFonts w:ascii="Arial" w:hAnsi="Arial" w:cs="Arial"/>
        </w:rPr>
        <w:t xml:space="preserve">, (the Action Plan) which sets out the framework of collaboration and cooperation agreed by the betting industry, sport, law enforcement, the Gambling Commission and Government to protect Britain’s national and international reputation for being a safe place to enjoy sport and sports betting. Education and other preventative measures play a key part in tackling threats to sports integrity and form an essential element of Britain’s overall strategy to prevent and deter those seeking to corrupt or manipulate betting markets and sporting events. </w:t>
      </w:r>
    </w:p>
    <w:p w:rsidR="004A4257" w:rsidRPr="006D64D3" w:rsidRDefault="004A4257" w:rsidP="004A4257">
      <w:pPr>
        <w:pStyle w:val="ListParagraph"/>
        <w:spacing w:after="0" w:line="240" w:lineRule="auto"/>
        <w:ind w:left="567" w:hanging="567"/>
        <w:rPr>
          <w:rFonts w:ascii="Arial" w:hAnsi="Arial" w:cs="Arial"/>
          <w:sz w:val="16"/>
          <w:szCs w:val="16"/>
        </w:rPr>
      </w:pPr>
    </w:p>
    <w:p w:rsidR="004A4257" w:rsidRPr="00C63732" w:rsidRDefault="004A4257" w:rsidP="000156C3">
      <w:pPr>
        <w:pStyle w:val="ListParagraph"/>
        <w:numPr>
          <w:ilvl w:val="1"/>
          <w:numId w:val="15"/>
        </w:numPr>
        <w:spacing w:after="0" w:line="240" w:lineRule="auto"/>
        <w:ind w:left="567" w:hanging="567"/>
        <w:rPr>
          <w:rFonts w:ascii="Arial" w:hAnsi="Arial" w:cs="Arial"/>
        </w:rPr>
      </w:pPr>
      <w:r w:rsidRPr="00C63732">
        <w:rPr>
          <w:rFonts w:ascii="Arial" w:hAnsi="Arial" w:cs="Arial"/>
        </w:rPr>
        <w:t xml:space="preserve">Sport has responsibility and accountability for specific deliverables within the Action Plan; they will review the provision and effectiveness of education programmes to raise awareness of the risks of betting integrity across athletes, coaches, officials and those in governance roles. They are also committed to establishing clear frameworks across sport to ensure codes of conduct, betting rules and contractual provisions establish clear frameworks to enable appropriate sanctions to be applied. </w:t>
      </w:r>
    </w:p>
    <w:p w:rsidR="004A4257" w:rsidRPr="00C63732" w:rsidRDefault="004A4257" w:rsidP="004A4257">
      <w:pPr>
        <w:pStyle w:val="ListParagraph"/>
        <w:spacing w:after="0" w:line="240" w:lineRule="auto"/>
        <w:ind w:left="567" w:hanging="567"/>
        <w:rPr>
          <w:rFonts w:ascii="Arial" w:hAnsi="Arial" w:cs="Arial"/>
        </w:rPr>
      </w:pPr>
    </w:p>
    <w:p w:rsidR="004A4257" w:rsidRDefault="004A4257" w:rsidP="000156C3">
      <w:pPr>
        <w:pStyle w:val="ListParagraph"/>
        <w:numPr>
          <w:ilvl w:val="1"/>
          <w:numId w:val="15"/>
        </w:numPr>
        <w:spacing w:after="0" w:line="240" w:lineRule="auto"/>
        <w:ind w:left="567" w:hanging="567"/>
        <w:rPr>
          <w:rFonts w:ascii="Arial" w:hAnsi="Arial" w:cs="Arial"/>
        </w:rPr>
      </w:pPr>
      <w:r w:rsidRPr="00C63732">
        <w:rPr>
          <w:rFonts w:ascii="Arial" w:hAnsi="Arial" w:cs="Arial"/>
        </w:rPr>
        <w:lastRenderedPageBreak/>
        <w:t>Sanctions can only be applied if supporting evidence of breaches of sports codes or criminal activity is available and accessible. Gathering this evidence relies heavily on licensed operators reporting potentially suspicious betting activity; and in any given period reports from operators equate to between 70–80% of the total reports received by SBIU</w:t>
      </w:r>
      <w:r w:rsidR="00A52B34" w:rsidRPr="00C63732">
        <w:rPr>
          <w:rFonts w:ascii="Arial" w:hAnsi="Arial" w:cs="Arial"/>
        </w:rPr>
        <w:t xml:space="preserve">. </w:t>
      </w:r>
      <w:r w:rsidRPr="00C63732">
        <w:rPr>
          <w:rFonts w:ascii="Arial" w:hAnsi="Arial" w:cs="Arial"/>
        </w:rPr>
        <w:t>Legislation and information sharing protocols support the further gathering of intelligence, including that related to betting accounts, which can be used in both sports and criminal investigations</w:t>
      </w:r>
      <w:r w:rsidR="00A52B34" w:rsidRPr="00C63732">
        <w:rPr>
          <w:rFonts w:ascii="Arial" w:hAnsi="Arial" w:cs="Arial"/>
        </w:rPr>
        <w:t xml:space="preserve">. </w:t>
      </w:r>
      <w:r w:rsidRPr="00C63732">
        <w:rPr>
          <w:rFonts w:ascii="Arial" w:hAnsi="Arial" w:cs="Arial"/>
        </w:rPr>
        <w:t>Such action would not be possible if betting was illegal or unregulated and there is the risk of pushing bettors to these sites if competitive markets were not available via the legal and regulated routes</w:t>
      </w:r>
      <w:r w:rsidR="00A52B34" w:rsidRPr="00C63732">
        <w:rPr>
          <w:rFonts w:ascii="Arial" w:hAnsi="Arial" w:cs="Arial"/>
        </w:rPr>
        <w:t xml:space="preserve">. </w:t>
      </w:r>
      <w:r w:rsidR="00211E52">
        <w:rPr>
          <w:rFonts w:ascii="Arial" w:hAnsi="Arial" w:cs="Arial"/>
        </w:rPr>
        <w:br/>
      </w:r>
    </w:p>
    <w:p w:rsidR="00B60681" w:rsidRDefault="00B60681">
      <w:pPr>
        <w:pStyle w:val="ListParagraph"/>
        <w:spacing w:after="0" w:line="240" w:lineRule="auto"/>
        <w:ind w:left="567"/>
        <w:rPr>
          <w:rFonts w:ascii="Arial" w:hAnsi="Arial" w:cs="Arial"/>
        </w:rPr>
      </w:pPr>
    </w:p>
    <w:p w:rsidR="004A4257" w:rsidRPr="00211E52" w:rsidRDefault="00211E52" w:rsidP="000156C3">
      <w:pPr>
        <w:pStyle w:val="ListParagraph"/>
        <w:numPr>
          <w:ilvl w:val="0"/>
          <w:numId w:val="15"/>
        </w:numPr>
        <w:spacing w:after="0" w:line="240" w:lineRule="auto"/>
        <w:ind w:left="567" w:hanging="567"/>
        <w:rPr>
          <w:rFonts w:ascii="Arial" w:hAnsi="Arial" w:cs="Arial"/>
          <w:b/>
          <w:sz w:val="32"/>
          <w:szCs w:val="32"/>
        </w:rPr>
      </w:pPr>
      <w:r w:rsidRPr="00211E52">
        <w:rPr>
          <w:rFonts w:ascii="Arial" w:hAnsi="Arial" w:cs="Arial"/>
          <w:b/>
          <w:sz w:val="32"/>
          <w:szCs w:val="32"/>
        </w:rPr>
        <w:tab/>
        <w:t>Approach to compliance and enforcement for licensees</w:t>
      </w:r>
      <w:r w:rsidR="004B4958" w:rsidRPr="00211E52">
        <w:rPr>
          <w:rFonts w:ascii="Arial" w:hAnsi="Arial" w:cs="Arial"/>
          <w:b/>
          <w:sz w:val="32"/>
          <w:szCs w:val="32"/>
        </w:rPr>
        <w:br/>
      </w:r>
    </w:p>
    <w:p w:rsidR="004A4257" w:rsidRPr="00C63732" w:rsidRDefault="00211E52" w:rsidP="00211E52">
      <w:pPr>
        <w:pStyle w:val="ListParagraph"/>
        <w:spacing w:after="0" w:line="240" w:lineRule="auto"/>
        <w:ind w:left="567" w:hanging="567"/>
        <w:rPr>
          <w:rFonts w:ascii="Arial" w:hAnsi="Arial" w:cs="Arial"/>
        </w:rPr>
      </w:pPr>
      <w:r>
        <w:rPr>
          <w:rFonts w:ascii="Arial" w:hAnsi="Arial" w:cs="Arial"/>
        </w:rPr>
        <w:t>8.1</w:t>
      </w:r>
      <w:r w:rsidR="00C63732">
        <w:rPr>
          <w:rFonts w:ascii="Arial" w:hAnsi="Arial" w:cs="Arial"/>
        </w:rPr>
        <w:t xml:space="preserve"> </w:t>
      </w:r>
      <w:r w:rsidR="00C63732">
        <w:rPr>
          <w:rFonts w:ascii="Arial" w:hAnsi="Arial" w:cs="Arial"/>
        </w:rPr>
        <w:tab/>
      </w:r>
      <w:r w:rsidR="004A4257" w:rsidRPr="00C63732">
        <w:rPr>
          <w:rFonts w:ascii="Arial" w:hAnsi="Arial" w:cs="Arial"/>
        </w:rPr>
        <w:t xml:space="preserve">In terms of ensuring licensees comply with their licence conditions and codes of practice and to deter non-compliance and illegal provision, as noted </w:t>
      </w:r>
      <w:r w:rsidR="00C63732" w:rsidRPr="00C63732">
        <w:rPr>
          <w:rFonts w:ascii="Arial" w:hAnsi="Arial" w:cs="Arial"/>
        </w:rPr>
        <w:t>above the</w:t>
      </w:r>
      <w:r w:rsidR="004A4257" w:rsidRPr="00C63732">
        <w:rPr>
          <w:rFonts w:ascii="Arial" w:hAnsi="Arial" w:cs="Arial"/>
        </w:rPr>
        <w:t xml:space="preserve"> Commission has the full range of regulatory sanctions, including fines, the ability to impose licence conditions and to suspend or revoke licences and, more relevant to illegal providers to prosecute. Those third parties knowingly involved with an illegal operator also risk action </w:t>
      </w:r>
      <w:r w:rsidR="00C63732" w:rsidRPr="00C63732">
        <w:rPr>
          <w:rFonts w:ascii="Arial" w:hAnsi="Arial" w:cs="Arial"/>
        </w:rPr>
        <w:t>under the</w:t>
      </w:r>
      <w:r w:rsidR="004A4257" w:rsidRPr="00C63732">
        <w:rPr>
          <w:rFonts w:ascii="Arial" w:hAnsi="Arial" w:cs="Arial"/>
        </w:rPr>
        <w:t xml:space="preserve"> anti-money laundering legislation as they would be handling the proceeds of crime.</w:t>
      </w:r>
      <w:r>
        <w:rPr>
          <w:rFonts w:ascii="Arial" w:hAnsi="Arial" w:cs="Arial"/>
        </w:rPr>
        <w:t xml:space="preserve"> </w:t>
      </w:r>
    </w:p>
    <w:p w:rsidR="004A4257" w:rsidRPr="00C63732" w:rsidRDefault="004A4257" w:rsidP="004A4257">
      <w:pPr>
        <w:pStyle w:val="ListParagraph"/>
        <w:spacing w:after="0" w:line="240" w:lineRule="auto"/>
        <w:ind w:left="567" w:hanging="567"/>
        <w:rPr>
          <w:rFonts w:ascii="Arial" w:hAnsi="Arial" w:cs="Arial"/>
        </w:rPr>
      </w:pPr>
    </w:p>
    <w:p w:rsidR="004A4257" w:rsidRPr="00C63732" w:rsidRDefault="00211E52" w:rsidP="00211E52">
      <w:pPr>
        <w:pStyle w:val="ListParagraph"/>
        <w:spacing w:after="0" w:line="240" w:lineRule="auto"/>
        <w:ind w:left="567" w:hanging="567"/>
        <w:rPr>
          <w:rFonts w:ascii="Arial" w:hAnsi="Arial" w:cs="Arial"/>
        </w:rPr>
      </w:pPr>
      <w:r>
        <w:rPr>
          <w:rFonts w:ascii="Arial" w:hAnsi="Arial" w:cs="Arial"/>
        </w:rPr>
        <w:t>8.2</w:t>
      </w:r>
      <w:r w:rsidR="00C63732">
        <w:rPr>
          <w:rFonts w:ascii="Arial" w:hAnsi="Arial" w:cs="Arial"/>
        </w:rPr>
        <w:t xml:space="preserve"> </w:t>
      </w:r>
      <w:r w:rsidR="00C63732">
        <w:rPr>
          <w:rFonts w:ascii="Arial" w:hAnsi="Arial" w:cs="Arial"/>
        </w:rPr>
        <w:tab/>
      </w:r>
      <w:r w:rsidR="004A4257" w:rsidRPr="00C63732">
        <w:rPr>
          <w:rFonts w:ascii="Arial" w:hAnsi="Arial" w:cs="Arial"/>
        </w:rPr>
        <w:t xml:space="preserve">We have however made it clear to licensed operators that if they are open about any shortcomings, have convincing plans to put things right, are willing to share any learning with the rest of the industry, and to divest themselves of any commercial benefit they may have received from the shortcomings, there may be no need for formal and time-consuming formal regulatory sanctions process. They can pre-empt the need for formal regulatory action by proposing a voluntary settlement covering those aspects, including in particular an agreed public statement so that other operators can make sure they address similar shortcomings immediately and the public can be assured that effective regulatory action is being taken. </w:t>
      </w:r>
      <w:r w:rsidR="00372CE4" w:rsidRPr="00211E52">
        <w:rPr>
          <w:rFonts w:ascii="Arial" w:hAnsi="Arial" w:cs="Arial"/>
        </w:rPr>
        <w:t xml:space="preserve">This helps avoid  formal and time-consuming formal regulatory sanctions process in favour of earlier moves to put things right and ensure the lessons are widely learnt. </w:t>
      </w:r>
      <w:r w:rsidR="00372CE4" w:rsidRPr="00C63732">
        <w:rPr>
          <w:rFonts w:ascii="Arial" w:hAnsi="Arial" w:cs="Arial"/>
        </w:rPr>
        <w:t xml:space="preserve"> </w:t>
      </w:r>
    </w:p>
    <w:p w:rsidR="004A4257" w:rsidRPr="00C63732" w:rsidRDefault="004A4257" w:rsidP="004A4257">
      <w:pPr>
        <w:pStyle w:val="ListParagraph"/>
        <w:spacing w:after="0" w:line="240" w:lineRule="auto"/>
        <w:ind w:left="567" w:hanging="567"/>
        <w:rPr>
          <w:rFonts w:ascii="Arial" w:hAnsi="Arial" w:cs="Arial"/>
        </w:rPr>
      </w:pPr>
    </w:p>
    <w:p w:rsidR="004A4257" w:rsidRDefault="004A4257" w:rsidP="000156C3">
      <w:pPr>
        <w:pStyle w:val="ListParagraph"/>
        <w:numPr>
          <w:ilvl w:val="1"/>
          <w:numId w:val="15"/>
        </w:numPr>
        <w:spacing w:after="0" w:line="240" w:lineRule="auto"/>
        <w:ind w:left="567" w:hanging="567"/>
        <w:rPr>
          <w:rFonts w:ascii="Arial" w:hAnsi="Arial" w:cs="Arial"/>
        </w:rPr>
      </w:pPr>
      <w:r w:rsidRPr="00C63732">
        <w:rPr>
          <w:rFonts w:ascii="Arial" w:hAnsi="Arial" w:cs="Arial"/>
        </w:rPr>
        <w:t>We see transparency about what is expected and performance against those expectations as part of the key to maintaining high</w:t>
      </w:r>
      <w:r w:rsidR="00C63732">
        <w:rPr>
          <w:rFonts w:ascii="Arial" w:hAnsi="Arial" w:cs="Arial"/>
        </w:rPr>
        <w:t xml:space="preserve"> standards and encouraging self-</w:t>
      </w:r>
      <w:r w:rsidRPr="00C63732">
        <w:rPr>
          <w:rFonts w:ascii="Arial" w:hAnsi="Arial" w:cs="Arial"/>
        </w:rPr>
        <w:t>policing on the part of the industry and minimising the regulatory overhead which ultimately the consumer pays for. We consider this approach promotes greater public understanding about what responsible gambling provision looks like and what to expect from the industry and also harnesses the pressure of public opinion in support of more responsible operators. The early indications are that such voluntary settlements and the associated publicity and shared learning is having a beneficial impact on standards and beginning to work as a deterrent.</w:t>
      </w:r>
    </w:p>
    <w:p w:rsidR="00211E52" w:rsidRDefault="00211E52" w:rsidP="00211E52">
      <w:pPr>
        <w:pStyle w:val="ListParagraph"/>
        <w:spacing w:after="0" w:line="240" w:lineRule="auto"/>
        <w:ind w:left="567"/>
        <w:rPr>
          <w:rFonts w:ascii="Arial" w:hAnsi="Arial" w:cs="Arial"/>
        </w:rPr>
      </w:pPr>
    </w:p>
    <w:p w:rsidR="00211E52" w:rsidRDefault="00211E52" w:rsidP="000156C3">
      <w:pPr>
        <w:pStyle w:val="ListParagraph"/>
        <w:numPr>
          <w:ilvl w:val="1"/>
          <w:numId w:val="15"/>
        </w:numPr>
        <w:spacing w:after="0" w:line="240" w:lineRule="auto"/>
        <w:ind w:left="567" w:hanging="567"/>
        <w:rPr>
          <w:rFonts w:ascii="Arial" w:hAnsi="Arial" w:cs="Arial"/>
        </w:rPr>
      </w:pPr>
      <w:r w:rsidRPr="00211E52">
        <w:rPr>
          <w:rFonts w:ascii="Arial" w:hAnsi="Arial" w:cs="Arial"/>
        </w:rPr>
        <w:t xml:space="preserve">As noted above, having oversight and regulatory control of virtually all those providing gambling to our consumers enables the Commission to work with the betting and sports industries to understand better the risks to the licensing objectives from gambling and </w:t>
      </w:r>
      <w:r w:rsidR="00C95B2F">
        <w:rPr>
          <w:rFonts w:ascii="Arial" w:hAnsi="Arial" w:cs="Arial"/>
        </w:rPr>
        <w:t xml:space="preserve">gives the Commission </w:t>
      </w:r>
      <w:r w:rsidRPr="00211E52">
        <w:rPr>
          <w:rFonts w:ascii="Arial" w:hAnsi="Arial" w:cs="Arial"/>
        </w:rPr>
        <w:t>the ability with its licensing leverage to encourage and if necessary impose the development of better tools for players and operators to minimise harm from gambling or its use for crime</w:t>
      </w:r>
      <w:r>
        <w:rPr>
          <w:rFonts w:ascii="Arial" w:hAnsi="Arial" w:cs="Arial"/>
        </w:rPr>
        <w:t>.</w:t>
      </w:r>
      <w:r w:rsidRPr="00211E52">
        <w:rPr>
          <w:rFonts w:ascii="Arial" w:hAnsi="Arial" w:cs="Arial"/>
        </w:rPr>
        <w:t xml:space="preserve">  </w:t>
      </w:r>
    </w:p>
    <w:p w:rsidR="00981E7F" w:rsidRPr="00C63732" w:rsidRDefault="00981E7F" w:rsidP="00981E7F">
      <w:pPr>
        <w:pStyle w:val="ListParagraph"/>
        <w:spacing w:after="0" w:line="240" w:lineRule="auto"/>
        <w:ind w:left="567"/>
        <w:rPr>
          <w:rFonts w:ascii="Arial" w:hAnsi="Arial" w:cs="Arial"/>
        </w:rPr>
      </w:pPr>
    </w:p>
    <w:p w:rsidR="00C42F5E" w:rsidRDefault="00C42F5E" w:rsidP="00C42F5E">
      <w:pPr>
        <w:pStyle w:val="Paranumberblack"/>
        <w:ind w:left="567" w:hanging="567"/>
        <w:jc w:val="right"/>
      </w:pPr>
      <w:r w:rsidRPr="003816A4">
        <w:t xml:space="preserve">Gambling Commission </w:t>
      </w:r>
      <w:r>
        <w:t>November 2015</w:t>
      </w:r>
    </w:p>
    <w:p w:rsidR="00C42F5E" w:rsidRPr="004A2C0C" w:rsidRDefault="00A450DA" w:rsidP="00C42F5E">
      <w:pPr>
        <w:pStyle w:val="Basictext"/>
        <w:ind w:left="567" w:hanging="567"/>
      </w:pPr>
      <w:r>
        <w:pict>
          <v:line id="_x0000_s1027" style="position:absolute;left:0;text-align:left;z-index:251657216" from="-1pt,10.4pt" to="479.95pt,10.4pt" strokeweight="1pt"/>
        </w:pict>
      </w:r>
    </w:p>
    <w:p w:rsidR="00C42F5E" w:rsidRDefault="00C42F5E" w:rsidP="00C42F5E">
      <w:pPr>
        <w:pStyle w:val="Basictext"/>
        <w:ind w:left="567" w:hanging="567"/>
        <w:rPr>
          <w:color w:val="1996B4"/>
        </w:rPr>
      </w:pPr>
    </w:p>
    <w:p w:rsidR="00C42F5E" w:rsidRPr="004B01AC" w:rsidRDefault="00C42F5E" w:rsidP="00C42F5E">
      <w:pPr>
        <w:pStyle w:val="Basictext"/>
        <w:ind w:left="567" w:hanging="567"/>
        <w:jc w:val="center"/>
        <w:rPr>
          <w:color w:val="000000"/>
          <w:sz w:val="32"/>
          <w:szCs w:val="32"/>
        </w:rPr>
      </w:pPr>
      <w:r w:rsidRPr="004B01AC">
        <w:rPr>
          <w:color w:val="000000"/>
          <w:sz w:val="32"/>
          <w:szCs w:val="32"/>
        </w:rPr>
        <w:t>Keeping gambling fair and safe for all</w:t>
      </w:r>
    </w:p>
    <w:p w:rsidR="00C42F5E" w:rsidRPr="004B01AC" w:rsidRDefault="00C42F5E" w:rsidP="00C42F5E">
      <w:pPr>
        <w:pStyle w:val="Basictext"/>
        <w:ind w:left="567" w:hanging="567"/>
        <w:rPr>
          <w:color w:val="000000"/>
        </w:rPr>
      </w:pPr>
    </w:p>
    <w:p w:rsidR="00C42F5E" w:rsidRPr="004B01AC" w:rsidRDefault="00C42F5E" w:rsidP="00C42F5E">
      <w:pPr>
        <w:pStyle w:val="Basictext"/>
        <w:ind w:left="0" w:firstLine="0"/>
        <w:rPr>
          <w:b/>
          <w:color w:val="000000"/>
        </w:rPr>
      </w:pPr>
      <w:r w:rsidRPr="004B01AC">
        <w:rPr>
          <w:color w:val="000000"/>
        </w:rPr>
        <w:t xml:space="preserve">For further information or to register your interest in the Commission please visit our website at: </w:t>
      </w:r>
      <w:r w:rsidRPr="004B01AC">
        <w:rPr>
          <w:b/>
          <w:color w:val="000000"/>
        </w:rPr>
        <w:t>www.gamblingcommission.gov.uk</w:t>
      </w:r>
    </w:p>
    <w:p w:rsidR="00C42F5E" w:rsidRPr="004B01AC" w:rsidRDefault="00C42F5E" w:rsidP="00C42F5E">
      <w:pPr>
        <w:pStyle w:val="Basictext"/>
        <w:ind w:left="567" w:hanging="567"/>
        <w:rPr>
          <w:color w:val="000000"/>
        </w:rPr>
      </w:pPr>
    </w:p>
    <w:p w:rsidR="00C42F5E" w:rsidRPr="004B01AC" w:rsidRDefault="00C42F5E" w:rsidP="006D64D3">
      <w:pPr>
        <w:pStyle w:val="Basictext"/>
        <w:ind w:left="567" w:hanging="567"/>
        <w:jc w:val="center"/>
        <w:rPr>
          <w:color w:val="000000"/>
        </w:rPr>
      </w:pPr>
      <w:r w:rsidRPr="004B01AC">
        <w:rPr>
          <w:color w:val="000000"/>
        </w:rPr>
        <w:t>Victoria Square House</w:t>
      </w:r>
      <w:r w:rsidR="006D64D3">
        <w:rPr>
          <w:color w:val="000000"/>
        </w:rPr>
        <w:t xml:space="preserve"> </w:t>
      </w:r>
      <w:r w:rsidR="006D64D3">
        <w:rPr>
          <w:color w:val="000000"/>
        </w:rPr>
        <w:sym w:font="Symbol" w:char="F0B7"/>
      </w:r>
      <w:r w:rsidR="006D64D3">
        <w:rPr>
          <w:color w:val="000000"/>
        </w:rPr>
        <w:t xml:space="preserve"> </w:t>
      </w:r>
      <w:r w:rsidRPr="004B01AC">
        <w:rPr>
          <w:color w:val="000000"/>
        </w:rPr>
        <w:t>Victoria Square</w:t>
      </w:r>
      <w:r w:rsidR="006D64D3">
        <w:rPr>
          <w:color w:val="000000"/>
        </w:rPr>
        <w:t xml:space="preserve"> </w:t>
      </w:r>
      <w:r w:rsidR="006D64D3">
        <w:rPr>
          <w:color w:val="000000"/>
        </w:rPr>
        <w:sym w:font="Symbol" w:char="F0B7"/>
      </w:r>
      <w:r w:rsidR="006D64D3">
        <w:rPr>
          <w:color w:val="000000"/>
        </w:rPr>
        <w:t xml:space="preserve"> </w:t>
      </w:r>
      <w:r w:rsidRPr="004B01AC">
        <w:rPr>
          <w:color w:val="000000"/>
        </w:rPr>
        <w:t>Birmingham B2 4BP</w:t>
      </w:r>
      <w:r w:rsidR="006D64D3">
        <w:rPr>
          <w:color w:val="000000"/>
        </w:rPr>
        <w:br/>
      </w:r>
      <w:r w:rsidRPr="004B01AC">
        <w:rPr>
          <w:b/>
          <w:color w:val="000000"/>
        </w:rPr>
        <w:t>T</w:t>
      </w:r>
      <w:r w:rsidRPr="004B01AC">
        <w:rPr>
          <w:color w:val="000000"/>
        </w:rPr>
        <w:t xml:space="preserve"> 0121 230 6666</w:t>
      </w:r>
      <w:r w:rsidR="006D64D3">
        <w:rPr>
          <w:color w:val="000000"/>
        </w:rPr>
        <w:t xml:space="preserve"> </w:t>
      </w:r>
      <w:r w:rsidR="006D64D3">
        <w:rPr>
          <w:color w:val="000000"/>
        </w:rPr>
        <w:sym w:font="Symbol" w:char="F0B7"/>
      </w:r>
      <w:r w:rsidR="006D64D3">
        <w:rPr>
          <w:color w:val="000000"/>
        </w:rPr>
        <w:t xml:space="preserve"> </w:t>
      </w:r>
      <w:r w:rsidRPr="004B01AC">
        <w:rPr>
          <w:b/>
          <w:color w:val="000000"/>
        </w:rPr>
        <w:t>F</w:t>
      </w:r>
      <w:r w:rsidRPr="004B01AC">
        <w:rPr>
          <w:color w:val="000000"/>
        </w:rPr>
        <w:t xml:space="preserve"> 0121 230 6720</w:t>
      </w:r>
      <w:r w:rsidR="006D64D3">
        <w:rPr>
          <w:color w:val="000000"/>
        </w:rPr>
        <w:t xml:space="preserve"> </w:t>
      </w:r>
      <w:r w:rsidR="006D64D3">
        <w:rPr>
          <w:color w:val="000000"/>
        </w:rPr>
        <w:sym w:font="Symbol" w:char="F0B7"/>
      </w:r>
      <w:r w:rsidR="006D64D3">
        <w:rPr>
          <w:color w:val="000000"/>
        </w:rPr>
        <w:t xml:space="preserve"> </w:t>
      </w:r>
      <w:r w:rsidRPr="004B01AC">
        <w:rPr>
          <w:b/>
          <w:color w:val="000000"/>
        </w:rPr>
        <w:t>E</w:t>
      </w:r>
      <w:r w:rsidRPr="004B01AC">
        <w:rPr>
          <w:color w:val="000000"/>
        </w:rPr>
        <w:t xml:space="preserve"> info@gamblingcommission.gov.uk</w:t>
      </w:r>
    </w:p>
    <w:p w:rsidR="004A4257" w:rsidRPr="004B4958" w:rsidRDefault="004A4257" w:rsidP="004B4958">
      <w:pPr>
        <w:ind w:left="567" w:hanging="567"/>
        <w:rPr>
          <w:rFonts w:ascii="Arial" w:hAnsi="Arial" w:cs="Arial"/>
          <w:b/>
          <w:sz w:val="32"/>
          <w:szCs w:val="32"/>
        </w:rPr>
      </w:pPr>
      <w:r>
        <w:rPr>
          <w:rFonts w:ascii="Arial" w:hAnsi="Arial" w:cs="Arial"/>
          <w:color w:val="1F497D"/>
        </w:rPr>
        <w:br w:type="page"/>
      </w:r>
      <w:r w:rsidRPr="004B4958">
        <w:rPr>
          <w:rFonts w:ascii="Arial" w:hAnsi="Arial" w:cs="Arial"/>
          <w:b/>
          <w:sz w:val="32"/>
          <w:szCs w:val="32"/>
        </w:rPr>
        <w:lastRenderedPageBreak/>
        <w:t>Annex 1:</w:t>
      </w:r>
      <w:r w:rsidR="00C42F5E" w:rsidRPr="004B4958">
        <w:rPr>
          <w:b/>
          <w:sz w:val="32"/>
          <w:szCs w:val="32"/>
        </w:rPr>
        <w:t xml:space="preserve"> </w:t>
      </w:r>
      <w:r w:rsidRPr="004B4958">
        <w:rPr>
          <w:rFonts w:ascii="Arial" w:hAnsi="Arial" w:cs="Arial"/>
          <w:b/>
          <w:sz w:val="32"/>
          <w:szCs w:val="32"/>
        </w:rPr>
        <w:t>Trends in online betting</w:t>
      </w:r>
    </w:p>
    <w:p w:rsidR="004A4257" w:rsidRPr="00C42F5E" w:rsidRDefault="004A4257" w:rsidP="004A4257">
      <w:pPr>
        <w:ind w:left="567" w:hanging="567"/>
        <w:rPr>
          <w:rFonts w:ascii="Arial" w:hAnsi="Arial" w:cs="Arial"/>
        </w:rPr>
      </w:pPr>
    </w:p>
    <w:p w:rsidR="004A4257" w:rsidRDefault="00D7448F" w:rsidP="00C42F5E">
      <w:pPr>
        <w:rPr>
          <w:rFonts w:ascii="Arial" w:hAnsi="Arial" w:cs="Arial"/>
          <w:sz w:val="22"/>
          <w:szCs w:val="22"/>
        </w:rPr>
      </w:pPr>
      <w:r>
        <w:rPr>
          <w:rFonts w:ascii="Arial" w:hAnsi="Arial" w:cs="Arial"/>
          <w:sz w:val="22"/>
          <w:szCs w:val="22"/>
        </w:rPr>
        <w:t xml:space="preserve">From </w:t>
      </w:r>
      <w:r w:rsidR="004A4257" w:rsidRPr="00C42F5E">
        <w:rPr>
          <w:rFonts w:ascii="Arial" w:hAnsi="Arial" w:cs="Arial"/>
          <w:sz w:val="22"/>
          <w:szCs w:val="22"/>
        </w:rPr>
        <w:t>September 2013</w:t>
      </w:r>
      <w:r w:rsidR="00A178B4">
        <w:rPr>
          <w:rFonts w:ascii="Arial" w:hAnsi="Arial" w:cs="Arial"/>
          <w:sz w:val="22"/>
          <w:szCs w:val="22"/>
        </w:rPr>
        <w:t xml:space="preserve"> to September 2015</w:t>
      </w:r>
      <w:r w:rsidR="00A178B4" w:rsidRPr="00A178B4">
        <w:rPr>
          <w:rFonts w:ascii="Arial" w:hAnsi="Arial" w:cs="Arial"/>
          <w:sz w:val="22"/>
          <w:szCs w:val="22"/>
        </w:rPr>
        <w:t xml:space="preserve"> </w:t>
      </w:r>
      <w:r w:rsidR="00A178B4">
        <w:rPr>
          <w:rFonts w:ascii="Arial" w:hAnsi="Arial" w:cs="Arial"/>
          <w:sz w:val="22"/>
          <w:szCs w:val="22"/>
        </w:rPr>
        <w:t>o</w:t>
      </w:r>
      <w:r w:rsidR="00A178B4" w:rsidRPr="00C42F5E">
        <w:rPr>
          <w:rFonts w:ascii="Arial" w:hAnsi="Arial" w:cs="Arial"/>
          <w:sz w:val="22"/>
          <w:szCs w:val="22"/>
        </w:rPr>
        <w:t>verall rates of participation in betting have remained relatively stable</w:t>
      </w:r>
      <w:r w:rsidR="004A4257" w:rsidRPr="00C42F5E">
        <w:rPr>
          <w:rFonts w:ascii="Arial" w:hAnsi="Arial" w:cs="Arial"/>
          <w:sz w:val="22"/>
          <w:szCs w:val="22"/>
        </w:rPr>
        <w:t xml:space="preserve">, as shown in the table below: </w:t>
      </w:r>
    </w:p>
    <w:p w:rsidR="00C42F5E" w:rsidRPr="00C42F5E" w:rsidRDefault="00C42F5E" w:rsidP="004A4257">
      <w:pPr>
        <w:ind w:left="567" w:hanging="567"/>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2310"/>
        <w:gridCol w:w="2311"/>
        <w:gridCol w:w="2311"/>
      </w:tblGrid>
      <w:tr w:rsidR="004A4257" w:rsidRPr="00C42F5E" w:rsidTr="004A4257">
        <w:tc>
          <w:tcPr>
            <w:tcW w:w="2202" w:type="dxa"/>
          </w:tcPr>
          <w:p w:rsidR="004A4257" w:rsidRPr="00C42F5E" w:rsidRDefault="004A4257" w:rsidP="004A4257">
            <w:pPr>
              <w:tabs>
                <w:tab w:val="center" w:pos="4320"/>
                <w:tab w:val="right" w:pos="8640"/>
              </w:tabs>
              <w:ind w:left="567" w:hanging="567"/>
              <w:rPr>
                <w:rFonts w:ascii="Arial" w:hAnsi="Arial" w:cs="Arial"/>
                <w:b/>
                <w:sz w:val="22"/>
                <w:szCs w:val="22"/>
              </w:rPr>
            </w:pPr>
            <w:r w:rsidRPr="00C42F5E">
              <w:rPr>
                <w:rFonts w:ascii="Arial" w:hAnsi="Arial" w:cs="Arial"/>
                <w:b/>
                <w:sz w:val="22"/>
                <w:szCs w:val="22"/>
              </w:rPr>
              <w:t>Betting activity</w:t>
            </w:r>
          </w:p>
        </w:tc>
        <w:tc>
          <w:tcPr>
            <w:tcW w:w="2310" w:type="dxa"/>
          </w:tcPr>
          <w:p w:rsidR="004A4257" w:rsidRPr="00C42F5E" w:rsidRDefault="004A4257" w:rsidP="004A4257">
            <w:pPr>
              <w:tabs>
                <w:tab w:val="center" w:pos="4320"/>
                <w:tab w:val="right" w:pos="8640"/>
              </w:tabs>
              <w:ind w:left="567" w:hanging="567"/>
              <w:rPr>
                <w:rFonts w:ascii="Arial" w:hAnsi="Arial" w:cs="Arial"/>
                <w:b/>
                <w:sz w:val="22"/>
                <w:szCs w:val="22"/>
              </w:rPr>
            </w:pPr>
            <w:r w:rsidRPr="00C42F5E">
              <w:rPr>
                <w:rFonts w:ascii="Arial" w:hAnsi="Arial" w:cs="Arial"/>
                <w:b/>
                <w:sz w:val="22"/>
                <w:szCs w:val="22"/>
              </w:rPr>
              <w:t>Year to September 2013 (%)</w:t>
            </w:r>
          </w:p>
        </w:tc>
        <w:tc>
          <w:tcPr>
            <w:tcW w:w="2311" w:type="dxa"/>
          </w:tcPr>
          <w:p w:rsidR="004A4257" w:rsidRPr="00C42F5E" w:rsidRDefault="004A4257" w:rsidP="004A4257">
            <w:pPr>
              <w:tabs>
                <w:tab w:val="center" w:pos="4320"/>
                <w:tab w:val="right" w:pos="8640"/>
              </w:tabs>
              <w:ind w:left="567" w:hanging="567"/>
              <w:rPr>
                <w:rFonts w:ascii="Arial" w:hAnsi="Arial" w:cs="Arial"/>
                <w:b/>
                <w:sz w:val="22"/>
                <w:szCs w:val="22"/>
              </w:rPr>
            </w:pPr>
            <w:r w:rsidRPr="00C42F5E">
              <w:rPr>
                <w:rFonts w:ascii="Arial" w:hAnsi="Arial" w:cs="Arial"/>
                <w:b/>
                <w:sz w:val="22"/>
                <w:szCs w:val="22"/>
              </w:rPr>
              <w:t>Year to September 2014 (%)</w:t>
            </w:r>
          </w:p>
        </w:tc>
        <w:tc>
          <w:tcPr>
            <w:tcW w:w="2311" w:type="dxa"/>
          </w:tcPr>
          <w:p w:rsidR="004A4257" w:rsidRPr="00C42F5E" w:rsidRDefault="004A4257" w:rsidP="004A4257">
            <w:pPr>
              <w:tabs>
                <w:tab w:val="center" w:pos="4320"/>
                <w:tab w:val="right" w:pos="8640"/>
              </w:tabs>
              <w:ind w:left="567" w:hanging="567"/>
              <w:rPr>
                <w:rFonts w:ascii="Arial" w:hAnsi="Arial" w:cs="Arial"/>
                <w:b/>
                <w:sz w:val="22"/>
                <w:szCs w:val="22"/>
              </w:rPr>
            </w:pPr>
            <w:r w:rsidRPr="00C42F5E">
              <w:rPr>
                <w:rFonts w:ascii="Arial" w:hAnsi="Arial" w:cs="Arial"/>
                <w:b/>
                <w:sz w:val="22"/>
                <w:szCs w:val="22"/>
              </w:rPr>
              <w:t>Year to September 2015 (%)</w:t>
            </w:r>
          </w:p>
        </w:tc>
      </w:tr>
      <w:tr w:rsidR="004A4257" w:rsidRPr="00C42F5E" w:rsidTr="004A4257">
        <w:tc>
          <w:tcPr>
            <w:tcW w:w="2202" w:type="dxa"/>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Horses</w:t>
            </w:r>
          </w:p>
        </w:tc>
        <w:tc>
          <w:tcPr>
            <w:tcW w:w="2310"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4</w:t>
            </w:r>
          </w:p>
        </w:tc>
        <w:tc>
          <w:tcPr>
            <w:tcW w:w="2311"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7</w:t>
            </w:r>
            <w:r w:rsidRPr="00C42F5E">
              <w:rPr>
                <w:rStyle w:val="FootnoteReference"/>
                <w:rFonts w:ascii="Arial" w:hAnsi="Arial" w:cs="Arial"/>
                <w:sz w:val="22"/>
                <w:szCs w:val="22"/>
              </w:rPr>
              <w:footnoteReference w:id="20"/>
            </w:r>
          </w:p>
        </w:tc>
        <w:tc>
          <w:tcPr>
            <w:tcW w:w="2311"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4</w:t>
            </w:r>
          </w:p>
        </w:tc>
      </w:tr>
      <w:tr w:rsidR="004A4257" w:rsidRPr="00C42F5E" w:rsidTr="004A4257">
        <w:tc>
          <w:tcPr>
            <w:tcW w:w="2202" w:type="dxa"/>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Dogs</w:t>
            </w:r>
          </w:p>
        </w:tc>
        <w:tc>
          <w:tcPr>
            <w:tcW w:w="2310"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0.7</w:t>
            </w:r>
          </w:p>
        </w:tc>
        <w:tc>
          <w:tcPr>
            <w:tcW w:w="2311"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0.5</w:t>
            </w:r>
          </w:p>
        </w:tc>
        <w:tc>
          <w:tcPr>
            <w:tcW w:w="2311"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1</w:t>
            </w:r>
          </w:p>
        </w:tc>
      </w:tr>
      <w:tr w:rsidR="004A4257" w:rsidRPr="00C42F5E" w:rsidTr="004A4257">
        <w:tc>
          <w:tcPr>
            <w:tcW w:w="2202" w:type="dxa"/>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Sports</w:t>
            </w:r>
          </w:p>
        </w:tc>
        <w:tc>
          <w:tcPr>
            <w:tcW w:w="2310"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4</w:t>
            </w:r>
          </w:p>
        </w:tc>
        <w:tc>
          <w:tcPr>
            <w:tcW w:w="2311"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4</w:t>
            </w:r>
          </w:p>
        </w:tc>
        <w:tc>
          <w:tcPr>
            <w:tcW w:w="2311"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4</w:t>
            </w:r>
          </w:p>
        </w:tc>
      </w:tr>
      <w:tr w:rsidR="004A4257" w:rsidRPr="00C42F5E" w:rsidTr="004A4257">
        <w:tc>
          <w:tcPr>
            <w:tcW w:w="2202" w:type="dxa"/>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Other events</w:t>
            </w:r>
            <w:r w:rsidRPr="00C42F5E">
              <w:rPr>
                <w:rStyle w:val="FootnoteReference"/>
                <w:rFonts w:ascii="Arial" w:hAnsi="Arial" w:cs="Arial"/>
                <w:sz w:val="22"/>
                <w:szCs w:val="22"/>
              </w:rPr>
              <w:footnoteReference w:id="21"/>
            </w:r>
          </w:p>
        </w:tc>
        <w:tc>
          <w:tcPr>
            <w:tcW w:w="2310"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1</w:t>
            </w:r>
          </w:p>
        </w:tc>
        <w:tc>
          <w:tcPr>
            <w:tcW w:w="2311"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1</w:t>
            </w:r>
          </w:p>
        </w:tc>
        <w:tc>
          <w:tcPr>
            <w:tcW w:w="2311" w:type="dxa"/>
            <w:vAlign w:val="center"/>
          </w:tcPr>
          <w:p w:rsidR="004A4257" w:rsidRPr="00C42F5E" w:rsidRDefault="004A4257" w:rsidP="004A4257">
            <w:pPr>
              <w:tabs>
                <w:tab w:val="center" w:pos="4320"/>
                <w:tab w:val="right" w:pos="8640"/>
              </w:tabs>
              <w:ind w:left="567" w:hanging="567"/>
              <w:rPr>
                <w:rFonts w:ascii="Arial" w:hAnsi="Arial" w:cs="Arial"/>
                <w:sz w:val="22"/>
                <w:szCs w:val="22"/>
              </w:rPr>
            </w:pPr>
            <w:r w:rsidRPr="00C42F5E">
              <w:rPr>
                <w:rFonts w:ascii="Arial" w:hAnsi="Arial" w:cs="Arial"/>
                <w:sz w:val="22"/>
                <w:szCs w:val="22"/>
              </w:rPr>
              <w:t>1</w:t>
            </w:r>
          </w:p>
        </w:tc>
      </w:tr>
    </w:tbl>
    <w:p w:rsidR="004A4257" w:rsidRPr="00C42F5E" w:rsidRDefault="004A4257" w:rsidP="004A4257">
      <w:pPr>
        <w:ind w:left="567" w:hanging="567"/>
        <w:rPr>
          <w:rFonts w:ascii="Arial" w:hAnsi="Arial" w:cs="Arial"/>
          <w:sz w:val="22"/>
          <w:szCs w:val="22"/>
        </w:rPr>
      </w:pPr>
    </w:p>
    <w:p w:rsidR="004A4257" w:rsidRDefault="004A4257" w:rsidP="00C42F5E">
      <w:pPr>
        <w:rPr>
          <w:rFonts w:ascii="Arial" w:hAnsi="Arial" w:cs="Arial"/>
          <w:sz w:val="22"/>
          <w:szCs w:val="22"/>
        </w:rPr>
      </w:pPr>
      <w:r w:rsidRPr="00C42F5E">
        <w:rPr>
          <w:rFonts w:ascii="Arial" w:hAnsi="Arial" w:cs="Arial"/>
          <w:sz w:val="22"/>
          <w:szCs w:val="22"/>
        </w:rPr>
        <w:t>The earlier surveys were conducted with very different methodologies but</w:t>
      </w:r>
      <w:r w:rsidR="00A178B4">
        <w:rPr>
          <w:rFonts w:ascii="Arial" w:hAnsi="Arial" w:cs="Arial"/>
          <w:sz w:val="22"/>
          <w:szCs w:val="22"/>
        </w:rPr>
        <w:t>,</w:t>
      </w:r>
      <w:r w:rsidRPr="00C42F5E">
        <w:rPr>
          <w:rFonts w:ascii="Arial" w:hAnsi="Arial" w:cs="Arial"/>
          <w:sz w:val="22"/>
          <w:szCs w:val="22"/>
        </w:rPr>
        <w:t xml:space="preserve"> allowing for that</w:t>
      </w:r>
      <w:r w:rsidR="00A178B4">
        <w:rPr>
          <w:rFonts w:ascii="Arial" w:hAnsi="Arial" w:cs="Arial"/>
          <w:sz w:val="22"/>
          <w:szCs w:val="22"/>
        </w:rPr>
        <w:t>,</w:t>
      </w:r>
      <w:r w:rsidRPr="00C42F5E">
        <w:rPr>
          <w:rFonts w:ascii="Arial" w:hAnsi="Arial" w:cs="Arial"/>
          <w:sz w:val="22"/>
          <w:szCs w:val="22"/>
        </w:rPr>
        <w:t xml:space="preserve"> there appears to have been little shift in terms of the rates of online betting and gambling between 2007 and 2012 – 3% flat for gambling and 4% moving to 5% for betting.</w:t>
      </w:r>
    </w:p>
    <w:p w:rsidR="00C42F5E" w:rsidRPr="00C42F5E" w:rsidRDefault="00C42F5E" w:rsidP="00C42F5E">
      <w:pPr>
        <w:rPr>
          <w:rFonts w:ascii="Arial" w:hAnsi="Arial" w:cs="Arial"/>
          <w:sz w:val="22"/>
          <w:szCs w:val="22"/>
        </w:rPr>
      </w:pPr>
    </w:p>
    <w:p w:rsidR="004A4257" w:rsidRDefault="004A4257" w:rsidP="00C42F5E">
      <w:pPr>
        <w:rPr>
          <w:rFonts w:ascii="Arial" w:hAnsi="Arial" w:cs="Arial"/>
          <w:sz w:val="22"/>
          <w:szCs w:val="22"/>
        </w:rPr>
      </w:pPr>
      <w:r w:rsidRPr="00C42F5E">
        <w:rPr>
          <w:rFonts w:ascii="Arial" w:hAnsi="Arial" w:cs="Arial"/>
          <w:sz w:val="22"/>
          <w:szCs w:val="22"/>
        </w:rPr>
        <w:t xml:space="preserve">There is a mixed picture in terms of trends in mode of participation across betting activities across this period. For the more traditional betting activities (betting on horses or dogs) splits of mode of participation have remained relatively consistent with no apparent shift towards online play. There has however been a move towards online play for betting on sports and betting on events. Online past four week participation in sports betting has increased from 55% of those that bet on sports in the year to September 2013 to 63% in year to September 2015. A greater shift has been seen amongst those that bet on </w:t>
      </w:r>
      <w:r w:rsidR="00A178B4">
        <w:rPr>
          <w:rFonts w:ascii="Arial" w:hAnsi="Arial" w:cs="Arial"/>
          <w:sz w:val="22"/>
          <w:szCs w:val="22"/>
        </w:rPr>
        <w:t>‘</w:t>
      </w:r>
      <w:r w:rsidRPr="00C42F5E">
        <w:rPr>
          <w:rFonts w:ascii="Arial" w:hAnsi="Arial" w:cs="Arial"/>
          <w:sz w:val="22"/>
          <w:szCs w:val="22"/>
        </w:rPr>
        <w:t>other</w:t>
      </w:r>
      <w:r w:rsidR="00A178B4">
        <w:rPr>
          <w:rFonts w:ascii="Arial" w:hAnsi="Arial" w:cs="Arial"/>
          <w:sz w:val="22"/>
          <w:szCs w:val="22"/>
        </w:rPr>
        <w:t>’ events</w:t>
      </w:r>
      <w:r w:rsidRPr="00C42F5E">
        <w:rPr>
          <w:rFonts w:ascii="Arial" w:hAnsi="Arial" w:cs="Arial"/>
          <w:sz w:val="22"/>
          <w:szCs w:val="22"/>
        </w:rPr>
        <w:t xml:space="preserve">; with the percentage of online players rising from 45% to 59% across the same period. This increase in online play appears to be substitution for </w:t>
      </w:r>
      <w:r w:rsidR="00A178B4">
        <w:rPr>
          <w:rFonts w:ascii="Arial" w:hAnsi="Arial" w:cs="Arial"/>
          <w:sz w:val="22"/>
          <w:szCs w:val="22"/>
        </w:rPr>
        <w:t xml:space="preserve">non-remote </w:t>
      </w:r>
      <w:r w:rsidRPr="00C42F5E">
        <w:rPr>
          <w:rFonts w:ascii="Arial" w:hAnsi="Arial" w:cs="Arial"/>
          <w:sz w:val="22"/>
          <w:szCs w:val="22"/>
        </w:rPr>
        <w:t>play as play rates</w:t>
      </w:r>
      <w:r w:rsidR="00A178B4">
        <w:rPr>
          <w:rFonts w:ascii="Arial" w:hAnsi="Arial" w:cs="Arial"/>
          <w:sz w:val="22"/>
          <w:szCs w:val="22"/>
        </w:rPr>
        <w:t xml:space="preserve"> for the </w:t>
      </w:r>
      <w:r w:rsidR="00455E5F">
        <w:rPr>
          <w:rFonts w:ascii="Arial" w:hAnsi="Arial" w:cs="Arial"/>
          <w:sz w:val="22"/>
          <w:szCs w:val="22"/>
        </w:rPr>
        <w:t xml:space="preserve">latter </w:t>
      </w:r>
      <w:r w:rsidR="00455E5F" w:rsidRPr="00C42F5E">
        <w:rPr>
          <w:rFonts w:ascii="Arial" w:hAnsi="Arial" w:cs="Arial"/>
          <w:sz w:val="22"/>
          <w:szCs w:val="22"/>
        </w:rPr>
        <w:t>have</w:t>
      </w:r>
      <w:r w:rsidRPr="00C42F5E">
        <w:rPr>
          <w:rFonts w:ascii="Arial" w:hAnsi="Arial" w:cs="Arial"/>
          <w:sz w:val="22"/>
          <w:szCs w:val="22"/>
        </w:rPr>
        <w:t xml:space="preserve"> fallen for both activities (50% to 40% for sports betting, 67% to 48% for betting on </w:t>
      </w:r>
      <w:r w:rsidR="00A178B4">
        <w:rPr>
          <w:rFonts w:ascii="Arial" w:hAnsi="Arial" w:cs="Arial"/>
          <w:sz w:val="22"/>
          <w:szCs w:val="22"/>
        </w:rPr>
        <w:t>‘</w:t>
      </w:r>
      <w:r w:rsidRPr="00C42F5E">
        <w:rPr>
          <w:rFonts w:ascii="Arial" w:hAnsi="Arial" w:cs="Arial"/>
          <w:sz w:val="22"/>
          <w:szCs w:val="22"/>
        </w:rPr>
        <w:t>other</w:t>
      </w:r>
      <w:r w:rsidR="00A178B4">
        <w:rPr>
          <w:rFonts w:ascii="Arial" w:hAnsi="Arial" w:cs="Arial"/>
          <w:sz w:val="22"/>
          <w:szCs w:val="22"/>
        </w:rPr>
        <w:t>’</w:t>
      </w:r>
      <w:r w:rsidRPr="00C42F5E">
        <w:rPr>
          <w:rFonts w:ascii="Arial" w:hAnsi="Arial" w:cs="Arial"/>
          <w:sz w:val="22"/>
          <w:szCs w:val="22"/>
        </w:rPr>
        <w:t xml:space="preserve"> events). </w:t>
      </w:r>
    </w:p>
    <w:p w:rsidR="00C42F5E" w:rsidRPr="00C42F5E" w:rsidRDefault="00C42F5E" w:rsidP="00C42F5E">
      <w:pPr>
        <w:rPr>
          <w:rFonts w:ascii="Arial" w:hAnsi="Arial" w:cs="Arial"/>
          <w:sz w:val="22"/>
          <w:szCs w:val="22"/>
        </w:rPr>
      </w:pPr>
    </w:p>
    <w:p w:rsidR="00C42F5E" w:rsidRDefault="004A4257" w:rsidP="00C42F5E">
      <w:pPr>
        <w:rPr>
          <w:rFonts w:ascii="Arial" w:hAnsi="Arial" w:cs="Arial"/>
          <w:sz w:val="22"/>
          <w:szCs w:val="22"/>
        </w:rPr>
      </w:pPr>
      <w:r w:rsidRPr="00C42F5E">
        <w:rPr>
          <w:rFonts w:ascii="Arial" w:hAnsi="Arial" w:cs="Arial"/>
          <w:sz w:val="22"/>
          <w:szCs w:val="22"/>
        </w:rPr>
        <w:t xml:space="preserve">In addition to the survey data we collect we also now receive information via regulatory returns on the proportions of GGY which are attributable to mobile and in-play betting. </w:t>
      </w:r>
      <w:r w:rsidR="00C06042" w:rsidRPr="00C06042">
        <w:rPr>
          <w:rFonts w:ascii="Arial" w:hAnsi="Arial" w:cs="Arial"/>
          <w:sz w:val="22"/>
          <w:szCs w:val="22"/>
        </w:rPr>
        <w:t xml:space="preserve">Data from </w:t>
      </w:r>
      <w:proofErr w:type="gramStart"/>
      <w:r w:rsidR="00C06042" w:rsidRPr="00C06042">
        <w:rPr>
          <w:rFonts w:ascii="Arial" w:hAnsi="Arial" w:cs="Arial"/>
          <w:sz w:val="22"/>
          <w:szCs w:val="22"/>
        </w:rPr>
        <w:t>operators</w:t>
      </w:r>
      <w:proofErr w:type="gramEnd"/>
      <w:r w:rsidR="00C06042" w:rsidRPr="00C06042">
        <w:rPr>
          <w:rFonts w:ascii="Arial" w:hAnsi="Arial" w:cs="Arial"/>
          <w:sz w:val="22"/>
          <w:szCs w:val="22"/>
        </w:rPr>
        <w:t xml:space="preserve"> </w:t>
      </w:r>
      <w:r w:rsidRPr="00C42F5E">
        <w:rPr>
          <w:rFonts w:ascii="Arial" w:hAnsi="Arial" w:cs="Arial"/>
          <w:sz w:val="22"/>
          <w:szCs w:val="22"/>
        </w:rPr>
        <w:t>show</w:t>
      </w:r>
      <w:r w:rsidR="00C06042">
        <w:rPr>
          <w:rFonts w:ascii="Arial" w:hAnsi="Arial" w:cs="Arial"/>
          <w:sz w:val="22"/>
          <w:szCs w:val="22"/>
        </w:rPr>
        <w:t>s</w:t>
      </w:r>
      <w:r w:rsidRPr="00C42F5E">
        <w:rPr>
          <w:rFonts w:ascii="Arial" w:hAnsi="Arial" w:cs="Arial"/>
          <w:sz w:val="22"/>
          <w:szCs w:val="22"/>
        </w:rPr>
        <w:t xml:space="preserve"> that in-play betting constitutes 49% of all betting GGY generated whilst mobile play constitutes 48% of all gambling GGY. </w:t>
      </w:r>
    </w:p>
    <w:p w:rsidR="00C42F5E" w:rsidRDefault="00C42F5E" w:rsidP="00C42F5E">
      <w:pPr>
        <w:rPr>
          <w:rFonts w:ascii="Arial" w:hAnsi="Arial" w:cs="Arial"/>
          <w:sz w:val="22"/>
          <w:szCs w:val="22"/>
        </w:rPr>
      </w:pPr>
    </w:p>
    <w:p w:rsidR="004A4257" w:rsidRPr="00C42F5E" w:rsidRDefault="004A4257" w:rsidP="00C42F5E">
      <w:pPr>
        <w:rPr>
          <w:rFonts w:ascii="Arial" w:hAnsi="Arial" w:cs="Arial"/>
          <w:sz w:val="22"/>
          <w:szCs w:val="22"/>
        </w:rPr>
      </w:pPr>
      <w:r w:rsidRPr="00C42F5E">
        <w:rPr>
          <w:rFonts w:ascii="Arial" w:hAnsi="Arial" w:cs="Arial"/>
          <w:sz w:val="22"/>
          <w:szCs w:val="22"/>
        </w:rPr>
        <w:t xml:space="preserve">While we do not have comparable figures for earlier </w:t>
      </w:r>
      <w:r w:rsidR="00C06042" w:rsidRPr="00C42F5E">
        <w:rPr>
          <w:rFonts w:ascii="Arial" w:hAnsi="Arial" w:cs="Arial"/>
          <w:sz w:val="22"/>
          <w:szCs w:val="22"/>
        </w:rPr>
        <w:t>years as</w:t>
      </w:r>
      <w:r w:rsidRPr="00C42F5E">
        <w:rPr>
          <w:rFonts w:ascii="Arial" w:hAnsi="Arial" w:cs="Arial"/>
          <w:sz w:val="22"/>
          <w:szCs w:val="22"/>
        </w:rPr>
        <w:t xml:space="preserve"> our regulatory returns only covered those operators licensed by the Commission, it was clear from </w:t>
      </w:r>
      <w:r w:rsidR="00C06042" w:rsidRPr="00C42F5E">
        <w:rPr>
          <w:rFonts w:ascii="Arial" w:hAnsi="Arial" w:cs="Arial"/>
          <w:sz w:val="22"/>
          <w:szCs w:val="22"/>
        </w:rPr>
        <w:t>analysts’</w:t>
      </w:r>
      <w:r w:rsidRPr="00C42F5E">
        <w:rPr>
          <w:rFonts w:ascii="Arial" w:hAnsi="Arial" w:cs="Arial"/>
          <w:sz w:val="22"/>
          <w:szCs w:val="22"/>
        </w:rPr>
        <w:t xml:space="preserve"> reports and industry commentators that in play betting was well established by 2007 and growing since then. The use of mobiles and tablets for gambling developed along with smart phones and fast broad band coverage and some major operators have indicated by the time the 2014 Act came into effect a substantial proportion of their worldwide betting revenue came from in play betting and from mobiles.</w:t>
      </w:r>
    </w:p>
    <w:p w:rsidR="004A4257" w:rsidRPr="00C42F5E" w:rsidRDefault="004A4257" w:rsidP="004A4257">
      <w:pPr>
        <w:pStyle w:val="Heading2"/>
        <w:spacing w:before="0" w:after="0"/>
        <w:ind w:left="567" w:hanging="567"/>
      </w:pPr>
    </w:p>
    <w:p w:rsidR="004A4257" w:rsidRPr="00C42F5E" w:rsidRDefault="004A4257" w:rsidP="004A4257">
      <w:pPr>
        <w:pStyle w:val="Heading2"/>
        <w:spacing w:before="0" w:after="0"/>
        <w:ind w:left="567" w:hanging="567"/>
        <w:rPr>
          <w:i w:val="0"/>
          <w:sz w:val="32"/>
          <w:szCs w:val="32"/>
        </w:rPr>
      </w:pPr>
      <w:r w:rsidRPr="00C42F5E">
        <w:rPr>
          <w:i w:val="0"/>
          <w:sz w:val="32"/>
          <w:szCs w:val="32"/>
        </w:rPr>
        <w:t>Profiling those who bet online</w:t>
      </w:r>
    </w:p>
    <w:p w:rsidR="004A4257" w:rsidRPr="00C42F5E" w:rsidRDefault="004A4257" w:rsidP="004A4257">
      <w:pPr>
        <w:ind w:left="567" w:hanging="567"/>
        <w:rPr>
          <w:rFonts w:ascii="Arial" w:hAnsi="Arial" w:cs="Arial"/>
        </w:rPr>
      </w:pPr>
    </w:p>
    <w:p w:rsidR="004A4257" w:rsidRPr="00C42F5E" w:rsidRDefault="004A4257" w:rsidP="00C42F5E">
      <w:pPr>
        <w:rPr>
          <w:rFonts w:ascii="Arial" w:hAnsi="Arial" w:cs="Arial"/>
          <w:sz w:val="22"/>
          <w:szCs w:val="22"/>
        </w:rPr>
      </w:pPr>
      <w:r w:rsidRPr="00C42F5E">
        <w:rPr>
          <w:rFonts w:ascii="Arial" w:hAnsi="Arial" w:cs="Arial"/>
          <w:sz w:val="22"/>
          <w:szCs w:val="22"/>
        </w:rPr>
        <w:t>Overall those who bet online tend to be under the age of 45 with just 28% aged 45 or over. The table below shows age distribution of those who had bet online in the past year compared to the overall gambling population:</w:t>
      </w:r>
      <w:r w:rsidR="00C42F5E">
        <w:rPr>
          <w:rFonts w:ascii="Arial" w:hAnsi="Arial" w:cs="Arial"/>
          <w:sz w:val="22"/>
          <w:szCs w:val="22"/>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032"/>
        <w:gridCol w:w="1033"/>
        <w:gridCol w:w="1033"/>
        <w:gridCol w:w="1032"/>
        <w:gridCol w:w="1033"/>
        <w:gridCol w:w="1033"/>
        <w:gridCol w:w="1033"/>
      </w:tblGrid>
      <w:tr w:rsidR="004A4257" w:rsidRPr="00C42F5E" w:rsidTr="00C42F5E">
        <w:trPr>
          <w:trHeight w:val="300"/>
        </w:trPr>
        <w:tc>
          <w:tcPr>
            <w:tcW w:w="2552" w:type="dxa"/>
            <w:vAlign w:val="center"/>
          </w:tcPr>
          <w:p w:rsidR="004A4257" w:rsidRPr="00C42F5E" w:rsidRDefault="004A4257" w:rsidP="00C42F5E">
            <w:pPr>
              <w:ind w:left="567" w:hanging="567"/>
              <w:rPr>
                <w:rFonts w:ascii="Arial" w:eastAsia="Times New Roman" w:hAnsi="Arial" w:cs="Arial"/>
                <w:b/>
                <w:bCs/>
                <w:color w:val="000000"/>
                <w:sz w:val="22"/>
                <w:szCs w:val="22"/>
                <w:lang w:eastAsia="en-GB"/>
              </w:rPr>
            </w:pPr>
          </w:p>
        </w:tc>
        <w:tc>
          <w:tcPr>
            <w:tcW w:w="1032" w:type="dxa"/>
            <w:vAlign w:val="center"/>
            <w:hideMark/>
          </w:tcPr>
          <w:p w:rsidR="004A4257" w:rsidRPr="00C42F5E" w:rsidRDefault="004A4257" w:rsidP="00C42F5E">
            <w:pPr>
              <w:ind w:left="567" w:hanging="567"/>
              <w:jc w:val="center"/>
              <w:rPr>
                <w:rFonts w:ascii="Arial" w:eastAsia="Times New Roman" w:hAnsi="Arial" w:cs="Arial"/>
                <w:b/>
                <w:color w:val="000000"/>
                <w:sz w:val="22"/>
                <w:szCs w:val="22"/>
                <w:lang w:eastAsia="en-GB"/>
              </w:rPr>
            </w:pPr>
            <w:r w:rsidRPr="00C42F5E">
              <w:rPr>
                <w:rFonts w:ascii="Arial" w:eastAsia="Times New Roman" w:hAnsi="Arial" w:cs="Arial"/>
                <w:b/>
                <w:color w:val="000000"/>
                <w:sz w:val="22"/>
                <w:szCs w:val="22"/>
                <w:lang w:eastAsia="en-GB"/>
              </w:rPr>
              <w:t>16-24</w:t>
            </w:r>
          </w:p>
        </w:tc>
        <w:tc>
          <w:tcPr>
            <w:tcW w:w="1033" w:type="dxa"/>
            <w:vAlign w:val="center"/>
            <w:hideMark/>
          </w:tcPr>
          <w:p w:rsidR="004A4257" w:rsidRPr="00C42F5E" w:rsidRDefault="004A4257" w:rsidP="00C42F5E">
            <w:pPr>
              <w:ind w:left="567" w:hanging="567"/>
              <w:jc w:val="center"/>
              <w:rPr>
                <w:rFonts w:ascii="Arial" w:eastAsia="Times New Roman" w:hAnsi="Arial" w:cs="Arial"/>
                <w:b/>
                <w:color w:val="000000"/>
                <w:sz w:val="22"/>
                <w:szCs w:val="22"/>
                <w:lang w:eastAsia="en-GB"/>
              </w:rPr>
            </w:pPr>
            <w:r w:rsidRPr="00C42F5E">
              <w:rPr>
                <w:rFonts w:ascii="Arial" w:eastAsia="Times New Roman" w:hAnsi="Arial" w:cs="Arial"/>
                <w:b/>
                <w:color w:val="000000"/>
                <w:sz w:val="22"/>
                <w:szCs w:val="22"/>
                <w:lang w:eastAsia="en-GB"/>
              </w:rPr>
              <w:t>25-34</w:t>
            </w:r>
          </w:p>
        </w:tc>
        <w:tc>
          <w:tcPr>
            <w:tcW w:w="1033" w:type="dxa"/>
            <w:vAlign w:val="center"/>
            <w:hideMark/>
          </w:tcPr>
          <w:p w:rsidR="004A4257" w:rsidRPr="00C42F5E" w:rsidRDefault="004A4257" w:rsidP="00C42F5E">
            <w:pPr>
              <w:ind w:left="567" w:hanging="567"/>
              <w:jc w:val="center"/>
              <w:rPr>
                <w:rFonts w:ascii="Arial" w:eastAsia="Times New Roman" w:hAnsi="Arial" w:cs="Arial"/>
                <w:b/>
                <w:color w:val="000000"/>
                <w:sz w:val="22"/>
                <w:szCs w:val="22"/>
                <w:lang w:eastAsia="en-GB"/>
              </w:rPr>
            </w:pPr>
            <w:r w:rsidRPr="00C42F5E">
              <w:rPr>
                <w:rFonts w:ascii="Arial" w:eastAsia="Times New Roman" w:hAnsi="Arial" w:cs="Arial"/>
                <w:b/>
                <w:color w:val="000000"/>
                <w:sz w:val="22"/>
                <w:szCs w:val="22"/>
                <w:lang w:eastAsia="en-GB"/>
              </w:rPr>
              <w:t>35-44</w:t>
            </w:r>
          </w:p>
        </w:tc>
        <w:tc>
          <w:tcPr>
            <w:tcW w:w="1032" w:type="dxa"/>
            <w:vAlign w:val="center"/>
            <w:hideMark/>
          </w:tcPr>
          <w:p w:rsidR="004A4257" w:rsidRPr="00C42F5E" w:rsidRDefault="004A4257" w:rsidP="00C42F5E">
            <w:pPr>
              <w:ind w:left="567" w:hanging="567"/>
              <w:jc w:val="center"/>
              <w:rPr>
                <w:rFonts w:ascii="Arial" w:eastAsia="Times New Roman" w:hAnsi="Arial" w:cs="Arial"/>
                <w:b/>
                <w:color w:val="000000"/>
                <w:sz w:val="22"/>
                <w:szCs w:val="22"/>
                <w:lang w:eastAsia="en-GB"/>
              </w:rPr>
            </w:pPr>
            <w:r w:rsidRPr="00C42F5E">
              <w:rPr>
                <w:rFonts w:ascii="Arial" w:eastAsia="Times New Roman" w:hAnsi="Arial" w:cs="Arial"/>
                <w:b/>
                <w:color w:val="000000"/>
                <w:sz w:val="22"/>
                <w:szCs w:val="22"/>
                <w:lang w:eastAsia="en-GB"/>
              </w:rPr>
              <w:t>45-54</w:t>
            </w:r>
          </w:p>
        </w:tc>
        <w:tc>
          <w:tcPr>
            <w:tcW w:w="1033" w:type="dxa"/>
            <w:vAlign w:val="center"/>
            <w:hideMark/>
          </w:tcPr>
          <w:p w:rsidR="004A4257" w:rsidRPr="00C42F5E" w:rsidRDefault="004A4257" w:rsidP="00C42F5E">
            <w:pPr>
              <w:ind w:left="567" w:hanging="567"/>
              <w:jc w:val="center"/>
              <w:rPr>
                <w:rFonts w:ascii="Arial" w:eastAsia="Times New Roman" w:hAnsi="Arial" w:cs="Arial"/>
                <w:b/>
                <w:color w:val="000000"/>
                <w:sz w:val="22"/>
                <w:szCs w:val="22"/>
                <w:lang w:eastAsia="en-GB"/>
              </w:rPr>
            </w:pPr>
            <w:r w:rsidRPr="00C42F5E">
              <w:rPr>
                <w:rFonts w:ascii="Arial" w:eastAsia="Times New Roman" w:hAnsi="Arial" w:cs="Arial"/>
                <w:b/>
                <w:color w:val="000000"/>
                <w:sz w:val="22"/>
                <w:szCs w:val="22"/>
                <w:lang w:eastAsia="en-GB"/>
              </w:rPr>
              <w:t>55-64</w:t>
            </w:r>
          </w:p>
        </w:tc>
        <w:tc>
          <w:tcPr>
            <w:tcW w:w="1033" w:type="dxa"/>
            <w:vAlign w:val="center"/>
            <w:hideMark/>
          </w:tcPr>
          <w:p w:rsidR="004A4257" w:rsidRPr="00C42F5E" w:rsidRDefault="004A4257" w:rsidP="00C42F5E">
            <w:pPr>
              <w:ind w:left="567" w:hanging="567"/>
              <w:jc w:val="center"/>
              <w:rPr>
                <w:rFonts w:ascii="Arial" w:eastAsia="Times New Roman" w:hAnsi="Arial" w:cs="Arial"/>
                <w:b/>
                <w:color w:val="000000"/>
                <w:sz w:val="22"/>
                <w:szCs w:val="22"/>
                <w:lang w:eastAsia="en-GB"/>
              </w:rPr>
            </w:pPr>
            <w:r w:rsidRPr="00C42F5E">
              <w:rPr>
                <w:rFonts w:ascii="Arial" w:eastAsia="Times New Roman" w:hAnsi="Arial" w:cs="Arial"/>
                <w:b/>
                <w:color w:val="000000"/>
                <w:sz w:val="22"/>
                <w:szCs w:val="22"/>
                <w:lang w:eastAsia="en-GB"/>
              </w:rPr>
              <w:t>65-74</w:t>
            </w:r>
          </w:p>
        </w:tc>
        <w:tc>
          <w:tcPr>
            <w:tcW w:w="1033" w:type="dxa"/>
            <w:vAlign w:val="center"/>
            <w:hideMark/>
          </w:tcPr>
          <w:p w:rsidR="004A4257" w:rsidRPr="00C42F5E" w:rsidRDefault="004A4257" w:rsidP="00C42F5E">
            <w:pPr>
              <w:ind w:left="567" w:hanging="567"/>
              <w:jc w:val="center"/>
              <w:rPr>
                <w:rFonts w:ascii="Arial" w:eastAsia="Times New Roman" w:hAnsi="Arial" w:cs="Arial"/>
                <w:b/>
                <w:color w:val="000000"/>
                <w:sz w:val="22"/>
                <w:szCs w:val="22"/>
                <w:lang w:eastAsia="en-GB"/>
              </w:rPr>
            </w:pPr>
            <w:r w:rsidRPr="00C42F5E">
              <w:rPr>
                <w:rFonts w:ascii="Arial" w:eastAsia="Times New Roman" w:hAnsi="Arial" w:cs="Arial"/>
                <w:b/>
                <w:color w:val="000000"/>
                <w:sz w:val="22"/>
                <w:szCs w:val="22"/>
                <w:lang w:eastAsia="en-GB"/>
              </w:rPr>
              <w:t>75+</w:t>
            </w:r>
          </w:p>
        </w:tc>
      </w:tr>
      <w:tr w:rsidR="004A4257" w:rsidRPr="00C42F5E" w:rsidTr="00C42F5E">
        <w:trPr>
          <w:trHeight w:val="300"/>
        </w:trPr>
        <w:tc>
          <w:tcPr>
            <w:tcW w:w="2552" w:type="dxa"/>
            <w:vAlign w:val="center"/>
          </w:tcPr>
          <w:p w:rsidR="004A4257" w:rsidRPr="00C42F5E" w:rsidRDefault="004A4257" w:rsidP="00C42F5E">
            <w:pPr>
              <w:rPr>
                <w:rFonts w:ascii="Arial" w:eastAsia="Times New Roman" w:hAnsi="Arial" w:cs="Arial"/>
                <w:b/>
                <w:bCs/>
                <w:color w:val="000000"/>
                <w:sz w:val="22"/>
                <w:szCs w:val="22"/>
                <w:lang w:eastAsia="en-GB"/>
              </w:rPr>
            </w:pPr>
            <w:r w:rsidRPr="00C42F5E">
              <w:rPr>
                <w:rFonts w:ascii="Arial" w:eastAsia="Times New Roman" w:hAnsi="Arial" w:cs="Arial"/>
                <w:color w:val="000000"/>
                <w:sz w:val="22"/>
                <w:szCs w:val="22"/>
                <w:lang w:eastAsia="en-GB"/>
              </w:rPr>
              <w:t>Betting online in past 12 months</w:t>
            </w:r>
          </w:p>
        </w:tc>
        <w:tc>
          <w:tcPr>
            <w:tcW w:w="1032" w:type="dxa"/>
            <w:noWrap/>
            <w:vAlign w:val="center"/>
            <w:hideMark/>
          </w:tcPr>
          <w:p w:rsidR="004A4257" w:rsidRPr="00C42F5E" w:rsidRDefault="004A4257" w:rsidP="00C42F5E">
            <w:pPr>
              <w:ind w:left="567" w:hanging="567"/>
              <w:jc w:val="center"/>
              <w:rPr>
                <w:rFonts w:ascii="Arial" w:eastAsia="Times New Roman" w:hAnsi="Arial" w:cs="Arial"/>
                <w:b/>
                <w:bCs/>
                <w:color w:val="000000"/>
                <w:sz w:val="22"/>
                <w:szCs w:val="22"/>
                <w:lang w:eastAsia="en-GB"/>
              </w:rPr>
            </w:pPr>
            <w:r w:rsidRPr="00C42F5E">
              <w:rPr>
                <w:rFonts w:ascii="Arial" w:eastAsia="Times New Roman" w:hAnsi="Arial" w:cs="Arial"/>
                <w:b/>
                <w:bCs/>
                <w:color w:val="000000"/>
                <w:sz w:val="22"/>
                <w:szCs w:val="22"/>
                <w:lang w:eastAsia="en-GB"/>
              </w:rPr>
              <w:t>15%</w:t>
            </w:r>
          </w:p>
        </w:tc>
        <w:tc>
          <w:tcPr>
            <w:tcW w:w="1033" w:type="dxa"/>
            <w:noWrap/>
            <w:vAlign w:val="center"/>
            <w:hideMark/>
          </w:tcPr>
          <w:p w:rsidR="004A4257" w:rsidRPr="00C42F5E" w:rsidRDefault="004A4257" w:rsidP="00C42F5E">
            <w:pPr>
              <w:ind w:left="567" w:hanging="567"/>
              <w:jc w:val="center"/>
              <w:rPr>
                <w:rFonts w:ascii="Arial" w:eastAsia="Times New Roman" w:hAnsi="Arial" w:cs="Arial"/>
                <w:b/>
                <w:bCs/>
                <w:color w:val="000000"/>
                <w:sz w:val="22"/>
                <w:szCs w:val="22"/>
                <w:lang w:eastAsia="en-GB"/>
              </w:rPr>
            </w:pPr>
            <w:r w:rsidRPr="00C42F5E">
              <w:rPr>
                <w:rFonts w:ascii="Arial" w:eastAsia="Times New Roman" w:hAnsi="Arial" w:cs="Arial"/>
                <w:b/>
                <w:bCs/>
                <w:color w:val="000000"/>
                <w:sz w:val="22"/>
                <w:szCs w:val="22"/>
                <w:lang w:eastAsia="en-GB"/>
              </w:rPr>
              <w:t>31%</w:t>
            </w:r>
          </w:p>
        </w:tc>
        <w:tc>
          <w:tcPr>
            <w:tcW w:w="1033" w:type="dxa"/>
            <w:noWrap/>
            <w:vAlign w:val="center"/>
            <w:hideMark/>
          </w:tcPr>
          <w:p w:rsidR="004A4257" w:rsidRPr="00C42F5E" w:rsidRDefault="004A4257" w:rsidP="00C42F5E">
            <w:pPr>
              <w:ind w:left="567" w:hanging="567"/>
              <w:jc w:val="center"/>
              <w:rPr>
                <w:rFonts w:ascii="Arial" w:eastAsia="Times New Roman" w:hAnsi="Arial" w:cs="Arial"/>
                <w:b/>
                <w:bCs/>
                <w:color w:val="000000"/>
                <w:sz w:val="22"/>
                <w:szCs w:val="22"/>
                <w:lang w:eastAsia="en-GB"/>
              </w:rPr>
            </w:pPr>
            <w:r w:rsidRPr="00C42F5E">
              <w:rPr>
                <w:rFonts w:ascii="Arial" w:eastAsia="Times New Roman" w:hAnsi="Arial" w:cs="Arial"/>
                <w:b/>
                <w:bCs/>
                <w:color w:val="000000"/>
                <w:sz w:val="22"/>
                <w:szCs w:val="22"/>
                <w:lang w:eastAsia="en-GB"/>
              </w:rPr>
              <w:t>26%</w:t>
            </w:r>
          </w:p>
        </w:tc>
        <w:tc>
          <w:tcPr>
            <w:tcW w:w="1032" w:type="dxa"/>
            <w:noWrap/>
            <w:vAlign w:val="center"/>
            <w:hideMark/>
          </w:tcPr>
          <w:p w:rsidR="004A4257" w:rsidRPr="00C42F5E" w:rsidRDefault="004A4257" w:rsidP="00C42F5E">
            <w:pPr>
              <w:ind w:left="567" w:hanging="567"/>
              <w:jc w:val="center"/>
              <w:rPr>
                <w:rFonts w:ascii="Arial" w:eastAsia="Times New Roman" w:hAnsi="Arial" w:cs="Arial"/>
                <w:b/>
                <w:bCs/>
                <w:color w:val="000000"/>
                <w:sz w:val="22"/>
                <w:szCs w:val="22"/>
                <w:lang w:eastAsia="en-GB"/>
              </w:rPr>
            </w:pPr>
            <w:r w:rsidRPr="00C42F5E">
              <w:rPr>
                <w:rFonts w:ascii="Arial" w:eastAsia="Times New Roman" w:hAnsi="Arial" w:cs="Arial"/>
                <w:b/>
                <w:bCs/>
                <w:color w:val="000000"/>
                <w:sz w:val="22"/>
                <w:szCs w:val="22"/>
                <w:lang w:eastAsia="en-GB"/>
              </w:rPr>
              <w:t>15%</w:t>
            </w:r>
          </w:p>
        </w:tc>
        <w:tc>
          <w:tcPr>
            <w:tcW w:w="1033" w:type="dxa"/>
            <w:noWrap/>
            <w:vAlign w:val="center"/>
            <w:hideMark/>
          </w:tcPr>
          <w:p w:rsidR="004A4257" w:rsidRPr="00C42F5E" w:rsidRDefault="004A4257" w:rsidP="00C42F5E">
            <w:pPr>
              <w:ind w:left="567" w:hanging="567"/>
              <w:jc w:val="center"/>
              <w:rPr>
                <w:rFonts w:ascii="Arial" w:eastAsia="Times New Roman" w:hAnsi="Arial" w:cs="Arial"/>
                <w:b/>
                <w:bCs/>
                <w:color w:val="000000"/>
                <w:sz w:val="22"/>
                <w:szCs w:val="22"/>
                <w:lang w:eastAsia="en-GB"/>
              </w:rPr>
            </w:pPr>
            <w:r w:rsidRPr="00C42F5E">
              <w:rPr>
                <w:rFonts w:ascii="Arial" w:eastAsia="Times New Roman" w:hAnsi="Arial" w:cs="Arial"/>
                <w:b/>
                <w:bCs/>
                <w:color w:val="000000"/>
                <w:sz w:val="22"/>
                <w:szCs w:val="22"/>
                <w:lang w:eastAsia="en-GB"/>
              </w:rPr>
              <w:t>7%</w:t>
            </w:r>
          </w:p>
        </w:tc>
        <w:tc>
          <w:tcPr>
            <w:tcW w:w="1033" w:type="dxa"/>
            <w:noWrap/>
            <w:vAlign w:val="center"/>
            <w:hideMark/>
          </w:tcPr>
          <w:p w:rsidR="004A4257" w:rsidRPr="00C42F5E" w:rsidRDefault="004A4257" w:rsidP="00C42F5E">
            <w:pPr>
              <w:ind w:left="567" w:hanging="567"/>
              <w:jc w:val="center"/>
              <w:rPr>
                <w:rFonts w:ascii="Arial" w:eastAsia="Times New Roman" w:hAnsi="Arial" w:cs="Arial"/>
                <w:b/>
                <w:bCs/>
                <w:color w:val="000000"/>
                <w:sz w:val="22"/>
                <w:szCs w:val="22"/>
                <w:lang w:eastAsia="en-GB"/>
              </w:rPr>
            </w:pPr>
            <w:r w:rsidRPr="00C42F5E">
              <w:rPr>
                <w:rFonts w:ascii="Arial" w:eastAsia="Times New Roman" w:hAnsi="Arial" w:cs="Arial"/>
                <w:b/>
                <w:bCs/>
                <w:color w:val="000000"/>
                <w:sz w:val="22"/>
                <w:szCs w:val="22"/>
                <w:lang w:eastAsia="en-GB"/>
              </w:rPr>
              <w:t>4%</w:t>
            </w:r>
          </w:p>
        </w:tc>
        <w:tc>
          <w:tcPr>
            <w:tcW w:w="1033" w:type="dxa"/>
            <w:noWrap/>
            <w:vAlign w:val="center"/>
            <w:hideMark/>
          </w:tcPr>
          <w:p w:rsidR="004A4257" w:rsidRPr="00C42F5E" w:rsidRDefault="004A4257" w:rsidP="00C42F5E">
            <w:pPr>
              <w:ind w:left="567" w:hanging="567"/>
              <w:jc w:val="center"/>
              <w:rPr>
                <w:rFonts w:ascii="Arial" w:eastAsia="Times New Roman" w:hAnsi="Arial" w:cs="Arial"/>
                <w:b/>
                <w:bCs/>
                <w:color w:val="000000"/>
                <w:sz w:val="22"/>
                <w:szCs w:val="22"/>
                <w:lang w:eastAsia="en-GB"/>
              </w:rPr>
            </w:pPr>
            <w:r w:rsidRPr="00C42F5E">
              <w:rPr>
                <w:rFonts w:ascii="Arial" w:eastAsia="Times New Roman" w:hAnsi="Arial" w:cs="Arial"/>
                <w:b/>
                <w:bCs/>
                <w:color w:val="000000"/>
                <w:sz w:val="22"/>
                <w:szCs w:val="22"/>
                <w:lang w:eastAsia="en-GB"/>
              </w:rPr>
              <w:t>2%</w:t>
            </w:r>
          </w:p>
        </w:tc>
      </w:tr>
      <w:tr w:rsidR="004A4257" w:rsidRPr="00C42F5E" w:rsidTr="00C42F5E">
        <w:trPr>
          <w:trHeight w:val="300"/>
        </w:trPr>
        <w:tc>
          <w:tcPr>
            <w:tcW w:w="2552" w:type="dxa"/>
            <w:vAlign w:val="center"/>
          </w:tcPr>
          <w:p w:rsidR="004A4257" w:rsidRPr="00C42F5E" w:rsidRDefault="004A4257" w:rsidP="00C42F5E">
            <w:pPr>
              <w:rPr>
                <w:rFonts w:ascii="Arial" w:eastAsia="Times New Roman" w:hAnsi="Arial" w:cs="Arial"/>
                <w:b/>
                <w:bCs/>
                <w:color w:val="000000"/>
                <w:sz w:val="22"/>
                <w:szCs w:val="22"/>
                <w:lang w:eastAsia="en-GB"/>
              </w:rPr>
            </w:pPr>
            <w:r w:rsidRPr="00C42F5E">
              <w:rPr>
                <w:rFonts w:ascii="Arial" w:eastAsia="Times New Roman" w:hAnsi="Arial" w:cs="Arial"/>
                <w:color w:val="000000"/>
                <w:sz w:val="22"/>
                <w:szCs w:val="22"/>
                <w:lang w:eastAsia="en-GB"/>
              </w:rPr>
              <w:t>Any gambling activity in past 12 months</w:t>
            </w:r>
          </w:p>
        </w:tc>
        <w:tc>
          <w:tcPr>
            <w:tcW w:w="1032" w:type="dxa"/>
            <w:noWrap/>
            <w:vAlign w:val="center"/>
            <w:hideMark/>
          </w:tcPr>
          <w:p w:rsidR="004A4257" w:rsidRPr="00C42F5E" w:rsidRDefault="004A4257" w:rsidP="00C42F5E">
            <w:pPr>
              <w:ind w:left="567" w:hanging="567"/>
              <w:jc w:val="center"/>
              <w:rPr>
                <w:rFonts w:ascii="Arial" w:hAnsi="Arial" w:cs="Arial"/>
                <w:b/>
                <w:iCs/>
                <w:color w:val="000000"/>
                <w:sz w:val="22"/>
                <w:szCs w:val="22"/>
              </w:rPr>
            </w:pPr>
            <w:r w:rsidRPr="00C42F5E">
              <w:rPr>
                <w:rFonts w:ascii="Arial" w:hAnsi="Arial" w:cs="Arial"/>
                <w:b/>
                <w:iCs/>
                <w:color w:val="000000"/>
                <w:sz w:val="22"/>
                <w:szCs w:val="22"/>
              </w:rPr>
              <w:t>8%</w:t>
            </w:r>
          </w:p>
        </w:tc>
        <w:tc>
          <w:tcPr>
            <w:tcW w:w="1033" w:type="dxa"/>
            <w:noWrap/>
            <w:vAlign w:val="center"/>
            <w:hideMark/>
          </w:tcPr>
          <w:p w:rsidR="004A4257" w:rsidRPr="00C42F5E" w:rsidRDefault="004A4257" w:rsidP="00C42F5E">
            <w:pPr>
              <w:ind w:left="567" w:hanging="567"/>
              <w:jc w:val="center"/>
              <w:rPr>
                <w:rFonts w:ascii="Arial" w:hAnsi="Arial" w:cs="Arial"/>
                <w:b/>
                <w:iCs/>
                <w:color w:val="000000"/>
                <w:sz w:val="22"/>
                <w:szCs w:val="22"/>
              </w:rPr>
            </w:pPr>
            <w:r w:rsidRPr="00C42F5E">
              <w:rPr>
                <w:rFonts w:ascii="Arial" w:hAnsi="Arial" w:cs="Arial"/>
                <w:b/>
                <w:iCs/>
                <w:color w:val="000000"/>
                <w:sz w:val="22"/>
                <w:szCs w:val="22"/>
              </w:rPr>
              <w:t>13%</w:t>
            </w:r>
          </w:p>
        </w:tc>
        <w:tc>
          <w:tcPr>
            <w:tcW w:w="1033" w:type="dxa"/>
            <w:noWrap/>
            <w:vAlign w:val="center"/>
            <w:hideMark/>
          </w:tcPr>
          <w:p w:rsidR="004A4257" w:rsidRPr="00C42F5E" w:rsidRDefault="004A4257" w:rsidP="00C42F5E">
            <w:pPr>
              <w:ind w:left="567" w:hanging="567"/>
              <w:jc w:val="center"/>
              <w:rPr>
                <w:rFonts w:ascii="Arial" w:hAnsi="Arial" w:cs="Arial"/>
                <w:b/>
                <w:iCs/>
                <w:color w:val="000000"/>
                <w:sz w:val="22"/>
                <w:szCs w:val="22"/>
              </w:rPr>
            </w:pPr>
            <w:r w:rsidRPr="00C42F5E">
              <w:rPr>
                <w:rFonts w:ascii="Arial" w:hAnsi="Arial" w:cs="Arial"/>
                <w:b/>
                <w:iCs/>
                <w:color w:val="000000"/>
                <w:sz w:val="22"/>
                <w:szCs w:val="22"/>
              </w:rPr>
              <w:t>19%</w:t>
            </w:r>
          </w:p>
        </w:tc>
        <w:tc>
          <w:tcPr>
            <w:tcW w:w="1032" w:type="dxa"/>
            <w:noWrap/>
            <w:vAlign w:val="center"/>
            <w:hideMark/>
          </w:tcPr>
          <w:p w:rsidR="004A4257" w:rsidRPr="00C42F5E" w:rsidRDefault="004A4257" w:rsidP="00C42F5E">
            <w:pPr>
              <w:ind w:left="567" w:hanging="567"/>
              <w:jc w:val="center"/>
              <w:rPr>
                <w:rFonts w:ascii="Arial" w:hAnsi="Arial" w:cs="Arial"/>
                <w:b/>
                <w:iCs/>
                <w:color w:val="000000"/>
                <w:sz w:val="22"/>
                <w:szCs w:val="22"/>
              </w:rPr>
            </w:pPr>
            <w:r w:rsidRPr="00C42F5E">
              <w:rPr>
                <w:rFonts w:ascii="Arial" w:hAnsi="Arial" w:cs="Arial"/>
                <w:b/>
                <w:iCs/>
                <w:color w:val="000000"/>
                <w:sz w:val="22"/>
                <w:szCs w:val="22"/>
              </w:rPr>
              <w:t>20%</w:t>
            </w:r>
          </w:p>
        </w:tc>
        <w:tc>
          <w:tcPr>
            <w:tcW w:w="1033" w:type="dxa"/>
            <w:noWrap/>
            <w:vAlign w:val="center"/>
            <w:hideMark/>
          </w:tcPr>
          <w:p w:rsidR="004A4257" w:rsidRPr="00C42F5E" w:rsidRDefault="004A4257" w:rsidP="00C42F5E">
            <w:pPr>
              <w:ind w:left="567" w:hanging="567"/>
              <w:jc w:val="center"/>
              <w:rPr>
                <w:rFonts w:ascii="Arial" w:hAnsi="Arial" w:cs="Arial"/>
                <w:b/>
                <w:iCs/>
                <w:color w:val="000000"/>
                <w:sz w:val="22"/>
                <w:szCs w:val="22"/>
              </w:rPr>
            </w:pPr>
            <w:r w:rsidRPr="00C42F5E">
              <w:rPr>
                <w:rFonts w:ascii="Arial" w:hAnsi="Arial" w:cs="Arial"/>
                <w:b/>
                <w:iCs/>
                <w:color w:val="000000"/>
                <w:sz w:val="22"/>
                <w:szCs w:val="22"/>
              </w:rPr>
              <w:t>18%</w:t>
            </w:r>
          </w:p>
        </w:tc>
        <w:tc>
          <w:tcPr>
            <w:tcW w:w="1033" w:type="dxa"/>
            <w:noWrap/>
            <w:vAlign w:val="center"/>
            <w:hideMark/>
          </w:tcPr>
          <w:p w:rsidR="004A4257" w:rsidRPr="00C42F5E" w:rsidRDefault="004A4257" w:rsidP="00C42F5E">
            <w:pPr>
              <w:ind w:left="567" w:hanging="567"/>
              <w:jc w:val="center"/>
              <w:rPr>
                <w:rFonts w:ascii="Arial" w:hAnsi="Arial" w:cs="Arial"/>
                <w:b/>
                <w:iCs/>
                <w:color w:val="000000"/>
                <w:sz w:val="22"/>
                <w:szCs w:val="22"/>
              </w:rPr>
            </w:pPr>
            <w:r w:rsidRPr="00C42F5E">
              <w:rPr>
                <w:rFonts w:ascii="Arial" w:hAnsi="Arial" w:cs="Arial"/>
                <w:b/>
                <w:iCs/>
                <w:color w:val="000000"/>
                <w:sz w:val="22"/>
                <w:szCs w:val="22"/>
              </w:rPr>
              <w:t>15%</w:t>
            </w:r>
          </w:p>
        </w:tc>
        <w:tc>
          <w:tcPr>
            <w:tcW w:w="1033" w:type="dxa"/>
            <w:noWrap/>
            <w:vAlign w:val="center"/>
            <w:hideMark/>
          </w:tcPr>
          <w:p w:rsidR="004A4257" w:rsidRPr="00C42F5E" w:rsidRDefault="004A4257" w:rsidP="00C42F5E">
            <w:pPr>
              <w:ind w:left="567" w:hanging="567"/>
              <w:jc w:val="center"/>
              <w:rPr>
                <w:rFonts w:ascii="Arial" w:hAnsi="Arial" w:cs="Arial"/>
                <w:b/>
                <w:iCs/>
                <w:color w:val="000000"/>
                <w:sz w:val="22"/>
                <w:szCs w:val="22"/>
              </w:rPr>
            </w:pPr>
            <w:r w:rsidRPr="00C42F5E">
              <w:rPr>
                <w:rFonts w:ascii="Arial" w:hAnsi="Arial" w:cs="Arial"/>
                <w:b/>
                <w:iCs/>
                <w:color w:val="000000"/>
                <w:sz w:val="22"/>
                <w:szCs w:val="22"/>
              </w:rPr>
              <w:t>7%</w:t>
            </w:r>
          </w:p>
        </w:tc>
      </w:tr>
    </w:tbl>
    <w:p w:rsidR="004A4257" w:rsidRPr="00C42F5E" w:rsidRDefault="004A4257" w:rsidP="004A4257">
      <w:pPr>
        <w:ind w:left="567" w:hanging="567"/>
        <w:rPr>
          <w:rFonts w:ascii="Arial" w:hAnsi="Arial" w:cs="Arial"/>
        </w:rPr>
      </w:pPr>
    </w:p>
    <w:p w:rsidR="00C42F5E" w:rsidRDefault="00C42F5E" w:rsidP="004A4257">
      <w:pPr>
        <w:ind w:left="567" w:hanging="567"/>
        <w:rPr>
          <w:rFonts w:ascii="Arial" w:hAnsi="Arial" w:cs="Arial"/>
        </w:rPr>
      </w:pPr>
    </w:p>
    <w:p w:rsidR="004A4257" w:rsidRDefault="004A4257" w:rsidP="00C42F5E">
      <w:pPr>
        <w:rPr>
          <w:rFonts w:ascii="Arial" w:hAnsi="Arial" w:cs="Arial"/>
          <w:sz w:val="22"/>
          <w:szCs w:val="22"/>
        </w:rPr>
      </w:pPr>
      <w:r w:rsidRPr="00C42F5E">
        <w:rPr>
          <w:rFonts w:ascii="Arial" w:hAnsi="Arial" w:cs="Arial"/>
          <w:sz w:val="22"/>
          <w:szCs w:val="22"/>
        </w:rPr>
        <w:lastRenderedPageBreak/>
        <w:t xml:space="preserve">In addition the vast majority of those that have bet online in the past 12 months are male; just 20% of this group are female. </w:t>
      </w:r>
    </w:p>
    <w:p w:rsidR="00C42F5E" w:rsidRPr="00C42F5E" w:rsidRDefault="00C42F5E" w:rsidP="00C42F5E">
      <w:pPr>
        <w:rPr>
          <w:rFonts w:ascii="Arial" w:hAnsi="Arial" w:cs="Arial"/>
          <w:sz w:val="22"/>
          <w:szCs w:val="22"/>
        </w:rPr>
      </w:pPr>
    </w:p>
    <w:p w:rsidR="004A4257" w:rsidRPr="00C42F5E" w:rsidRDefault="004A4257" w:rsidP="00C42F5E">
      <w:pPr>
        <w:rPr>
          <w:rFonts w:ascii="Arial" w:hAnsi="Arial" w:cs="Arial"/>
          <w:sz w:val="22"/>
          <w:szCs w:val="22"/>
        </w:rPr>
      </w:pPr>
      <w:r w:rsidRPr="00C42F5E">
        <w:rPr>
          <w:rFonts w:ascii="Arial" w:hAnsi="Arial" w:cs="Arial"/>
          <w:sz w:val="22"/>
          <w:szCs w:val="22"/>
        </w:rPr>
        <w:t>In terms of educational background those that bet online were more likely to have qualifications than both the general population and the population of gamblers as a whole, as the chart below shows:</w:t>
      </w:r>
    </w:p>
    <w:p w:rsidR="00C42F5E" w:rsidRPr="00C42F5E" w:rsidRDefault="00C42F5E" w:rsidP="004A4257">
      <w:pPr>
        <w:ind w:left="567" w:hanging="567"/>
        <w:rPr>
          <w:rFonts w:ascii="Arial" w:hAnsi="Arial" w:cs="Arial"/>
        </w:rPr>
      </w:pPr>
    </w:p>
    <w:p w:rsidR="004A4257" w:rsidRPr="00C42F5E" w:rsidRDefault="00040328" w:rsidP="004A4257">
      <w:pPr>
        <w:ind w:left="567" w:hanging="567"/>
        <w:rPr>
          <w:rFonts w:ascii="Arial" w:hAnsi="Arial" w:cs="Arial"/>
        </w:rPr>
      </w:pPr>
      <w:r>
        <w:rPr>
          <w:rFonts w:ascii="Arial" w:hAnsi="Arial" w:cs="Arial"/>
          <w:noProof/>
          <w:lang w:eastAsia="en-GB"/>
        </w:rPr>
        <w:drawing>
          <wp:inline distT="0" distB="0" distL="0" distR="0">
            <wp:extent cx="5638800" cy="2676525"/>
            <wp:effectExtent l="1905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cstate="print"/>
                    <a:srcRect b="-119"/>
                    <a:stretch>
                      <a:fillRect/>
                    </a:stretch>
                  </pic:blipFill>
                  <pic:spPr bwMode="auto">
                    <a:xfrm>
                      <a:off x="0" y="0"/>
                      <a:ext cx="5638800" cy="2676525"/>
                    </a:xfrm>
                    <a:prstGeom prst="rect">
                      <a:avLst/>
                    </a:prstGeom>
                    <a:noFill/>
                    <a:ln w="9525">
                      <a:noFill/>
                      <a:miter lim="800000"/>
                      <a:headEnd/>
                      <a:tailEnd/>
                    </a:ln>
                  </pic:spPr>
                </pic:pic>
              </a:graphicData>
            </a:graphic>
          </wp:inline>
        </w:drawing>
      </w:r>
    </w:p>
    <w:p w:rsidR="00C42F5E" w:rsidRDefault="00C42F5E" w:rsidP="004A4257">
      <w:pPr>
        <w:ind w:left="567" w:hanging="567"/>
        <w:rPr>
          <w:rFonts w:ascii="Arial" w:hAnsi="Arial" w:cs="Arial"/>
        </w:rPr>
      </w:pPr>
    </w:p>
    <w:p w:rsidR="004A4257" w:rsidRPr="00C42F5E" w:rsidRDefault="004A4257" w:rsidP="00C42F5E">
      <w:pPr>
        <w:rPr>
          <w:rFonts w:ascii="Arial" w:hAnsi="Arial" w:cs="Arial"/>
          <w:sz w:val="22"/>
          <w:szCs w:val="22"/>
        </w:rPr>
      </w:pPr>
      <w:r w:rsidRPr="00C42F5E">
        <w:rPr>
          <w:rFonts w:ascii="Arial" w:hAnsi="Arial" w:cs="Arial"/>
          <w:sz w:val="22"/>
          <w:szCs w:val="22"/>
        </w:rPr>
        <w:t>In terms of household income those that bet online were also more likely to be from the top three income quintiles than the general population or the gambling population as a whole:</w:t>
      </w:r>
    </w:p>
    <w:p w:rsidR="00C42F5E" w:rsidRPr="00C42F5E" w:rsidRDefault="00C42F5E" w:rsidP="004A4257">
      <w:pPr>
        <w:ind w:left="567" w:hanging="567"/>
        <w:rPr>
          <w:rFonts w:ascii="Arial" w:hAnsi="Arial" w:cs="Arial"/>
        </w:rPr>
      </w:pPr>
    </w:p>
    <w:p w:rsidR="004A4257" w:rsidRDefault="00040328" w:rsidP="004A4257">
      <w:pPr>
        <w:ind w:left="567" w:hanging="567"/>
        <w:rPr>
          <w:rFonts w:ascii="Arial" w:hAnsi="Arial" w:cs="Arial"/>
          <w:noProof/>
          <w:lang w:eastAsia="en-GB"/>
        </w:rPr>
      </w:pPr>
      <w:r>
        <w:rPr>
          <w:rFonts w:ascii="Arial" w:hAnsi="Arial" w:cs="Arial"/>
          <w:noProof/>
          <w:lang w:eastAsia="en-GB"/>
        </w:rPr>
        <w:drawing>
          <wp:inline distT="0" distB="0" distL="0" distR="0">
            <wp:extent cx="5638800" cy="2981325"/>
            <wp:effectExtent l="19050" t="0" r="0" b="0"/>
            <wp:docPr id="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5" cstate="print"/>
                    <a:srcRect b="-107"/>
                    <a:stretch>
                      <a:fillRect/>
                    </a:stretch>
                  </pic:blipFill>
                  <pic:spPr bwMode="auto">
                    <a:xfrm>
                      <a:off x="0" y="0"/>
                      <a:ext cx="5638800" cy="2981325"/>
                    </a:xfrm>
                    <a:prstGeom prst="rect">
                      <a:avLst/>
                    </a:prstGeom>
                    <a:noFill/>
                    <a:ln w="9525">
                      <a:noFill/>
                      <a:miter lim="800000"/>
                      <a:headEnd/>
                      <a:tailEnd/>
                    </a:ln>
                  </pic:spPr>
                </pic:pic>
              </a:graphicData>
            </a:graphic>
          </wp:inline>
        </w:drawing>
      </w:r>
    </w:p>
    <w:p w:rsidR="00C42F5E" w:rsidRPr="00C42F5E" w:rsidRDefault="00C42F5E" w:rsidP="004A4257">
      <w:pPr>
        <w:ind w:left="567" w:hanging="567"/>
        <w:rPr>
          <w:rFonts w:ascii="Arial" w:hAnsi="Arial" w:cs="Arial"/>
        </w:rPr>
      </w:pPr>
    </w:p>
    <w:p w:rsidR="004A4257" w:rsidRDefault="004A4257" w:rsidP="00C42F5E">
      <w:pPr>
        <w:rPr>
          <w:rFonts w:ascii="Arial" w:hAnsi="Arial" w:cs="Arial"/>
          <w:sz w:val="22"/>
          <w:szCs w:val="22"/>
        </w:rPr>
      </w:pPr>
      <w:r w:rsidRPr="00C42F5E">
        <w:rPr>
          <w:rFonts w:ascii="Arial" w:hAnsi="Arial" w:cs="Arial"/>
          <w:sz w:val="22"/>
          <w:szCs w:val="22"/>
        </w:rPr>
        <w:t xml:space="preserve">Those that have bet online in the past 12 months also tend to be more engaged in gambling than the gambling population as a whole. Amongst those that had bet online the average number of activities participated in the past 12 months </w:t>
      </w:r>
      <w:proofErr w:type="gramStart"/>
      <w:r w:rsidRPr="00C42F5E">
        <w:rPr>
          <w:rFonts w:ascii="Arial" w:hAnsi="Arial" w:cs="Arial"/>
          <w:sz w:val="22"/>
          <w:szCs w:val="22"/>
        </w:rPr>
        <w:t>was</w:t>
      </w:r>
      <w:proofErr w:type="gramEnd"/>
      <w:r w:rsidRPr="00C42F5E">
        <w:rPr>
          <w:rFonts w:ascii="Arial" w:hAnsi="Arial" w:cs="Arial"/>
          <w:sz w:val="22"/>
          <w:szCs w:val="22"/>
        </w:rPr>
        <w:t xml:space="preserve"> 5.6, compared to 2.3 for the overall gambling population. </w:t>
      </w:r>
    </w:p>
    <w:p w:rsidR="004B4958" w:rsidRDefault="004B4958" w:rsidP="00C42F5E">
      <w:pPr>
        <w:rPr>
          <w:rFonts w:ascii="Arial" w:hAnsi="Arial" w:cs="Arial"/>
          <w:sz w:val="22"/>
          <w:szCs w:val="22"/>
        </w:rPr>
      </w:pPr>
    </w:p>
    <w:p w:rsidR="004B4958" w:rsidRDefault="004B4958" w:rsidP="00C42F5E">
      <w:pPr>
        <w:rPr>
          <w:rFonts w:ascii="Arial" w:hAnsi="Arial" w:cs="Arial"/>
          <w:sz w:val="22"/>
          <w:szCs w:val="22"/>
        </w:rPr>
      </w:pPr>
    </w:p>
    <w:p w:rsidR="00C42F5E" w:rsidRDefault="00C42F5E" w:rsidP="00C42F5E">
      <w:pPr>
        <w:rPr>
          <w:rFonts w:ascii="Arial" w:hAnsi="Arial" w:cs="Arial"/>
          <w:sz w:val="22"/>
          <w:szCs w:val="22"/>
        </w:rPr>
      </w:pPr>
    </w:p>
    <w:p w:rsidR="00C42F5E" w:rsidRDefault="00C42F5E" w:rsidP="004A4257">
      <w:pPr>
        <w:pStyle w:val="Heading2"/>
        <w:spacing w:before="0" w:after="0"/>
        <w:ind w:left="567" w:hanging="567"/>
      </w:pPr>
    </w:p>
    <w:p w:rsidR="00693D6D" w:rsidRPr="00693D6D" w:rsidRDefault="00693D6D" w:rsidP="00693D6D"/>
    <w:p w:rsidR="004A4257" w:rsidRPr="00C42F5E" w:rsidRDefault="004A4257" w:rsidP="004A4257">
      <w:pPr>
        <w:pStyle w:val="Heading2"/>
        <w:spacing w:before="0" w:after="0"/>
        <w:ind w:left="567" w:hanging="567"/>
        <w:rPr>
          <w:i w:val="0"/>
          <w:sz w:val="32"/>
          <w:szCs w:val="32"/>
        </w:rPr>
      </w:pPr>
      <w:r w:rsidRPr="00C42F5E">
        <w:rPr>
          <w:i w:val="0"/>
          <w:sz w:val="32"/>
          <w:szCs w:val="32"/>
        </w:rPr>
        <w:lastRenderedPageBreak/>
        <w:t>Problem and at-risk gambling</w:t>
      </w:r>
    </w:p>
    <w:p w:rsidR="004A4257" w:rsidRPr="00C42F5E" w:rsidRDefault="004A4257" w:rsidP="004A4257">
      <w:pPr>
        <w:ind w:left="567" w:hanging="567"/>
        <w:rPr>
          <w:rFonts w:ascii="Arial" w:hAnsi="Arial" w:cs="Arial"/>
          <w:sz w:val="22"/>
          <w:szCs w:val="22"/>
        </w:rPr>
      </w:pPr>
    </w:p>
    <w:p w:rsidR="00C42F5E" w:rsidRDefault="004A4257" w:rsidP="00C42F5E">
      <w:pPr>
        <w:rPr>
          <w:rFonts w:ascii="Arial" w:hAnsi="Arial" w:cs="Arial"/>
          <w:sz w:val="22"/>
          <w:szCs w:val="22"/>
        </w:rPr>
      </w:pPr>
      <w:r w:rsidRPr="00C42F5E">
        <w:rPr>
          <w:rFonts w:ascii="Arial" w:hAnsi="Arial" w:cs="Arial"/>
          <w:sz w:val="22"/>
          <w:szCs w:val="22"/>
        </w:rPr>
        <w:t xml:space="preserve">The latest assessment of rates of problem and at-risk gambling in England and Scotland is provided by the Health Survey England and Scottish Health Survey 2012. These surveys formed replacement vehicles for the BGPS assessments of problem and at-risk gambling; employing the same problem gambling screens (PGSI and DSM-IV). </w:t>
      </w:r>
    </w:p>
    <w:p w:rsidR="00C42F5E" w:rsidRDefault="00C42F5E" w:rsidP="00C42F5E">
      <w:pPr>
        <w:rPr>
          <w:rFonts w:ascii="Arial" w:hAnsi="Arial" w:cs="Arial"/>
          <w:sz w:val="22"/>
          <w:szCs w:val="22"/>
        </w:rPr>
      </w:pPr>
    </w:p>
    <w:p w:rsidR="004A4257" w:rsidRDefault="004A4257" w:rsidP="00C42F5E">
      <w:pPr>
        <w:rPr>
          <w:rFonts w:ascii="Arial" w:hAnsi="Arial" w:cs="Arial"/>
          <w:sz w:val="22"/>
          <w:szCs w:val="22"/>
        </w:rPr>
      </w:pPr>
      <w:r w:rsidRPr="00C42F5E">
        <w:rPr>
          <w:rFonts w:ascii="Arial" w:hAnsi="Arial" w:cs="Arial"/>
          <w:sz w:val="22"/>
          <w:szCs w:val="22"/>
        </w:rPr>
        <w:t>The Health Surveys found that the population prevalence of problem gambling remains low with 0.6% of the population (16+) being classified as problem gamblers according to either screen. Despite these low rates of problem gambling amongst the population there are certain groups which are more likely to be problem gamblers; for example amongst men aged 16-24 2.4% were classified as problem gamblers.</w:t>
      </w:r>
    </w:p>
    <w:p w:rsidR="00C42F5E" w:rsidRPr="00C42F5E" w:rsidRDefault="00C42F5E" w:rsidP="00C42F5E">
      <w:pPr>
        <w:rPr>
          <w:rFonts w:ascii="Arial" w:hAnsi="Arial" w:cs="Arial"/>
          <w:sz w:val="22"/>
          <w:szCs w:val="22"/>
        </w:rPr>
      </w:pPr>
    </w:p>
    <w:p w:rsidR="004A4257" w:rsidRDefault="004A4257" w:rsidP="00C42F5E">
      <w:pPr>
        <w:rPr>
          <w:rFonts w:ascii="Arial" w:hAnsi="Arial" w:cs="Arial"/>
          <w:sz w:val="22"/>
          <w:szCs w:val="22"/>
        </w:rPr>
      </w:pPr>
      <w:r w:rsidRPr="00C42F5E">
        <w:rPr>
          <w:rFonts w:ascii="Arial" w:hAnsi="Arial" w:cs="Arial"/>
          <w:sz w:val="22"/>
          <w:szCs w:val="22"/>
        </w:rPr>
        <w:t xml:space="preserve">The PGSI screen further categorises respondents into two at-risk categories; low and moderate risk. Overall 3.2% of the population were classified as low-risk (score of 1 or 2) and a further 1% were classified as moderate risk gamblers (score of 3-7). Again young men were more likely to be classified as at-risk gamblers with 24% of this group classified as either low or moderate risk. </w:t>
      </w:r>
    </w:p>
    <w:p w:rsidR="00C42F5E" w:rsidRPr="00C42F5E" w:rsidRDefault="00C42F5E" w:rsidP="00C42F5E">
      <w:pPr>
        <w:rPr>
          <w:rFonts w:ascii="Arial" w:hAnsi="Arial" w:cs="Arial"/>
          <w:sz w:val="22"/>
          <w:szCs w:val="22"/>
        </w:rPr>
      </w:pPr>
    </w:p>
    <w:p w:rsidR="004A4257" w:rsidRDefault="004A4257" w:rsidP="00C42F5E">
      <w:pPr>
        <w:rPr>
          <w:rFonts w:ascii="Arial" w:hAnsi="Arial" w:cs="Arial"/>
          <w:sz w:val="22"/>
          <w:szCs w:val="22"/>
        </w:rPr>
      </w:pPr>
      <w:proofErr w:type="gramStart"/>
      <w:r w:rsidRPr="00C42F5E">
        <w:rPr>
          <w:rFonts w:ascii="Arial" w:hAnsi="Arial" w:cs="Arial"/>
          <w:sz w:val="22"/>
          <w:szCs w:val="22"/>
        </w:rPr>
        <w:t>Problem gambling rates also varied by activity; ranging from 1.8% of those that had bet on horse races in person to 16% of those that had spread bet.</w:t>
      </w:r>
      <w:proofErr w:type="gramEnd"/>
      <w:r w:rsidRPr="00C42F5E">
        <w:rPr>
          <w:rFonts w:ascii="Arial" w:hAnsi="Arial" w:cs="Arial"/>
          <w:sz w:val="22"/>
          <w:szCs w:val="22"/>
        </w:rPr>
        <w:t xml:space="preserve"> Rates of problem gambling amongst those that bet online were 2.6%; similar to rates amongst those that had played football pools and bingo in-person (both 2.8%). Amongst those that had gambled online rates were 4.8%; similar to rates amongst those that had played casino table games in person (4.7%) and bet on sports events in person (4.5%). </w:t>
      </w:r>
    </w:p>
    <w:p w:rsidR="00C42F5E" w:rsidRPr="00C42F5E" w:rsidRDefault="00C42F5E" w:rsidP="00C42F5E">
      <w:pPr>
        <w:rPr>
          <w:rFonts w:ascii="Arial" w:hAnsi="Arial" w:cs="Arial"/>
          <w:sz w:val="22"/>
          <w:szCs w:val="22"/>
        </w:rPr>
      </w:pPr>
    </w:p>
    <w:p w:rsidR="004A4257" w:rsidRDefault="004A4257" w:rsidP="00C42F5E">
      <w:pPr>
        <w:rPr>
          <w:rFonts w:ascii="Arial" w:hAnsi="Arial" w:cs="Arial"/>
          <w:sz w:val="22"/>
          <w:szCs w:val="22"/>
        </w:rPr>
      </w:pPr>
      <w:r w:rsidRPr="00C42F5E">
        <w:rPr>
          <w:rFonts w:ascii="Arial" w:hAnsi="Arial" w:cs="Arial"/>
          <w:sz w:val="22"/>
          <w:szCs w:val="22"/>
        </w:rPr>
        <w:t xml:space="preserve">The table below shows rates for all activities for the BGPS 2007 and Health Survey England / Scottish Health Survey 2012. The results appear to show a fall in problem gambling rates amongst those that have gambled or bet online, however care should be taken when interpreting the results due to the change in methodology. </w:t>
      </w:r>
    </w:p>
    <w:p w:rsidR="00C42F5E" w:rsidRPr="00C42F5E" w:rsidRDefault="00C42F5E" w:rsidP="00C42F5E">
      <w:pPr>
        <w:rPr>
          <w:rFonts w:ascii="Arial" w:hAnsi="Arial" w:cs="Arial"/>
          <w:sz w:val="22"/>
          <w:szCs w:val="22"/>
        </w:rPr>
      </w:pPr>
    </w:p>
    <w:tbl>
      <w:tblPr>
        <w:tblW w:w="9796" w:type="dxa"/>
        <w:tblInd w:w="93" w:type="dxa"/>
        <w:tblLook w:val="04A0"/>
      </w:tblPr>
      <w:tblGrid>
        <w:gridCol w:w="6252"/>
        <w:gridCol w:w="1701"/>
        <w:gridCol w:w="1843"/>
      </w:tblGrid>
      <w:tr w:rsidR="004A4257" w:rsidRPr="00C42F5E" w:rsidTr="00C42F5E">
        <w:trPr>
          <w:trHeight w:val="60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rPr>
                <w:rFonts w:ascii="Arial" w:eastAsia="Times New Roman" w:hAnsi="Arial" w:cs="Arial"/>
                <w:b/>
                <w:color w:val="000000"/>
                <w:sz w:val="18"/>
                <w:szCs w:val="18"/>
                <w:lang w:eastAsia="en-GB"/>
              </w:rPr>
            </w:pPr>
            <w:r w:rsidRPr="00C42F5E">
              <w:rPr>
                <w:rFonts w:ascii="Arial" w:eastAsia="Times New Roman" w:hAnsi="Arial" w:cs="Arial"/>
                <w:b/>
                <w:color w:val="000000"/>
                <w:sz w:val="18"/>
                <w:szCs w:val="18"/>
                <w:lang w:eastAsia="en-GB"/>
              </w:rPr>
              <w:t> Activity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4257" w:rsidRPr="00C42F5E" w:rsidRDefault="004A4257" w:rsidP="00C42F5E">
            <w:pPr>
              <w:ind w:left="567" w:hanging="567"/>
              <w:jc w:val="center"/>
              <w:rPr>
                <w:rFonts w:ascii="Arial" w:eastAsia="Times New Roman" w:hAnsi="Arial" w:cs="Arial"/>
                <w:b/>
                <w:bCs/>
                <w:color w:val="000000"/>
                <w:sz w:val="18"/>
                <w:szCs w:val="18"/>
                <w:lang w:eastAsia="en-GB"/>
              </w:rPr>
            </w:pPr>
            <w:r w:rsidRPr="00C42F5E">
              <w:rPr>
                <w:rFonts w:ascii="Arial" w:eastAsia="Times New Roman" w:hAnsi="Arial" w:cs="Arial"/>
                <w:b/>
                <w:bCs/>
                <w:color w:val="000000"/>
                <w:sz w:val="18"/>
                <w:szCs w:val="18"/>
                <w:lang w:eastAsia="en-GB"/>
              </w:rPr>
              <w:t>BGPS 2007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A4257" w:rsidRPr="00C42F5E" w:rsidRDefault="004A4257" w:rsidP="00C42F5E">
            <w:pPr>
              <w:jc w:val="center"/>
              <w:rPr>
                <w:rFonts w:ascii="Arial" w:eastAsia="Times New Roman" w:hAnsi="Arial" w:cs="Arial"/>
                <w:b/>
                <w:bCs/>
                <w:color w:val="000000"/>
                <w:sz w:val="18"/>
                <w:szCs w:val="18"/>
                <w:lang w:eastAsia="en-GB"/>
              </w:rPr>
            </w:pPr>
            <w:r w:rsidRPr="00C42F5E">
              <w:rPr>
                <w:rFonts w:ascii="Arial" w:eastAsia="Times New Roman" w:hAnsi="Arial" w:cs="Arial"/>
                <w:b/>
                <w:bCs/>
                <w:color w:val="000000"/>
                <w:sz w:val="18"/>
                <w:szCs w:val="18"/>
                <w:lang w:eastAsia="en-GB"/>
              </w:rPr>
              <w:t xml:space="preserve">Combined HSE / </w:t>
            </w:r>
            <w:proofErr w:type="spellStart"/>
            <w:r w:rsidRPr="00C42F5E">
              <w:rPr>
                <w:rFonts w:ascii="Arial" w:eastAsia="Times New Roman" w:hAnsi="Arial" w:cs="Arial"/>
                <w:b/>
                <w:bCs/>
                <w:color w:val="000000"/>
                <w:sz w:val="18"/>
                <w:szCs w:val="18"/>
                <w:lang w:eastAsia="en-GB"/>
              </w:rPr>
              <w:t>SHeS</w:t>
            </w:r>
            <w:proofErr w:type="spellEnd"/>
            <w:r w:rsidRPr="00C42F5E">
              <w:rPr>
                <w:rFonts w:ascii="Arial" w:eastAsia="Times New Roman" w:hAnsi="Arial" w:cs="Arial"/>
                <w:b/>
                <w:bCs/>
                <w:color w:val="000000"/>
                <w:sz w:val="18"/>
                <w:szCs w:val="18"/>
                <w:lang w:eastAsia="en-GB"/>
              </w:rPr>
              <w:t xml:space="preserve"> 2012 (%)</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National Lottery</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0.8</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proofErr w:type="spellStart"/>
            <w:r w:rsidRPr="00C42F5E">
              <w:rPr>
                <w:rFonts w:ascii="Arial" w:eastAsia="Times New Roman" w:hAnsi="Arial" w:cs="Arial"/>
                <w:color w:val="000000"/>
                <w:sz w:val="18"/>
                <w:szCs w:val="18"/>
                <w:lang w:eastAsia="en-GB"/>
              </w:rPr>
              <w:t>Scratchcards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1.9</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1.3</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Other lottery</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2.1</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1.4</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Football Pools</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3.5</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2.8</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Bingo (not online)</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3.1</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2.8</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Slot Machines</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2.6</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1.8</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Machines in Bookmakers</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11.2</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5.7</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Casino table games (not online)</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5.2</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4.7</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Online gambling on slots, casino or bingo games</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7.4</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4.8</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Online betting with a bookmaker</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6</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2.6</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Betting exchange</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9.8</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8.8</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Horse races (not online)</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1.7</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1.8</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Dog races (not online)</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5.2</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3.7</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Sports events (not online)</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6</w:t>
            </w:r>
            <w:r w:rsidRPr="00C42F5E">
              <w:rPr>
                <w:rStyle w:val="FootnoteReference"/>
                <w:rFonts w:ascii="Arial" w:eastAsia="Times New Roman" w:hAnsi="Arial" w:cs="Arial"/>
                <w:color w:val="000000"/>
                <w:sz w:val="18"/>
                <w:szCs w:val="18"/>
                <w:lang w:eastAsia="en-GB"/>
              </w:rPr>
              <w:footnoteReference w:id="22"/>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4.5</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Other events (not online)</w:t>
            </w:r>
          </w:p>
        </w:tc>
        <w:tc>
          <w:tcPr>
            <w:tcW w:w="1701" w:type="dxa"/>
            <w:vMerge/>
            <w:tcBorders>
              <w:top w:val="nil"/>
              <w:left w:val="single" w:sz="4" w:space="0" w:color="auto"/>
              <w:bottom w:val="single" w:sz="4" w:space="0" w:color="auto"/>
              <w:right w:val="single" w:sz="4" w:space="0" w:color="auto"/>
            </w:tcBorders>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9.1</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Spread betting</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14.7</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16</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Private betting</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2.3</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1.6</w:t>
            </w:r>
          </w:p>
        </w:tc>
      </w:tr>
      <w:tr w:rsidR="004A4257" w:rsidRPr="00C42F5E" w:rsidTr="00C42F5E">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4A4257" w:rsidRPr="00C42F5E" w:rsidRDefault="004A4257" w:rsidP="00C42F5E">
            <w:pPr>
              <w:ind w:left="567" w:hanging="567"/>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Any other gambling</w:t>
            </w:r>
          </w:p>
        </w:tc>
        <w:tc>
          <w:tcPr>
            <w:tcW w:w="1701"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6.1</w:t>
            </w:r>
          </w:p>
        </w:tc>
        <w:tc>
          <w:tcPr>
            <w:tcW w:w="1843" w:type="dxa"/>
            <w:tcBorders>
              <w:top w:val="nil"/>
              <w:left w:val="nil"/>
              <w:bottom w:val="single" w:sz="4" w:space="0" w:color="auto"/>
              <w:right w:val="single" w:sz="4" w:space="0" w:color="auto"/>
            </w:tcBorders>
            <w:shd w:val="clear" w:color="auto" w:fill="auto"/>
            <w:noWrap/>
            <w:vAlign w:val="center"/>
            <w:hideMark/>
          </w:tcPr>
          <w:p w:rsidR="004A4257" w:rsidRPr="00C42F5E" w:rsidRDefault="004A4257" w:rsidP="00C42F5E">
            <w:pPr>
              <w:ind w:left="567" w:hanging="567"/>
              <w:jc w:val="center"/>
              <w:rPr>
                <w:rFonts w:ascii="Arial" w:eastAsia="Times New Roman" w:hAnsi="Arial" w:cs="Arial"/>
                <w:color w:val="000000"/>
                <w:sz w:val="18"/>
                <w:szCs w:val="18"/>
                <w:lang w:eastAsia="en-GB"/>
              </w:rPr>
            </w:pPr>
            <w:r w:rsidRPr="00C42F5E">
              <w:rPr>
                <w:rFonts w:ascii="Arial" w:eastAsia="Times New Roman" w:hAnsi="Arial" w:cs="Arial"/>
                <w:color w:val="000000"/>
                <w:sz w:val="18"/>
                <w:szCs w:val="18"/>
                <w:lang w:eastAsia="en-GB"/>
              </w:rPr>
              <w:t>8.3</w:t>
            </w:r>
          </w:p>
        </w:tc>
      </w:tr>
    </w:tbl>
    <w:p w:rsidR="004A4257" w:rsidRDefault="004A4257" w:rsidP="00C42F5E">
      <w:pPr>
        <w:rPr>
          <w:rFonts w:ascii="Arial" w:hAnsi="Arial" w:cs="Arial"/>
          <w:sz w:val="22"/>
          <w:szCs w:val="22"/>
        </w:rPr>
      </w:pPr>
      <w:r w:rsidRPr="00C42F5E">
        <w:rPr>
          <w:rFonts w:ascii="Arial" w:hAnsi="Arial" w:cs="Arial"/>
          <w:sz w:val="22"/>
          <w:szCs w:val="22"/>
        </w:rPr>
        <w:lastRenderedPageBreak/>
        <w:t xml:space="preserve">Despite these correlations between problem gambling and individual activities secondary analysis of the data shows that the primary association with problem gambling is number of activities participated in, as shown in the chart below: </w:t>
      </w:r>
    </w:p>
    <w:p w:rsidR="00C42F5E" w:rsidRDefault="00C42F5E" w:rsidP="00C42F5E">
      <w:pPr>
        <w:rPr>
          <w:rFonts w:ascii="Arial" w:hAnsi="Arial" w:cs="Arial"/>
          <w:sz w:val="22"/>
          <w:szCs w:val="22"/>
        </w:rPr>
      </w:pPr>
    </w:p>
    <w:p w:rsidR="004A4257" w:rsidRDefault="00040328" w:rsidP="004A4257">
      <w:pPr>
        <w:ind w:left="567" w:hanging="567"/>
        <w:rPr>
          <w:rFonts w:ascii="Arial" w:hAnsi="Arial" w:cs="Arial"/>
          <w:noProof/>
          <w:lang w:eastAsia="en-GB"/>
        </w:rPr>
      </w:pPr>
      <w:r>
        <w:rPr>
          <w:rFonts w:ascii="Arial" w:hAnsi="Arial" w:cs="Arial"/>
          <w:noProof/>
          <w:lang w:eastAsia="en-GB"/>
        </w:rPr>
        <w:drawing>
          <wp:inline distT="0" distB="0" distL="0" distR="0">
            <wp:extent cx="4724400" cy="2971800"/>
            <wp:effectExtent l="19050" t="0" r="0" b="0"/>
            <wp:docPr id="4"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cstate="print"/>
                    <a:srcRect b="-18"/>
                    <a:stretch>
                      <a:fillRect/>
                    </a:stretch>
                  </pic:blipFill>
                  <pic:spPr bwMode="auto">
                    <a:xfrm>
                      <a:off x="0" y="0"/>
                      <a:ext cx="4724400" cy="2971800"/>
                    </a:xfrm>
                    <a:prstGeom prst="rect">
                      <a:avLst/>
                    </a:prstGeom>
                    <a:noFill/>
                    <a:ln w="9525">
                      <a:noFill/>
                      <a:miter lim="800000"/>
                      <a:headEnd/>
                      <a:tailEnd/>
                    </a:ln>
                  </pic:spPr>
                </pic:pic>
              </a:graphicData>
            </a:graphic>
          </wp:inline>
        </w:drawing>
      </w:r>
    </w:p>
    <w:p w:rsidR="00C42F5E" w:rsidRPr="00C42F5E" w:rsidRDefault="00C42F5E" w:rsidP="004A4257">
      <w:pPr>
        <w:ind w:left="567" w:hanging="567"/>
        <w:rPr>
          <w:rFonts w:ascii="Arial" w:hAnsi="Arial" w:cs="Arial"/>
        </w:rPr>
      </w:pPr>
    </w:p>
    <w:p w:rsidR="004A4257" w:rsidRPr="00C42F5E" w:rsidRDefault="004A4257" w:rsidP="00C42F5E">
      <w:pPr>
        <w:rPr>
          <w:rFonts w:ascii="Arial" w:hAnsi="Arial" w:cs="Arial"/>
          <w:sz w:val="22"/>
          <w:szCs w:val="22"/>
        </w:rPr>
      </w:pPr>
      <w:r w:rsidRPr="00C42F5E">
        <w:rPr>
          <w:rFonts w:ascii="Arial" w:hAnsi="Arial" w:cs="Arial"/>
          <w:sz w:val="22"/>
          <w:szCs w:val="22"/>
        </w:rPr>
        <w:t xml:space="preserve">This </w:t>
      </w:r>
      <w:r w:rsidR="00372CE4">
        <w:rPr>
          <w:rFonts w:ascii="Arial" w:hAnsi="Arial" w:cs="Arial"/>
          <w:sz w:val="22"/>
          <w:szCs w:val="22"/>
        </w:rPr>
        <w:t>suggests</w:t>
      </w:r>
      <w:r w:rsidR="00372CE4" w:rsidRPr="00C42F5E">
        <w:rPr>
          <w:rFonts w:ascii="Arial" w:hAnsi="Arial" w:cs="Arial"/>
          <w:sz w:val="22"/>
          <w:szCs w:val="22"/>
        </w:rPr>
        <w:t xml:space="preserve"> </w:t>
      </w:r>
      <w:r w:rsidRPr="00C42F5E">
        <w:rPr>
          <w:rFonts w:ascii="Arial" w:hAnsi="Arial" w:cs="Arial"/>
          <w:sz w:val="22"/>
          <w:szCs w:val="22"/>
        </w:rPr>
        <w:t xml:space="preserve">that restriction of individual gambling activities / activities in certain environments is unlikely to have an overall impact on rates of problem gambling. </w:t>
      </w:r>
    </w:p>
    <w:p w:rsidR="00C42F5E" w:rsidRDefault="00C42F5E" w:rsidP="004A4257">
      <w:pPr>
        <w:pStyle w:val="Heading2"/>
        <w:spacing w:before="0" w:after="0"/>
        <w:ind w:left="567" w:hanging="567"/>
      </w:pPr>
    </w:p>
    <w:p w:rsidR="004A4257" w:rsidRPr="00C42F5E" w:rsidRDefault="004A4257" w:rsidP="004A4257">
      <w:pPr>
        <w:pStyle w:val="Heading2"/>
        <w:spacing w:before="0" w:after="0"/>
        <w:ind w:left="567" w:hanging="567"/>
        <w:rPr>
          <w:i w:val="0"/>
          <w:sz w:val="32"/>
          <w:szCs w:val="32"/>
        </w:rPr>
      </w:pPr>
      <w:r w:rsidRPr="00C42F5E">
        <w:rPr>
          <w:i w:val="0"/>
          <w:sz w:val="32"/>
          <w:szCs w:val="32"/>
        </w:rPr>
        <w:t>Relevant research underway – online tracker survey</w:t>
      </w:r>
    </w:p>
    <w:p w:rsidR="004A4257" w:rsidRPr="00C42F5E" w:rsidRDefault="004A4257" w:rsidP="004A4257">
      <w:pPr>
        <w:ind w:left="567" w:hanging="567"/>
        <w:rPr>
          <w:rFonts w:ascii="Arial" w:hAnsi="Arial" w:cs="Arial"/>
        </w:rPr>
      </w:pPr>
    </w:p>
    <w:p w:rsidR="004A4257" w:rsidRPr="00C42F5E" w:rsidRDefault="004A4257" w:rsidP="00C42F5E">
      <w:pPr>
        <w:rPr>
          <w:rFonts w:ascii="Arial" w:hAnsi="Arial" w:cs="Arial"/>
          <w:sz w:val="22"/>
          <w:szCs w:val="22"/>
        </w:rPr>
      </w:pPr>
      <w:r w:rsidRPr="00C42F5E">
        <w:rPr>
          <w:rFonts w:ascii="Arial" w:hAnsi="Arial" w:cs="Arial"/>
          <w:sz w:val="22"/>
          <w:szCs w:val="22"/>
        </w:rPr>
        <w:t>In March 2015 the Commission began collecting survey data via an online methodology to explore online gambling behaviour in-depth. The survey consists of 2,000 responses per quarter from an even split of online panel respondents and freshly sourced sample. The questionnaire broadly covers:</w:t>
      </w:r>
    </w:p>
    <w:p w:rsidR="004A4257" w:rsidRPr="00C42F5E" w:rsidRDefault="004A4257" w:rsidP="000156C3">
      <w:pPr>
        <w:pStyle w:val="ListParagraph"/>
        <w:numPr>
          <w:ilvl w:val="0"/>
          <w:numId w:val="1"/>
        </w:numPr>
        <w:spacing w:after="0" w:line="240" w:lineRule="auto"/>
        <w:ind w:left="1134" w:hanging="283"/>
        <w:rPr>
          <w:rFonts w:ascii="Arial" w:hAnsi="Arial" w:cs="Arial"/>
        </w:rPr>
      </w:pPr>
      <w:r w:rsidRPr="00C42F5E">
        <w:rPr>
          <w:rFonts w:ascii="Arial" w:hAnsi="Arial" w:cs="Arial"/>
        </w:rPr>
        <w:t>Past four week participation in gambling activities</w:t>
      </w:r>
    </w:p>
    <w:p w:rsidR="004A4257" w:rsidRPr="00C42F5E" w:rsidRDefault="004A4257" w:rsidP="000156C3">
      <w:pPr>
        <w:pStyle w:val="ListParagraph"/>
        <w:numPr>
          <w:ilvl w:val="0"/>
          <w:numId w:val="1"/>
        </w:numPr>
        <w:spacing w:after="0" w:line="240" w:lineRule="auto"/>
        <w:ind w:left="1134" w:hanging="283"/>
        <w:rPr>
          <w:rFonts w:ascii="Arial" w:hAnsi="Arial" w:cs="Arial"/>
        </w:rPr>
      </w:pPr>
      <w:r w:rsidRPr="00C42F5E">
        <w:rPr>
          <w:rFonts w:ascii="Arial" w:hAnsi="Arial" w:cs="Arial"/>
        </w:rPr>
        <w:t>How respondents have participated (online / in-person / both)</w:t>
      </w:r>
    </w:p>
    <w:p w:rsidR="004A4257" w:rsidRPr="00C42F5E" w:rsidRDefault="004A4257" w:rsidP="000156C3">
      <w:pPr>
        <w:pStyle w:val="ListParagraph"/>
        <w:numPr>
          <w:ilvl w:val="0"/>
          <w:numId w:val="1"/>
        </w:numPr>
        <w:spacing w:after="0" w:line="240" w:lineRule="auto"/>
        <w:ind w:left="1134" w:hanging="283"/>
        <w:rPr>
          <w:rFonts w:ascii="Arial" w:hAnsi="Arial" w:cs="Arial"/>
        </w:rPr>
      </w:pPr>
      <w:r w:rsidRPr="00C42F5E">
        <w:rPr>
          <w:rFonts w:ascii="Arial" w:hAnsi="Arial" w:cs="Arial"/>
        </w:rPr>
        <w:t>Devices used to gamble (PC / laptop / mobile etc)</w:t>
      </w:r>
    </w:p>
    <w:p w:rsidR="004A4257" w:rsidRPr="00C42F5E" w:rsidRDefault="004A4257" w:rsidP="000156C3">
      <w:pPr>
        <w:pStyle w:val="ListParagraph"/>
        <w:numPr>
          <w:ilvl w:val="0"/>
          <w:numId w:val="1"/>
        </w:numPr>
        <w:spacing w:after="0" w:line="240" w:lineRule="auto"/>
        <w:ind w:left="1134" w:hanging="283"/>
        <w:rPr>
          <w:rFonts w:ascii="Arial" w:hAnsi="Arial" w:cs="Arial"/>
        </w:rPr>
      </w:pPr>
      <w:r w:rsidRPr="00C42F5E">
        <w:rPr>
          <w:rFonts w:ascii="Arial" w:hAnsi="Arial" w:cs="Arial"/>
        </w:rPr>
        <w:t>Location of gambling (home / work etc)</w:t>
      </w:r>
    </w:p>
    <w:p w:rsidR="004A4257" w:rsidRPr="00C42F5E" w:rsidRDefault="004A4257" w:rsidP="000156C3">
      <w:pPr>
        <w:pStyle w:val="ListParagraph"/>
        <w:numPr>
          <w:ilvl w:val="0"/>
          <w:numId w:val="1"/>
        </w:numPr>
        <w:spacing w:after="0" w:line="240" w:lineRule="auto"/>
        <w:ind w:left="1134" w:hanging="283"/>
        <w:rPr>
          <w:rFonts w:ascii="Arial" w:hAnsi="Arial" w:cs="Arial"/>
        </w:rPr>
      </w:pPr>
      <w:r w:rsidRPr="00C42F5E">
        <w:rPr>
          <w:rFonts w:ascii="Arial" w:hAnsi="Arial" w:cs="Arial"/>
        </w:rPr>
        <w:t>Number of accounts held with gambling operators and trajectory of spend</w:t>
      </w:r>
    </w:p>
    <w:p w:rsidR="004A4257" w:rsidRPr="00C42F5E" w:rsidRDefault="004A4257" w:rsidP="000156C3">
      <w:pPr>
        <w:pStyle w:val="ListParagraph"/>
        <w:numPr>
          <w:ilvl w:val="0"/>
          <w:numId w:val="1"/>
        </w:numPr>
        <w:spacing w:after="0" w:line="240" w:lineRule="auto"/>
        <w:ind w:left="1134" w:hanging="283"/>
        <w:rPr>
          <w:rFonts w:ascii="Arial" w:hAnsi="Arial" w:cs="Arial"/>
        </w:rPr>
      </w:pPr>
      <w:r w:rsidRPr="00C42F5E">
        <w:rPr>
          <w:rFonts w:ascii="Arial" w:hAnsi="Arial" w:cs="Arial"/>
        </w:rPr>
        <w:t>In-play participation</w:t>
      </w:r>
    </w:p>
    <w:p w:rsidR="004A4257" w:rsidRPr="00C42F5E" w:rsidRDefault="004A4257" w:rsidP="000156C3">
      <w:pPr>
        <w:pStyle w:val="ListParagraph"/>
        <w:numPr>
          <w:ilvl w:val="0"/>
          <w:numId w:val="1"/>
        </w:numPr>
        <w:spacing w:after="0" w:line="240" w:lineRule="auto"/>
        <w:ind w:left="1134" w:hanging="283"/>
        <w:rPr>
          <w:rFonts w:ascii="Arial" w:hAnsi="Arial" w:cs="Arial"/>
        </w:rPr>
      </w:pPr>
      <w:r w:rsidRPr="00C42F5E">
        <w:rPr>
          <w:rFonts w:ascii="Arial" w:hAnsi="Arial" w:cs="Arial"/>
        </w:rPr>
        <w:t>PGSI mini-screen</w:t>
      </w:r>
      <w:r w:rsidRPr="00C42F5E">
        <w:rPr>
          <w:rStyle w:val="EndnoteReference"/>
          <w:rFonts w:ascii="Arial" w:hAnsi="Arial" w:cs="Arial"/>
        </w:rPr>
        <w:endnoteReference w:id="1"/>
      </w:r>
    </w:p>
    <w:p w:rsidR="004A4257" w:rsidRPr="00C42F5E" w:rsidRDefault="004A4257" w:rsidP="000156C3">
      <w:pPr>
        <w:pStyle w:val="ListParagraph"/>
        <w:numPr>
          <w:ilvl w:val="0"/>
          <w:numId w:val="1"/>
        </w:numPr>
        <w:spacing w:after="0" w:line="240" w:lineRule="auto"/>
        <w:ind w:left="1134" w:hanging="283"/>
        <w:rPr>
          <w:rFonts w:ascii="Arial" w:hAnsi="Arial" w:cs="Arial"/>
        </w:rPr>
      </w:pPr>
      <w:r w:rsidRPr="00C42F5E">
        <w:rPr>
          <w:rFonts w:ascii="Arial" w:hAnsi="Arial" w:cs="Arial"/>
        </w:rPr>
        <w:t>Social gaming participation</w:t>
      </w:r>
      <w:r w:rsidR="00C42F5E">
        <w:rPr>
          <w:rFonts w:ascii="Arial" w:hAnsi="Arial" w:cs="Arial"/>
        </w:rPr>
        <w:t>.</w:t>
      </w:r>
    </w:p>
    <w:p w:rsidR="00C42F5E" w:rsidRDefault="00C42F5E" w:rsidP="004A4257">
      <w:pPr>
        <w:ind w:left="567" w:hanging="567"/>
        <w:rPr>
          <w:rFonts w:ascii="Arial" w:hAnsi="Arial" w:cs="Arial"/>
          <w:sz w:val="22"/>
          <w:szCs w:val="22"/>
        </w:rPr>
      </w:pPr>
    </w:p>
    <w:p w:rsidR="004A4257" w:rsidRPr="00C42F5E" w:rsidRDefault="004A4257" w:rsidP="00C42F5E">
      <w:pPr>
        <w:rPr>
          <w:rFonts w:ascii="Arial" w:hAnsi="Arial" w:cs="Arial"/>
        </w:rPr>
      </w:pPr>
      <w:r w:rsidRPr="00C42F5E">
        <w:rPr>
          <w:rFonts w:ascii="Arial" w:hAnsi="Arial" w:cs="Arial"/>
          <w:sz w:val="22"/>
          <w:szCs w:val="22"/>
        </w:rPr>
        <w:t xml:space="preserve">The survey is conducted on a quarterly basis and the results will be published in February 2016 once a full year of data is available. Subsequent waves will be published on a quarterly basis. </w:t>
      </w:r>
    </w:p>
    <w:p w:rsidR="0085679A" w:rsidRPr="00C42F5E" w:rsidRDefault="0085679A" w:rsidP="004A4257">
      <w:pPr>
        <w:pStyle w:val="Basictext"/>
        <w:ind w:left="567" w:hanging="567"/>
      </w:pPr>
    </w:p>
    <w:p w:rsidR="00660940" w:rsidRPr="00C42F5E" w:rsidRDefault="00660940" w:rsidP="004A4257">
      <w:pPr>
        <w:pStyle w:val="Basictext"/>
        <w:ind w:left="567" w:hanging="567"/>
      </w:pPr>
    </w:p>
    <w:sectPr w:rsidR="00660940" w:rsidRPr="00C42F5E" w:rsidSect="00694AA7">
      <w:headerReference w:type="first" r:id="rId17"/>
      <w:footerReference w:type="first" r:id="rId18"/>
      <w:type w:val="continuous"/>
      <w:pgSz w:w="11909" w:h="16834" w:code="9"/>
      <w:pgMar w:top="1152" w:right="1152" w:bottom="864" w:left="1152" w:header="576" w:footer="57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A4" w:rsidRDefault="00DA14A4">
      <w:r>
        <w:separator/>
      </w:r>
    </w:p>
  </w:endnote>
  <w:endnote w:type="continuationSeparator" w:id="0">
    <w:p w:rsidR="00DA14A4" w:rsidRDefault="00DA14A4">
      <w:r>
        <w:continuationSeparator/>
      </w:r>
    </w:p>
  </w:endnote>
  <w:endnote w:id="1">
    <w:p w:rsidR="00DA14A4" w:rsidRPr="00C42F5E" w:rsidRDefault="00DA14A4" w:rsidP="004A4257">
      <w:pPr>
        <w:pStyle w:val="EndnoteText"/>
        <w:rPr>
          <w:rFonts w:ascii="Arial" w:hAnsi="Arial" w:cs="Arial"/>
          <w:sz w:val="16"/>
          <w:szCs w:val="16"/>
        </w:rPr>
      </w:pPr>
      <w:r w:rsidRPr="00C42F5E">
        <w:rPr>
          <w:rStyle w:val="EndnoteReference"/>
          <w:rFonts w:ascii="Arial" w:hAnsi="Arial" w:cs="Arial"/>
          <w:sz w:val="16"/>
          <w:szCs w:val="16"/>
        </w:rPr>
        <w:endnoteRef/>
      </w:r>
      <w:r w:rsidRPr="00C42F5E">
        <w:rPr>
          <w:rFonts w:ascii="Arial" w:hAnsi="Arial" w:cs="Arial"/>
          <w:sz w:val="16"/>
          <w:szCs w:val="16"/>
        </w:rPr>
        <w:t xml:space="preserve"> The PGSI mini-screen is a short form 3 item version of the full 9 item PGSI screen. The screen was developed to allow a quick assessment of whether someone is likely to be experiencing issues with their gambling and asks three broad questions about financial difficulties related to gambling, worrying / guilt about gambling and others having said the individual may have a problem with their gambling.</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A4" w:rsidRDefault="00DA1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A4" w:rsidRDefault="00DA14A4">
      <w:r>
        <w:separator/>
      </w:r>
    </w:p>
  </w:footnote>
  <w:footnote w:type="continuationSeparator" w:id="0">
    <w:p w:rsidR="00DA14A4" w:rsidRDefault="00DA14A4">
      <w:r>
        <w:continuationSeparator/>
      </w:r>
    </w:p>
  </w:footnote>
  <w:footnote w:id="1">
    <w:p w:rsidR="00DA14A4" w:rsidRDefault="00DA14A4">
      <w:pPr>
        <w:pStyle w:val="FootnoteText"/>
      </w:pPr>
      <w:r>
        <w:rPr>
          <w:rStyle w:val="FootnoteReference"/>
        </w:rPr>
        <w:footnoteRef/>
      </w:r>
      <w:r>
        <w:t xml:space="preserve"> See </w:t>
      </w:r>
      <w:hyperlink r:id="rId1" w:history="1">
        <w:r w:rsidRPr="004250CB">
          <w:rPr>
            <w:rStyle w:val="Hyperlink"/>
          </w:rPr>
          <w:t>www.gamblingcommission.gov.uk</w:t>
        </w:r>
      </w:hyperlink>
      <w:r>
        <w:t xml:space="preserve"> for further information on the Gambling Commission.</w:t>
      </w:r>
    </w:p>
  </w:footnote>
  <w:footnote w:id="2">
    <w:p w:rsidR="00DA14A4" w:rsidRPr="004A4257" w:rsidRDefault="00DA14A4" w:rsidP="00C863FC">
      <w:pPr>
        <w:pStyle w:val="FootnoteText"/>
        <w:ind w:left="142" w:hanging="142"/>
        <w:rPr>
          <w:rFonts w:ascii="Arial" w:hAnsi="Arial" w:cs="Arial"/>
          <w:sz w:val="16"/>
          <w:szCs w:val="16"/>
        </w:rPr>
      </w:pPr>
      <w:r w:rsidRPr="004A4257">
        <w:rPr>
          <w:rStyle w:val="FootnoteReference"/>
          <w:rFonts w:ascii="Arial" w:hAnsi="Arial" w:cs="Arial"/>
          <w:sz w:val="16"/>
          <w:szCs w:val="16"/>
        </w:rPr>
        <w:footnoteRef/>
      </w:r>
      <w:r w:rsidRPr="004A4257">
        <w:rPr>
          <w:rFonts w:ascii="Arial" w:hAnsi="Arial" w:cs="Arial"/>
          <w:sz w:val="16"/>
          <w:szCs w:val="16"/>
        </w:rPr>
        <w:t xml:space="preserve"> Larger society lotteries are those with annual proceeds of over £20k; smaller society lotteries are licensed by local licensing authorities.</w:t>
      </w:r>
    </w:p>
  </w:footnote>
  <w:footnote w:id="3">
    <w:p w:rsidR="00DA14A4" w:rsidRPr="004A4257" w:rsidRDefault="00DA14A4" w:rsidP="00C863FC">
      <w:pPr>
        <w:pStyle w:val="FootnoteText"/>
        <w:ind w:left="142" w:hanging="142"/>
        <w:rPr>
          <w:rFonts w:ascii="Arial" w:hAnsi="Arial" w:cs="Arial"/>
          <w:sz w:val="16"/>
          <w:szCs w:val="16"/>
        </w:rPr>
      </w:pPr>
      <w:r w:rsidRPr="004A4257">
        <w:rPr>
          <w:rStyle w:val="FootnoteReference"/>
          <w:rFonts w:ascii="Arial" w:hAnsi="Arial" w:cs="Arial"/>
          <w:sz w:val="16"/>
          <w:szCs w:val="16"/>
        </w:rPr>
        <w:footnoteRef/>
      </w:r>
      <w:r w:rsidRPr="004A4257">
        <w:rPr>
          <w:rFonts w:ascii="Arial" w:hAnsi="Arial" w:cs="Arial"/>
          <w:sz w:val="16"/>
          <w:szCs w:val="16"/>
        </w:rPr>
        <w:t xml:space="preserve"> The National Lottery Commission which regulated the National Lottery was merged into the Gambling Commission in October 2013.</w:t>
      </w:r>
    </w:p>
  </w:footnote>
  <w:footnote w:id="4">
    <w:p w:rsidR="00DA14A4" w:rsidRDefault="00DA14A4" w:rsidP="004A4257">
      <w:pPr>
        <w:pStyle w:val="FootnoteText"/>
      </w:pPr>
      <w:r w:rsidRPr="004A4257">
        <w:rPr>
          <w:rStyle w:val="FootnoteReference"/>
          <w:rFonts w:ascii="Arial" w:hAnsi="Arial" w:cs="Arial"/>
          <w:sz w:val="16"/>
          <w:szCs w:val="16"/>
        </w:rPr>
        <w:footnoteRef/>
      </w:r>
      <w:r w:rsidRPr="004A4257">
        <w:rPr>
          <w:rFonts w:ascii="Arial" w:hAnsi="Arial" w:cs="Arial"/>
          <w:sz w:val="16"/>
          <w:szCs w:val="16"/>
        </w:rPr>
        <w:t xml:space="preserve"> </w:t>
      </w:r>
      <w:r>
        <w:rPr>
          <w:rFonts w:ascii="Arial" w:hAnsi="Arial" w:cs="Arial"/>
          <w:sz w:val="16"/>
          <w:szCs w:val="16"/>
        </w:rPr>
        <w:t>The pool monopoly, The Tote, was sold in July 2011 with its monopoly on  track-based pool betting in place until July 2018</w:t>
      </w:r>
    </w:p>
  </w:footnote>
  <w:footnote w:id="5">
    <w:p w:rsidR="00DA14A4" w:rsidRDefault="00DA14A4">
      <w:pPr>
        <w:pStyle w:val="FootnoteText"/>
      </w:pPr>
      <w:r>
        <w:rPr>
          <w:rStyle w:val="FootnoteReference"/>
        </w:rPr>
        <w:footnoteRef/>
      </w:r>
      <w:r>
        <w:t xml:space="preserve"> </w:t>
      </w:r>
      <w:r w:rsidRPr="003C4537">
        <w:rPr>
          <w:sz w:val="18"/>
          <w:szCs w:val="18"/>
        </w:rPr>
        <w:t xml:space="preserve">Gambling software is software that can impact on the fairness of the gambling – see June 2014 note ‘What is gambling software on </w:t>
      </w:r>
      <w:hyperlink r:id="rId2" w:history="1">
        <w:r w:rsidRPr="003C4537">
          <w:rPr>
            <w:rStyle w:val="Hyperlink"/>
            <w:sz w:val="18"/>
            <w:szCs w:val="18"/>
          </w:rPr>
          <w:t>www.gambling</w:t>
        </w:r>
      </w:hyperlink>
      <w:r w:rsidRPr="003C4537">
        <w:rPr>
          <w:sz w:val="18"/>
          <w:szCs w:val="18"/>
        </w:rPr>
        <w:t>commission .gov.uk</w:t>
      </w:r>
    </w:p>
  </w:footnote>
  <w:footnote w:id="6">
    <w:p w:rsidR="00DA14A4" w:rsidRPr="00645FF6" w:rsidRDefault="00DA14A4" w:rsidP="004A4257">
      <w:pPr>
        <w:pStyle w:val="FootnoteText"/>
        <w:rPr>
          <w:sz w:val="18"/>
          <w:szCs w:val="18"/>
        </w:rPr>
      </w:pPr>
      <w:r w:rsidRPr="00645FF6">
        <w:rPr>
          <w:rStyle w:val="FootnoteReference"/>
          <w:sz w:val="18"/>
          <w:szCs w:val="18"/>
        </w:rPr>
        <w:footnoteRef/>
      </w:r>
      <w:r w:rsidRPr="00645FF6">
        <w:rPr>
          <w:sz w:val="18"/>
          <w:szCs w:val="18"/>
        </w:rPr>
        <w:t xml:space="preserve"> </w:t>
      </w:r>
      <w:r w:rsidRPr="00DF7407">
        <w:rPr>
          <w:sz w:val="18"/>
          <w:szCs w:val="18"/>
        </w:rPr>
        <w:t>The Gambling Act 2005 allowed the Secretary of State to make regulations specifying places which are to be treated as if they were EEA states, known as the “White List”. In respect of remote gambling there were four states on the “White List”: the Isle of Man, Tasmania, the States of Alderney, and Antigua &amp; Barbuda. The new legislation means that the white list was phased out, as operators anywhere in the world were allowed to apply for a Gambling Commission licence.</w:t>
      </w:r>
    </w:p>
  </w:footnote>
  <w:footnote w:id="7">
    <w:p w:rsidR="00DA14A4" w:rsidRPr="00AA3C2C" w:rsidRDefault="00DA14A4">
      <w:pPr>
        <w:pStyle w:val="FootnoteText"/>
        <w:rPr>
          <w:rFonts w:ascii="Arial" w:hAnsi="Arial" w:cs="Arial"/>
          <w:sz w:val="16"/>
          <w:szCs w:val="16"/>
        </w:rPr>
      </w:pPr>
      <w:r w:rsidRPr="00AA3C2C">
        <w:rPr>
          <w:rStyle w:val="FootnoteReference"/>
          <w:rFonts w:ascii="Arial" w:hAnsi="Arial" w:cs="Arial"/>
          <w:sz w:val="16"/>
          <w:szCs w:val="16"/>
        </w:rPr>
        <w:footnoteRef/>
      </w:r>
      <w:r w:rsidRPr="00AA3C2C">
        <w:rPr>
          <w:rFonts w:ascii="Arial" w:hAnsi="Arial" w:cs="Arial"/>
          <w:sz w:val="16"/>
          <w:szCs w:val="16"/>
        </w:rPr>
        <w:t xml:space="preserve"> Section123</w:t>
      </w:r>
    </w:p>
  </w:footnote>
  <w:footnote w:id="8">
    <w:p w:rsidR="00DA14A4" w:rsidRDefault="00DA14A4">
      <w:r w:rsidRPr="003C4537">
        <w:rPr>
          <w:rStyle w:val="FootnoteReference"/>
          <w:rFonts w:asciiTheme="minorHAnsi" w:hAnsiTheme="minorHAnsi"/>
          <w:sz w:val="18"/>
          <w:szCs w:val="18"/>
        </w:rPr>
        <w:footnoteRef/>
      </w:r>
      <w:r w:rsidRPr="003C4537">
        <w:rPr>
          <w:rFonts w:asciiTheme="minorHAnsi" w:hAnsiTheme="minorHAnsi"/>
          <w:sz w:val="18"/>
          <w:szCs w:val="18"/>
        </w:rPr>
        <w:t xml:space="preserve"> </w:t>
      </w:r>
      <w:hyperlink r:id="rId3" w:history="1">
        <w:r w:rsidRPr="003C4537">
          <w:rPr>
            <w:rStyle w:val="Hyperlink"/>
            <w:rFonts w:asciiTheme="minorHAnsi" w:hAnsiTheme="minorHAnsi"/>
            <w:sz w:val="18"/>
            <w:szCs w:val="18"/>
          </w:rPr>
          <w:t>Responsible Gambling Trust</w:t>
        </w:r>
      </w:hyperlink>
    </w:p>
  </w:footnote>
  <w:footnote w:id="9">
    <w:p w:rsidR="00DA14A4" w:rsidRPr="00AA3C2C" w:rsidRDefault="00DA14A4">
      <w:pPr>
        <w:pStyle w:val="FootnoteText"/>
        <w:rPr>
          <w:rFonts w:ascii="Arial" w:hAnsi="Arial" w:cs="Arial"/>
          <w:sz w:val="16"/>
          <w:szCs w:val="16"/>
        </w:rPr>
      </w:pPr>
      <w:r w:rsidRPr="00AA3C2C">
        <w:rPr>
          <w:rStyle w:val="FootnoteReference"/>
          <w:rFonts w:ascii="Arial" w:hAnsi="Arial" w:cs="Arial"/>
          <w:sz w:val="16"/>
          <w:szCs w:val="16"/>
        </w:rPr>
        <w:footnoteRef/>
      </w:r>
      <w:r w:rsidRPr="00AA3C2C">
        <w:rPr>
          <w:rFonts w:ascii="Arial" w:hAnsi="Arial" w:cs="Arial"/>
          <w:sz w:val="16"/>
          <w:szCs w:val="16"/>
        </w:rPr>
        <w:t xml:space="preserve"> The next publication of industry statistics on </w:t>
      </w:r>
      <w:r>
        <w:rPr>
          <w:rFonts w:ascii="Arial" w:hAnsi="Arial" w:cs="Arial"/>
          <w:sz w:val="16"/>
          <w:szCs w:val="16"/>
        </w:rPr>
        <w:t xml:space="preserve">26 </w:t>
      </w:r>
      <w:r w:rsidRPr="00AA3C2C">
        <w:rPr>
          <w:rFonts w:ascii="Arial" w:hAnsi="Arial" w:cs="Arial"/>
          <w:sz w:val="16"/>
          <w:szCs w:val="16"/>
        </w:rPr>
        <w:t>November will include for the first time data from licensees covering the whole British gambling market, not just those based in Britain and subsequent editions will show the emerging trends.</w:t>
      </w:r>
    </w:p>
  </w:footnote>
  <w:footnote w:id="10">
    <w:p w:rsidR="00DA14A4" w:rsidRPr="00E45650" w:rsidRDefault="00DA14A4">
      <w:pPr>
        <w:pStyle w:val="FootnoteText"/>
        <w:rPr>
          <w:sz w:val="18"/>
          <w:szCs w:val="18"/>
        </w:rPr>
      </w:pPr>
      <w:r w:rsidRPr="003C4537">
        <w:rPr>
          <w:rStyle w:val="FootnoteReference"/>
          <w:sz w:val="18"/>
          <w:szCs w:val="18"/>
        </w:rPr>
        <w:footnoteRef/>
      </w:r>
      <w:r w:rsidRPr="003C4537">
        <w:rPr>
          <w:sz w:val="18"/>
          <w:szCs w:val="18"/>
        </w:rPr>
        <w:t xml:space="preserve"> Estimate by H2GC</w:t>
      </w:r>
    </w:p>
  </w:footnote>
  <w:footnote w:id="11">
    <w:p w:rsidR="00DA14A4" w:rsidRPr="00E439D4" w:rsidRDefault="00DA14A4">
      <w:pPr>
        <w:pStyle w:val="FootnoteText"/>
        <w:rPr>
          <w:rFonts w:ascii="Arial" w:hAnsi="Arial" w:cs="Arial"/>
          <w:sz w:val="16"/>
          <w:szCs w:val="16"/>
        </w:rPr>
      </w:pPr>
      <w:r w:rsidRPr="00E439D4">
        <w:rPr>
          <w:rStyle w:val="FootnoteReference"/>
          <w:rFonts w:ascii="Arial" w:hAnsi="Arial" w:cs="Arial"/>
          <w:sz w:val="16"/>
          <w:szCs w:val="16"/>
        </w:rPr>
        <w:footnoteRef/>
      </w:r>
      <w:r w:rsidRPr="00E439D4">
        <w:rPr>
          <w:rFonts w:ascii="Arial" w:hAnsi="Arial" w:cs="Arial"/>
          <w:sz w:val="16"/>
          <w:szCs w:val="16"/>
        </w:rPr>
        <w:t xml:space="preserve"> The health surveys have a combined </w:t>
      </w:r>
      <w:r w:rsidRPr="009C6B6F">
        <w:rPr>
          <w:rFonts w:ascii="Arial" w:hAnsi="Arial" w:cs="Arial"/>
          <w:sz w:val="16"/>
          <w:szCs w:val="16"/>
        </w:rPr>
        <w:t xml:space="preserve">sample of 13,106 compared to 7,756 in BGPS 2010. </w:t>
      </w:r>
    </w:p>
  </w:footnote>
  <w:footnote w:id="12">
    <w:p w:rsidR="00DA14A4" w:rsidRDefault="00DA14A4">
      <w:r w:rsidRPr="003C4537">
        <w:rPr>
          <w:rStyle w:val="FootnoteReference"/>
          <w:rFonts w:asciiTheme="minorHAnsi" w:hAnsiTheme="minorHAnsi"/>
          <w:sz w:val="18"/>
          <w:szCs w:val="18"/>
        </w:rPr>
        <w:footnoteRef/>
      </w:r>
      <w:r w:rsidRPr="003C4537">
        <w:rPr>
          <w:rFonts w:asciiTheme="minorHAnsi" w:hAnsiTheme="minorHAnsi"/>
          <w:sz w:val="18"/>
          <w:szCs w:val="18"/>
        </w:rPr>
        <w:t xml:space="preserve"> </w:t>
      </w:r>
      <w:hyperlink r:id="rId4" w:history="1">
        <w:r w:rsidRPr="003C4537">
          <w:rPr>
            <w:rStyle w:val="Hyperlink"/>
            <w:rFonts w:asciiTheme="minorHAnsi" w:hAnsiTheme="minorHAnsi"/>
            <w:sz w:val="18"/>
            <w:szCs w:val="18"/>
          </w:rPr>
          <w:t>Gambling participation and prevalence of problem gambling</w:t>
        </w:r>
      </w:hyperlink>
    </w:p>
  </w:footnote>
  <w:footnote w:id="13">
    <w:p w:rsidR="00DA14A4" w:rsidRPr="008346D4" w:rsidRDefault="00DA14A4" w:rsidP="004A4257">
      <w:pPr>
        <w:pStyle w:val="FootnoteText"/>
        <w:rPr>
          <w:rFonts w:ascii="Arial" w:hAnsi="Arial" w:cs="Arial"/>
          <w:sz w:val="16"/>
          <w:szCs w:val="16"/>
        </w:rPr>
      </w:pPr>
      <w:r w:rsidRPr="008346D4">
        <w:rPr>
          <w:rStyle w:val="FootnoteReference"/>
          <w:rFonts w:ascii="Arial" w:hAnsi="Arial" w:cs="Arial"/>
          <w:sz w:val="16"/>
          <w:szCs w:val="16"/>
        </w:rPr>
        <w:footnoteRef/>
      </w:r>
      <w:r w:rsidRPr="008346D4">
        <w:rPr>
          <w:rFonts w:ascii="Arial" w:hAnsi="Arial" w:cs="Arial"/>
          <w:sz w:val="16"/>
          <w:szCs w:val="16"/>
        </w:rPr>
        <w:t xml:space="preserve"> http://www.gamblingcommission.gov.uk/pdf/Latest-LCCP-and-Extracts/LCCP-sector-summary-for-remote-</w:t>
      </w:r>
      <w:r>
        <w:rPr>
          <w:rFonts w:ascii="Arial" w:hAnsi="Arial" w:cs="Arial"/>
          <w:sz w:val="16"/>
          <w:szCs w:val="16"/>
        </w:rPr>
        <w:t>betting</w:t>
      </w:r>
      <w:r w:rsidRPr="008346D4">
        <w:rPr>
          <w:rFonts w:ascii="Arial" w:hAnsi="Arial" w:cs="Arial"/>
          <w:sz w:val="16"/>
          <w:szCs w:val="16"/>
        </w:rPr>
        <w:t>.pdf</w:t>
      </w:r>
      <w:r>
        <w:rPr>
          <w:rFonts w:ascii="Arial" w:hAnsi="Arial" w:cs="Arial"/>
          <w:sz w:val="16"/>
          <w:szCs w:val="16"/>
        </w:rPr>
        <w:t xml:space="preserve"> </w:t>
      </w:r>
    </w:p>
  </w:footnote>
  <w:footnote w:id="14">
    <w:p w:rsidR="00DA14A4" w:rsidRPr="00BC38D5" w:rsidRDefault="00DA14A4">
      <w:pPr>
        <w:pStyle w:val="FootnoteText"/>
        <w:rPr>
          <w:rFonts w:ascii="Arial" w:hAnsi="Arial" w:cs="Arial"/>
          <w:sz w:val="16"/>
          <w:szCs w:val="16"/>
        </w:rPr>
      </w:pPr>
      <w:r w:rsidRPr="00BC38D5">
        <w:rPr>
          <w:rStyle w:val="FootnoteReference"/>
          <w:rFonts w:ascii="Arial" w:hAnsi="Arial" w:cs="Arial"/>
          <w:sz w:val="16"/>
          <w:szCs w:val="16"/>
        </w:rPr>
        <w:footnoteRef/>
      </w:r>
      <w:r w:rsidRPr="00BC38D5">
        <w:rPr>
          <w:rFonts w:ascii="Arial" w:hAnsi="Arial" w:cs="Arial"/>
          <w:sz w:val="16"/>
          <w:szCs w:val="16"/>
        </w:rPr>
        <w:t xml:space="preserve"> http://www.gamblingcommission.gov.uk/Technical-standards.aspx</w:t>
      </w:r>
    </w:p>
  </w:footnote>
  <w:footnote w:id="15">
    <w:p w:rsidR="00DA14A4" w:rsidRPr="008346D4" w:rsidRDefault="00DA14A4" w:rsidP="004A4257">
      <w:pPr>
        <w:pStyle w:val="FootnoteText"/>
        <w:rPr>
          <w:rFonts w:ascii="Arial" w:hAnsi="Arial" w:cs="Arial"/>
          <w:color w:val="000000"/>
          <w:sz w:val="16"/>
          <w:szCs w:val="16"/>
        </w:rPr>
      </w:pPr>
      <w:r w:rsidRPr="008346D4">
        <w:rPr>
          <w:rFonts w:ascii="Arial" w:hAnsi="Arial" w:cs="Arial"/>
          <w:color w:val="000000"/>
          <w:sz w:val="16"/>
          <w:szCs w:val="16"/>
          <w:vertAlign w:val="superscript"/>
        </w:rPr>
        <w:footnoteRef/>
      </w:r>
      <w:r w:rsidRPr="008346D4">
        <w:rPr>
          <w:rFonts w:ascii="Arial" w:hAnsi="Arial" w:cs="Arial"/>
          <w:color w:val="000000"/>
          <w:sz w:val="16"/>
          <w:szCs w:val="16"/>
          <w:vertAlign w:val="superscript"/>
        </w:rPr>
        <w:t xml:space="preserve"> </w:t>
      </w:r>
      <w:r w:rsidRPr="008346D4">
        <w:rPr>
          <w:rFonts w:ascii="Arial" w:hAnsi="Arial" w:cs="Arial"/>
          <w:color w:val="000000"/>
          <w:sz w:val="16"/>
          <w:szCs w:val="16"/>
        </w:rPr>
        <w:t>http://www.gamblingcommission.gov.uk/pdf/Strengthening-social-responsibility-LCCP-responses.pdf</w:t>
      </w:r>
    </w:p>
  </w:footnote>
  <w:footnote w:id="16">
    <w:p w:rsidR="00DA14A4" w:rsidRPr="00C63732" w:rsidRDefault="00DA14A4" w:rsidP="00C63732">
      <w:pPr>
        <w:pStyle w:val="FootnoteText"/>
        <w:ind w:left="142" w:hanging="142"/>
        <w:rPr>
          <w:rFonts w:ascii="Arial" w:hAnsi="Arial" w:cs="Arial"/>
          <w:color w:val="000000"/>
          <w:sz w:val="16"/>
          <w:szCs w:val="16"/>
        </w:rPr>
      </w:pPr>
      <w:r w:rsidRPr="00C63732">
        <w:rPr>
          <w:rFonts w:ascii="Arial" w:hAnsi="Arial" w:cs="Arial"/>
          <w:color w:val="000000"/>
          <w:sz w:val="16"/>
          <w:szCs w:val="16"/>
          <w:vertAlign w:val="superscript"/>
        </w:rPr>
        <w:footnoteRef/>
      </w:r>
      <w:r w:rsidRPr="00C63732">
        <w:rPr>
          <w:rFonts w:ascii="Arial" w:hAnsi="Arial" w:cs="Arial"/>
          <w:color w:val="000000"/>
          <w:sz w:val="16"/>
          <w:szCs w:val="16"/>
        </w:rPr>
        <w:t xml:space="preserve"> </w:t>
      </w:r>
      <w:hyperlink r:id="rId5" w:history="1">
        <w:r w:rsidRPr="00C63732">
          <w:rPr>
            <w:rStyle w:val="Hyperlink"/>
            <w:rFonts w:ascii="Arial" w:hAnsi="Arial" w:cs="Arial"/>
            <w:sz w:val="16"/>
            <w:szCs w:val="16"/>
          </w:rPr>
          <w:t>http://www.rgsb.org.uk/</w:t>
        </w:r>
      </w:hyperlink>
      <w:r w:rsidRPr="00C63732">
        <w:rPr>
          <w:rFonts w:ascii="Arial" w:hAnsi="Arial" w:cs="Arial"/>
          <w:color w:val="000000"/>
          <w:sz w:val="16"/>
          <w:szCs w:val="16"/>
        </w:rPr>
        <w:t xml:space="preserve"> RGSB’s role is to provide independent advice to the Gambling Commission and</w:t>
      </w:r>
      <w:r>
        <w:rPr>
          <w:rFonts w:ascii="Arial" w:hAnsi="Arial" w:cs="Arial"/>
          <w:color w:val="000000"/>
          <w:sz w:val="16"/>
          <w:szCs w:val="16"/>
        </w:rPr>
        <w:t>,</w:t>
      </w:r>
      <w:r w:rsidRPr="00C63732">
        <w:rPr>
          <w:rFonts w:ascii="Arial" w:hAnsi="Arial" w:cs="Arial"/>
          <w:color w:val="000000"/>
          <w:sz w:val="16"/>
          <w:szCs w:val="16"/>
        </w:rPr>
        <w:t xml:space="preserve"> via the Gambling Commission, DCMS on the strategy and priorities for research education and treatment.</w:t>
      </w:r>
    </w:p>
  </w:footnote>
  <w:footnote w:id="17">
    <w:p w:rsidR="00DA14A4" w:rsidRPr="00C63732" w:rsidRDefault="00DA14A4" w:rsidP="004A4257">
      <w:pPr>
        <w:pStyle w:val="FootnoteText"/>
        <w:rPr>
          <w:rFonts w:ascii="Arial" w:hAnsi="Arial" w:cs="Arial"/>
          <w:sz w:val="16"/>
          <w:szCs w:val="16"/>
        </w:rPr>
      </w:pPr>
      <w:r w:rsidRPr="00C63732">
        <w:rPr>
          <w:rStyle w:val="FootnoteReference"/>
          <w:rFonts w:ascii="Arial" w:hAnsi="Arial" w:cs="Arial"/>
          <w:sz w:val="16"/>
          <w:szCs w:val="16"/>
        </w:rPr>
        <w:footnoteRef/>
      </w:r>
      <w:r w:rsidRPr="00C63732">
        <w:rPr>
          <w:rFonts w:ascii="Arial" w:hAnsi="Arial" w:cs="Arial"/>
          <w:sz w:val="16"/>
          <w:szCs w:val="16"/>
        </w:rPr>
        <w:t xml:space="preserve"> </w:t>
      </w:r>
      <w:r w:rsidRPr="00C63732">
        <w:rPr>
          <w:rFonts w:ascii="Arial" w:hAnsi="Arial" w:cs="Arial"/>
          <w:color w:val="000000"/>
          <w:sz w:val="16"/>
          <w:szCs w:val="16"/>
        </w:rPr>
        <w:t xml:space="preserve"> </w:t>
      </w:r>
      <w:hyperlink r:id="rId6" w:history="1">
        <w:r w:rsidRPr="00C63732">
          <w:rPr>
            <w:rStyle w:val="Hyperlink"/>
            <w:rFonts w:ascii="Arial" w:hAnsi="Arial" w:cs="Arial"/>
            <w:sz w:val="16"/>
            <w:szCs w:val="16"/>
          </w:rPr>
          <w:t>In-Running Betting Position Paper</w:t>
        </w:r>
      </w:hyperlink>
      <w:r w:rsidRPr="00C63732">
        <w:rPr>
          <w:rFonts w:ascii="Arial" w:hAnsi="Arial" w:cs="Arial"/>
          <w:color w:val="000000"/>
          <w:sz w:val="16"/>
          <w:szCs w:val="16"/>
        </w:rPr>
        <w:t xml:space="preserve"> </w:t>
      </w:r>
    </w:p>
  </w:footnote>
  <w:footnote w:id="18">
    <w:p w:rsidR="00DA14A4" w:rsidRPr="00C63732" w:rsidRDefault="00DA14A4" w:rsidP="004A4257">
      <w:pPr>
        <w:pStyle w:val="FootnoteText"/>
        <w:rPr>
          <w:rFonts w:ascii="Arial" w:hAnsi="Arial" w:cs="Arial"/>
          <w:sz w:val="16"/>
          <w:szCs w:val="16"/>
        </w:rPr>
      </w:pPr>
      <w:r w:rsidRPr="00C63732">
        <w:rPr>
          <w:rStyle w:val="FootnoteReference"/>
          <w:rFonts w:ascii="Arial" w:hAnsi="Arial" w:cs="Arial"/>
          <w:sz w:val="16"/>
          <w:szCs w:val="16"/>
        </w:rPr>
        <w:footnoteRef/>
      </w:r>
      <w:r w:rsidRPr="00C63732">
        <w:rPr>
          <w:rFonts w:ascii="Arial" w:hAnsi="Arial" w:cs="Arial"/>
          <w:sz w:val="16"/>
          <w:szCs w:val="16"/>
        </w:rPr>
        <w:t xml:space="preserve"> 2014 Remote Gambling Association report  ‘</w:t>
      </w:r>
      <w:r w:rsidRPr="00C63732">
        <w:rPr>
          <w:rFonts w:ascii="Arial" w:hAnsi="Arial" w:cs="Arial"/>
          <w:color w:val="000000"/>
          <w:sz w:val="16"/>
          <w:szCs w:val="16"/>
        </w:rPr>
        <w:t>sports betting :commercial and integrity issues’</w:t>
      </w:r>
    </w:p>
  </w:footnote>
  <w:footnote w:id="19">
    <w:p w:rsidR="00DA14A4" w:rsidRPr="00C63732" w:rsidRDefault="00DA14A4" w:rsidP="004A4257">
      <w:pPr>
        <w:pStyle w:val="FootnoteText"/>
        <w:rPr>
          <w:rFonts w:ascii="Arial" w:hAnsi="Arial" w:cs="Arial"/>
          <w:sz w:val="16"/>
          <w:szCs w:val="16"/>
        </w:rPr>
      </w:pPr>
      <w:r w:rsidRPr="00C63732">
        <w:rPr>
          <w:rStyle w:val="FootnoteReference"/>
          <w:rFonts w:ascii="Arial" w:hAnsi="Arial" w:cs="Arial"/>
          <w:sz w:val="16"/>
          <w:szCs w:val="16"/>
        </w:rPr>
        <w:footnoteRef/>
      </w:r>
      <w:r w:rsidRPr="00C63732">
        <w:rPr>
          <w:rFonts w:ascii="Arial" w:hAnsi="Arial" w:cs="Arial"/>
          <w:sz w:val="16"/>
          <w:szCs w:val="16"/>
        </w:rPr>
        <w:t xml:space="preserve"> http://www.gamblingcommission.gov.uk/pdf/SBI-Action-Plan.pdf</w:t>
      </w:r>
    </w:p>
  </w:footnote>
  <w:footnote w:id="20">
    <w:p w:rsidR="00DA14A4" w:rsidRPr="00C42F5E" w:rsidRDefault="00DA14A4" w:rsidP="004A4257">
      <w:pPr>
        <w:pStyle w:val="FootnoteText"/>
        <w:rPr>
          <w:rFonts w:ascii="Arial" w:hAnsi="Arial" w:cs="Arial"/>
          <w:sz w:val="16"/>
          <w:szCs w:val="16"/>
        </w:rPr>
      </w:pPr>
      <w:r w:rsidRPr="00C42F5E">
        <w:rPr>
          <w:rStyle w:val="FootnoteReference"/>
          <w:rFonts w:ascii="Arial" w:hAnsi="Arial" w:cs="Arial"/>
          <w:sz w:val="16"/>
          <w:szCs w:val="16"/>
        </w:rPr>
        <w:footnoteRef/>
      </w:r>
      <w:r w:rsidRPr="00C42F5E">
        <w:rPr>
          <w:rFonts w:ascii="Arial" w:hAnsi="Arial" w:cs="Arial"/>
          <w:sz w:val="16"/>
          <w:szCs w:val="16"/>
        </w:rPr>
        <w:t xml:space="preserve"> One survey in year to September 2014 took place in a period covering the Grand National which explains the spike in </w:t>
      </w:r>
      <w:r>
        <w:rPr>
          <w:rFonts w:ascii="Arial" w:hAnsi="Arial" w:cs="Arial"/>
          <w:sz w:val="16"/>
          <w:szCs w:val="16"/>
        </w:rPr>
        <w:t>horse</w:t>
      </w:r>
      <w:r w:rsidRPr="00C42F5E">
        <w:rPr>
          <w:rFonts w:ascii="Arial" w:hAnsi="Arial" w:cs="Arial"/>
          <w:sz w:val="16"/>
          <w:szCs w:val="16"/>
        </w:rPr>
        <w:t xml:space="preserve">race betting. </w:t>
      </w:r>
    </w:p>
  </w:footnote>
  <w:footnote w:id="21">
    <w:p w:rsidR="00DA14A4" w:rsidRPr="00C42F5E" w:rsidRDefault="00DA14A4" w:rsidP="004A4257">
      <w:pPr>
        <w:pStyle w:val="FootnoteText"/>
        <w:rPr>
          <w:rFonts w:ascii="Arial" w:hAnsi="Arial" w:cs="Arial"/>
          <w:sz w:val="16"/>
          <w:szCs w:val="16"/>
        </w:rPr>
      </w:pPr>
      <w:r w:rsidRPr="00C42F5E">
        <w:rPr>
          <w:rStyle w:val="FootnoteReference"/>
          <w:rFonts w:ascii="Arial" w:hAnsi="Arial" w:cs="Arial"/>
          <w:sz w:val="16"/>
          <w:szCs w:val="16"/>
        </w:rPr>
        <w:footnoteRef/>
      </w:r>
      <w:r w:rsidRPr="00C42F5E">
        <w:rPr>
          <w:rFonts w:ascii="Arial" w:hAnsi="Arial" w:cs="Arial"/>
          <w:sz w:val="16"/>
          <w:szCs w:val="16"/>
        </w:rPr>
        <w:t xml:space="preserve"> Betting on other events includes betting on politics, television show outcomes etc. </w:t>
      </w:r>
    </w:p>
  </w:footnote>
  <w:footnote w:id="22">
    <w:p w:rsidR="00DA14A4" w:rsidRPr="00C42F5E" w:rsidRDefault="00DA14A4" w:rsidP="004A4257">
      <w:pPr>
        <w:pStyle w:val="FootnoteText"/>
        <w:rPr>
          <w:rFonts w:ascii="Arial" w:hAnsi="Arial" w:cs="Arial"/>
          <w:sz w:val="16"/>
          <w:szCs w:val="16"/>
        </w:rPr>
      </w:pPr>
      <w:r w:rsidRPr="00C42F5E">
        <w:rPr>
          <w:rStyle w:val="FootnoteReference"/>
          <w:rFonts w:ascii="Arial" w:hAnsi="Arial" w:cs="Arial"/>
          <w:sz w:val="16"/>
          <w:szCs w:val="16"/>
        </w:rPr>
        <w:footnoteRef/>
      </w:r>
      <w:r w:rsidRPr="00C42F5E">
        <w:rPr>
          <w:rFonts w:ascii="Arial" w:hAnsi="Arial" w:cs="Arial"/>
          <w:sz w:val="16"/>
          <w:szCs w:val="16"/>
        </w:rPr>
        <w:t xml:space="preserve"> In BGPS 2007 sports events and other events were covered in one ‘other betting in a bookmakers’ category.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A4" w:rsidRDefault="00DA14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24F"/>
    <w:multiLevelType w:val="hybridMultilevel"/>
    <w:tmpl w:val="C8A269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83876"/>
    <w:multiLevelType w:val="hybridMultilevel"/>
    <w:tmpl w:val="DCBEF640"/>
    <w:lvl w:ilvl="0" w:tplc="BC4C6568">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575988"/>
    <w:multiLevelType w:val="multilevel"/>
    <w:tmpl w:val="D3F4D1F4"/>
    <w:lvl w:ilvl="0">
      <w:start w:val="1"/>
      <w:numFmt w:val="decimal"/>
      <w:lvlText w:val="%1"/>
      <w:lvlJc w:val="left"/>
      <w:pPr>
        <w:ind w:left="1800" w:hanging="360"/>
      </w:pPr>
      <w:rPr>
        <w:rFonts w:hint="default"/>
        <w:b/>
        <w:sz w:val="32"/>
        <w:szCs w:val="32"/>
      </w:rPr>
    </w:lvl>
    <w:lvl w:ilvl="1">
      <w:start w:val="3"/>
      <w:numFmt w:val="decimal"/>
      <w:isLgl/>
      <w:lvlText w:val="%1.%2"/>
      <w:lvlJc w:val="left"/>
      <w:pPr>
        <w:ind w:left="180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1F6B7F8B"/>
    <w:multiLevelType w:val="multilevel"/>
    <w:tmpl w:val="72885B72"/>
    <w:lvl w:ilvl="0">
      <w:start w:val="2"/>
      <w:numFmt w:val="decimal"/>
      <w:lvlText w:val="%1"/>
      <w:lvlJc w:val="left"/>
      <w:pPr>
        <w:ind w:left="360" w:hanging="360"/>
      </w:pPr>
      <w:rPr>
        <w:rFonts w:hint="default"/>
        <w:b w:val="0"/>
      </w:rPr>
    </w:lvl>
    <w:lvl w:ilvl="1">
      <w:start w:val="2"/>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4">
    <w:nsid w:val="21421086"/>
    <w:multiLevelType w:val="multilevel"/>
    <w:tmpl w:val="554218A4"/>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b w:val="0"/>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22BC4919"/>
    <w:multiLevelType w:val="hybridMultilevel"/>
    <w:tmpl w:val="120A5C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40A8DDC2">
      <w:start w:val="1"/>
      <w:numFmt w:val="bullet"/>
      <w:lvlText w:val=""/>
      <w:lvlJc w:val="left"/>
      <w:pPr>
        <w:ind w:left="2160" w:hanging="360"/>
      </w:pPr>
      <w:rPr>
        <w:rFonts w:ascii="Symbol" w:hAnsi="Symbol" w:hint="default"/>
        <w:color w:val="00000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043B1"/>
    <w:multiLevelType w:val="hybridMultilevel"/>
    <w:tmpl w:val="2AC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2365CA"/>
    <w:multiLevelType w:val="hybridMultilevel"/>
    <w:tmpl w:val="9496E404"/>
    <w:lvl w:ilvl="0" w:tplc="B2E8F214">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B4170D8"/>
    <w:multiLevelType w:val="hybridMultilevel"/>
    <w:tmpl w:val="CAF2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E20E70"/>
    <w:multiLevelType w:val="hybridMultilevel"/>
    <w:tmpl w:val="3F668D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511B3B94"/>
    <w:multiLevelType w:val="multilevel"/>
    <w:tmpl w:val="C540BB2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610214"/>
    <w:multiLevelType w:val="multilevel"/>
    <w:tmpl w:val="1062F3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5F0D7D"/>
    <w:multiLevelType w:val="hybridMultilevel"/>
    <w:tmpl w:val="6D06E9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9463B8"/>
    <w:multiLevelType w:val="hybridMultilevel"/>
    <w:tmpl w:val="896ECFB2"/>
    <w:lvl w:ilvl="0" w:tplc="08090001">
      <w:start w:val="1"/>
      <w:numFmt w:val="bullet"/>
      <w:lvlText w:val=""/>
      <w:lvlJc w:val="left"/>
      <w:pPr>
        <w:ind w:left="1854" w:hanging="360"/>
      </w:pPr>
      <w:rPr>
        <w:rFonts w:ascii="Symbol" w:hAnsi="Symbol" w:hint="default"/>
      </w:rPr>
    </w:lvl>
    <w:lvl w:ilvl="1" w:tplc="8BE8E50A">
      <w:numFmt w:val="bullet"/>
      <w:lvlText w:val="-"/>
      <w:lvlJc w:val="left"/>
      <w:pPr>
        <w:ind w:left="2574" w:hanging="360"/>
      </w:pPr>
      <w:rPr>
        <w:rFonts w:ascii="Arial" w:eastAsia="Times"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5DEF6A1E"/>
    <w:multiLevelType w:val="multilevel"/>
    <w:tmpl w:val="F55A42EC"/>
    <w:lvl w:ilvl="0">
      <w:start w:val="4"/>
      <w:numFmt w:val="decimal"/>
      <w:lvlText w:val="%1"/>
      <w:lvlJc w:val="left"/>
      <w:pPr>
        <w:ind w:left="360" w:hanging="360"/>
      </w:pPr>
      <w:rPr>
        <w:rFonts w:ascii="Arial" w:hAnsi="Arial" w:cs="Arial" w:hint="default"/>
        <w:color w:val="auto"/>
      </w:rPr>
    </w:lvl>
    <w:lvl w:ilvl="1">
      <w:start w:val="2"/>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Arial" w:hAnsi="Arial" w:cs="Arial" w:hint="default"/>
        <w:color w:val="1F497D"/>
      </w:rPr>
    </w:lvl>
    <w:lvl w:ilvl="3">
      <w:start w:val="1"/>
      <w:numFmt w:val="decimal"/>
      <w:lvlText w:val="%1.%2.%3.%4"/>
      <w:lvlJc w:val="left"/>
      <w:pPr>
        <w:ind w:left="720" w:hanging="720"/>
      </w:pPr>
      <w:rPr>
        <w:rFonts w:ascii="Arial" w:hAnsi="Arial" w:cs="Arial" w:hint="default"/>
        <w:color w:val="1F497D"/>
      </w:rPr>
    </w:lvl>
    <w:lvl w:ilvl="4">
      <w:start w:val="1"/>
      <w:numFmt w:val="decimal"/>
      <w:lvlText w:val="%1.%2.%3.%4.%5"/>
      <w:lvlJc w:val="left"/>
      <w:pPr>
        <w:ind w:left="1080" w:hanging="1080"/>
      </w:pPr>
      <w:rPr>
        <w:rFonts w:ascii="Arial" w:hAnsi="Arial" w:cs="Arial" w:hint="default"/>
        <w:color w:val="1F497D"/>
      </w:rPr>
    </w:lvl>
    <w:lvl w:ilvl="5">
      <w:start w:val="1"/>
      <w:numFmt w:val="decimal"/>
      <w:lvlText w:val="%1.%2.%3.%4.%5.%6"/>
      <w:lvlJc w:val="left"/>
      <w:pPr>
        <w:ind w:left="1080" w:hanging="1080"/>
      </w:pPr>
      <w:rPr>
        <w:rFonts w:ascii="Arial" w:hAnsi="Arial" w:cs="Arial" w:hint="default"/>
        <w:color w:val="1F497D"/>
      </w:rPr>
    </w:lvl>
    <w:lvl w:ilvl="6">
      <w:start w:val="1"/>
      <w:numFmt w:val="decimal"/>
      <w:lvlText w:val="%1.%2.%3.%4.%5.%6.%7"/>
      <w:lvlJc w:val="left"/>
      <w:pPr>
        <w:ind w:left="1440" w:hanging="1440"/>
      </w:pPr>
      <w:rPr>
        <w:rFonts w:ascii="Arial" w:hAnsi="Arial" w:cs="Arial" w:hint="default"/>
        <w:color w:val="1F497D"/>
      </w:rPr>
    </w:lvl>
    <w:lvl w:ilvl="7">
      <w:start w:val="1"/>
      <w:numFmt w:val="decimal"/>
      <w:lvlText w:val="%1.%2.%3.%4.%5.%6.%7.%8"/>
      <w:lvlJc w:val="left"/>
      <w:pPr>
        <w:ind w:left="1440" w:hanging="1440"/>
      </w:pPr>
      <w:rPr>
        <w:rFonts w:ascii="Arial" w:hAnsi="Arial" w:cs="Arial" w:hint="default"/>
        <w:color w:val="1F497D"/>
      </w:rPr>
    </w:lvl>
    <w:lvl w:ilvl="8">
      <w:start w:val="1"/>
      <w:numFmt w:val="decimal"/>
      <w:lvlText w:val="%1.%2.%3.%4.%5.%6.%7.%8.%9"/>
      <w:lvlJc w:val="left"/>
      <w:pPr>
        <w:ind w:left="1440" w:hanging="1440"/>
      </w:pPr>
      <w:rPr>
        <w:rFonts w:ascii="Arial" w:hAnsi="Arial" w:cs="Arial" w:hint="default"/>
        <w:color w:val="1F497D"/>
      </w:rPr>
    </w:lvl>
  </w:abstractNum>
  <w:abstractNum w:abstractNumId="15">
    <w:nsid w:val="618E5B38"/>
    <w:multiLevelType w:val="hybridMultilevel"/>
    <w:tmpl w:val="DEA86162"/>
    <w:lvl w:ilvl="0" w:tplc="08090001">
      <w:start w:val="1"/>
      <w:numFmt w:val="bullet"/>
      <w:lvlText w:val=""/>
      <w:lvlJc w:val="left"/>
      <w:pPr>
        <w:ind w:left="1854" w:hanging="360"/>
      </w:pPr>
      <w:rPr>
        <w:rFonts w:ascii="Symbol" w:hAnsi="Symbol" w:hint="default"/>
      </w:rPr>
    </w:lvl>
    <w:lvl w:ilvl="1" w:tplc="8BE8E50A">
      <w:numFmt w:val="bullet"/>
      <w:lvlText w:val="-"/>
      <w:lvlJc w:val="left"/>
      <w:pPr>
        <w:ind w:left="2574" w:hanging="360"/>
      </w:pPr>
      <w:rPr>
        <w:rFonts w:ascii="Arial" w:eastAsia="Times"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625D428A"/>
    <w:multiLevelType w:val="hybridMultilevel"/>
    <w:tmpl w:val="CCC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29217A"/>
    <w:multiLevelType w:val="multilevel"/>
    <w:tmpl w:val="B8A8B2A8"/>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CA7545"/>
    <w:multiLevelType w:val="multilevel"/>
    <w:tmpl w:val="4E94E1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9"/>
  </w:num>
  <w:num w:numId="5">
    <w:abstractNumId w:val="3"/>
  </w:num>
  <w:num w:numId="6">
    <w:abstractNumId w:val="17"/>
  </w:num>
  <w:num w:numId="7">
    <w:abstractNumId w:val="14"/>
  </w:num>
  <w:num w:numId="8">
    <w:abstractNumId w:val="10"/>
  </w:num>
  <w:num w:numId="9">
    <w:abstractNumId w:val="8"/>
  </w:num>
  <w:num w:numId="10">
    <w:abstractNumId w:val="12"/>
  </w:num>
  <w:num w:numId="11">
    <w:abstractNumId w:val="16"/>
  </w:num>
  <w:num w:numId="12">
    <w:abstractNumId w:val="18"/>
  </w:num>
  <w:num w:numId="13">
    <w:abstractNumId w:val="15"/>
  </w:num>
  <w:num w:numId="14">
    <w:abstractNumId w:val="13"/>
  </w:num>
  <w:num w:numId="15">
    <w:abstractNumId w:val="11"/>
  </w:num>
  <w:num w:numId="16">
    <w:abstractNumId w:val="0"/>
  </w:num>
  <w:num w:numId="17">
    <w:abstractNumId w:val="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trackRevision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B743A"/>
    <w:rsid w:val="000004B0"/>
    <w:rsid w:val="0001436D"/>
    <w:rsid w:val="000148AD"/>
    <w:rsid w:val="000156C3"/>
    <w:rsid w:val="00040328"/>
    <w:rsid w:val="00044B7B"/>
    <w:rsid w:val="000508C6"/>
    <w:rsid w:val="00061D6A"/>
    <w:rsid w:val="00067C60"/>
    <w:rsid w:val="00076FDE"/>
    <w:rsid w:val="000B44C9"/>
    <w:rsid w:val="000C41E4"/>
    <w:rsid w:val="000D5A3B"/>
    <w:rsid w:val="000E6A49"/>
    <w:rsid w:val="00106393"/>
    <w:rsid w:val="00112732"/>
    <w:rsid w:val="0013273D"/>
    <w:rsid w:val="00137506"/>
    <w:rsid w:val="0016712F"/>
    <w:rsid w:val="00171547"/>
    <w:rsid w:val="00171CC2"/>
    <w:rsid w:val="0018512E"/>
    <w:rsid w:val="00190461"/>
    <w:rsid w:val="001C33A3"/>
    <w:rsid w:val="001F0842"/>
    <w:rsid w:val="001F69BC"/>
    <w:rsid w:val="00207CA4"/>
    <w:rsid w:val="00210F44"/>
    <w:rsid w:val="00211E52"/>
    <w:rsid w:val="002149E5"/>
    <w:rsid w:val="00245724"/>
    <w:rsid w:val="00286784"/>
    <w:rsid w:val="00297B19"/>
    <w:rsid w:val="002A57A9"/>
    <w:rsid w:val="002B3BDB"/>
    <w:rsid w:val="002B743A"/>
    <w:rsid w:val="002C4851"/>
    <w:rsid w:val="002C4DA3"/>
    <w:rsid w:val="002D0B83"/>
    <w:rsid w:val="002D6904"/>
    <w:rsid w:val="002E4050"/>
    <w:rsid w:val="002E6659"/>
    <w:rsid w:val="0030013D"/>
    <w:rsid w:val="00325FBA"/>
    <w:rsid w:val="00350F56"/>
    <w:rsid w:val="00353B29"/>
    <w:rsid w:val="00356337"/>
    <w:rsid w:val="00372CE4"/>
    <w:rsid w:val="003816A4"/>
    <w:rsid w:val="00383FF5"/>
    <w:rsid w:val="00391430"/>
    <w:rsid w:val="003964A2"/>
    <w:rsid w:val="003B7938"/>
    <w:rsid w:val="003C207C"/>
    <w:rsid w:val="003C4537"/>
    <w:rsid w:val="003D12DF"/>
    <w:rsid w:val="003D31B9"/>
    <w:rsid w:val="003E5D9D"/>
    <w:rsid w:val="004017CB"/>
    <w:rsid w:val="00424ACF"/>
    <w:rsid w:val="00426332"/>
    <w:rsid w:val="0043285B"/>
    <w:rsid w:val="00442386"/>
    <w:rsid w:val="00455E5F"/>
    <w:rsid w:val="00461D41"/>
    <w:rsid w:val="0046606C"/>
    <w:rsid w:val="00486275"/>
    <w:rsid w:val="004A2C0C"/>
    <w:rsid w:val="004A4257"/>
    <w:rsid w:val="004A79E4"/>
    <w:rsid w:val="004B01AC"/>
    <w:rsid w:val="004B4958"/>
    <w:rsid w:val="004B76EC"/>
    <w:rsid w:val="004D4754"/>
    <w:rsid w:val="005124DB"/>
    <w:rsid w:val="00513E85"/>
    <w:rsid w:val="005540E1"/>
    <w:rsid w:val="005664C3"/>
    <w:rsid w:val="00590C4A"/>
    <w:rsid w:val="005937D8"/>
    <w:rsid w:val="005B2A2F"/>
    <w:rsid w:val="005C7A65"/>
    <w:rsid w:val="005D3F94"/>
    <w:rsid w:val="005E2A56"/>
    <w:rsid w:val="005E3A00"/>
    <w:rsid w:val="005F0B71"/>
    <w:rsid w:val="006022E9"/>
    <w:rsid w:val="0060567B"/>
    <w:rsid w:val="00631D4C"/>
    <w:rsid w:val="00642F2E"/>
    <w:rsid w:val="006459B9"/>
    <w:rsid w:val="00654687"/>
    <w:rsid w:val="00654C02"/>
    <w:rsid w:val="006576CD"/>
    <w:rsid w:val="00660940"/>
    <w:rsid w:val="006827A9"/>
    <w:rsid w:val="00691323"/>
    <w:rsid w:val="0069356B"/>
    <w:rsid w:val="00693D6D"/>
    <w:rsid w:val="00694AA7"/>
    <w:rsid w:val="006D64D3"/>
    <w:rsid w:val="006D668B"/>
    <w:rsid w:val="006E0E52"/>
    <w:rsid w:val="00737055"/>
    <w:rsid w:val="00744B0B"/>
    <w:rsid w:val="0075031C"/>
    <w:rsid w:val="00756B06"/>
    <w:rsid w:val="0077711D"/>
    <w:rsid w:val="00780CBD"/>
    <w:rsid w:val="00786932"/>
    <w:rsid w:val="0079329B"/>
    <w:rsid w:val="007A741A"/>
    <w:rsid w:val="007C704D"/>
    <w:rsid w:val="007D1A91"/>
    <w:rsid w:val="007E0B61"/>
    <w:rsid w:val="007E6B08"/>
    <w:rsid w:val="00800356"/>
    <w:rsid w:val="00815F44"/>
    <w:rsid w:val="00830490"/>
    <w:rsid w:val="008304A1"/>
    <w:rsid w:val="008346D4"/>
    <w:rsid w:val="00842768"/>
    <w:rsid w:val="008544A8"/>
    <w:rsid w:val="0085679A"/>
    <w:rsid w:val="0086641A"/>
    <w:rsid w:val="0088216E"/>
    <w:rsid w:val="00885167"/>
    <w:rsid w:val="008A229D"/>
    <w:rsid w:val="008B5375"/>
    <w:rsid w:val="008C5BB6"/>
    <w:rsid w:val="008D665F"/>
    <w:rsid w:val="00925A4D"/>
    <w:rsid w:val="00981E7F"/>
    <w:rsid w:val="00985F4C"/>
    <w:rsid w:val="00996A8E"/>
    <w:rsid w:val="009B08A6"/>
    <w:rsid w:val="009B70F7"/>
    <w:rsid w:val="009C3F6E"/>
    <w:rsid w:val="009C6B6F"/>
    <w:rsid w:val="009E10F9"/>
    <w:rsid w:val="00A1585F"/>
    <w:rsid w:val="00A178B4"/>
    <w:rsid w:val="00A27C3F"/>
    <w:rsid w:val="00A311FC"/>
    <w:rsid w:val="00A342E5"/>
    <w:rsid w:val="00A450DA"/>
    <w:rsid w:val="00A52B34"/>
    <w:rsid w:val="00A611ED"/>
    <w:rsid w:val="00A7225F"/>
    <w:rsid w:val="00A81E0E"/>
    <w:rsid w:val="00A97F86"/>
    <w:rsid w:val="00AA3C2C"/>
    <w:rsid w:val="00AB0C26"/>
    <w:rsid w:val="00AC175C"/>
    <w:rsid w:val="00AC2F9B"/>
    <w:rsid w:val="00AD10C5"/>
    <w:rsid w:val="00AD48B0"/>
    <w:rsid w:val="00B00B12"/>
    <w:rsid w:val="00B0199F"/>
    <w:rsid w:val="00B0730E"/>
    <w:rsid w:val="00B27A8E"/>
    <w:rsid w:val="00B437FE"/>
    <w:rsid w:val="00B54F55"/>
    <w:rsid w:val="00B60681"/>
    <w:rsid w:val="00B720B7"/>
    <w:rsid w:val="00B85341"/>
    <w:rsid w:val="00B9664C"/>
    <w:rsid w:val="00BA3D0D"/>
    <w:rsid w:val="00BC38D5"/>
    <w:rsid w:val="00BD1168"/>
    <w:rsid w:val="00BE3794"/>
    <w:rsid w:val="00BF10BD"/>
    <w:rsid w:val="00C06042"/>
    <w:rsid w:val="00C243F1"/>
    <w:rsid w:val="00C26A10"/>
    <w:rsid w:val="00C30A9C"/>
    <w:rsid w:val="00C42F5E"/>
    <w:rsid w:val="00C53DFF"/>
    <w:rsid w:val="00C63732"/>
    <w:rsid w:val="00C64B13"/>
    <w:rsid w:val="00C67843"/>
    <w:rsid w:val="00C775CB"/>
    <w:rsid w:val="00C8316F"/>
    <w:rsid w:val="00C863FC"/>
    <w:rsid w:val="00C943BD"/>
    <w:rsid w:val="00C95B2F"/>
    <w:rsid w:val="00C96AC5"/>
    <w:rsid w:val="00CB5550"/>
    <w:rsid w:val="00D11346"/>
    <w:rsid w:val="00D14EDF"/>
    <w:rsid w:val="00D158DA"/>
    <w:rsid w:val="00D2004C"/>
    <w:rsid w:val="00D26EBA"/>
    <w:rsid w:val="00D33D55"/>
    <w:rsid w:val="00D33E83"/>
    <w:rsid w:val="00D358E1"/>
    <w:rsid w:val="00D55424"/>
    <w:rsid w:val="00D71D3D"/>
    <w:rsid w:val="00D7448F"/>
    <w:rsid w:val="00D76BD0"/>
    <w:rsid w:val="00D93D0B"/>
    <w:rsid w:val="00DA14A4"/>
    <w:rsid w:val="00DA70B9"/>
    <w:rsid w:val="00DB11BD"/>
    <w:rsid w:val="00DC0399"/>
    <w:rsid w:val="00DC14D3"/>
    <w:rsid w:val="00DD3E91"/>
    <w:rsid w:val="00DD7975"/>
    <w:rsid w:val="00DE3BBE"/>
    <w:rsid w:val="00DF1DE8"/>
    <w:rsid w:val="00E204B4"/>
    <w:rsid w:val="00E36574"/>
    <w:rsid w:val="00E439D4"/>
    <w:rsid w:val="00E43B44"/>
    <w:rsid w:val="00E45650"/>
    <w:rsid w:val="00E644AF"/>
    <w:rsid w:val="00E702EA"/>
    <w:rsid w:val="00E83935"/>
    <w:rsid w:val="00E877BA"/>
    <w:rsid w:val="00EB0EE4"/>
    <w:rsid w:val="00EC5DEF"/>
    <w:rsid w:val="00EE7D60"/>
    <w:rsid w:val="00F041E6"/>
    <w:rsid w:val="00F13791"/>
    <w:rsid w:val="00F171CD"/>
    <w:rsid w:val="00F2537F"/>
    <w:rsid w:val="00F45E65"/>
    <w:rsid w:val="00F61926"/>
    <w:rsid w:val="00F75A3F"/>
    <w:rsid w:val="00F87101"/>
    <w:rsid w:val="00F93913"/>
    <w:rsid w:val="00FD09C5"/>
    <w:rsid w:val="00FF6C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f90,#393,#ffa616,#61af2e,#8210b4,#1996b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1FC"/>
    <w:rPr>
      <w:sz w:val="24"/>
      <w:lang w:eastAsia="en-US"/>
    </w:rPr>
  </w:style>
  <w:style w:type="paragraph" w:styleId="Heading1">
    <w:name w:val="heading 1"/>
    <w:basedOn w:val="Normal"/>
    <w:next w:val="Normal"/>
    <w:qFormat/>
    <w:rsid w:val="001F08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084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08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link w:val="labelsChar"/>
    <w:semiHidden/>
    <w:rsid w:val="00A311FC"/>
    <w:pPr>
      <w:spacing w:line="280" w:lineRule="exact"/>
    </w:pPr>
    <w:rPr>
      <w:rFonts w:ascii="Arial" w:hAnsi="Arial"/>
      <w:sz w:val="22"/>
    </w:rPr>
  </w:style>
  <w:style w:type="paragraph" w:customStyle="1" w:styleId="Maintext">
    <w:name w:val="Main text"/>
    <w:basedOn w:val="labels"/>
    <w:link w:val="MaintextChar"/>
    <w:semiHidden/>
    <w:rsid w:val="00A311FC"/>
    <w:pPr>
      <w:spacing w:line="240" w:lineRule="exact"/>
    </w:pPr>
    <w:rPr>
      <w:sz w:val="20"/>
    </w:rPr>
  </w:style>
  <w:style w:type="paragraph" w:styleId="Header">
    <w:name w:val="header"/>
    <w:basedOn w:val="Normal"/>
    <w:link w:val="HeaderChar"/>
    <w:uiPriority w:val="99"/>
    <w:semiHidden/>
    <w:rsid w:val="00A311FC"/>
    <w:pPr>
      <w:tabs>
        <w:tab w:val="center" w:pos="4320"/>
        <w:tab w:val="right" w:pos="8640"/>
      </w:tabs>
    </w:pPr>
  </w:style>
  <w:style w:type="paragraph" w:styleId="Footer">
    <w:name w:val="footer"/>
    <w:basedOn w:val="Normal"/>
    <w:link w:val="FooterChar"/>
    <w:uiPriority w:val="99"/>
    <w:semiHidden/>
    <w:rsid w:val="00A311FC"/>
    <w:pPr>
      <w:tabs>
        <w:tab w:val="center" w:pos="4320"/>
        <w:tab w:val="right" w:pos="8640"/>
      </w:tabs>
    </w:pPr>
  </w:style>
  <w:style w:type="paragraph" w:customStyle="1" w:styleId="LetterBody">
    <w:name w:val="Letter Body"/>
    <w:basedOn w:val="Normal"/>
    <w:semiHidden/>
    <w:rsid w:val="00A311FC"/>
    <w:pPr>
      <w:spacing w:line="240" w:lineRule="exact"/>
    </w:pPr>
    <w:rPr>
      <w:rFonts w:ascii="Arial" w:hAnsi="Arial"/>
      <w:sz w:val="19"/>
    </w:rPr>
  </w:style>
  <w:style w:type="paragraph" w:customStyle="1" w:styleId="StyleLetterBody">
    <w:name w:val="Style Letter Body"/>
    <w:basedOn w:val="LetterBody"/>
    <w:semiHidden/>
    <w:rsid w:val="00A311FC"/>
  </w:style>
  <w:style w:type="character" w:customStyle="1" w:styleId="StyleLetterBodyChar">
    <w:name w:val="Style Letter Body Char"/>
    <w:basedOn w:val="DefaultParagraphFont"/>
    <w:semiHidden/>
    <w:rsid w:val="00A311FC"/>
    <w:rPr>
      <w:rFonts w:ascii="Arial" w:eastAsia="Times" w:hAnsi="Arial"/>
      <w:noProof w:val="0"/>
      <w:sz w:val="19"/>
      <w:lang w:val="en-GB" w:eastAsia="en-US" w:bidi="ar-SA"/>
    </w:rPr>
  </w:style>
  <w:style w:type="paragraph" w:styleId="BalloonText">
    <w:name w:val="Balloon Text"/>
    <w:basedOn w:val="Normal"/>
    <w:semiHidden/>
    <w:rsid w:val="00B85341"/>
    <w:rPr>
      <w:rFonts w:ascii="Tahoma" w:hAnsi="Tahoma" w:cs="Tahoma"/>
      <w:sz w:val="16"/>
      <w:szCs w:val="16"/>
    </w:rPr>
  </w:style>
  <w:style w:type="paragraph" w:customStyle="1" w:styleId="Titleyellow">
    <w:name w:val="Title yellow"/>
    <w:basedOn w:val="Normal"/>
    <w:semiHidden/>
    <w:rsid w:val="00FD09C5"/>
    <w:pPr>
      <w:spacing w:after="113" w:line="500" w:lineRule="exact"/>
    </w:pPr>
    <w:rPr>
      <w:rFonts w:ascii="Arial" w:hAnsi="Arial"/>
      <w:color w:val="FFA616"/>
      <w:sz w:val="50"/>
    </w:rPr>
  </w:style>
  <w:style w:type="paragraph" w:customStyle="1" w:styleId="Titlegreen">
    <w:name w:val="Title green"/>
    <w:basedOn w:val="Normal"/>
    <w:semiHidden/>
    <w:rsid w:val="00EB0EE4"/>
    <w:pPr>
      <w:spacing w:after="113" w:line="500" w:lineRule="exact"/>
    </w:pPr>
    <w:rPr>
      <w:rFonts w:ascii="Arial" w:hAnsi="Arial"/>
      <w:color w:val="008000"/>
      <w:sz w:val="50"/>
      <w:lang w:eastAsia="en-GB"/>
    </w:rPr>
  </w:style>
  <w:style w:type="paragraph" w:customStyle="1" w:styleId="Titlepurple">
    <w:name w:val="Title purple"/>
    <w:basedOn w:val="Normal"/>
    <w:semiHidden/>
    <w:rsid w:val="00FD09C5"/>
    <w:pPr>
      <w:spacing w:after="113" w:line="500" w:lineRule="exact"/>
    </w:pPr>
    <w:rPr>
      <w:rFonts w:ascii="Arial" w:hAnsi="Arial"/>
      <w:color w:val="82107E"/>
      <w:sz w:val="50"/>
    </w:rPr>
  </w:style>
  <w:style w:type="paragraph" w:customStyle="1" w:styleId="Titleblue">
    <w:name w:val="Title blue"/>
    <w:basedOn w:val="Normal"/>
    <w:semiHidden/>
    <w:rsid w:val="00FD09C5"/>
    <w:pPr>
      <w:spacing w:after="113" w:line="500" w:lineRule="exact"/>
    </w:pPr>
    <w:rPr>
      <w:rFonts w:ascii="Arial" w:hAnsi="Arial"/>
      <w:color w:val="1996B4"/>
      <w:sz w:val="50"/>
    </w:rPr>
  </w:style>
  <w:style w:type="paragraph" w:customStyle="1" w:styleId="Summary">
    <w:name w:val="Summary"/>
    <w:basedOn w:val="Maintext"/>
    <w:semiHidden/>
    <w:rsid w:val="002E6659"/>
    <w:pPr>
      <w:spacing w:line="280" w:lineRule="exact"/>
    </w:pPr>
    <w:rPr>
      <w:color w:val="FFA616"/>
      <w:sz w:val="32"/>
      <w:szCs w:val="32"/>
    </w:rPr>
  </w:style>
  <w:style w:type="paragraph" w:customStyle="1" w:styleId="Paraheadgreen">
    <w:name w:val="Para head green"/>
    <w:basedOn w:val="Maintext"/>
    <w:semiHidden/>
    <w:rsid w:val="00EB0EE4"/>
    <w:pPr>
      <w:spacing w:line="280" w:lineRule="exact"/>
      <w:ind w:left="540" w:hanging="540"/>
    </w:pPr>
    <w:rPr>
      <w:b/>
      <w:color w:val="008000"/>
      <w:sz w:val="32"/>
      <w:szCs w:val="32"/>
    </w:rPr>
  </w:style>
  <w:style w:type="paragraph" w:customStyle="1" w:styleId="Paraheadyellow">
    <w:name w:val="Para head yellow"/>
    <w:basedOn w:val="Maintext"/>
    <w:semiHidden/>
    <w:rsid w:val="00744B0B"/>
    <w:pPr>
      <w:spacing w:line="280" w:lineRule="exact"/>
    </w:pPr>
    <w:rPr>
      <w:color w:val="FFA616"/>
      <w:sz w:val="32"/>
      <w:szCs w:val="32"/>
    </w:rPr>
  </w:style>
  <w:style w:type="paragraph" w:customStyle="1" w:styleId="Paraheadpurple">
    <w:name w:val="Para head purple"/>
    <w:basedOn w:val="Maintext"/>
    <w:semiHidden/>
    <w:rsid w:val="00744B0B"/>
    <w:pPr>
      <w:spacing w:line="280" w:lineRule="exact"/>
    </w:pPr>
    <w:rPr>
      <w:color w:val="82107E"/>
      <w:sz w:val="32"/>
      <w:szCs w:val="32"/>
    </w:rPr>
  </w:style>
  <w:style w:type="paragraph" w:customStyle="1" w:styleId="Paraheadblue">
    <w:name w:val="Para head blue"/>
    <w:basedOn w:val="Maintext"/>
    <w:semiHidden/>
    <w:rsid w:val="004A2C0C"/>
    <w:pPr>
      <w:spacing w:line="280" w:lineRule="exact"/>
      <w:ind w:left="720" w:hanging="720"/>
    </w:pPr>
    <w:rPr>
      <w:b/>
      <w:color w:val="1996B4"/>
      <w:sz w:val="32"/>
      <w:szCs w:val="32"/>
    </w:rPr>
  </w:style>
  <w:style w:type="paragraph" w:customStyle="1" w:styleId="Paranumberorange">
    <w:name w:val="Para number orange"/>
    <w:basedOn w:val="Basictext"/>
    <w:link w:val="ParanumberorangeChar"/>
    <w:semiHidden/>
    <w:rsid w:val="00C26A10"/>
    <w:pPr>
      <w:ind w:left="720" w:hanging="720"/>
    </w:pPr>
    <w:rPr>
      <w:rFonts w:ascii="Arial Bold" w:hAnsi="Arial Bold"/>
      <w:color w:val="FF6600"/>
    </w:rPr>
  </w:style>
  <w:style w:type="paragraph" w:customStyle="1" w:styleId="Paranumbergreen">
    <w:name w:val="Para number green"/>
    <w:basedOn w:val="Basictext"/>
    <w:link w:val="ParanumbergreenChar"/>
    <w:semiHidden/>
    <w:rsid w:val="00EB0EE4"/>
    <w:pPr>
      <w:ind w:left="540" w:hanging="540"/>
    </w:pPr>
    <w:rPr>
      <w:b/>
      <w:color w:val="008000"/>
    </w:rPr>
  </w:style>
  <w:style w:type="paragraph" w:customStyle="1" w:styleId="Paranumberpurple">
    <w:name w:val="Para number purple"/>
    <w:basedOn w:val="Maintext"/>
    <w:semiHidden/>
    <w:rsid w:val="001F0842"/>
    <w:pPr>
      <w:spacing w:line="280" w:lineRule="exact"/>
    </w:pPr>
    <w:rPr>
      <w:b/>
      <w:color w:val="82107E"/>
      <w:sz w:val="22"/>
      <w:szCs w:val="22"/>
    </w:rPr>
  </w:style>
  <w:style w:type="paragraph" w:customStyle="1" w:styleId="Paranumberblue">
    <w:name w:val="Para number blue"/>
    <w:basedOn w:val="Maintext"/>
    <w:link w:val="ParanumberblueChar"/>
    <w:semiHidden/>
    <w:rsid w:val="001F0842"/>
    <w:pPr>
      <w:spacing w:line="280" w:lineRule="exact"/>
    </w:pPr>
    <w:rPr>
      <w:b/>
      <w:color w:val="1996B4"/>
      <w:sz w:val="22"/>
      <w:szCs w:val="22"/>
    </w:rPr>
  </w:style>
  <w:style w:type="paragraph" w:customStyle="1" w:styleId="Main">
    <w:name w:val="Main"/>
    <w:basedOn w:val="Footer"/>
    <w:semiHidden/>
    <w:rsid w:val="00885167"/>
  </w:style>
  <w:style w:type="paragraph" w:customStyle="1" w:styleId="Mian">
    <w:name w:val="Mian"/>
    <w:basedOn w:val="Main"/>
    <w:semiHidden/>
    <w:rsid w:val="00885167"/>
    <w:rPr>
      <w:rFonts w:ascii="Arial" w:hAnsi="Arial"/>
      <w:sz w:val="22"/>
    </w:rPr>
  </w:style>
  <w:style w:type="paragraph" w:customStyle="1" w:styleId="Text">
    <w:name w:val="Text"/>
    <w:basedOn w:val="Mian"/>
    <w:semiHidden/>
    <w:rsid w:val="00885167"/>
    <w:pPr>
      <w:spacing w:line="280" w:lineRule="exact"/>
    </w:pPr>
    <w:rPr>
      <w:szCs w:val="22"/>
    </w:rPr>
  </w:style>
  <w:style w:type="character" w:customStyle="1" w:styleId="labelsChar">
    <w:name w:val="labels Char"/>
    <w:basedOn w:val="DefaultParagraphFont"/>
    <w:link w:val="labels"/>
    <w:rsid w:val="00780CBD"/>
    <w:rPr>
      <w:rFonts w:ascii="Arial" w:eastAsia="Times" w:hAnsi="Arial"/>
      <w:sz w:val="22"/>
      <w:lang w:val="en-GB" w:eastAsia="en-US" w:bidi="ar-SA"/>
    </w:rPr>
  </w:style>
  <w:style w:type="character" w:customStyle="1" w:styleId="MaintextChar">
    <w:name w:val="Main text Char"/>
    <w:basedOn w:val="labelsChar"/>
    <w:link w:val="Maintext"/>
    <w:rsid w:val="00780CBD"/>
  </w:style>
  <w:style w:type="character" w:customStyle="1" w:styleId="ParanumberblueChar">
    <w:name w:val="Para number blue Char"/>
    <w:basedOn w:val="MaintextChar"/>
    <w:link w:val="Paranumberblue"/>
    <w:rsid w:val="00780CBD"/>
    <w:rPr>
      <w:b/>
      <w:color w:val="1996B4"/>
      <w:sz w:val="22"/>
      <w:szCs w:val="22"/>
    </w:rPr>
  </w:style>
  <w:style w:type="paragraph" w:customStyle="1" w:styleId="Basictext">
    <w:name w:val="Basic text"/>
    <w:basedOn w:val="Normal"/>
    <w:link w:val="BasictextChar"/>
    <w:rsid w:val="00985F4C"/>
    <w:pPr>
      <w:ind w:left="360" w:hanging="360"/>
    </w:pPr>
    <w:rPr>
      <w:rFonts w:ascii="Arial" w:hAnsi="Arial" w:cs="Arial"/>
      <w:sz w:val="22"/>
      <w:szCs w:val="22"/>
    </w:rPr>
  </w:style>
  <w:style w:type="character" w:customStyle="1" w:styleId="BasictextChar">
    <w:name w:val="Basic text Char"/>
    <w:basedOn w:val="DefaultParagraphFont"/>
    <w:link w:val="Basictext"/>
    <w:rsid w:val="00985F4C"/>
    <w:rPr>
      <w:rFonts w:ascii="Arial" w:eastAsia="Times" w:hAnsi="Arial" w:cs="Arial"/>
      <w:sz w:val="22"/>
      <w:szCs w:val="22"/>
      <w:lang w:val="en-GB" w:eastAsia="en-US" w:bidi="ar-SA"/>
    </w:rPr>
  </w:style>
  <w:style w:type="character" w:customStyle="1" w:styleId="ParanumbergreenChar">
    <w:name w:val="Para number green Char"/>
    <w:basedOn w:val="MaintextChar"/>
    <w:link w:val="Paranumbergreen"/>
    <w:rsid w:val="00EB0EE4"/>
    <w:rPr>
      <w:rFonts w:cs="Arial"/>
      <w:b/>
      <w:color w:val="008000"/>
      <w:szCs w:val="22"/>
    </w:rPr>
  </w:style>
  <w:style w:type="character" w:styleId="Hyperlink">
    <w:name w:val="Hyperlink"/>
    <w:basedOn w:val="DefaultParagraphFont"/>
    <w:uiPriority w:val="99"/>
    <w:rsid w:val="00EB0EE4"/>
    <w:rPr>
      <w:color w:val="0000FF"/>
      <w:u w:val="single"/>
    </w:rPr>
  </w:style>
  <w:style w:type="paragraph" w:customStyle="1" w:styleId="Subhead1">
    <w:name w:val="Sub head 1"/>
    <w:basedOn w:val="Basictext"/>
    <w:rsid w:val="0069356B"/>
    <w:pPr>
      <w:ind w:left="720" w:hanging="720"/>
    </w:pPr>
    <w:rPr>
      <w:b/>
      <w:sz w:val="24"/>
      <w:szCs w:val="24"/>
    </w:rPr>
  </w:style>
  <w:style w:type="paragraph" w:customStyle="1" w:styleId="Paraheadorange">
    <w:name w:val="Para head orange"/>
    <w:basedOn w:val="Paraheadgreen"/>
    <w:semiHidden/>
    <w:rsid w:val="00FF6C06"/>
    <w:pPr>
      <w:ind w:left="720" w:hanging="720"/>
    </w:pPr>
    <w:rPr>
      <w:color w:val="FF6600"/>
    </w:rPr>
  </w:style>
  <w:style w:type="paragraph" w:customStyle="1" w:styleId="Titleorange">
    <w:name w:val="Title orange"/>
    <w:basedOn w:val="Titlegreen"/>
    <w:semiHidden/>
    <w:rsid w:val="00FF6C06"/>
    <w:rPr>
      <w:color w:val="FF6600"/>
      <w:szCs w:val="50"/>
    </w:rPr>
  </w:style>
  <w:style w:type="character" w:customStyle="1" w:styleId="ParanumberorangeChar">
    <w:name w:val="Para number orange Char"/>
    <w:basedOn w:val="BasictextChar"/>
    <w:link w:val="Paranumberorange"/>
    <w:rsid w:val="00C26A10"/>
    <w:rPr>
      <w:rFonts w:ascii="Arial Bold" w:hAnsi="Arial Bold"/>
      <w:color w:val="FF6600"/>
    </w:rPr>
  </w:style>
  <w:style w:type="paragraph" w:customStyle="1" w:styleId="Titleblack">
    <w:name w:val="Title black"/>
    <w:basedOn w:val="Titleblue"/>
    <w:rsid w:val="004B01AC"/>
    <w:rPr>
      <w:color w:val="000000"/>
    </w:rPr>
  </w:style>
  <w:style w:type="paragraph" w:customStyle="1" w:styleId="Paraheadblack">
    <w:name w:val="Para head black"/>
    <w:basedOn w:val="Paraheadblue"/>
    <w:rsid w:val="004B01AC"/>
    <w:rPr>
      <w:color w:val="000000"/>
    </w:rPr>
  </w:style>
  <w:style w:type="paragraph" w:customStyle="1" w:styleId="Paranumberblack">
    <w:name w:val="Para number black"/>
    <w:basedOn w:val="Basictext"/>
    <w:link w:val="ParanumberblackChar"/>
    <w:rsid w:val="004B01AC"/>
    <w:pPr>
      <w:ind w:left="720" w:hanging="720"/>
    </w:pPr>
    <w:rPr>
      <w:b/>
    </w:rPr>
  </w:style>
  <w:style w:type="character" w:customStyle="1" w:styleId="ParanumberblackChar">
    <w:name w:val="Para number black Char"/>
    <w:basedOn w:val="BasictextChar"/>
    <w:link w:val="Paranumberblack"/>
    <w:rsid w:val="004B01AC"/>
    <w:rPr>
      <w:b/>
    </w:rPr>
  </w:style>
  <w:style w:type="character" w:customStyle="1" w:styleId="BasictextChar1">
    <w:name w:val="Basic text Char1"/>
    <w:basedOn w:val="DefaultParagraphFont"/>
    <w:semiHidden/>
    <w:rsid w:val="00631D4C"/>
    <w:rPr>
      <w:rFonts w:ascii="Arial" w:eastAsia="Times" w:hAnsi="Arial" w:cs="Arial"/>
      <w:sz w:val="22"/>
      <w:szCs w:val="22"/>
      <w:lang w:val="en-GB" w:eastAsia="en-US" w:bidi="ar-SA"/>
    </w:rPr>
  </w:style>
  <w:style w:type="paragraph" w:styleId="ListParagraph">
    <w:name w:val="List Paragraph"/>
    <w:basedOn w:val="Normal"/>
    <w:uiPriority w:val="34"/>
    <w:qFormat/>
    <w:rsid w:val="004A4257"/>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A4257"/>
    <w:rPr>
      <w:sz w:val="16"/>
      <w:szCs w:val="16"/>
    </w:rPr>
  </w:style>
  <w:style w:type="paragraph" w:styleId="FootnoteText">
    <w:name w:val="footnote text"/>
    <w:basedOn w:val="Normal"/>
    <w:link w:val="FootnoteTextChar"/>
    <w:uiPriority w:val="99"/>
    <w:unhideWhenUsed/>
    <w:rsid w:val="004A4257"/>
    <w:rPr>
      <w:rFonts w:ascii="Calibri" w:eastAsia="Calibri" w:hAnsi="Calibri"/>
      <w:sz w:val="20"/>
    </w:rPr>
  </w:style>
  <w:style w:type="character" w:customStyle="1" w:styleId="FootnoteTextChar">
    <w:name w:val="Footnote Text Char"/>
    <w:basedOn w:val="DefaultParagraphFont"/>
    <w:link w:val="FootnoteText"/>
    <w:uiPriority w:val="99"/>
    <w:rsid w:val="004A4257"/>
    <w:rPr>
      <w:rFonts w:ascii="Calibri" w:eastAsia="Calibri" w:hAnsi="Calibri" w:cs="Times New Roman"/>
      <w:lang w:eastAsia="en-US"/>
    </w:rPr>
  </w:style>
  <w:style w:type="character" w:styleId="FootnoteReference">
    <w:name w:val="footnote reference"/>
    <w:basedOn w:val="DefaultParagraphFont"/>
    <w:uiPriority w:val="99"/>
    <w:unhideWhenUsed/>
    <w:rsid w:val="004A4257"/>
    <w:rPr>
      <w:vertAlign w:val="superscript"/>
    </w:rPr>
  </w:style>
  <w:style w:type="paragraph" w:customStyle="1" w:styleId="Default">
    <w:name w:val="Default"/>
    <w:basedOn w:val="Normal"/>
    <w:rsid w:val="004A4257"/>
    <w:pPr>
      <w:autoSpaceDE w:val="0"/>
      <w:autoSpaceDN w:val="0"/>
    </w:pPr>
    <w:rPr>
      <w:rFonts w:ascii="Arial" w:eastAsia="Calibri" w:hAnsi="Arial" w:cs="Arial"/>
      <w:color w:val="000000"/>
      <w:szCs w:val="24"/>
      <w:lang w:eastAsia="en-GB"/>
    </w:rPr>
  </w:style>
  <w:style w:type="character" w:customStyle="1" w:styleId="HeaderChar">
    <w:name w:val="Header Char"/>
    <w:basedOn w:val="DefaultParagraphFont"/>
    <w:link w:val="Header"/>
    <w:uiPriority w:val="99"/>
    <w:semiHidden/>
    <w:rsid w:val="004A4257"/>
    <w:rPr>
      <w:sz w:val="24"/>
      <w:lang w:eastAsia="en-US"/>
    </w:rPr>
  </w:style>
  <w:style w:type="character" w:customStyle="1" w:styleId="FooterChar">
    <w:name w:val="Footer Char"/>
    <w:basedOn w:val="DefaultParagraphFont"/>
    <w:link w:val="Footer"/>
    <w:uiPriority w:val="99"/>
    <w:semiHidden/>
    <w:rsid w:val="004A4257"/>
    <w:rPr>
      <w:sz w:val="24"/>
      <w:lang w:eastAsia="en-US"/>
    </w:rPr>
  </w:style>
  <w:style w:type="table" w:customStyle="1" w:styleId="LightShading1">
    <w:name w:val="Light Shading1"/>
    <w:basedOn w:val="TableNormal"/>
    <w:uiPriority w:val="60"/>
    <w:rsid w:val="004A425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unhideWhenUsed/>
    <w:rsid w:val="004A4257"/>
    <w:rPr>
      <w:rFonts w:ascii="Calibri" w:eastAsia="Calibri" w:hAnsi="Calibri"/>
      <w:sz w:val="20"/>
    </w:rPr>
  </w:style>
  <w:style w:type="character" w:customStyle="1" w:styleId="EndnoteTextChar">
    <w:name w:val="Endnote Text Char"/>
    <w:basedOn w:val="DefaultParagraphFont"/>
    <w:link w:val="EndnoteText"/>
    <w:uiPriority w:val="99"/>
    <w:rsid w:val="004A4257"/>
    <w:rPr>
      <w:rFonts w:ascii="Calibri" w:eastAsia="Calibri" w:hAnsi="Calibri" w:cs="Times New Roman"/>
      <w:lang w:eastAsia="en-US"/>
    </w:rPr>
  </w:style>
  <w:style w:type="character" w:styleId="EndnoteReference">
    <w:name w:val="endnote reference"/>
    <w:basedOn w:val="DefaultParagraphFont"/>
    <w:uiPriority w:val="99"/>
    <w:unhideWhenUsed/>
    <w:rsid w:val="004A4257"/>
    <w:rPr>
      <w:vertAlign w:val="superscript"/>
    </w:rPr>
  </w:style>
  <w:style w:type="table" w:styleId="TableGrid">
    <w:name w:val="Table Grid"/>
    <w:basedOn w:val="TableNormal"/>
    <w:uiPriority w:val="59"/>
    <w:rsid w:val="004A42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C67843"/>
    <w:rPr>
      <w:sz w:val="20"/>
    </w:rPr>
  </w:style>
  <w:style w:type="character" w:customStyle="1" w:styleId="CommentTextChar">
    <w:name w:val="Comment Text Char"/>
    <w:basedOn w:val="DefaultParagraphFont"/>
    <w:link w:val="CommentText"/>
    <w:rsid w:val="00C67843"/>
    <w:rPr>
      <w:lang w:eastAsia="en-US"/>
    </w:rPr>
  </w:style>
  <w:style w:type="paragraph" w:styleId="CommentSubject">
    <w:name w:val="annotation subject"/>
    <w:basedOn w:val="CommentText"/>
    <w:next w:val="CommentText"/>
    <w:link w:val="CommentSubjectChar"/>
    <w:rsid w:val="00C67843"/>
    <w:rPr>
      <w:b/>
      <w:bCs/>
    </w:rPr>
  </w:style>
  <w:style w:type="character" w:customStyle="1" w:styleId="CommentSubjectChar">
    <w:name w:val="Comment Subject Char"/>
    <w:basedOn w:val="CommentTextChar"/>
    <w:link w:val="CommentSubject"/>
    <w:rsid w:val="00C67843"/>
    <w:rPr>
      <w:b/>
      <w:bCs/>
    </w:rPr>
  </w:style>
  <w:style w:type="paragraph" w:styleId="Revision">
    <w:name w:val="Revision"/>
    <w:hidden/>
    <w:uiPriority w:val="99"/>
    <w:semiHidden/>
    <w:rsid w:val="009B70F7"/>
    <w:rPr>
      <w:sz w:val="24"/>
      <w:lang w:eastAsia="en-US"/>
    </w:rPr>
  </w:style>
  <w:style w:type="character" w:styleId="FollowedHyperlink">
    <w:name w:val="FollowedHyperlink"/>
    <w:basedOn w:val="DefaultParagraphFont"/>
    <w:rsid w:val="002867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68247">
      <w:bodyDiv w:val="1"/>
      <w:marLeft w:val="0"/>
      <w:marRight w:val="0"/>
      <w:marTop w:val="0"/>
      <w:marBottom w:val="0"/>
      <w:divBdr>
        <w:top w:val="none" w:sz="0" w:space="0" w:color="auto"/>
        <w:left w:val="none" w:sz="0" w:space="0" w:color="auto"/>
        <w:bottom w:val="none" w:sz="0" w:space="0" w:color="auto"/>
        <w:right w:val="none" w:sz="0" w:space="0" w:color="auto"/>
      </w:divBdr>
    </w:div>
    <w:div w:id="398788530">
      <w:bodyDiv w:val="1"/>
      <w:marLeft w:val="0"/>
      <w:marRight w:val="0"/>
      <w:marTop w:val="0"/>
      <w:marBottom w:val="0"/>
      <w:divBdr>
        <w:top w:val="none" w:sz="0" w:space="0" w:color="auto"/>
        <w:left w:val="none" w:sz="0" w:space="0" w:color="auto"/>
        <w:bottom w:val="none" w:sz="0" w:space="0" w:color="auto"/>
        <w:right w:val="none" w:sz="0" w:space="0" w:color="auto"/>
      </w:divBdr>
    </w:div>
    <w:div w:id="441536738">
      <w:bodyDiv w:val="1"/>
      <w:marLeft w:val="0"/>
      <w:marRight w:val="0"/>
      <w:marTop w:val="0"/>
      <w:marBottom w:val="0"/>
      <w:divBdr>
        <w:top w:val="none" w:sz="0" w:space="0" w:color="auto"/>
        <w:left w:val="none" w:sz="0" w:space="0" w:color="auto"/>
        <w:bottom w:val="none" w:sz="0" w:space="0" w:color="auto"/>
        <w:right w:val="none" w:sz="0" w:space="0" w:color="auto"/>
      </w:divBdr>
    </w:div>
    <w:div w:id="478379596">
      <w:bodyDiv w:val="1"/>
      <w:marLeft w:val="0"/>
      <w:marRight w:val="0"/>
      <w:marTop w:val="0"/>
      <w:marBottom w:val="0"/>
      <w:divBdr>
        <w:top w:val="none" w:sz="0" w:space="0" w:color="auto"/>
        <w:left w:val="none" w:sz="0" w:space="0" w:color="auto"/>
        <w:bottom w:val="none" w:sz="0" w:space="0" w:color="auto"/>
        <w:right w:val="none" w:sz="0" w:space="0" w:color="auto"/>
      </w:divBdr>
    </w:div>
    <w:div w:id="667832691">
      <w:bodyDiv w:val="1"/>
      <w:marLeft w:val="0"/>
      <w:marRight w:val="0"/>
      <w:marTop w:val="0"/>
      <w:marBottom w:val="0"/>
      <w:divBdr>
        <w:top w:val="none" w:sz="0" w:space="0" w:color="auto"/>
        <w:left w:val="none" w:sz="0" w:space="0" w:color="auto"/>
        <w:bottom w:val="none" w:sz="0" w:space="0" w:color="auto"/>
        <w:right w:val="none" w:sz="0" w:space="0" w:color="auto"/>
      </w:divBdr>
    </w:div>
    <w:div w:id="842282784">
      <w:bodyDiv w:val="1"/>
      <w:marLeft w:val="0"/>
      <w:marRight w:val="0"/>
      <w:marTop w:val="0"/>
      <w:marBottom w:val="0"/>
      <w:divBdr>
        <w:top w:val="none" w:sz="0" w:space="0" w:color="auto"/>
        <w:left w:val="none" w:sz="0" w:space="0" w:color="auto"/>
        <w:bottom w:val="none" w:sz="0" w:space="0" w:color="auto"/>
        <w:right w:val="none" w:sz="0" w:space="0" w:color="auto"/>
      </w:divBdr>
    </w:div>
    <w:div w:id="14149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mblingcommission.gov.uk/pdf/SBI-Action-Pla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blingcommission.gov.uk/Gambling-data-analysis/statistics/Industry-statistic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legislation.gov.uk/ukpga/2005/19/part/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responsiblegamblingtrust.org.uk/" TargetMode="External"/><Relationship Id="rId2" Type="http://schemas.openxmlformats.org/officeDocument/2006/relationships/hyperlink" Target="http://www.gambling" TargetMode="External"/><Relationship Id="rId1" Type="http://schemas.openxmlformats.org/officeDocument/2006/relationships/hyperlink" Target="http://www.gamblingcommission.gov.uk" TargetMode="External"/><Relationship Id="rId6" Type="http://schemas.openxmlformats.org/officeDocument/2006/relationships/hyperlink" Target="http://www.gamblingcommission.gov.uk/pdf/In-running%20betting%20position%20paper%20-%20March%202009.pdf" TargetMode="External"/><Relationship Id="rId5" Type="http://schemas.openxmlformats.org/officeDocument/2006/relationships/hyperlink" Target="http://www.rgsb.org.uk/" TargetMode="External"/><Relationship Id="rId4" Type="http://schemas.openxmlformats.org/officeDocument/2006/relationships/hyperlink" Target="http://www.gamblingcommission.gov.uk/Gambling-data-analysis/Gambling-participation/Gambling-participation-and-preval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09D96-A813-4CC6-873D-CF6E35B4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7136</Words>
  <Characters>38619</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To:  Insert date</vt:lpstr>
    </vt:vector>
  </TitlesOfParts>
  <Company>Orb Solutions</Company>
  <LinksUpToDate>false</LinksUpToDate>
  <CharactersWithSpaces>45664</CharactersWithSpaces>
  <SharedDoc>false</SharedDoc>
  <HLinks>
    <vt:vector size="30" baseType="variant">
      <vt:variant>
        <vt:i4>1245275</vt:i4>
      </vt:variant>
      <vt:variant>
        <vt:i4>6</vt:i4>
      </vt:variant>
      <vt:variant>
        <vt:i4>0</vt:i4>
      </vt:variant>
      <vt:variant>
        <vt:i4>5</vt:i4>
      </vt:variant>
      <vt:variant>
        <vt:lpwstr>http://www.gamblingcommission.gov.uk/pdf/SBI-Action-Plan.pdf</vt:lpwstr>
      </vt:variant>
      <vt:variant>
        <vt:lpwstr/>
      </vt:variant>
      <vt:variant>
        <vt:i4>7733302</vt:i4>
      </vt:variant>
      <vt:variant>
        <vt:i4>3</vt:i4>
      </vt:variant>
      <vt:variant>
        <vt:i4>0</vt:i4>
      </vt:variant>
      <vt:variant>
        <vt:i4>5</vt:i4>
      </vt:variant>
      <vt:variant>
        <vt:lpwstr>http://www.gamblingcommission.gov.uk/Gambling-data-analysis/statistics/Industry-statistics.aspx</vt:lpwstr>
      </vt:variant>
      <vt:variant>
        <vt:lpwstr/>
      </vt:variant>
      <vt:variant>
        <vt:i4>6684786</vt:i4>
      </vt:variant>
      <vt:variant>
        <vt:i4>0</vt:i4>
      </vt:variant>
      <vt:variant>
        <vt:i4>0</vt:i4>
      </vt:variant>
      <vt:variant>
        <vt:i4>5</vt:i4>
      </vt:variant>
      <vt:variant>
        <vt:lpwstr>http://www.legislation.gov.uk/ukpga/2005/19/part/5</vt:lpwstr>
      </vt:variant>
      <vt:variant>
        <vt:lpwstr/>
      </vt:variant>
      <vt:variant>
        <vt:i4>6619176</vt:i4>
      </vt:variant>
      <vt:variant>
        <vt:i4>3</vt:i4>
      </vt:variant>
      <vt:variant>
        <vt:i4>0</vt:i4>
      </vt:variant>
      <vt:variant>
        <vt:i4>5</vt:i4>
      </vt:variant>
      <vt:variant>
        <vt:lpwstr>http://www.gamblingcommission.gov.uk/pdf/In-running betting position paper - March 2009.pdf</vt:lpwstr>
      </vt:variant>
      <vt:variant>
        <vt:lpwstr/>
      </vt:variant>
      <vt:variant>
        <vt:i4>3342376</vt:i4>
      </vt:variant>
      <vt:variant>
        <vt:i4>0</vt:i4>
      </vt:variant>
      <vt:variant>
        <vt:i4>0</vt:i4>
      </vt:variant>
      <vt:variant>
        <vt:i4>5</vt:i4>
      </vt:variant>
      <vt:variant>
        <vt:lpwstr>http://www.rgsb.org.uk/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date</dc:title>
  <dc:creator>Simon Whitehouse</dc:creator>
  <cp:lastModifiedBy>jwilliams</cp:lastModifiedBy>
  <cp:revision>3</cp:revision>
  <cp:lastPrinted>2009-12-24T11:07:00Z</cp:lastPrinted>
  <dcterms:created xsi:type="dcterms:W3CDTF">2015-11-15T14:40:00Z</dcterms:created>
  <dcterms:modified xsi:type="dcterms:W3CDTF">2015-11-15T15:03:00Z</dcterms:modified>
</cp:coreProperties>
</file>