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D5" w:rsidRDefault="000F7206" w:rsidP="000F7206">
      <w:pPr>
        <w:spacing w:line="240" w:lineRule="auto"/>
        <w:rPr>
          <w:b/>
          <w:sz w:val="24"/>
          <w:szCs w:val="24"/>
        </w:rPr>
      </w:pPr>
      <w:r w:rsidRPr="00CC418D">
        <w:rPr>
          <w:b/>
          <w:sz w:val="24"/>
          <w:szCs w:val="24"/>
        </w:rPr>
        <w:t>REVIEW OF THE INTERACTIVE GAMBLING ACT 2001</w:t>
      </w:r>
      <w:r w:rsidR="000C0511">
        <w:rPr>
          <w:b/>
          <w:sz w:val="24"/>
          <w:szCs w:val="24"/>
        </w:rPr>
        <w:t xml:space="preserve"> </w:t>
      </w:r>
    </w:p>
    <w:p w:rsidR="000F7206" w:rsidRDefault="00CC418D" w:rsidP="000F7206">
      <w:pPr>
        <w:spacing w:line="240" w:lineRule="auto"/>
        <w:rPr>
          <w:b/>
          <w:sz w:val="24"/>
          <w:szCs w:val="24"/>
        </w:rPr>
      </w:pPr>
      <w:r w:rsidRPr="00CC418D">
        <w:rPr>
          <w:b/>
          <w:sz w:val="24"/>
          <w:szCs w:val="24"/>
        </w:rPr>
        <w:t xml:space="preserve">MORELAND CITY COUNCIL SUBMISSION </w:t>
      </w:r>
    </w:p>
    <w:p w:rsidR="00CC418D" w:rsidRPr="00CC418D" w:rsidRDefault="00C542AB" w:rsidP="006B7FBD">
      <w:pPr>
        <w:rPr>
          <w:b/>
        </w:rPr>
      </w:pPr>
      <w:r>
        <w:rPr>
          <w:b/>
        </w:rPr>
        <w:t>Preliminary comments on</w:t>
      </w:r>
      <w:r w:rsidR="00CC418D" w:rsidRPr="00CC418D">
        <w:rPr>
          <w:b/>
        </w:rPr>
        <w:t xml:space="preserve"> Terms </w:t>
      </w:r>
      <w:r w:rsidR="00CC418D">
        <w:rPr>
          <w:b/>
        </w:rPr>
        <w:t>o</w:t>
      </w:r>
      <w:r w:rsidR="00CC418D" w:rsidRPr="00CC418D">
        <w:rPr>
          <w:b/>
        </w:rPr>
        <w:t xml:space="preserve">f Reference </w:t>
      </w:r>
      <w:r w:rsidR="00CC418D">
        <w:rPr>
          <w:b/>
        </w:rPr>
        <w:t xml:space="preserve">and </w:t>
      </w:r>
      <w:r w:rsidR="004A7867">
        <w:rPr>
          <w:b/>
        </w:rPr>
        <w:t>limited C</w:t>
      </w:r>
      <w:r w:rsidR="00CC418D" w:rsidRPr="00CC418D">
        <w:rPr>
          <w:b/>
        </w:rPr>
        <w:t xml:space="preserve">onsultation </w:t>
      </w:r>
    </w:p>
    <w:p w:rsidR="00CC418D" w:rsidRDefault="006B7FBD" w:rsidP="006B7FBD">
      <w:r>
        <w:t>Moreland City Council welcomes the opportunity to contribute to the Review of the</w:t>
      </w:r>
      <w:r w:rsidRPr="006B7FBD">
        <w:rPr>
          <w:b/>
        </w:rPr>
        <w:t xml:space="preserve"> </w:t>
      </w:r>
      <w:r w:rsidRPr="006B7FBD">
        <w:t>Interactive Gambling Act 2001</w:t>
      </w:r>
      <w:r w:rsidR="00DB271A">
        <w:t>. However, we note</w:t>
      </w:r>
      <w:r w:rsidR="00AA0480">
        <w:t xml:space="preserve"> with concern the limited opportunity</w:t>
      </w:r>
      <w:r w:rsidR="00DB271A">
        <w:t xml:space="preserve"> it</w:t>
      </w:r>
      <w:r w:rsidR="00AA0480">
        <w:t xml:space="preserve"> provide</w:t>
      </w:r>
      <w:r w:rsidR="00DB271A">
        <w:t>s</w:t>
      </w:r>
      <w:r w:rsidR="00AA0480">
        <w:t xml:space="preserve"> for considered submissions </w:t>
      </w:r>
      <w:r w:rsidR="00884E0A">
        <w:t>from non-commercial</w:t>
      </w:r>
      <w:r w:rsidR="00DB271A">
        <w:t xml:space="preserve"> stakeholders. </w:t>
      </w:r>
      <w:r w:rsidR="00F70B51">
        <w:t>A</w:t>
      </w:r>
      <w:r w:rsidR="00DB271A">
        <w:t xml:space="preserve"> narrow</w:t>
      </w:r>
      <w:r w:rsidR="00AA0480">
        <w:t xml:space="preserve"> timeframe of </w:t>
      </w:r>
      <w:r w:rsidR="00F70B51">
        <w:t>just</w:t>
      </w:r>
      <w:r w:rsidR="00AA0480">
        <w:t xml:space="preserve"> ten weeks between </w:t>
      </w:r>
      <w:r w:rsidR="00F70B51">
        <w:t xml:space="preserve">announcement of </w:t>
      </w:r>
      <w:r w:rsidR="00AA0480">
        <w:t xml:space="preserve">the Review and the </w:t>
      </w:r>
      <w:r w:rsidR="00F70B51">
        <w:t>submissions</w:t>
      </w:r>
      <w:r w:rsidR="00F70B51" w:rsidRPr="00F70B51">
        <w:t xml:space="preserve"> </w:t>
      </w:r>
      <w:r w:rsidR="00AA0480">
        <w:t xml:space="preserve">deadline </w:t>
      </w:r>
      <w:r w:rsidR="00F70B51">
        <w:t xml:space="preserve">appears inconsistent with the Government’s “approach to gambling policy developed in a cohesive and </w:t>
      </w:r>
      <w:r w:rsidR="00F70B51" w:rsidRPr="00CC418D">
        <w:t>consultative</w:t>
      </w:r>
      <w:r w:rsidR="00F70B51">
        <w:t xml:space="preserve"> way” as stated in the Terms of Reference.</w:t>
      </w:r>
      <w:r w:rsidR="000F7206">
        <w:t xml:space="preserve"> </w:t>
      </w:r>
      <w:r w:rsidR="00F70B51">
        <w:t xml:space="preserve">While </w:t>
      </w:r>
      <w:r w:rsidR="00DB271A">
        <w:t xml:space="preserve">Gambling industry stakeholders are </w:t>
      </w:r>
      <w:r w:rsidR="004A7867">
        <w:t>un</w:t>
      </w:r>
      <w:r w:rsidR="00DB271A">
        <w:t>likely to be affected by this constrained timetable</w:t>
      </w:r>
      <w:r w:rsidR="004A7867">
        <w:t xml:space="preserve"> </w:t>
      </w:r>
      <w:r w:rsidR="00F70B51">
        <w:t>given the</w:t>
      </w:r>
      <w:r w:rsidR="004A7867">
        <w:t xml:space="preserve"> substantial resources at their disposal</w:t>
      </w:r>
      <w:r w:rsidR="00F70B51">
        <w:t>, l</w:t>
      </w:r>
      <w:r w:rsidR="00DB271A">
        <w:t>ocal governments and community organisations</w:t>
      </w:r>
      <w:r w:rsidR="00F70B51">
        <w:t xml:space="preserve"> will be.</w:t>
      </w:r>
    </w:p>
    <w:p w:rsidR="00CC418D" w:rsidRDefault="004A7867" w:rsidP="0043259D">
      <w:r>
        <w:t>Council note</w:t>
      </w:r>
      <w:r w:rsidR="00005282">
        <w:t>s</w:t>
      </w:r>
      <w:r>
        <w:t xml:space="preserve"> </w:t>
      </w:r>
      <w:r w:rsidR="00005282">
        <w:t xml:space="preserve">that the dominant concern </w:t>
      </w:r>
      <w:r w:rsidR="00F70B51">
        <w:t xml:space="preserve">in the Review’s Terms of Reference </w:t>
      </w:r>
      <w:r w:rsidR="00005282">
        <w:t xml:space="preserve">appears to be the economic impacts of illegal offshore wagering and financial transactions on Australian wagering businesses.  </w:t>
      </w:r>
      <w:r w:rsidR="00F70B51">
        <w:t xml:space="preserve">Moreland City Council is </w:t>
      </w:r>
      <w:r w:rsidR="00CC418D">
        <w:t>c</w:t>
      </w:r>
      <w:r w:rsidR="00DB271A">
        <w:t xml:space="preserve">oncerned about </w:t>
      </w:r>
      <w:r w:rsidR="00CC418D">
        <w:t>the</w:t>
      </w:r>
      <w:r w:rsidR="00005282">
        <w:t xml:space="preserve"> social and economic</w:t>
      </w:r>
      <w:r w:rsidR="00CC418D">
        <w:t xml:space="preserve"> impact of</w:t>
      </w:r>
      <w:r w:rsidR="00CC418D" w:rsidRPr="00CC418D">
        <w:t xml:space="preserve"> </w:t>
      </w:r>
      <w:r w:rsidR="00CC418D">
        <w:t xml:space="preserve">the interactive gambling industry on consumers </w:t>
      </w:r>
      <w:r w:rsidR="00F70B51">
        <w:t>especially</w:t>
      </w:r>
      <w:r w:rsidR="00CC418D">
        <w:t xml:space="preserve"> those at risk of problem gambling</w:t>
      </w:r>
      <w:r w:rsidR="00005282">
        <w:t xml:space="preserve">. </w:t>
      </w:r>
      <w:r w:rsidR="0043259D">
        <w:t xml:space="preserve">We contend that a </w:t>
      </w:r>
      <w:r w:rsidR="00127391">
        <w:t>central</w:t>
      </w:r>
      <w:r w:rsidR="0043259D">
        <w:t xml:space="preserve"> objective of any policy review addressing gambling in Australia should be how to reduce the risk of harm to consumers.</w:t>
      </w:r>
      <w:r w:rsidR="0043259D" w:rsidRPr="0043259D">
        <w:t xml:space="preserve"> </w:t>
      </w:r>
      <w:r w:rsidR="0043259D">
        <w:t xml:space="preserve">Point 4 of the Terms of Reference notwithstanding, the reference to consumer protections </w:t>
      </w:r>
      <w:r w:rsidR="00127391">
        <w:t xml:space="preserve">appears as a </w:t>
      </w:r>
      <w:r w:rsidR="0043259D">
        <w:t xml:space="preserve">secondary concern. Had this item included consideration of the impact of advertising Council’s confidence in the integrity of the process may be stronger. Council </w:t>
      </w:r>
      <w:r w:rsidR="00127391">
        <w:t>considers</w:t>
      </w:r>
      <w:r w:rsidR="0043259D">
        <w:t xml:space="preserve"> that t</w:t>
      </w:r>
      <w:r w:rsidR="00005282">
        <w:t xml:space="preserve">he operations of “legitimate Australian wagering businesses” as well as those operating offshore </w:t>
      </w:r>
      <w:r w:rsidR="00127391">
        <w:t>are</w:t>
      </w:r>
      <w:r w:rsidR="00005282">
        <w:t xml:space="preserve"> </w:t>
      </w:r>
      <w:r w:rsidR="00127391">
        <w:t>both important to</w:t>
      </w:r>
      <w:r w:rsidR="00005282">
        <w:t xml:space="preserve"> </w:t>
      </w:r>
      <w:r w:rsidR="00127391">
        <w:t>ensure</w:t>
      </w:r>
      <w:r w:rsidR="00005282">
        <w:t xml:space="preserve"> adequate</w:t>
      </w:r>
      <w:r w:rsidR="00127391">
        <w:t xml:space="preserve"> protection of </w:t>
      </w:r>
      <w:r w:rsidR="00005282">
        <w:t xml:space="preserve">consumers. </w:t>
      </w:r>
    </w:p>
    <w:p w:rsidR="0043259D" w:rsidRPr="0043259D" w:rsidRDefault="0043259D" w:rsidP="00121F85">
      <w:pPr>
        <w:rPr>
          <w:b/>
        </w:rPr>
      </w:pPr>
      <w:r w:rsidRPr="0043259D">
        <w:rPr>
          <w:b/>
        </w:rPr>
        <w:t xml:space="preserve">Gambling </w:t>
      </w:r>
      <w:r>
        <w:rPr>
          <w:b/>
        </w:rPr>
        <w:t xml:space="preserve">in Moreland </w:t>
      </w:r>
      <w:r w:rsidRPr="0043259D">
        <w:rPr>
          <w:b/>
        </w:rPr>
        <w:t>2015-2020</w:t>
      </w:r>
    </w:p>
    <w:p w:rsidR="00A01700" w:rsidRDefault="00A01700" w:rsidP="00121F85">
      <w:r>
        <w:t>The rise of online gambling in Moreland is demonstrated in recent data from the Moreland Household Survey commissioned by Council. In 2013 26% of households in Moreland included a member who</w:t>
      </w:r>
      <w:r w:rsidR="00F70B51">
        <w:t xml:space="preserve"> gambled</w:t>
      </w:r>
      <w:r>
        <w:t xml:space="preserve"> on horse racing and 7% on sports,</w:t>
      </w:r>
      <w:r w:rsidRPr="00471E46">
        <w:t xml:space="preserve"> </w:t>
      </w:r>
      <w:r>
        <w:t>according to 2013</w:t>
      </w:r>
      <w:r w:rsidR="00D768BC">
        <w:t xml:space="preserve"> data</w:t>
      </w:r>
      <w:r>
        <w:t xml:space="preserve">.  The survey revealed that of the 7% of households </w:t>
      </w:r>
      <w:r w:rsidR="00F70B51">
        <w:t xml:space="preserve">that </w:t>
      </w:r>
      <w:r>
        <w:t>includ</w:t>
      </w:r>
      <w:r w:rsidR="00F70B51">
        <w:t>ed</w:t>
      </w:r>
      <w:r>
        <w:t xml:space="preserve"> a member who gambled (at least occasionally) on sports betting, 53% were</w:t>
      </w:r>
      <w:r w:rsidRPr="00B22A43">
        <w:t xml:space="preserve"> </w:t>
      </w:r>
      <w:r>
        <w:t>most likely to access sports betting on line -</w:t>
      </w:r>
      <w:r w:rsidR="00F70B51">
        <w:t xml:space="preserve"> </w:t>
      </w:r>
      <w:r>
        <w:t xml:space="preserve">up from 38% in the previous survey in 2011; </w:t>
      </w:r>
      <w:r w:rsidR="00884E0A">
        <w:t xml:space="preserve">and </w:t>
      </w:r>
      <w:r>
        <w:t>18% at a</w:t>
      </w:r>
      <w:r w:rsidR="00884E0A">
        <w:t>n</w:t>
      </w:r>
      <w:r w:rsidR="00D768BC">
        <w:t xml:space="preserve"> hotel: down from 33</w:t>
      </w:r>
      <w:r>
        <w:t xml:space="preserve">% in 2011. </w:t>
      </w:r>
    </w:p>
    <w:p w:rsidR="00F70B51" w:rsidRDefault="0043259D" w:rsidP="00FE7F35">
      <w:r w:rsidRPr="0043259D">
        <w:t>Moreland City Council’s</w:t>
      </w:r>
      <w:r w:rsidRPr="0043259D">
        <w:rPr>
          <w:b/>
        </w:rPr>
        <w:t xml:space="preserve"> </w:t>
      </w:r>
      <w:r w:rsidR="006B7FBD">
        <w:t xml:space="preserve">adopted </w:t>
      </w:r>
      <w:r w:rsidR="006B7FBD" w:rsidRPr="00A01700">
        <w:rPr>
          <w:i/>
        </w:rPr>
        <w:t>Gambling Strategy 2015-2020</w:t>
      </w:r>
      <w:r w:rsidR="006B7FBD">
        <w:t xml:space="preserve"> notes that interactive (online) gambling has grown rapidly in recent years, fuelled by intensive marketing</w:t>
      </w:r>
      <w:r w:rsidR="00B22A43">
        <w:t xml:space="preserve"> which is</w:t>
      </w:r>
      <w:r w:rsidR="006B7FBD">
        <w:t xml:space="preserve"> increasingly embedded in high profile sport. Council is concerned about the risks this poses to the integrity of sport as a recreation (not just as an industry) and also to its potential to accelerate problem gambling</w:t>
      </w:r>
      <w:r w:rsidR="00755E59">
        <w:t xml:space="preserve">. </w:t>
      </w:r>
      <w:r w:rsidR="00860EF3">
        <w:t xml:space="preserve">Young men in particular are at risk from </w:t>
      </w:r>
      <w:r w:rsidR="00194D7A">
        <w:t>sports betting and online wagering</w:t>
      </w:r>
      <w:r w:rsidR="00860EF3">
        <w:t xml:space="preserve"> companies (both in Australia and offshore) that target them through</w:t>
      </w:r>
      <w:r w:rsidR="00FE7F35">
        <w:t xml:space="preserve"> </w:t>
      </w:r>
      <w:r w:rsidR="00860EF3">
        <w:t xml:space="preserve">intensive advertising </w:t>
      </w:r>
      <w:r w:rsidR="00FE7F35">
        <w:t xml:space="preserve">and </w:t>
      </w:r>
      <w:r w:rsidR="00860EF3">
        <w:t>ind</w:t>
      </w:r>
      <w:r w:rsidR="00A01700">
        <w:t>ucements such as access</w:t>
      </w:r>
      <w:r w:rsidR="00FE7F35">
        <w:t xml:space="preserve"> to credit, and in-play betting.</w:t>
      </w:r>
    </w:p>
    <w:p w:rsidR="00FE7F35" w:rsidRPr="00FE7F35" w:rsidRDefault="00FE7F35" w:rsidP="00FE7F35">
      <w:pPr>
        <w:rPr>
          <w:b/>
        </w:rPr>
      </w:pPr>
      <w:r w:rsidRPr="00FE7F35">
        <w:rPr>
          <w:b/>
        </w:rPr>
        <w:t>Escalating Advertising and inducements require increased control</w:t>
      </w:r>
    </w:p>
    <w:p w:rsidR="00FE7F35" w:rsidRDefault="00FE7F35" w:rsidP="00FE7F35">
      <w:r>
        <w:t>Advertising to promote gambling (</w:t>
      </w:r>
      <w:r w:rsidR="00884E0A">
        <w:t>especially</w:t>
      </w:r>
      <w:r>
        <w:t xml:space="preserve"> online) has accelerated at a very significant rate in recent years. According to Standard Media Index CEO (in a recent Sydney Morning Herald article), gambling ad</w:t>
      </w:r>
      <w:r w:rsidR="00D768BC">
        <w:t>vertising expenditure has</w:t>
      </w:r>
      <w:r>
        <w:t xml:space="preserve"> dramatically increased in 2014: from </w:t>
      </w:r>
      <w:r w:rsidR="00884E0A">
        <w:t xml:space="preserve">the </w:t>
      </w:r>
      <w:r>
        <w:t xml:space="preserve">eighth largest </w:t>
      </w:r>
      <w:r>
        <w:lastRenderedPageBreak/>
        <w:t>category to the 15th-largest category. Advertising embedded in sports events and promotions on television, print media and social media is a growi</w:t>
      </w:r>
      <w:r w:rsidR="00C542AB">
        <w:t>ng element of this expenditure. This threatens the integrity of sport as a positive and healthy activity, and normalises gambling</w:t>
      </w:r>
      <w:r w:rsidR="00884E0A">
        <w:t>. The impact on</w:t>
      </w:r>
      <w:r w:rsidR="00C542AB">
        <w:t xml:space="preserve"> children</w:t>
      </w:r>
      <w:r w:rsidR="00884E0A">
        <w:t xml:space="preserve"> who are</w:t>
      </w:r>
      <w:r w:rsidR="00884E0A" w:rsidRPr="00884E0A">
        <w:t xml:space="preserve"> </w:t>
      </w:r>
      <w:r w:rsidR="00884E0A">
        <w:t xml:space="preserve">increasingly exposed to embedded advertising and sports merchandise is of particular concern. </w:t>
      </w:r>
    </w:p>
    <w:p w:rsidR="00C542AB" w:rsidRDefault="00F70B51" w:rsidP="00F70B51">
      <w:r>
        <w:t xml:space="preserve">There is mounting evidence that </w:t>
      </w:r>
      <w:r w:rsidR="00C542AB">
        <w:t>intensive marketing that includes</w:t>
      </w:r>
      <w:r>
        <w:t xml:space="preserve"> industry inducements </w:t>
      </w:r>
      <w:r w:rsidR="003A1CAF">
        <w:t>(</w:t>
      </w:r>
      <w:r w:rsidR="00FE7F35">
        <w:t>especially</w:t>
      </w:r>
      <w:r w:rsidR="003A1CAF">
        <w:t xml:space="preserve"> access to credit) </w:t>
      </w:r>
      <w:r w:rsidR="00A01700">
        <w:t>greatly exacerbate</w:t>
      </w:r>
      <w:r w:rsidR="00663645">
        <w:t>s</w:t>
      </w:r>
      <w:r w:rsidR="00A01700">
        <w:t xml:space="preserve"> the risk of problem gambling.</w:t>
      </w:r>
      <w:r>
        <w:t xml:space="preserve"> </w:t>
      </w:r>
      <w:r w:rsidR="007E2812">
        <w:t xml:space="preserve">A report from Financial Counselling Australia, </w:t>
      </w:r>
      <w:r w:rsidR="007E2812" w:rsidRPr="003F61B7">
        <w:rPr>
          <w:i/>
        </w:rPr>
        <w:t>Duds, Mugs and the A-List</w:t>
      </w:r>
      <w:r w:rsidR="007E2812">
        <w:t xml:space="preserve"> is a </w:t>
      </w:r>
      <w:r w:rsidR="00FE7F35">
        <w:t>recent</w:t>
      </w:r>
      <w:r w:rsidR="007E2812">
        <w:t xml:space="preserve"> example</w:t>
      </w:r>
      <w:r w:rsidR="003D62CC">
        <w:t>.</w:t>
      </w:r>
      <w:r w:rsidR="007E2812">
        <w:t xml:space="preserve"> </w:t>
      </w:r>
      <w:r w:rsidR="003D62CC">
        <w:t>It</w:t>
      </w:r>
      <w:r w:rsidR="007E2812">
        <w:t xml:space="preserve"> provided disturbing evidence of the devastating impact of uncontrolle</w:t>
      </w:r>
      <w:r w:rsidR="00FE7F35">
        <w:t>d</w:t>
      </w:r>
      <w:r w:rsidR="007E2812">
        <w:t xml:space="preserve"> sports betting </w:t>
      </w:r>
      <w:r w:rsidR="003D62CC">
        <w:t>and the unethical methods employed by wagering businesses</w:t>
      </w:r>
      <w:r w:rsidR="00FE7F35">
        <w:t xml:space="preserve"> to encourage</w:t>
      </w:r>
      <w:r w:rsidR="00FE7F35" w:rsidRPr="00FE7F35">
        <w:t xml:space="preserve"> </w:t>
      </w:r>
      <w:r w:rsidR="00FE7F35">
        <w:t>online betting</w:t>
      </w:r>
      <w:r w:rsidR="007E2812">
        <w:t xml:space="preserve">. </w:t>
      </w:r>
      <w:r w:rsidR="00C542AB">
        <w:t xml:space="preserve">Young men are identified as a particular target. </w:t>
      </w:r>
    </w:p>
    <w:p w:rsidR="00127391" w:rsidRDefault="007E2812" w:rsidP="00127391">
      <w:r>
        <w:t>A central issue highlighted in the report is the risks of wagering businesses providing credit to gamblers, with case studies demonstrating the devastating consequences.</w:t>
      </w:r>
      <w:r w:rsidR="003D62CC">
        <w:t xml:space="preserve">  </w:t>
      </w:r>
      <w:r w:rsidR="00127391">
        <w:t xml:space="preserve">It is noteworthy that </w:t>
      </w:r>
      <w:r w:rsidR="00964B16">
        <w:t xml:space="preserve">the </w:t>
      </w:r>
      <w:r w:rsidR="00127391">
        <w:t>Liberal Party’s pre 2013 election position stated that: “</w:t>
      </w:r>
      <w:r w:rsidR="00127391" w:rsidRPr="00964B16">
        <w:rPr>
          <w:i/>
        </w:rPr>
        <w:t>Responsible gambling is all about people gambling within their means. Extending lines of credit to gamblers runs contrary to this principle and the Coalition will legislate to prohibit the practice</w:t>
      </w:r>
      <w:r w:rsidR="00964B16">
        <w:rPr>
          <w:i/>
        </w:rPr>
        <w:t>.</w:t>
      </w:r>
      <w:r w:rsidR="00127391">
        <w:t>”</w:t>
      </w:r>
    </w:p>
    <w:p w:rsidR="007E2812" w:rsidRDefault="003D62CC" w:rsidP="00F70B51">
      <w:r>
        <w:t>Also</w:t>
      </w:r>
      <w:r w:rsidR="00127391">
        <w:t xml:space="preserve"> concern</w:t>
      </w:r>
      <w:r w:rsidR="00884E0A">
        <w:t>ing</w:t>
      </w:r>
      <w:r w:rsidR="00127391">
        <w:t xml:space="preserve"> to Council is</w:t>
      </w:r>
      <w:r>
        <w:t xml:space="preserve"> the effect </w:t>
      </w:r>
      <w:r w:rsidR="00884E0A">
        <w:t xml:space="preserve">of in-play betting </w:t>
      </w:r>
      <w:r>
        <w:t xml:space="preserve">on consumer’s brain chemistry with its rapid fire </w:t>
      </w:r>
      <w:r w:rsidR="00127391">
        <w:t xml:space="preserve">operation </w:t>
      </w:r>
      <w:r>
        <w:t>present</w:t>
      </w:r>
      <w:r w:rsidR="00127391">
        <w:t>ing</w:t>
      </w:r>
      <w:r>
        <w:t xml:space="preserve"> an unacceptable risk of addiction. Gambling researcher, Dr Charles Livingston</w:t>
      </w:r>
      <w:r w:rsidR="00F47FDA">
        <w:t>e</w:t>
      </w:r>
      <w:r>
        <w:t xml:space="preserve"> has compared the impact of</w:t>
      </w:r>
      <w:r w:rsidR="00F47FDA">
        <w:t xml:space="preserve"> continuous and instantaneous</w:t>
      </w:r>
      <w:r>
        <w:t xml:space="preserve"> in-play betting with high </w:t>
      </w:r>
      <w:r w:rsidR="00F47FDA">
        <w:t>risk</w:t>
      </w:r>
      <w:r>
        <w:t xml:space="preserve"> </w:t>
      </w:r>
      <w:r w:rsidR="00F47FDA">
        <w:t xml:space="preserve">design features </w:t>
      </w:r>
      <w:r>
        <w:t xml:space="preserve">of poker machines. </w:t>
      </w:r>
    </w:p>
    <w:p w:rsidR="00C542AB" w:rsidRPr="00C542AB" w:rsidRDefault="00C542AB" w:rsidP="00F70B51">
      <w:pPr>
        <w:rPr>
          <w:b/>
        </w:rPr>
      </w:pPr>
      <w:r w:rsidRPr="00C542AB">
        <w:rPr>
          <w:b/>
        </w:rPr>
        <w:t>Recommendations to enhance consumer protection and reduce</w:t>
      </w:r>
      <w:r>
        <w:rPr>
          <w:b/>
        </w:rPr>
        <w:t xml:space="preserve"> risks of</w:t>
      </w:r>
      <w:r w:rsidRPr="00C542AB">
        <w:rPr>
          <w:b/>
        </w:rPr>
        <w:t xml:space="preserve"> problem gambling</w:t>
      </w:r>
    </w:p>
    <w:p w:rsidR="00127391" w:rsidRDefault="00C542AB" w:rsidP="00127391">
      <w:r>
        <w:t>Council proposes the following measures t</w:t>
      </w:r>
      <w:r w:rsidR="00B70D07">
        <w:t xml:space="preserve">o </w:t>
      </w:r>
      <w:r w:rsidR="002C65DF">
        <w:t xml:space="preserve">reduce </w:t>
      </w:r>
      <w:r w:rsidR="00B70D07">
        <w:t xml:space="preserve">the </w:t>
      </w:r>
      <w:r w:rsidR="006D7231">
        <w:t>public health risks</w:t>
      </w:r>
      <w:r w:rsidR="00B70D07">
        <w:t xml:space="preserve"> </w:t>
      </w:r>
      <w:r w:rsidR="003D62CC">
        <w:t>of interactive gambling</w:t>
      </w:r>
      <w:r w:rsidR="00884E0A">
        <w:t>:</w:t>
      </w:r>
    </w:p>
    <w:p w:rsidR="00127391" w:rsidRDefault="00127391" w:rsidP="00884E0A">
      <w:pPr>
        <w:pStyle w:val="ListParagraph"/>
        <w:numPr>
          <w:ilvl w:val="0"/>
          <w:numId w:val="3"/>
        </w:numPr>
        <w:spacing w:line="240" w:lineRule="auto"/>
        <w:ind w:left="425"/>
        <w:contextualSpacing w:val="0"/>
      </w:pPr>
      <w:r>
        <w:t>Increased restriction of gambling advertising on television, print, radio and social media</w:t>
      </w:r>
      <w:r w:rsidR="00C6640A">
        <w:t>;</w:t>
      </w:r>
    </w:p>
    <w:p w:rsidR="00F47FDA" w:rsidRDefault="00884E0A" w:rsidP="00884E0A">
      <w:pPr>
        <w:pStyle w:val="ListParagraph"/>
        <w:numPr>
          <w:ilvl w:val="0"/>
          <w:numId w:val="3"/>
        </w:numPr>
        <w:spacing w:line="240" w:lineRule="auto"/>
        <w:ind w:left="425"/>
        <w:contextualSpacing w:val="0"/>
      </w:pPr>
      <w:r>
        <w:t>L</w:t>
      </w:r>
      <w:r w:rsidR="00EE57F3">
        <w:t>egislation to ban the provision of cr</w:t>
      </w:r>
      <w:r w:rsidR="00F47FDA">
        <w:t>edit for gambling purposes including for online wagering</w:t>
      </w:r>
      <w:r w:rsidR="00C6640A">
        <w:t>;</w:t>
      </w:r>
    </w:p>
    <w:p w:rsidR="00127391" w:rsidRDefault="00100880" w:rsidP="00884E0A">
      <w:pPr>
        <w:pStyle w:val="ListParagraph"/>
        <w:numPr>
          <w:ilvl w:val="0"/>
          <w:numId w:val="3"/>
        </w:numPr>
        <w:spacing w:line="240" w:lineRule="auto"/>
        <w:ind w:left="425"/>
        <w:contextualSpacing w:val="0"/>
      </w:pPr>
      <w:r>
        <w:t xml:space="preserve">Increased regulation (including enforcement) to protect the current ban on in-play betting (limits on use of smart phones by wagering </w:t>
      </w:r>
      <w:r w:rsidR="000F7206">
        <w:t>businesses</w:t>
      </w:r>
      <w:r>
        <w:t xml:space="preserve"> should be a key focus</w:t>
      </w:r>
      <w:r w:rsidR="00D768BC">
        <w:t>)</w:t>
      </w:r>
      <w:r w:rsidR="00C6640A">
        <w:t>;</w:t>
      </w:r>
    </w:p>
    <w:p w:rsidR="00127391" w:rsidRDefault="000F7206" w:rsidP="00884E0A">
      <w:pPr>
        <w:pStyle w:val="ListParagraph"/>
        <w:numPr>
          <w:ilvl w:val="0"/>
          <w:numId w:val="3"/>
        </w:numPr>
        <w:spacing w:line="240" w:lineRule="auto"/>
        <w:ind w:left="425"/>
        <w:contextualSpacing w:val="0"/>
      </w:pPr>
      <w:r>
        <w:t>Requirements that financial institutions not process transactions with online wagering businesses operating off shore that are in breach of Australian la</w:t>
      </w:r>
      <w:r w:rsidR="00127391">
        <w:t>w</w:t>
      </w:r>
      <w:r w:rsidR="00C6640A">
        <w:t>;</w:t>
      </w:r>
    </w:p>
    <w:p w:rsidR="00127391" w:rsidRDefault="006D7231" w:rsidP="00884E0A">
      <w:pPr>
        <w:pStyle w:val="ListParagraph"/>
        <w:numPr>
          <w:ilvl w:val="0"/>
          <w:numId w:val="3"/>
        </w:numPr>
        <w:spacing w:line="240" w:lineRule="auto"/>
        <w:ind w:left="425"/>
        <w:contextualSpacing w:val="0"/>
      </w:pPr>
      <w:r>
        <w:t>Establishment of an online register where gambling consumers can list themselves for self-exclusion with appropriate penalties for any wagering operators found to breach</w:t>
      </w:r>
      <w:r w:rsidR="00C6640A">
        <w:t>;</w:t>
      </w:r>
    </w:p>
    <w:p w:rsidR="00127391" w:rsidRDefault="00F47FDA" w:rsidP="00884E0A">
      <w:pPr>
        <w:pStyle w:val="ListParagraph"/>
        <w:numPr>
          <w:ilvl w:val="0"/>
          <w:numId w:val="3"/>
        </w:numPr>
        <w:spacing w:line="240" w:lineRule="auto"/>
        <w:ind w:left="425"/>
        <w:contextualSpacing w:val="0"/>
      </w:pPr>
      <w:r>
        <w:t xml:space="preserve">Pre-commitment </w:t>
      </w:r>
      <w:r w:rsidR="006D7231">
        <w:t>requirements for setting up</w:t>
      </w:r>
      <w:r>
        <w:t xml:space="preserve"> online gambling accounts </w:t>
      </w:r>
      <w:r w:rsidR="006D7231">
        <w:t>in which</w:t>
      </w:r>
      <w:r>
        <w:t xml:space="preserve"> users </w:t>
      </w:r>
      <w:r w:rsidR="006D7231">
        <w:t>can nominate a max</w:t>
      </w:r>
      <w:r w:rsidR="004E5352">
        <w:t>imum bet amount (daily and week</w:t>
      </w:r>
      <w:r w:rsidR="000C0511">
        <w:t>l</w:t>
      </w:r>
      <w:r w:rsidR="00C6640A">
        <w:t>y);</w:t>
      </w:r>
    </w:p>
    <w:p w:rsidR="006D7231" w:rsidRDefault="006D7231" w:rsidP="00884E0A">
      <w:pPr>
        <w:pStyle w:val="ListParagraph"/>
        <w:numPr>
          <w:ilvl w:val="0"/>
          <w:numId w:val="3"/>
        </w:numPr>
        <w:spacing w:line="240" w:lineRule="auto"/>
        <w:ind w:left="425"/>
        <w:contextualSpacing w:val="0"/>
      </w:pPr>
      <w:r>
        <w:t xml:space="preserve">Requirements for consumer warnings to be provided in all online wagering services including: an on-screen warning when betting limits are approaching, and on-screen promotion of gamblers help services if a breach </w:t>
      </w:r>
      <w:r w:rsidR="00C6640A">
        <w:t>of a betting limit is attempted.</w:t>
      </w:r>
    </w:p>
    <w:p w:rsidR="000C0511" w:rsidRPr="00884E0A" w:rsidRDefault="00884E0A" w:rsidP="00FE5E9A">
      <w:r w:rsidRPr="00884E0A">
        <w:t xml:space="preserve">Finally, </w:t>
      </w:r>
      <w:r>
        <w:t>Council</w:t>
      </w:r>
      <w:r w:rsidRPr="00884E0A">
        <w:t xml:space="preserve"> </w:t>
      </w:r>
      <w:r w:rsidR="002F38F4">
        <w:t>does not</w:t>
      </w:r>
      <w:r w:rsidR="00493CC3">
        <w:t xml:space="preserve"> accept the</w:t>
      </w:r>
      <w:r>
        <w:t xml:space="preserve"> </w:t>
      </w:r>
      <w:r w:rsidR="002F38F4">
        <w:t xml:space="preserve">logic of a </w:t>
      </w:r>
      <w:r w:rsidRPr="00884E0A">
        <w:t>deregulati</w:t>
      </w:r>
      <w:r>
        <w:t xml:space="preserve">on of </w:t>
      </w:r>
      <w:r w:rsidR="002F38F4">
        <w:t xml:space="preserve">the </w:t>
      </w:r>
      <w:r w:rsidRPr="00884E0A">
        <w:t>Australian</w:t>
      </w:r>
      <w:r>
        <w:t xml:space="preserve"> </w:t>
      </w:r>
      <w:r w:rsidR="002F38F4">
        <w:t xml:space="preserve">online </w:t>
      </w:r>
      <w:r>
        <w:t xml:space="preserve">gambling </w:t>
      </w:r>
      <w:r w:rsidR="002F38F4">
        <w:t>industry</w:t>
      </w:r>
      <w:r>
        <w:t xml:space="preserve"> </w:t>
      </w:r>
      <w:r w:rsidR="00493CC3">
        <w:t>as a</w:t>
      </w:r>
      <w:r>
        <w:t xml:space="preserve"> </w:t>
      </w:r>
      <w:r w:rsidR="00493CC3">
        <w:t xml:space="preserve">legitimate </w:t>
      </w:r>
      <w:r>
        <w:t>respon</w:t>
      </w:r>
      <w:r w:rsidR="00493CC3">
        <w:t>se</w:t>
      </w:r>
      <w:r>
        <w:t xml:space="preserve"> to</w:t>
      </w:r>
      <w:r w:rsidR="00493CC3">
        <w:t xml:space="preserve"> the</w:t>
      </w:r>
      <w:r>
        <w:t xml:space="preserve"> excesses of illicit offshore operations</w:t>
      </w:r>
      <w:r w:rsidR="00493CC3">
        <w:t xml:space="preserve">. </w:t>
      </w:r>
      <w:r w:rsidR="002F38F4">
        <w:t xml:space="preserve">To avoid a ‘race to the bottom’ approach to policy making in this complex and fast-moving sector, we </w:t>
      </w:r>
      <w:r w:rsidR="00493CC3">
        <w:t xml:space="preserve">suggest that further research and </w:t>
      </w:r>
      <w:r w:rsidR="002F38F4">
        <w:t>consultation</w:t>
      </w:r>
      <w:r w:rsidR="00C6640A">
        <w:t xml:space="preserve"> be undertaken.</w:t>
      </w:r>
    </w:p>
    <w:sectPr w:rsidR="000C0511" w:rsidRPr="00884E0A" w:rsidSect="003B3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F4" w:rsidRDefault="002F38F4" w:rsidP="002F38F4">
      <w:pPr>
        <w:spacing w:after="0" w:line="240" w:lineRule="auto"/>
      </w:pPr>
      <w:r>
        <w:separator/>
      </w:r>
    </w:p>
  </w:endnote>
  <w:endnote w:type="continuationSeparator" w:id="0">
    <w:p w:rsidR="002F38F4" w:rsidRDefault="002F38F4" w:rsidP="002F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F4" w:rsidRDefault="002F38F4" w:rsidP="002F38F4">
      <w:pPr>
        <w:spacing w:after="0" w:line="240" w:lineRule="auto"/>
      </w:pPr>
      <w:r>
        <w:separator/>
      </w:r>
    </w:p>
  </w:footnote>
  <w:footnote w:type="continuationSeparator" w:id="0">
    <w:p w:rsidR="002F38F4" w:rsidRDefault="002F38F4" w:rsidP="002F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988"/>
    <w:multiLevelType w:val="hybridMultilevel"/>
    <w:tmpl w:val="589A7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5687"/>
    <w:multiLevelType w:val="multilevel"/>
    <w:tmpl w:val="80EE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64F23"/>
    <w:multiLevelType w:val="hybridMultilevel"/>
    <w:tmpl w:val="A92217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EBE"/>
    <w:rsid w:val="00005282"/>
    <w:rsid w:val="0005026A"/>
    <w:rsid w:val="000C0511"/>
    <w:rsid w:val="000E73B2"/>
    <w:rsid w:val="000F7206"/>
    <w:rsid w:val="00100880"/>
    <w:rsid w:val="001137CC"/>
    <w:rsid w:val="00121F85"/>
    <w:rsid w:val="00123FD5"/>
    <w:rsid w:val="00127391"/>
    <w:rsid w:val="00194D7A"/>
    <w:rsid w:val="001A2B0D"/>
    <w:rsid w:val="001A4756"/>
    <w:rsid w:val="001A741C"/>
    <w:rsid w:val="001E434F"/>
    <w:rsid w:val="002151D5"/>
    <w:rsid w:val="00223488"/>
    <w:rsid w:val="00240EBE"/>
    <w:rsid w:val="002C65DF"/>
    <w:rsid w:val="002F38F4"/>
    <w:rsid w:val="00312642"/>
    <w:rsid w:val="00380E84"/>
    <w:rsid w:val="003A1CAF"/>
    <w:rsid w:val="003B351F"/>
    <w:rsid w:val="003D011A"/>
    <w:rsid w:val="003D62CC"/>
    <w:rsid w:val="003F61B7"/>
    <w:rsid w:val="003F68AA"/>
    <w:rsid w:val="0043259D"/>
    <w:rsid w:val="00441438"/>
    <w:rsid w:val="00493CC3"/>
    <w:rsid w:val="004A7867"/>
    <w:rsid w:val="004E5352"/>
    <w:rsid w:val="00563BD1"/>
    <w:rsid w:val="00663645"/>
    <w:rsid w:val="006642DB"/>
    <w:rsid w:val="006B7FBD"/>
    <w:rsid w:val="006D7231"/>
    <w:rsid w:val="00755E59"/>
    <w:rsid w:val="0079187B"/>
    <w:rsid w:val="007E2812"/>
    <w:rsid w:val="00860EF3"/>
    <w:rsid w:val="00884E0A"/>
    <w:rsid w:val="0092215A"/>
    <w:rsid w:val="00964B16"/>
    <w:rsid w:val="009C3127"/>
    <w:rsid w:val="00A01700"/>
    <w:rsid w:val="00A5224A"/>
    <w:rsid w:val="00AA0480"/>
    <w:rsid w:val="00AB14B3"/>
    <w:rsid w:val="00B22A43"/>
    <w:rsid w:val="00B70D07"/>
    <w:rsid w:val="00C26CF0"/>
    <w:rsid w:val="00C542AB"/>
    <w:rsid w:val="00C6640A"/>
    <w:rsid w:val="00C97521"/>
    <w:rsid w:val="00CC418D"/>
    <w:rsid w:val="00CC6F61"/>
    <w:rsid w:val="00D25763"/>
    <w:rsid w:val="00D768BC"/>
    <w:rsid w:val="00DB271A"/>
    <w:rsid w:val="00DD724D"/>
    <w:rsid w:val="00DF3CC3"/>
    <w:rsid w:val="00E562ED"/>
    <w:rsid w:val="00EA6F40"/>
    <w:rsid w:val="00EE04D6"/>
    <w:rsid w:val="00EE57F3"/>
    <w:rsid w:val="00F47FDA"/>
    <w:rsid w:val="00F52FFA"/>
    <w:rsid w:val="00F70B51"/>
    <w:rsid w:val="00FC33EA"/>
    <w:rsid w:val="00FE5E9A"/>
    <w:rsid w:val="00FE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1F"/>
  </w:style>
  <w:style w:type="paragraph" w:styleId="Heading1">
    <w:name w:val="heading 1"/>
    <w:basedOn w:val="Normal"/>
    <w:link w:val="Heading1Char"/>
    <w:uiPriority w:val="9"/>
    <w:qFormat/>
    <w:rsid w:val="00240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EBE"/>
    <w:rPr>
      <w:strike w:val="0"/>
      <w:dstrike w:val="0"/>
      <w:color w:val="00548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40EBE"/>
    <w:rPr>
      <w:rFonts w:ascii="Times New Roman" w:eastAsia="Times New Roman" w:hAnsi="Times New Roman" w:cs="Times New Roman"/>
      <w:b/>
      <w:bCs/>
      <w:kern w:val="36"/>
      <w:sz w:val="24"/>
      <w:szCs w:val="24"/>
      <w:lang w:eastAsia="en-AU"/>
    </w:rPr>
  </w:style>
  <w:style w:type="paragraph" w:customStyle="1" w:styleId="details">
    <w:name w:val="details"/>
    <w:basedOn w:val="Normal"/>
    <w:rsid w:val="002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AU"/>
    </w:rPr>
  </w:style>
  <w:style w:type="character" w:styleId="Emphasis">
    <w:name w:val="Emphasis"/>
    <w:basedOn w:val="DefaultParagraphFont"/>
    <w:uiPriority w:val="20"/>
    <w:qFormat/>
    <w:rsid w:val="00240E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8F4"/>
  </w:style>
  <w:style w:type="paragraph" w:styleId="Footer">
    <w:name w:val="footer"/>
    <w:basedOn w:val="Normal"/>
    <w:link w:val="FooterChar"/>
    <w:uiPriority w:val="99"/>
    <w:semiHidden/>
    <w:unhideWhenUsed/>
    <w:rsid w:val="002F3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Moreland City Council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Jspokes</dc:creator>
  <cp:lastModifiedBy>Jspokes</cp:lastModifiedBy>
  <cp:revision>2</cp:revision>
  <dcterms:created xsi:type="dcterms:W3CDTF">2015-11-13T00:20:00Z</dcterms:created>
  <dcterms:modified xsi:type="dcterms:W3CDTF">2015-11-13T00:20:00Z</dcterms:modified>
</cp:coreProperties>
</file>