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71A5" w14:textId="77777777" w:rsidR="00CB22E4" w:rsidRDefault="006B2AE3">
      <w:pPr>
        <w:pStyle w:val="TOC1"/>
      </w:pPr>
      <w:bookmarkStart w:id="0" w:name="_GoBack"/>
      <w:bookmarkEnd w:id="0"/>
      <w:r>
        <w:rPr>
          <w:lang w:eastAsia="en-AU"/>
        </w:rPr>
        <w:drawing>
          <wp:anchor distT="0" distB="0" distL="114300" distR="114300" simplePos="0" relativeHeight="251658240" behindDoc="0" locked="0" layoutInCell="1" allowOverlap="1" wp14:anchorId="06B14FA3" wp14:editId="5B48DA22">
            <wp:simplePos x="0" y="0"/>
            <wp:positionH relativeFrom="margin">
              <wp:posOffset>-40640</wp:posOffset>
            </wp:positionH>
            <wp:positionV relativeFrom="margin">
              <wp:posOffset>361950</wp:posOffset>
            </wp:positionV>
            <wp:extent cx="3126105" cy="628650"/>
            <wp:effectExtent l="0" t="0" r="0" b="0"/>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1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27A1D" w14:textId="77777777" w:rsidR="00CB22E4" w:rsidRDefault="00CB22E4">
      <w:pPr>
        <w:pStyle w:val="TOC1"/>
      </w:pPr>
    </w:p>
    <w:p w14:paraId="3DE3AD10" w14:textId="77777777" w:rsidR="00CB22E4" w:rsidRDefault="00CB22E4">
      <w:pPr>
        <w:ind w:right="-514"/>
        <w:jc w:val="right"/>
      </w:pPr>
    </w:p>
    <w:p w14:paraId="62730279" w14:textId="77777777" w:rsidR="00CB22E4" w:rsidRDefault="00CB22E4">
      <w:pPr>
        <w:jc w:val="center"/>
        <w:rPr>
          <w:b/>
          <w:bCs/>
        </w:rPr>
      </w:pPr>
    </w:p>
    <w:p w14:paraId="7132B69E" w14:textId="77777777" w:rsidR="00CB22E4" w:rsidRDefault="00CB22E4">
      <w:pPr>
        <w:jc w:val="center"/>
        <w:rPr>
          <w:rFonts w:ascii="Arial Narrow" w:hAnsi="Arial Narrow"/>
          <w:b/>
          <w:bCs/>
          <w:sz w:val="32"/>
        </w:rPr>
      </w:pPr>
    </w:p>
    <w:p w14:paraId="4194C35C" w14:textId="77777777" w:rsidR="00CB22E4" w:rsidRDefault="00CB22E4">
      <w:pPr>
        <w:jc w:val="right"/>
        <w:rPr>
          <w:rFonts w:ascii="Arial Narrow" w:hAnsi="Arial Narrow"/>
          <w:b/>
          <w:bCs/>
          <w:sz w:val="40"/>
        </w:rPr>
      </w:pPr>
    </w:p>
    <w:p w14:paraId="031772EC" w14:textId="77777777" w:rsidR="00CB22E4" w:rsidRDefault="00CB22E4">
      <w:pPr>
        <w:jc w:val="right"/>
        <w:rPr>
          <w:rFonts w:ascii="Arial Narrow" w:hAnsi="Arial Narrow"/>
          <w:b/>
          <w:bCs/>
          <w:sz w:val="40"/>
        </w:rPr>
      </w:pPr>
    </w:p>
    <w:p w14:paraId="35A07AB0" w14:textId="77777777" w:rsidR="00CB22E4" w:rsidRDefault="00CB22E4">
      <w:pPr>
        <w:jc w:val="right"/>
        <w:rPr>
          <w:rFonts w:ascii="Arial Narrow" w:hAnsi="Arial Narrow"/>
          <w:b/>
          <w:bCs/>
          <w:sz w:val="40"/>
        </w:rPr>
      </w:pPr>
    </w:p>
    <w:p w14:paraId="688F7932" w14:textId="77777777" w:rsidR="00CB22E4" w:rsidRDefault="00CB22E4">
      <w:pPr>
        <w:jc w:val="right"/>
        <w:rPr>
          <w:rFonts w:ascii="Arial Narrow" w:hAnsi="Arial Narrow"/>
          <w:b/>
          <w:bCs/>
          <w:sz w:val="40"/>
        </w:rPr>
      </w:pPr>
    </w:p>
    <w:p w14:paraId="63295A0A" w14:textId="77777777" w:rsidR="00CB22E4" w:rsidRDefault="00CB22E4">
      <w:pPr>
        <w:jc w:val="right"/>
        <w:rPr>
          <w:rFonts w:ascii="Arial Narrow" w:hAnsi="Arial Narrow"/>
          <w:b/>
          <w:bCs/>
          <w:sz w:val="40"/>
        </w:rPr>
      </w:pPr>
    </w:p>
    <w:p w14:paraId="44701A88" w14:textId="77777777" w:rsidR="00CB22E4" w:rsidRDefault="0009758E">
      <w:pPr>
        <w:ind w:right="746"/>
        <w:jc w:val="right"/>
        <w:rPr>
          <w:rFonts w:ascii="Univers 57 Condensed" w:hAnsi="Univers 57 Condensed"/>
          <w:b/>
          <w:bCs/>
          <w:sz w:val="48"/>
        </w:rPr>
      </w:pPr>
      <w:r>
        <w:rPr>
          <w:rFonts w:ascii="Univers 57 Condensed" w:hAnsi="Univers 57 Condensed"/>
          <w:b/>
          <w:bCs/>
          <w:sz w:val="48"/>
        </w:rPr>
        <w:t>Submission by the Commonwealth Ombudsman</w:t>
      </w:r>
      <w:r w:rsidR="00CB22E4">
        <w:rPr>
          <w:rFonts w:ascii="Univers 57 Condensed" w:hAnsi="Univers 57 Condensed"/>
          <w:b/>
          <w:bCs/>
          <w:sz w:val="48"/>
        </w:rPr>
        <w:t xml:space="preserve"> </w:t>
      </w:r>
    </w:p>
    <w:p w14:paraId="1BB6B8A3" w14:textId="77777777" w:rsidR="00CB22E4" w:rsidRDefault="00CB22E4">
      <w:pPr>
        <w:ind w:right="746"/>
        <w:jc w:val="right"/>
        <w:rPr>
          <w:rFonts w:ascii="Arial Narrow" w:hAnsi="Arial Narrow"/>
          <w:b/>
          <w:bCs/>
          <w:sz w:val="24"/>
        </w:rPr>
      </w:pPr>
    </w:p>
    <w:p w14:paraId="4BD607E7" w14:textId="77777777" w:rsidR="0009758E" w:rsidRDefault="0009758E">
      <w:pPr>
        <w:ind w:right="746"/>
        <w:jc w:val="right"/>
        <w:rPr>
          <w:rFonts w:ascii="Univers 57 Condensed" w:hAnsi="Univers 57 Condensed"/>
          <w:b/>
          <w:bCs/>
          <w:caps/>
          <w:color w:val="999999"/>
          <w:sz w:val="28"/>
        </w:rPr>
      </w:pPr>
      <w:r>
        <w:rPr>
          <w:rFonts w:ascii="Univers 57 Condensed" w:hAnsi="Univers 57 Condensed"/>
          <w:b/>
          <w:bCs/>
          <w:caps/>
          <w:color w:val="999999"/>
          <w:sz w:val="28"/>
        </w:rPr>
        <w:t xml:space="preserve">Department of Social services: </w:t>
      </w:r>
    </w:p>
    <w:p w14:paraId="6CF9F5B8" w14:textId="77777777" w:rsidR="0009758E" w:rsidRDefault="0009758E">
      <w:pPr>
        <w:ind w:right="746"/>
        <w:jc w:val="right"/>
        <w:rPr>
          <w:rFonts w:ascii="Univers 57 Condensed" w:hAnsi="Univers 57 Condensed"/>
          <w:b/>
          <w:bCs/>
          <w:caps/>
          <w:color w:val="999999"/>
          <w:sz w:val="28"/>
        </w:rPr>
      </w:pPr>
      <w:r>
        <w:rPr>
          <w:rFonts w:ascii="Univers 57 Condensed" w:hAnsi="Univers 57 Condensed"/>
          <w:b/>
          <w:bCs/>
          <w:caps/>
          <w:color w:val="999999"/>
          <w:sz w:val="28"/>
        </w:rPr>
        <w:t xml:space="preserve">New disability employment services from 2018 </w:t>
      </w:r>
    </w:p>
    <w:p w14:paraId="4C5474A7" w14:textId="77777777" w:rsidR="00CB22E4" w:rsidRDefault="0009758E">
      <w:pPr>
        <w:ind w:right="746"/>
        <w:jc w:val="right"/>
        <w:rPr>
          <w:rFonts w:ascii="Univers 57 Condensed" w:hAnsi="Univers 57 Condensed"/>
          <w:b/>
          <w:bCs/>
          <w:caps/>
          <w:color w:val="999999"/>
          <w:sz w:val="28"/>
        </w:rPr>
      </w:pPr>
      <w:r>
        <w:rPr>
          <w:rFonts w:ascii="Univers 57 Condensed" w:hAnsi="Univers 57 Condensed"/>
          <w:b/>
          <w:bCs/>
          <w:caps/>
          <w:color w:val="999999"/>
          <w:sz w:val="28"/>
        </w:rPr>
        <w:t xml:space="preserve">discussion paper </w:t>
      </w:r>
    </w:p>
    <w:p w14:paraId="5F0BF838" w14:textId="77777777" w:rsidR="00CB22E4" w:rsidRDefault="00CB22E4">
      <w:pPr>
        <w:ind w:right="746"/>
        <w:rPr>
          <w:rFonts w:ascii="Arial Narrow" w:hAnsi="Arial Narrow"/>
          <w:sz w:val="52"/>
        </w:rPr>
      </w:pPr>
    </w:p>
    <w:p w14:paraId="693E561B" w14:textId="77777777" w:rsidR="00CB22E4" w:rsidRDefault="00CB22E4">
      <w:pPr>
        <w:rPr>
          <w:rFonts w:ascii="Arial Narrow" w:hAnsi="Arial Narrow"/>
          <w:sz w:val="36"/>
        </w:rPr>
      </w:pPr>
    </w:p>
    <w:p w14:paraId="177A3AE1" w14:textId="77777777" w:rsidR="0009758E" w:rsidRDefault="0009758E">
      <w:pPr>
        <w:rPr>
          <w:rFonts w:ascii="Arial Narrow" w:hAnsi="Arial Narrow"/>
          <w:sz w:val="36"/>
        </w:rPr>
      </w:pPr>
    </w:p>
    <w:p w14:paraId="473180E3" w14:textId="77777777" w:rsidR="00CB22E4" w:rsidRDefault="00CB22E4">
      <w:pPr>
        <w:rPr>
          <w:rFonts w:ascii="Arial Narrow" w:hAnsi="Arial Narrow"/>
          <w:sz w:val="36"/>
        </w:rPr>
      </w:pPr>
    </w:p>
    <w:p w14:paraId="512A5251" w14:textId="77777777" w:rsidR="00CB22E4" w:rsidRDefault="00CB22E4">
      <w:pPr>
        <w:ind w:right="746"/>
        <w:rPr>
          <w:rFonts w:ascii="Arial Narrow" w:hAnsi="Arial Narrow"/>
          <w:bCs/>
          <w:sz w:val="52"/>
        </w:rPr>
      </w:pPr>
    </w:p>
    <w:p w14:paraId="5FA4BCB3" w14:textId="77777777" w:rsidR="00CB22E4" w:rsidRDefault="00CB22E4">
      <w:pPr>
        <w:ind w:right="746"/>
        <w:jc w:val="right"/>
        <w:rPr>
          <w:rFonts w:ascii="Arial Narrow" w:hAnsi="Arial Narrow"/>
          <w:b/>
          <w:bCs/>
          <w:sz w:val="52"/>
        </w:rPr>
      </w:pPr>
    </w:p>
    <w:p w14:paraId="4DE7FF9C" w14:textId="77777777" w:rsidR="00CB22E4" w:rsidRDefault="00CB22E4">
      <w:pPr>
        <w:ind w:right="746"/>
        <w:jc w:val="right"/>
        <w:rPr>
          <w:rFonts w:ascii="Arial Narrow" w:hAnsi="Arial Narrow"/>
          <w:b/>
          <w:bCs/>
          <w:sz w:val="52"/>
        </w:rPr>
      </w:pPr>
    </w:p>
    <w:p w14:paraId="5845E2AE" w14:textId="77777777" w:rsidR="00CB22E4" w:rsidRDefault="00CB22E4">
      <w:pPr>
        <w:ind w:right="746"/>
        <w:jc w:val="right"/>
        <w:rPr>
          <w:rFonts w:ascii="Arial Narrow" w:hAnsi="Arial Narrow"/>
          <w:b/>
          <w:bCs/>
          <w:sz w:val="52"/>
        </w:rPr>
      </w:pPr>
    </w:p>
    <w:p w14:paraId="0C161357" w14:textId="77777777" w:rsidR="00CB22E4" w:rsidRDefault="00CB22E4">
      <w:pPr>
        <w:ind w:right="746"/>
        <w:jc w:val="right"/>
        <w:rPr>
          <w:rFonts w:ascii="Arial Narrow" w:hAnsi="Arial Narrow"/>
          <w:b/>
          <w:bCs/>
          <w:sz w:val="52"/>
        </w:rPr>
      </w:pPr>
    </w:p>
    <w:p w14:paraId="45F0BA2F" w14:textId="77777777" w:rsidR="00CB22E4" w:rsidRDefault="00CB22E4">
      <w:pPr>
        <w:ind w:right="746"/>
        <w:jc w:val="right"/>
        <w:rPr>
          <w:rFonts w:ascii="Arial Narrow" w:hAnsi="Arial Narrow"/>
          <w:b/>
          <w:bCs/>
          <w:sz w:val="20"/>
        </w:rPr>
      </w:pPr>
    </w:p>
    <w:p w14:paraId="3F238526" w14:textId="77777777" w:rsidR="00CB22E4" w:rsidRDefault="0009758E">
      <w:pPr>
        <w:ind w:right="746"/>
        <w:jc w:val="right"/>
        <w:rPr>
          <w:rFonts w:ascii="Univers 47 CondensedLight" w:hAnsi="Univers 47 CondensedLight"/>
          <w:i/>
          <w:iCs/>
          <w:sz w:val="20"/>
        </w:rPr>
      </w:pPr>
      <w:r>
        <w:rPr>
          <w:rFonts w:ascii="Univers 47 CondensedLight" w:hAnsi="Univers 47 CondensedLight"/>
          <w:sz w:val="20"/>
        </w:rPr>
        <w:t xml:space="preserve">Submission </w:t>
      </w:r>
      <w:r w:rsidR="00CB22E4">
        <w:rPr>
          <w:rFonts w:ascii="Univers 47 CondensedLight" w:hAnsi="Univers 47 CondensedLight"/>
          <w:sz w:val="20"/>
        </w:rPr>
        <w:t xml:space="preserve">by the Commonwealth Ombudsman, </w:t>
      </w:r>
      <w:r w:rsidR="00CB22E4">
        <w:rPr>
          <w:rFonts w:ascii="Univers 47 CondensedLight" w:hAnsi="Univers 47 CondensedLight"/>
          <w:sz w:val="20"/>
        </w:rPr>
        <w:br/>
      </w:r>
      <w:r w:rsidR="006B2AE3" w:rsidRPr="006B2AE3">
        <w:rPr>
          <w:rFonts w:ascii="Univers 47 CondensedLight" w:hAnsi="Univers 47 CondensedLight"/>
          <w:sz w:val="20"/>
        </w:rPr>
        <w:t>Colin Neave AM</w:t>
      </w:r>
      <w:r w:rsidR="00CB22E4">
        <w:rPr>
          <w:rFonts w:ascii="Univers 47 CondensedLight" w:hAnsi="Univers 47 CondensedLight"/>
          <w:sz w:val="20"/>
        </w:rPr>
        <w:t xml:space="preserve">, under the </w:t>
      </w:r>
      <w:r w:rsidR="00CB22E4">
        <w:rPr>
          <w:rFonts w:ascii="Univers 47 CondensedLight" w:hAnsi="Univers 47 CondensedLight"/>
          <w:i/>
          <w:iCs/>
          <w:sz w:val="20"/>
        </w:rPr>
        <w:t>Ombudsman Act 1976</w:t>
      </w:r>
    </w:p>
    <w:p w14:paraId="50B7E81B" w14:textId="77777777" w:rsidR="0009758E" w:rsidRDefault="0009758E">
      <w:pPr>
        <w:ind w:right="746"/>
        <w:jc w:val="right"/>
        <w:rPr>
          <w:rFonts w:ascii="Univers 47 CondensedLight" w:hAnsi="Univers 47 CondensedLight"/>
          <w:iCs/>
          <w:sz w:val="20"/>
        </w:rPr>
      </w:pPr>
    </w:p>
    <w:p w14:paraId="3A5043D4" w14:textId="77777777" w:rsidR="0009758E" w:rsidRDefault="0009758E" w:rsidP="0009758E">
      <w:pPr>
        <w:ind w:right="746"/>
        <w:jc w:val="right"/>
      </w:pPr>
      <w:r>
        <w:rPr>
          <w:rFonts w:ascii="Univers 57 Condensed" w:hAnsi="Univers 57 Condensed"/>
          <w:b/>
          <w:bCs/>
          <w:color w:val="999999"/>
          <w:sz w:val="28"/>
        </w:rPr>
        <w:t>December 2016</w:t>
      </w:r>
    </w:p>
    <w:p w14:paraId="3446E4B2" w14:textId="77777777" w:rsidR="0009758E" w:rsidRPr="0009758E" w:rsidRDefault="0009758E">
      <w:pPr>
        <w:ind w:right="746"/>
        <w:jc w:val="right"/>
        <w:rPr>
          <w:rFonts w:ascii="Univers 47 CondensedLight" w:hAnsi="Univers 47 CondensedLight"/>
          <w:sz w:val="20"/>
        </w:rPr>
      </w:pPr>
    </w:p>
    <w:p w14:paraId="1EC061D9" w14:textId="77777777" w:rsidR="00CB22E4" w:rsidRDefault="00CB22E4">
      <w:pPr>
        <w:pStyle w:val="Heading4"/>
        <w:ind w:right="746"/>
        <w:rPr>
          <w:rFonts w:ascii="Arial Narrow" w:hAnsi="Arial Narrow"/>
          <w:sz w:val="28"/>
        </w:rPr>
      </w:pPr>
    </w:p>
    <w:p w14:paraId="55768BDC" w14:textId="77777777" w:rsidR="00CB22E4" w:rsidRDefault="00CB22E4">
      <w:pPr>
        <w:sectPr w:rsidR="00CB22E4">
          <w:footerReference w:type="even" r:id="rId9"/>
          <w:pgSz w:w="11906" w:h="16838"/>
          <w:pgMar w:top="1440" w:right="1800" w:bottom="1440" w:left="1800" w:header="708" w:footer="708" w:gutter="0"/>
          <w:pgBorders w:display="firstPage" w:offsetFrom="page">
            <w:top w:val="single" w:sz="6" w:space="24" w:color="auto"/>
            <w:left w:val="single" w:sz="6" w:space="24" w:color="auto"/>
            <w:bottom w:val="single" w:sz="6" w:space="24" w:color="auto"/>
            <w:right w:val="single" w:sz="6" w:space="24" w:color="auto"/>
          </w:pgBorders>
          <w:cols w:space="708"/>
          <w:docGrid w:linePitch="360"/>
        </w:sectPr>
      </w:pPr>
    </w:p>
    <w:p w14:paraId="3FE06272" w14:textId="77777777" w:rsidR="00CB22E4" w:rsidRDefault="00CB22E4"/>
    <w:p w14:paraId="1E2D7BFE" w14:textId="77777777" w:rsidR="00CB22E4" w:rsidRDefault="00CB22E4">
      <w:pPr>
        <w:pStyle w:val="contents"/>
        <w:jc w:val="center"/>
      </w:pPr>
      <w:r>
        <w:t>Contents</w:t>
      </w:r>
    </w:p>
    <w:p w14:paraId="51FA8B2D" w14:textId="77777777" w:rsidR="00CB22E4" w:rsidRDefault="00CB22E4"/>
    <w:p w14:paraId="13BA1744" w14:textId="77777777" w:rsidR="00CB22E4" w:rsidRDefault="00CB22E4"/>
    <w:p w14:paraId="4F324D05" w14:textId="77777777" w:rsidR="00011EF8" w:rsidRDefault="00CB22E4">
      <w:pPr>
        <w:pStyle w:val="TOC1"/>
        <w:rPr>
          <w:rFonts w:asciiTheme="minorHAnsi" w:eastAsiaTheme="minorEastAsia" w:hAnsiTheme="minorHAnsi" w:cstheme="minorBidi"/>
          <w:b w:val="0"/>
          <w:bCs w:val="0"/>
          <w:smallCaps w:val="0"/>
          <w:sz w:val="22"/>
          <w:szCs w:val="22"/>
          <w:lang w:eastAsia="en-AU"/>
        </w:rPr>
      </w:pPr>
      <w:r>
        <w:fldChar w:fldCharType="begin"/>
      </w:r>
      <w:r>
        <w:instrText xml:space="preserve"> TOC \o "1-3" \h \z </w:instrText>
      </w:r>
      <w:r>
        <w:fldChar w:fldCharType="separate"/>
      </w:r>
      <w:hyperlink w:anchor="_Toc469574502" w:history="1">
        <w:r w:rsidR="00011EF8" w:rsidRPr="000A23BB">
          <w:rPr>
            <w:rStyle w:val="Hyperlink"/>
          </w:rPr>
          <w:t>Introduction</w:t>
        </w:r>
        <w:r w:rsidR="00011EF8">
          <w:rPr>
            <w:webHidden/>
          </w:rPr>
          <w:tab/>
        </w:r>
        <w:r w:rsidR="00011EF8">
          <w:rPr>
            <w:webHidden/>
          </w:rPr>
          <w:fldChar w:fldCharType="begin"/>
        </w:r>
        <w:r w:rsidR="00011EF8">
          <w:rPr>
            <w:webHidden/>
          </w:rPr>
          <w:instrText xml:space="preserve"> PAGEREF _Toc469574502 \h </w:instrText>
        </w:r>
        <w:r w:rsidR="00011EF8">
          <w:rPr>
            <w:webHidden/>
          </w:rPr>
        </w:r>
        <w:r w:rsidR="00011EF8">
          <w:rPr>
            <w:webHidden/>
          </w:rPr>
          <w:fldChar w:fldCharType="separate"/>
        </w:r>
        <w:r w:rsidR="009C3FEA">
          <w:rPr>
            <w:webHidden/>
          </w:rPr>
          <w:t>1</w:t>
        </w:r>
        <w:r w:rsidR="00011EF8">
          <w:rPr>
            <w:webHidden/>
          </w:rPr>
          <w:fldChar w:fldCharType="end"/>
        </w:r>
      </w:hyperlink>
    </w:p>
    <w:p w14:paraId="57C1920E" w14:textId="77777777" w:rsidR="00011EF8" w:rsidRDefault="00405264">
      <w:pPr>
        <w:pStyle w:val="TOC1"/>
        <w:rPr>
          <w:rFonts w:asciiTheme="minorHAnsi" w:eastAsiaTheme="minorEastAsia" w:hAnsiTheme="minorHAnsi" w:cstheme="minorBidi"/>
          <w:b w:val="0"/>
          <w:bCs w:val="0"/>
          <w:smallCaps w:val="0"/>
          <w:sz w:val="22"/>
          <w:szCs w:val="22"/>
          <w:lang w:eastAsia="en-AU"/>
        </w:rPr>
      </w:pPr>
      <w:hyperlink w:anchor="_Toc469574503" w:history="1">
        <w:r w:rsidR="00011EF8" w:rsidRPr="000A23BB">
          <w:rPr>
            <w:rStyle w:val="Hyperlink"/>
          </w:rPr>
          <w:t>Background</w:t>
        </w:r>
        <w:r w:rsidR="00011EF8">
          <w:rPr>
            <w:webHidden/>
          </w:rPr>
          <w:tab/>
        </w:r>
        <w:r w:rsidR="00011EF8">
          <w:rPr>
            <w:webHidden/>
          </w:rPr>
          <w:fldChar w:fldCharType="begin"/>
        </w:r>
        <w:r w:rsidR="00011EF8">
          <w:rPr>
            <w:webHidden/>
          </w:rPr>
          <w:instrText xml:space="preserve"> PAGEREF _Toc469574503 \h </w:instrText>
        </w:r>
        <w:r w:rsidR="00011EF8">
          <w:rPr>
            <w:webHidden/>
          </w:rPr>
        </w:r>
        <w:r w:rsidR="00011EF8">
          <w:rPr>
            <w:webHidden/>
          </w:rPr>
          <w:fldChar w:fldCharType="separate"/>
        </w:r>
        <w:r w:rsidR="009C3FEA">
          <w:rPr>
            <w:webHidden/>
          </w:rPr>
          <w:t>1</w:t>
        </w:r>
        <w:r w:rsidR="00011EF8">
          <w:rPr>
            <w:webHidden/>
          </w:rPr>
          <w:fldChar w:fldCharType="end"/>
        </w:r>
      </w:hyperlink>
    </w:p>
    <w:p w14:paraId="380D09BD" w14:textId="77777777" w:rsidR="00011EF8" w:rsidRDefault="00405264">
      <w:pPr>
        <w:pStyle w:val="TOC1"/>
        <w:rPr>
          <w:rFonts w:asciiTheme="minorHAnsi" w:eastAsiaTheme="minorEastAsia" w:hAnsiTheme="minorHAnsi" w:cstheme="minorBidi"/>
          <w:b w:val="0"/>
          <w:bCs w:val="0"/>
          <w:smallCaps w:val="0"/>
          <w:sz w:val="22"/>
          <w:szCs w:val="22"/>
          <w:lang w:eastAsia="en-AU"/>
        </w:rPr>
      </w:pPr>
      <w:hyperlink w:anchor="_Toc469574504" w:history="1">
        <w:r w:rsidR="00011EF8" w:rsidRPr="000A23BB">
          <w:rPr>
            <w:rStyle w:val="Hyperlink"/>
          </w:rPr>
          <w:t>Improving Participant Choice and Control</w:t>
        </w:r>
        <w:r w:rsidR="00011EF8">
          <w:rPr>
            <w:webHidden/>
          </w:rPr>
          <w:tab/>
        </w:r>
        <w:r w:rsidR="00011EF8">
          <w:rPr>
            <w:webHidden/>
          </w:rPr>
          <w:fldChar w:fldCharType="begin"/>
        </w:r>
        <w:r w:rsidR="00011EF8">
          <w:rPr>
            <w:webHidden/>
          </w:rPr>
          <w:instrText xml:space="preserve"> PAGEREF _Toc469574504 \h </w:instrText>
        </w:r>
        <w:r w:rsidR="00011EF8">
          <w:rPr>
            <w:webHidden/>
          </w:rPr>
        </w:r>
        <w:r w:rsidR="00011EF8">
          <w:rPr>
            <w:webHidden/>
          </w:rPr>
          <w:fldChar w:fldCharType="separate"/>
        </w:r>
        <w:r w:rsidR="009C3FEA">
          <w:rPr>
            <w:webHidden/>
          </w:rPr>
          <w:t>2</w:t>
        </w:r>
        <w:r w:rsidR="00011EF8">
          <w:rPr>
            <w:webHidden/>
          </w:rPr>
          <w:fldChar w:fldCharType="end"/>
        </w:r>
      </w:hyperlink>
    </w:p>
    <w:p w14:paraId="673B6BA7" w14:textId="77777777" w:rsidR="00011EF8" w:rsidRDefault="00405264">
      <w:pPr>
        <w:pStyle w:val="TOC3"/>
        <w:rPr>
          <w:rFonts w:asciiTheme="minorHAnsi" w:eastAsiaTheme="minorEastAsia" w:hAnsiTheme="minorHAnsi" w:cstheme="minorBidi"/>
          <w:i w:val="0"/>
          <w:iCs w:val="0"/>
          <w:szCs w:val="22"/>
          <w:lang w:eastAsia="en-AU"/>
        </w:rPr>
      </w:pPr>
      <w:hyperlink w:anchor="_Toc469574505" w:history="1">
        <w:r w:rsidR="00011EF8" w:rsidRPr="000A23BB">
          <w:rPr>
            <w:rStyle w:val="Hyperlink"/>
          </w:rPr>
          <w:t>More choice in selecting a provider</w:t>
        </w:r>
        <w:r w:rsidR="00011EF8">
          <w:rPr>
            <w:webHidden/>
          </w:rPr>
          <w:tab/>
        </w:r>
        <w:r w:rsidR="00011EF8">
          <w:rPr>
            <w:webHidden/>
          </w:rPr>
          <w:fldChar w:fldCharType="begin"/>
        </w:r>
        <w:r w:rsidR="00011EF8">
          <w:rPr>
            <w:webHidden/>
          </w:rPr>
          <w:instrText xml:space="preserve"> PAGEREF _Toc469574505 \h </w:instrText>
        </w:r>
        <w:r w:rsidR="00011EF8">
          <w:rPr>
            <w:webHidden/>
          </w:rPr>
        </w:r>
        <w:r w:rsidR="00011EF8">
          <w:rPr>
            <w:webHidden/>
          </w:rPr>
          <w:fldChar w:fldCharType="separate"/>
        </w:r>
        <w:r w:rsidR="009C3FEA">
          <w:rPr>
            <w:webHidden/>
          </w:rPr>
          <w:t>2</w:t>
        </w:r>
        <w:r w:rsidR="00011EF8">
          <w:rPr>
            <w:webHidden/>
          </w:rPr>
          <w:fldChar w:fldCharType="end"/>
        </w:r>
      </w:hyperlink>
    </w:p>
    <w:p w14:paraId="6D9DD742" w14:textId="77777777" w:rsidR="00011EF8" w:rsidRDefault="00405264">
      <w:pPr>
        <w:pStyle w:val="TOC3"/>
        <w:rPr>
          <w:rFonts w:asciiTheme="minorHAnsi" w:eastAsiaTheme="minorEastAsia" w:hAnsiTheme="minorHAnsi" w:cstheme="minorBidi"/>
          <w:i w:val="0"/>
          <w:iCs w:val="0"/>
          <w:szCs w:val="22"/>
          <w:lang w:eastAsia="en-AU"/>
        </w:rPr>
      </w:pPr>
      <w:hyperlink w:anchor="_Toc469574506" w:history="1">
        <w:r w:rsidR="00011EF8" w:rsidRPr="000A23BB">
          <w:rPr>
            <w:rStyle w:val="Hyperlink"/>
          </w:rPr>
          <w:t>Provider/participant contacts</w:t>
        </w:r>
        <w:r w:rsidR="00011EF8">
          <w:rPr>
            <w:webHidden/>
          </w:rPr>
          <w:tab/>
        </w:r>
        <w:r w:rsidR="00011EF8">
          <w:rPr>
            <w:webHidden/>
          </w:rPr>
          <w:fldChar w:fldCharType="begin"/>
        </w:r>
        <w:r w:rsidR="00011EF8">
          <w:rPr>
            <w:webHidden/>
          </w:rPr>
          <w:instrText xml:space="preserve"> PAGEREF _Toc469574506 \h </w:instrText>
        </w:r>
        <w:r w:rsidR="00011EF8">
          <w:rPr>
            <w:webHidden/>
          </w:rPr>
        </w:r>
        <w:r w:rsidR="00011EF8">
          <w:rPr>
            <w:webHidden/>
          </w:rPr>
          <w:fldChar w:fldCharType="separate"/>
        </w:r>
        <w:r w:rsidR="009C3FEA">
          <w:rPr>
            <w:webHidden/>
          </w:rPr>
          <w:t>2</w:t>
        </w:r>
        <w:r w:rsidR="00011EF8">
          <w:rPr>
            <w:webHidden/>
          </w:rPr>
          <w:fldChar w:fldCharType="end"/>
        </w:r>
      </w:hyperlink>
    </w:p>
    <w:p w14:paraId="5B57E6E7" w14:textId="77777777" w:rsidR="00011EF8" w:rsidRDefault="00405264">
      <w:pPr>
        <w:pStyle w:val="TOC3"/>
        <w:rPr>
          <w:rFonts w:asciiTheme="minorHAnsi" w:eastAsiaTheme="minorEastAsia" w:hAnsiTheme="minorHAnsi" w:cstheme="minorBidi"/>
          <w:i w:val="0"/>
          <w:iCs w:val="0"/>
          <w:szCs w:val="22"/>
          <w:lang w:eastAsia="en-AU"/>
        </w:rPr>
      </w:pPr>
      <w:hyperlink w:anchor="_Toc469574507" w:history="1">
        <w:r w:rsidR="00011EF8" w:rsidRPr="000A23BB">
          <w:rPr>
            <w:rStyle w:val="Hyperlink"/>
          </w:rPr>
          <w:t>Job plans</w:t>
        </w:r>
        <w:r w:rsidR="00011EF8">
          <w:rPr>
            <w:webHidden/>
          </w:rPr>
          <w:tab/>
        </w:r>
        <w:r w:rsidR="00011EF8">
          <w:rPr>
            <w:webHidden/>
          </w:rPr>
          <w:fldChar w:fldCharType="begin"/>
        </w:r>
        <w:r w:rsidR="00011EF8">
          <w:rPr>
            <w:webHidden/>
          </w:rPr>
          <w:instrText xml:space="preserve"> PAGEREF _Toc469574507 \h </w:instrText>
        </w:r>
        <w:r w:rsidR="00011EF8">
          <w:rPr>
            <w:webHidden/>
          </w:rPr>
        </w:r>
        <w:r w:rsidR="00011EF8">
          <w:rPr>
            <w:webHidden/>
          </w:rPr>
          <w:fldChar w:fldCharType="separate"/>
        </w:r>
        <w:r w:rsidR="009C3FEA">
          <w:rPr>
            <w:webHidden/>
          </w:rPr>
          <w:t>3</w:t>
        </w:r>
        <w:r w:rsidR="00011EF8">
          <w:rPr>
            <w:webHidden/>
          </w:rPr>
          <w:fldChar w:fldCharType="end"/>
        </w:r>
      </w:hyperlink>
    </w:p>
    <w:p w14:paraId="5642035C" w14:textId="77777777" w:rsidR="00011EF8" w:rsidRDefault="00405264">
      <w:pPr>
        <w:pStyle w:val="TOC3"/>
        <w:rPr>
          <w:rFonts w:asciiTheme="minorHAnsi" w:eastAsiaTheme="minorEastAsia" w:hAnsiTheme="minorHAnsi" w:cstheme="minorBidi"/>
          <w:i w:val="0"/>
          <w:iCs w:val="0"/>
          <w:szCs w:val="22"/>
          <w:lang w:eastAsia="en-AU"/>
        </w:rPr>
      </w:pPr>
      <w:hyperlink w:anchor="_Toc469574508" w:history="1">
        <w:r w:rsidR="00011EF8" w:rsidRPr="000A23BB">
          <w:rPr>
            <w:rStyle w:val="Hyperlink"/>
          </w:rPr>
          <w:t>Better information for participants</w:t>
        </w:r>
        <w:r w:rsidR="00011EF8">
          <w:rPr>
            <w:webHidden/>
          </w:rPr>
          <w:tab/>
        </w:r>
        <w:r w:rsidR="00011EF8">
          <w:rPr>
            <w:webHidden/>
          </w:rPr>
          <w:fldChar w:fldCharType="begin"/>
        </w:r>
        <w:r w:rsidR="00011EF8">
          <w:rPr>
            <w:webHidden/>
          </w:rPr>
          <w:instrText xml:space="preserve"> PAGEREF _Toc469574508 \h </w:instrText>
        </w:r>
        <w:r w:rsidR="00011EF8">
          <w:rPr>
            <w:webHidden/>
          </w:rPr>
        </w:r>
        <w:r w:rsidR="00011EF8">
          <w:rPr>
            <w:webHidden/>
          </w:rPr>
          <w:fldChar w:fldCharType="separate"/>
        </w:r>
        <w:r w:rsidR="009C3FEA">
          <w:rPr>
            <w:webHidden/>
          </w:rPr>
          <w:t>3</w:t>
        </w:r>
        <w:r w:rsidR="00011EF8">
          <w:rPr>
            <w:webHidden/>
          </w:rPr>
          <w:fldChar w:fldCharType="end"/>
        </w:r>
      </w:hyperlink>
    </w:p>
    <w:p w14:paraId="3D87B94A" w14:textId="77777777" w:rsidR="00011EF8" w:rsidRDefault="00405264">
      <w:pPr>
        <w:pStyle w:val="TOC1"/>
        <w:rPr>
          <w:rFonts w:asciiTheme="minorHAnsi" w:eastAsiaTheme="minorEastAsia" w:hAnsiTheme="minorHAnsi" w:cstheme="minorBidi"/>
          <w:b w:val="0"/>
          <w:bCs w:val="0"/>
          <w:smallCaps w:val="0"/>
          <w:sz w:val="22"/>
          <w:szCs w:val="22"/>
          <w:lang w:eastAsia="en-AU"/>
        </w:rPr>
      </w:pPr>
      <w:hyperlink w:anchor="_Toc469574509" w:history="1">
        <w:r w:rsidR="00011EF8" w:rsidRPr="000A23BB">
          <w:rPr>
            <w:rStyle w:val="Hyperlink"/>
          </w:rPr>
          <w:t>Aligning Incentives to Support Better Outcomes</w:t>
        </w:r>
        <w:r w:rsidR="00011EF8">
          <w:rPr>
            <w:webHidden/>
          </w:rPr>
          <w:tab/>
        </w:r>
        <w:r w:rsidR="00011EF8">
          <w:rPr>
            <w:webHidden/>
          </w:rPr>
          <w:fldChar w:fldCharType="begin"/>
        </w:r>
        <w:r w:rsidR="00011EF8">
          <w:rPr>
            <w:webHidden/>
          </w:rPr>
          <w:instrText xml:space="preserve"> PAGEREF _Toc469574509 \h </w:instrText>
        </w:r>
        <w:r w:rsidR="00011EF8">
          <w:rPr>
            <w:webHidden/>
          </w:rPr>
        </w:r>
        <w:r w:rsidR="00011EF8">
          <w:rPr>
            <w:webHidden/>
          </w:rPr>
          <w:fldChar w:fldCharType="separate"/>
        </w:r>
        <w:r w:rsidR="009C3FEA">
          <w:rPr>
            <w:webHidden/>
          </w:rPr>
          <w:t>4</w:t>
        </w:r>
        <w:r w:rsidR="00011EF8">
          <w:rPr>
            <w:webHidden/>
          </w:rPr>
          <w:fldChar w:fldCharType="end"/>
        </w:r>
      </w:hyperlink>
    </w:p>
    <w:p w14:paraId="1ADC0FB2" w14:textId="77777777" w:rsidR="00011EF8" w:rsidRDefault="00405264">
      <w:pPr>
        <w:pStyle w:val="TOC3"/>
        <w:rPr>
          <w:rFonts w:asciiTheme="minorHAnsi" w:eastAsiaTheme="minorEastAsia" w:hAnsiTheme="minorHAnsi" w:cstheme="minorBidi"/>
          <w:i w:val="0"/>
          <w:iCs w:val="0"/>
          <w:szCs w:val="22"/>
          <w:lang w:eastAsia="en-AU"/>
        </w:rPr>
      </w:pPr>
      <w:hyperlink w:anchor="_Toc469574510" w:history="1">
        <w:r w:rsidR="00011EF8" w:rsidRPr="000A23BB">
          <w:rPr>
            <w:rStyle w:val="Hyperlink"/>
          </w:rPr>
          <w:t>Complaints and feedback</w:t>
        </w:r>
        <w:r w:rsidR="00011EF8">
          <w:rPr>
            <w:webHidden/>
          </w:rPr>
          <w:tab/>
        </w:r>
        <w:r w:rsidR="00011EF8">
          <w:rPr>
            <w:webHidden/>
          </w:rPr>
          <w:fldChar w:fldCharType="begin"/>
        </w:r>
        <w:r w:rsidR="00011EF8">
          <w:rPr>
            <w:webHidden/>
          </w:rPr>
          <w:instrText xml:space="preserve"> PAGEREF _Toc469574510 \h </w:instrText>
        </w:r>
        <w:r w:rsidR="00011EF8">
          <w:rPr>
            <w:webHidden/>
          </w:rPr>
        </w:r>
        <w:r w:rsidR="00011EF8">
          <w:rPr>
            <w:webHidden/>
          </w:rPr>
          <w:fldChar w:fldCharType="separate"/>
        </w:r>
        <w:r w:rsidR="009C3FEA">
          <w:rPr>
            <w:webHidden/>
          </w:rPr>
          <w:t>4</w:t>
        </w:r>
        <w:r w:rsidR="00011EF8">
          <w:rPr>
            <w:webHidden/>
          </w:rPr>
          <w:fldChar w:fldCharType="end"/>
        </w:r>
      </w:hyperlink>
    </w:p>
    <w:p w14:paraId="0752E1E8" w14:textId="77777777" w:rsidR="00011EF8" w:rsidRDefault="00405264">
      <w:pPr>
        <w:pStyle w:val="TOC1"/>
        <w:rPr>
          <w:rFonts w:asciiTheme="minorHAnsi" w:eastAsiaTheme="minorEastAsia" w:hAnsiTheme="minorHAnsi" w:cstheme="minorBidi"/>
          <w:b w:val="0"/>
          <w:bCs w:val="0"/>
          <w:smallCaps w:val="0"/>
          <w:sz w:val="22"/>
          <w:szCs w:val="22"/>
          <w:lang w:eastAsia="en-AU"/>
        </w:rPr>
      </w:pPr>
      <w:hyperlink w:anchor="_Toc469574511" w:history="1">
        <w:r w:rsidR="00011EF8" w:rsidRPr="000A23BB">
          <w:rPr>
            <w:rStyle w:val="Hyperlink"/>
          </w:rPr>
          <w:t>Improved Gateway and Assessment Process</w:t>
        </w:r>
        <w:r w:rsidR="00011EF8">
          <w:rPr>
            <w:webHidden/>
          </w:rPr>
          <w:tab/>
        </w:r>
        <w:r w:rsidR="00011EF8">
          <w:rPr>
            <w:webHidden/>
          </w:rPr>
          <w:fldChar w:fldCharType="begin"/>
        </w:r>
        <w:r w:rsidR="00011EF8">
          <w:rPr>
            <w:webHidden/>
          </w:rPr>
          <w:instrText xml:space="preserve"> PAGEREF _Toc469574511 \h </w:instrText>
        </w:r>
        <w:r w:rsidR="00011EF8">
          <w:rPr>
            <w:webHidden/>
          </w:rPr>
        </w:r>
        <w:r w:rsidR="00011EF8">
          <w:rPr>
            <w:webHidden/>
          </w:rPr>
          <w:fldChar w:fldCharType="separate"/>
        </w:r>
        <w:r w:rsidR="009C3FEA">
          <w:rPr>
            <w:webHidden/>
          </w:rPr>
          <w:t>5</w:t>
        </w:r>
        <w:r w:rsidR="00011EF8">
          <w:rPr>
            <w:webHidden/>
          </w:rPr>
          <w:fldChar w:fldCharType="end"/>
        </w:r>
      </w:hyperlink>
    </w:p>
    <w:p w14:paraId="182F2AB2" w14:textId="77777777" w:rsidR="00CB22E4" w:rsidRDefault="00CB22E4">
      <w:r>
        <w:fldChar w:fldCharType="end"/>
      </w:r>
    </w:p>
    <w:p w14:paraId="6485B253" w14:textId="77777777" w:rsidR="00CB22E4" w:rsidRDefault="00CB22E4"/>
    <w:p w14:paraId="7816F4D0" w14:textId="77777777" w:rsidR="00CB22E4" w:rsidRDefault="00CB22E4"/>
    <w:p w14:paraId="23BAC786" w14:textId="0EA950E7" w:rsidR="00CB22E4" w:rsidRDefault="00CB22E4">
      <w:pPr>
        <w:jc w:val="center"/>
        <w:rPr>
          <w:rFonts w:ascii="Helvetica" w:hAnsi="Helvetica"/>
          <w:color w:val="003366"/>
          <w:sz w:val="24"/>
        </w:rPr>
      </w:pPr>
      <w:r>
        <w:rPr>
          <w:rFonts w:ascii="Helvetica" w:hAnsi="Helvetica"/>
          <w:color w:val="003366"/>
          <w:sz w:val="24"/>
        </w:rPr>
        <w:t>.</w:t>
      </w:r>
    </w:p>
    <w:p w14:paraId="4F85322D" w14:textId="77777777" w:rsidR="00CB22E4" w:rsidRDefault="00CB22E4">
      <w:pPr>
        <w:pStyle w:val="Footer"/>
        <w:tabs>
          <w:tab w:val="clear" w:pos="4153"/>
          <w:tab w:val="clear" w:pos="8306"/>
        </w:tabs>
      </w:pPr>
    </w:p>
    <w:p w14:paraId="43E2C1AA" w14:textId="77777777" w:rsidR="00CB22E4" w:rsidRDefault="00CB22E4"/>
    <w:p w14:paraId="6D2C5E03" w14:textId="77777777" w:rsidR="00CB22E4" w:rsidRDefault="00CB22E4"/>
    <w:p w14:paraId="5A1F8F53" w14:textId="77777777" w:rsidR="00CB22E4" w:rsidRDefault="00CB22E4">
      <w:pPr>
        <w:sectPr w:rsidR="00CB22E4">
          <w:pgSz w:w="11906" w:h="16838"/>
          <w:pgMar w:top="1440" w:right="1800" w:bottom="1440" w:left="1800" w:header="708" w:footer="708" w:gutter="0"/>
          <w:cols w:space="708"/>
          <w:docGrid w:linePitch="360"/>
        </w:sectPr>
      </w:pPr>
    </w:p>
    <w:p w14:paraId="07CA5546" w14:textId="77777777" w:rsidR="00CB22E4" w:rsidRDefault="0009758E">
      <w:pPr>
        <w:pStyle w:val="Heading1"/>
      </w:pPr>
      <w:bookmarkStart w:id="1" w:name="_Toc469574502"/>
      <w:bookmarkStart w:id="2" w:name="_Toc155498296"/>
      <w:r>
        <w:lastRenderedPageBreak/>
        <w:t>Introduction</w:t>
      </w:r>
      <w:bookmarkEnd w:id="1"/>
      <w:r>
        <w:t xml:space="preserve"> </w:t>
      </w:r>
      <w:bookmarkEnd w:id="2"/>
    </w:p>
    <w:p w14:paraId="7836040A" w14:textId="680F15E1" w:rsidR="0009758E" w:rsidRDefault="0009758E" w:rsidP="00CC62B4">
      <w:pPr>
        <w:pStyle w:val="numberpara"/>
        <w:numPr>
          <w:ilvl w:val="0"/>
          <w:numId w:val="0"/>
        </w:numPr>
      </w:pPr>
      <w:r>
        <w:t xml:space="preserve">The Commonwealth Ombudsman welcomes the opportunity to respond to the Department of Social Services’ Discussion Paper – </w:t>
      </w:r>
      <w:r>
        <w:rPr>
          <w:i/>
        </w:rPr>
        <w:t>New Disability Employment Services from 2018</w:t>
      </w:r>
      <w:r>
        <w:t>. This submission will focus on the proposals to</w:t>
      </w:r>
      <w:r w:rsidR="000A13DF">
        <w:t xml:space="preserve"> improve participant choice and </w:t>
      </w:r>
      <w:r>
        <w:t>control</w:t>
      </w:r>
      <w:r w:rsidR="00BD65CF">
        <w:t>,</w:t>
      </w:r>
      <w:r w:rsidR="00E148CA">
        <w:t xml:space="preserve"> align funding incentives to support better outcomes</w:t>
      </w:r>
      <w:r>
        <w:t xml:space="preserve"> and </w:t>
      </w:r>
      <w:r w:rsidR="00E148CA">
        <w:t xml:space="preserve">improve gateway and </w:t>
      </w:r>
      <w:r>
        <w:t>assessment process</w:t>
      </w:r>
      <w:r w:rsidR="00E148CA">
        <w:t>es</w:t>
      </w:r>
      <w:r>
        <w:t xml:space="preserve"> for D</w:t>
      </w:r>
      <w:r w:rsidR="00F857AE">
        <w:t>isab</w:t>
      </w:r>
      <w:r w:rsidR="006A35FA">
        <w:t xml:space="preserve">ility Employment Services </w:t>
      </w:r>
      <w:r>
        <w:t>participants.</w:t>
      </w:r>
    </w:p>
    <w:p w14:paraId="4B45FAE1" w14:textId="77777777" w:rsidR="0009758E" w:rsidRDefault="0009758E" w:rsidP="0009758E">
      <w:pPr>
        <w:pStyle w:val="Heading1"/>
      </w:pPr>
      <w:bookmarkStart w:id="3" w:name="_Toc469574503"/>
      <w:r>
        <w:t>Background</w:t>
      </w:r>
      <w:bookmarkEnd w:id="3"/>
    </w:p>
    <w:p w14:paraId="56B65E55" w14:textId="77777777" w:rsidR="00F857AE" w:rsidRDefault="00F857AE" w:rsidP="00CC62B4">
      <w:pPr>
        <w:pStyle w:val="numberpara"/>
        <w:numPr>
          <w:ilvl w:val="0"/>
          <w:numId w:val="0"/>
        </w:numPr>
        <w:rPr>
          <w:rFonts w:cs="Arial"/>
          <w:szCs w:val="22"/>
        </w:rPr>
      </w:pPr>
      <w:r w:rsidRPr="00F857AE">
        <w:rPr>
          <w:rFonts w:cs="Arial"/>
          <w:szCs w:val="22"/>
        </w:rPr>
        <w:t xml:space="preserve">The Commonwealth Ombudsman has broad jurisdiction to investigate the administrative actions and decisions of most Commonwealth Government agencies, including the actions and decisions of private providers contracted to deliver services on behalf of those agencies. </w:t>
      </w:r>
    </w:p>
    <w:p w14:paraId="2D4DBF7E" w14:textId="77777777" w:rsidR="00E148CA" w:rsidRPr="00F857AE" w:rsidRDefault="00E148CA" w:rsidP="00CC62B4">
      <w:pPr>
        <w:pStyle w:val="numberpara"/>
        <w:numPr>
          <w:ilvl w:val="0"/>
          <w:numId w:val="0"/>
        </w:numPr>
        <w:rPr>
          <w:rFonts w:cs="Arial"/>
          <w:szCs w:val="22"/>
        </w:rPr>
      </w:pPr>
      <w:r w:rsidRPr="00F857AE">
        <w:rPr>
          <w:rFonts w:cs="Arial"/>
          <w:szCs w:val="22"/>
        </w:rPr>
        <w:t xml:space="preserve">Some of the most common types of complaints to the Commonwealth Ombudsman are about: </w:t>
      </w:r>
    </w:p>
    <w:p w14:paraId="1AB80BBC" w14:textId="77777777" w:rsidR="00E148CA" w:rsidRDefault="00E148CA" w:rsidP="00E148CA">
      <w:pPr>
        <w:numPr>
          <w:ilvl w:val="0"/>
          <w:numId w:val="8"/>
        </w:numPr>
        <w:rPr>
          <w:rFonts w:cs="Arial"/>
          <w:szCs w:val="22"/>
        </w:rPr>
      </w:pPr>
      <w:r w:rsidRPr="00D8130C">
        <w:rPr>
          <w:rFonts w:cs="Arial"/>
          <w:szCs w:val="22"/>
        </w:rPr>
        <w:t>the delivery of payments and services under social security and family assistance law by the Department of Human Services’ Centrelink program</w:t>
      </w:r>
    </w:p>
    <w:p w14:paraId="21A6DF4D" w14:textId="77777777" w:rsidR="00E148CA" w:rsidRPr="00D8130C" w:rsidRDefault="00E148CA" w:rsidP="00E148CA">
      <w:pPr>
        <w:ind w:left="720"/>
        <w:rPr>
          <w:rFonts w:cs="Arial"/>
          <w:szCs w:val="22"/>
        </w:rPr>
      </w:pPr>
    </w:p>
    <w:p w14:paraId="19D142B3" w14:textId="77777777" w:rsidR="00E148CA" w:rsidRDefault="00E148CA" w:rsidP="00E148CA">
      <w:pPr>
        <w:numPr>
          <w:ilvl w:val="0"/>
          <w:numId w:val="8"/>
        </w:numPr>
        <w:rPr>
          <w:rFonts w:cs="Arial"/>
          <w:szCs w:val="22"/>
        </w:rPr>
      </w:pPr>
      <w:r w:rsidRPr="00D8130C">
        <w:rPr>
          <w:rFonts w:cs="Arial"/>
          <w:szCs w:val="22"/>
        </w:rPr>
        <w:t>the assessment and collection of child support liabilities by the Department of Human Services Child Support program</w:t>
      </w:r>
    </w:p>
    <w:p w14:paraId="0BF88993" w14:textId="77777777" w:rsidR="00E148CA" w:rsidRPr="00D8130C" w:rsidRDefault="00E148CA" w:rsidP="00E148CA">
      <w:pPr>
        <w:rPr>
          <w:rFonts w:cs="Arial"/>
          <w:szCs w:val="22"/>
        </w:rPr>
      </w:pPr>
    </w:p>
    <w:p w14:paraId="58C276E3" w14:textId="77777777" w:rsidR="00E148CA" w:rsidRDefault="00E148CA" w:rsidP="00E148CA">
      <w:pPr>
        <w:numPr>
          <w:ilvl w:val="0"/>
          <w:numId w:val="8"/>
        </w:numPr>
        <w:rPr>
          <w:rFonts w:cs="Arial"/>
          <w:szCs w:val="22"/>
        </w:rPr>
      </w:pPr>
      <w:r w:rsidRPr="00D8130C">
        <w:rPr>
          <w:rFonts w:cs="Arial"/>
          <w:szCs w:val="22"/>
        </w:rPr>
        <w:t xml:space="preserve">people’s experience of job services programs </w:t>
      </w:r>
      <w:r>
        <w:rPr>
          <w:rFonts w:cs="Arial"/>
          <w:szCs w:val="22"/>
        </w:rPr>
        <w:t>including:</w:t>
      </w:r>
    </w:p>
    <w:p w14:paraId="3757BBEE" w14:textId="04418972" w:rsidR="00E148CA" w:rsidRDefault="00E148CA" w:rsidP="00E148CA">
      <w:pPr>
        <w:pStyle w:val="ListParagraph"/>
        <w:numPr>
          <w:ilvl w:val="0"/>
          <w:numId w:val="14"/>
        </w:numPr>
        <w:rPr>
          <w:rFonts w:cs="Arial"/>
          <w:szCs w:val="22"/>
        </w:rPr>
      </w:pPr>
      <w:r>
        <w:rPr>
          <w:rFonts w:cs="Arial"/>
          <w:szCs w:val="22"/>
        </w:rPr>
        <w:t xml:space="preserve">Jobactive services </w:t>
      </w:r>
      <w:r w:rsidR="008A2907">
        <w:rPr>
          <w:rFonts w:cs="Arial"/>
          <w:szCs w:val="22"/>
        </w:rPr>
        <w:t>managed</w:t>
      </w:r>
      <w:r>
        <w:rPr>
          <w:rFonts w:cs="Arial"/>
          <w:szCs w:val="22"/>
        </w:rPr>
        <w:t xml:space="preserve"> by </w:t>
      </w:r>
      <w:r w:rsidR="00103229">
        <w:rPr>
          <w:rFonts w:cs="Arial"/>
          <w:szCs w:val="22"/>
        </w:rPr>
        <w:t>the Department of Employment</w:t>
      </w:r>
    </w:p>
    <w:p w14:paraId="3BD16EA8" w14:textId="50F9B91F" w:rsidR="00E148CA" w:rsidRDefault="00E148CA" w:rsidP="00E148CA">
      <w:pPr>
        <w:pStyle w:val="ListParagraph"/>
        <w:numPr>
          <w:ilvl w:val="0"/>
          <w:numId w:val="14"/>
        </w:numPr>
        <w:rPr>
          <w:rFonts w:cs="Arial"/>
          <w:szCs w:val="22"/>
        </w:rPr>
      </w:pPr>
      <w:r>
        <w:rPr>
          <w:rFonts w:cs="Arial"/>
          <w:szCs w:val="22"/>
        </w:rPr>
        <w:t xml:space="preserve">Disability Employment Services (DES) </w:t>
      </w:r>
      <w:r w:rsidR="008A2907">
        <w:rPr>
          <w:rFonts w:cs="Arial"/>
          <w:szCs w:val="22"/>
        </w:rPr>
        <w:t>administered</w:t>
      </w:r>
      <w:r>
        <w:rPr>
          <w:rFonts w:cs="Arial"/>
          <w:szCs w:val="22"/>
        </w:rPr>
        <w:t xml:space="preserve"> by</w:t>
      </w:r>
      <w:r w:rsidRPr="00D8130C">
        <w:rPr>
          <w:rFonts w:cs="Arial"/>
          <w:szCs w:val="22"/>
        </w:rPr>
        <w:t xml:space="preserve"> the Department of Social Services (</w:t>
      </w:r>
      <w:r>
        <w:rPr>
          <w:rFonts w:cs="Arial"/>
          <w:szCs w:val="22"/>
        </w:rPr>
        <w:t xml:space="preserve">DSS) and </w:t>
      </w:r>
    </w:p>
    <w:p w14:paraId="6C8EEAA9" w14:textId="01E75B61" w:rsidR="00E148CA" w:rsidRDefault="00E148CA" w:rsidP="00E148CA">
      <w:pPr>
        <w:pStyle w:val="ListParagraph"/>
        <w:numPr>
          <w:ilvl w:val="0"/>
          <w:numId w:val="14"/>
        </w:numPr>
        <w:rPr>
          <w:rFonts w:cs="Arial"/>
          <w:szCs w:val="22"/>
        </w:rPr>
      </w:pPr>
      <w:r w:rsidRPr="00D8130C">
        <w:rPr>
          <w:rFonts w:cs="Arial"/>
          <w:szCs w:val="22"/>
        </w:rPr>
        <w:t>Community Development Program or I</w:t>
      </w:r>
      <w:r>
        <w:rPr>
          <w:rFonts w:cs="Arial"/>
          <w:szCs w:val="22"/>
        </w:rPr>
        <w:t xml:space="preserve">ndigenous employment services </w:t>
      </w:r>
      <w:r w:rsidR="008A2907">
        <w:rPr>
          <w:rFonts w:cs="Arial"/>
          <w:szCs w:val="22"/>
        </w:rPr>
        <w:t>managed</w:t>
      </w:r>
      <w:r>
        <w:rPr>
          <w:rFonts w:cs="Arial"/>
          <w:szCs w:val="22"/>
        </w:rPr>
        <w:t xml:space="preserve"> by </w:t>
      </w:r>
      <w:r w:rsidRPr="00D8130C">
        <w:rPr>
          <w:rFonts w:cs="Arial"/>
          <w:szCs w:val="22"/>
        </w:rPr>
        <w:t>the Department of Prime Minister and Cabinet</w:t>
      </w:r>
    </w:p>
    <w:p w14:paraId="41CD481C" w14:textId="77777777" w:rsidR="00E148CA" w:rsidRDefault="00E148CA" w:rsidP="00E148CA">
      <w:pPr>
        <w:pStyle w:val="ListParagraph"/>
        <w:rPr>
          <w:rFonts w:cs="Arial"/>
          <w:szCs w:val="22"/>
        </w:rPr>
      </w:pPr>
    </w:p>
    <w:p w14:paraId="7B54379B" w14:textId="77777777" w:rsidR="00E148CA" w:rsidRDefault="00E148CA" w:rsidP="00E148CA">
      <w:pPr>
        <w:numPr>
          <w:ilvl w:val="0"/>
          <w:numId w:val="8"/>
        </w:numPr>
        <w:rPr>
          <w:rFonts w:cs="Arial"/>
          <w:szCs w:val="22"/>
        </w:rPr>
      </w:pPr>
      <w:r w:rsidRPr="00F857AE">
        <w:rPr>
          <w:rFonts w:cs="Arial"/>
          <w:szCs w:val="22"/>
        </w:rPr>
        <w:t xml:space="preserve">administrative decisions and actions of the National Disability Insurance Agency. </w:t>
      </w:r>
    </w:p>
    <w:p w14:paraId="68E6228D" w14:textId="77777777" w:rsidR="00E148CA" w:rsidRPr="00F857AE" w:rsidRDefault="00E148CA" w:rsidP="00E148CA">
      <w:pPr>
        <w:rPr>
          <w:rFonts w:cs="Arial"/>
          <w:szCs w:val="22"/>
        </w:rPr>
      </w:pPr>
    </w:p>
    <w:p w14:paraId="7BFA3FB0" w14:textId="452A3AE9" w:rsidR="008536E9" w:rsidRDefault="00E148CA" w:rsidP="008536E9">
      <w:pPr>
        <w:pStyle w:val="numberpara"/>
        <w:numPr>
          <w:ilvl w:val="0"/>
          <w:numId w:val="0"/>
        </w:numPr>
      </w:pPr>
      <w:r>
        <w:t>As part of its broad oversight role of Commonwealth government administration, t</w:t>
      </w:r>
      <w:r w:rsidRPr="000B30CF">
        <w:t>he</w:t>
      </w:r>
      <w:r>
        <w:t xml:space="preserve"> Commonwealth Ombudsman </w:t>
      </w:r>
      <w:r w:rsidR="008A2907">
        <w:t>can investigate the administrative actions of</w:t>
      </w:r>
      <w:r>
        <w:t xml:space="preserve"> disability employment services (DES)</w:t>
      </w:r>
      <w:r w:rsidRPr="000D26AA">
        <w:t xml:space="preserve">. </w:t>
      </w:r>
      <w:r>
        <w:t xml:space="preserve">Through the investigation of individual complaints, liaison with DSS and consultation with stakeholders (such as legal services and community organisations), the </w:t>
      </w:r>
      <w:r w:rsidRPr="00B876A3">
        <w:t xml:space="preserve">Ombudsman’s office </w:t>
      </w:r>
      <w:r>
        <w:t xml:space="preserve">has built </w:t>
      </w:r>
      <w:r w:rsidRPr="00B876A3">
        <w:t>up a picture</w:t>
      </w:r>
      <w:r>
        <w:t xml:space="preserve"> of DES complaint trends. These complaints inform our submission on this discussion paper.</w:t>
      </w:r>
      <w:bookmarkStart w:id="4" w:name="_Toc469574504"/>
    </w:p>
    <w:p w14:paraId="45E2EA00" w14:textId="4A6A48FC" w:rsidR="00CB22E4" w:rsidRDefault="00F857AE" w:rsidP="008536E9">
      <w:pPr>
        <w:pStyle w:val="Heading1"/>
      </w:pPr>
      <w:r>
        <w:lastRenderedPageBreak/>
        <w:t>I</w:t>
      </w:r>
      <w:r w:rsidR="00FD1303">
        <w:t>m</w:t>
      </w:r>
      <w:r>
        <w:t>proving Participant Choice and Control</w:t>
      </w:r>
      <w:bookmarkEnd w:id="4"/>
    </w:p>
    <w:p w14:paraId="2D37ED60" w14:textId="77777777" w:rsidR="00623608" w:rsidRDefault="00623608" w:rsidP="006A35FA">
      <w:pPr>
        <w:pStyle w:val="Heading3"/>
      </w:pPr>
      <w:bookmarkStart w:id="5" w:name="_Toc469574505"/>
      <w:r>
        <w:t>More choice in selecting a provider</w:t>
      </w:r>
      <w:bookmarkEnd w:id="5"/>
    </w:p>
    <w:p w14:paraId="065C6AD3" w14:textId="0022CDF2" w:rsidR="000A13DF" w:rsidRDefault="005B01FB" w:rsidP="00CC62B4">
      <w:pPr>
        <w:pStyle w:val="numberpara3"/>
        <w:numPr>
          <w:ilvl w:val="0"/>
          <w:numId w:val="0"/>
        </w:numPr>
      </w:pPr>
      <w:r>
        <w:t xml:space="preserve">The </w:t>
      </w:r>
      <w:r w:rsidR="001E25DB">
        <w:t xml:space="preserve">most common area of complaint </w:t>
      </w:r>
      <w:r w:rsidR="008A2907">
        <w:t xml:space="preserve">about DES </w:t>
      </w:r>
      <w:r w:rsidR="00103229">
        <w:t xml:space="preserve">received by </w:t>
      </w:r>
      <w:r>
        <w:t xml:space="preserve">the </w:t>
      </w:r>
      <w:r w:rsidR="008536E9">
        <w:t xml:space="preserve">Commonwealth </w:t>
      </w:r>
      <w:r>
        <w:t xml:space="preserve">Ombudsman’s office </w:t>
      </w:r>
      <w:r w:rsidR="00E91F71">
        <w:t xml:space="preserve">is </w:t>
      </w:r>
      <w:r w:rsidR="001E25DB">
        <w:t>participants</w:t>
      </w:r>
      <w:r w:rsidR="00C01288">
        <w:t>’</w:t>
      </w:r>
      <w:r w:rsidR="001E25DB">
        <w:t xml:space="preserve"> </w:t>
      </w:r>
      <w:r w:rsidR="00C01288">
        <w:t>dissatisfaction with their</w:t>
      </w:r>
      <w:r w:rsidR="001E25DB">
        <w:t xml:space="preserve"> </w:t>
      </w:r>
      <w:r w:rsidR="00625DEB">
        <w:t xml:space="preserve">DES </w:t>
      </w:r>
      <w:r w:rsidR="001E25DB">
        <w:t>provider</w:t>
      </w:r>
      <w:r w:rsidR="00623608">
        <w:t xml:space="preserve"> and difficulties in changing providers when this occurs</w:t>
      </w:r>
      <w:r w:rsidR="00C01288">
        <w:t>.</w:t>
      </w:r>
      <w:r w:rsidR="000A13DF">
        <w:rPr>
          <w:rStyle w:val="FootnoteReference"/>
        </w:rPr>
        <w:footnoteReference w:id="1"/>
      </w:r>
    </w:p>
    <w:p w14:paraId="0A412652" w14:textId="795844E8" w:rsidR="000A13DF" w:rsidRDefault="00547D0A" w:rsidP="00CC62B4">
      <w:pPr>
        <w:pStyle w:val="numberpara3"/>
        <w:numPr>
          <w:ilvl w:val="0"/>
          <w:numId w:val="0"/>
        </w:numPr>
      </w:pPr>
      <w:r>
        <w:t xml:space="preserve">Complainants raise </w:t>
      </w:r>
      <w:r w:rsidR="00623608">
        <w:t xml:space="preserve">a range of reasons for </w:t>
      </w:r>
      <w:r w:rsidR="008536E9">
        <w:t>being dissatisfied</w:t>
      </w:r>
      <w:r w:rsidR="00C01288">
        <w:t xml:space="preserve"> </w:t>
      </w:r>
      <w:r w:rsidR="000A13DF">
        <w:t xml:space="preserve">with </w:t>
      </w:r>
      <w:r w:rsidR="008536E9">
        <w:t xml:space="preserve">their </w:t>
      </w:r>
      <w:r w:rsidR="000A13DF">
        <w:t xml:space="preserve">providers </w:t>
      </w:r>
      <w:r w:rsidR="00C01288">
        <w:t>including:</w:t>
      </w:r>
      <w:r w:rsidR="00140A4E">
        <w:t xml:space="preserve"> </w:t>
      </w:r>
    </w:p>
    <w:p w14:paraId="661BDE95" w14:textId="090309BA" w:rsidR="00C4168F" w:rsidRPr="00C10AC2" w:rsidRDefault="00C4168F" w:rsidP="00C4168F">
      <w:pPr>
        <w:pStyle w:val="Bullets"/>
      </w:pPr>
      <w:r>
        <w:t>lack of a</w:t>
      </w:r>
      <w:r w:rsidRPr="00C10AC2">
        <w:t xml:space="preserve">ppropriate support and funding </w:t>
      </w:r>
      <w:r>
        <w:t xml:space="preserve">for participants’ desired activities (such as study, literacy assistance, resume preparation, transport and necessary job items) </w:t>
      </w:r>
    </w:p>
    <w:p w14:paraId="13B8DCE0" w14:textId="33DC3C5F" w:rsidR="00C4168F" w:rsidRDefault="00C4168F" w:rsidP="00C4168F">
      <w:pPr>
        <w:pStyle w:val="Bullets"/>
      </w:pPr>
      <w:r>
        <w:t>participants not being put forward for jobs</w:t>
      </w:r>
    </w:p>
    <w:p w14:paraId="092DD942" w14:textId="36347ADA" w:rsidR="00C4168F" w:rsidRDefault="00C4168F" w:rsidP="00C4168F">
      <w:pPr>
        <w:pStyle w:val="Bullets"/>
      </w:pPr>
      <w:r>
        <w:t xml:space="preserve">inappropriate referrals - participants being recommended for jobs or courses they were physically unable to do </w:t>
      </w:r>
      <w:r w:rsidR="00547D0A">
        <w:t xml:space="preserve">because of </w:t>
      </w:r>
      <w:r>
        <w:t>their disability</w:t>
      </w:r>
    </w:p>
    <w:p w14:paraId="1B6FBC5A" w14:textId="00B158B4" w:rsidR="00547D0A" w:rsidRDefault="00C4168F" w:rsidP="00547D0A">
      <w:pPr>
        <w:pStyle w:val="Bullets"/>
      </w:pPr>
      <w:r>
        <w:t>DES provi</w:t>
      </w:r>
      <w:r w:rsidR="00547D0A">
        <w:t xml:space="preserve">ders </w:t>
      </w:r>
      <w:r w:rsidR="008A2907">
        <w:t>offering</w:t>
      </w:r>
      <w:r w:rsidR="00547D0A">
        <w:t xml:space="preserve"> mostly self-service</w:t>
      </w:r>
    </w:p>
    <w:p w14:paraId="0C84DF0F" w14:textId="289998F2" w:rsidR="00547D0A" w:rsidRDefault="00547D0A" w:rsidP="00547D0A">
      <w:pPr>
        <w:pStyle w:val="Bullets"/>
      </w:pPr>
      <w:r>
        <w:t>u</w:t>
      </w:r>
      <w:r w:rsidRPr="00C10AC2">
        <w:t xml:space="preserve">nprofessional behaviour of DES </w:t>
      </w:r>
      <w:r>
        <w:t xml:space="preserve">provider </w:t>
      </w:r>
      <w:r w:rsidRPr="00C10AC2">
        <w:t>staff</w:t>
      </w:r>
    </w:p>
    <w:p w14:paraId="5962E52F" w14:textId="248C5C0B" w:rsidR="00C4168F" w:rsidRDefault="00C4168F" w:rsidP="00C4168F">
      <w:pPr>
        <w:pStyle w:val="Bullets"/>
      </w:pPr>
      <w:r>
        <w:t xml:space="preserve">employers not receiving payments for DES </w:t>
      </w:r>
      <w:r w:rsidR="008536E9">
        <w:t>participants they have employed</w:t>
      </w:r>
    </w:p>
    <w:p w14:paraId="04EA5629" w14:textId="377D10A8" w:rsidR="00C4168F" w:rsidRDefault="00C4168F" w:rsidP="00C4168F">
      <w:pPr>
        <w:pStyle w:val="Bullets"/>
      </w:pPr>
      <w:r>
        <w:t xml:space="preserve">participants’ </w:t>
      </w:r>
      <w:r w:rsidR="00547D0A">
        <w:t xml:space="preserve">income support </w:t>
      </w:r>
      <w:r>
        <w:t>payments being suspended due to</w:t>
      </w:r>
      <w:r w:rsidR="008536E9">
        <w:t>:</w:t>
      </w:r>
      <w:r>
        <w:t xml:space="preserve"> incorrect record ke</w:t>
      </w:r>
      <w:r w:rsidR="00547D0A">
        <w:t>eping by the DES provider</w:t>
      </w:r>
      <w:r w:rsidR="008536E9">
        <w:t>;</w:t>
      </w:r>
      <w:r w:rsidR="00547D0A">
        <w:t xml:space="preserve"> </w:t>
      </w:r>
      <w:r>
        <w:t>the provider not renewing a job plan</w:t>
      </w:r>
      <w:r w:rsidR="008536E9">
        <w:t>;</w:t>
      </w:r>
      <w:r w:rsidR="00547D0A">
        <w:t xml:space="preserve"> or the provider not communicating with Centrelink a</w:t>
      </w:r>
      <w:r w:rsidR="008536E9">
        <w:t xml:space="preserve">bout changes to their </w:t>
      </w:r>
      <w:r w:rsidR="00547D0A">
        <w:t>status</w:t>
      </w:r>
    </w:p>
    <w:p w14:paraId="6774B2DD" w14:textId="00635E8F" w:rsidR="00C4168F" w:rsidRDefault="00547D0A" w:rsidP="00C4168F">
      <w:pPr>
        <w:pStyle w:val="Bullets"/>
      </w:pPr>
      <w:r>
        <w:t xml:space="preserve">poor </w:t>
      </w:r>
      <w:r w:rsidR="00C4168F">
        <w:t>record keeping by providers</w:t>
      </w:r>
      <w:r w:rsidR="008536E9">
        <w:t xml:space="preserve"> (for example, records about the </w:t>
      </w:r>
      <w:r w:rsidR="00C4168F">
        <w:t xml:space="preserve">jobs </w:t>
      </w:r>
      <w:r w:rsidR="008536E9">
        <w:t xml:space="preserve">participants had </w:t>
      </w:r>
      <w:r w:rsidR="00C4168F">
        <w:t>applied for, missed appointments or periods counted towards program of support requirements)</w:t>
      </w:r>
    </w:p>
    <w:p w14:paraId="535A9312" w14:textId="7F2F3656" w:rsidR="00C4168F" w:rsidRDefault="00C4168F" w:rsidP="00C4168F">
      <w:pPr>
        <w:pStyle w:val="Bullets"/>
      </w:pPr>
      <w:r>
        <w:t>difficulties in transferring providers, for example, transfer requests being denied or being referred to multiple agencies when a transfer was requested</w:t>
      </w:r>
      <w:r w:rsidR="008536E9">
        <w:t>.</w:t>
      </w:r>
      <w:r>
        <w:t xml:space="preserve"> </w:t>
      </w:r>
    </w:p>
    <w:p w14:paraId="4B490240" w14:textId="77777777" w:rsidR="00C4168F" w:rsidRDefault="00C4168F" w:rsidP="00547D0A">
      <w:pPr>
        <w:pStyle w:val="numberpara3"/>
        <w:numPr>
          <w:ilvl w:val="0"/>
          <w:numId w:val="0"/>
        </w:numPr>
        <w:spacing w:after="0"/>
      </w:pPr>
    </w:p>
    <w:p w14:paraId="18C3AE1A" w14:textId="7D194D09" w:rsidR="0013532B" w:rsidRDefault="005B01FB" w:rsidP="00CC62B4">
      <w:pPr>
        <w:pStyle w:val="numberpara3"/>
        <w:numPr>
          <w:ilvl w:val="0"/>
          <w:numId w:val="0"/>
        </w:numPr>
      </w:pPr>
      <w:r>
        <w:t xml:space="preserve">Given these concerns, we agree with the proposals in the discussion paper to give participants more choice in </w:t>
      </w:r>
      <w:r w:rsidR="008A2907">
        <w:t>selecting</w:t>
      </w:r>
      <w:r>
        <w:t xml:space="preserve"> their provider and to simpl</w:t>
      </w:r>
      <w:r w:rsidR="008536E9">
        <w:t>if</w:t>
      </w:r>
      <w:r>
        <w:t xml:space="preserve">y the process for changing providers if participants are not satisfied with the service they receive. </w:t>
      </w:r>
      <w:r w:rsidR="006A35FA">
        <w:t xml:space="preserve">We consider </w:t>
      </w:r>
      <w:r w:rsidR="00623608">
        <w:t>t</w:t>
      </w:r>
      <w:r w:rsidR="00FB5235">
        <w:t>he process of obtaining a v</w:t>
      </w:r>
      <w:r w:rsidR="00623608">
        <w:t xml:space="preserve">oluntary transfer </w:t>
      </w:r>
      <w:r w:rsidR="0013532B">
        <w:t>should not be complex or onerous for the participant.</w:t>
      </w:r>
      <w:r w:rsidR="00623608">
        <w:t xml:space="preserve"> If there are restrictions or limitations on the number of times a person can change providers, these should be clearly explained to participants before they transfer.</w:t>
      </w:r>
    </w:p>
    <w:p w14:paraId="25FACE40" w14:textId="1077B88E" w:rsidR="0013532B" w:rsidRPr="0013532B" w:rsidRDefault="00CC62B4" w:rsidP="006A35FA">
      <w:pPr>
        <w:pStyle w:val="Heading3"/>
      </w:pPr>
      <w:bookmarkStart w:id="6" w:name="_Toc469574506"/>
      <w:r>
        <w:t>Provider/p</w:t>
      </w:r>
      <w:r w:rsidR="0013532B" w:rsidRPr="0013532B">
        <w:t>articipant contacts</w:t>
      </w:r>
      <w:bookmarkEnd w:id="6"/>
      <w:r>
        <w:t xml:space="preserve"> </w:t>
      </w:r>
    </w:p>
    <w:p w14:paraId="29FED517" w14:textId="1DABEA8B" w:rsidR="000A13DF" w:rsidRDefault="00C01288" w:rsidP="00CC62B4">
      <w:pPr>
        <w:pStyle w:val="numberpara3"/>
        <w:numPr>
          <w:ilvl w:val="0"/>
          <w:numId w:val="0"/>
        </w:numPr>
      </w:pPr>
      <w:r>
        <w:t xml:space="preserve">Many complainants to our office express frustration with the appointments process. </w:t>
      </w:r>
      <w:r w:rsidR="000A13DF">
        <w:t>Key issues include:</w:t>
      </w:r>
    </w:p>
    <w:p w14:paraId="42E30D11" w14:textId="5680B669" w:rsidR="000A13DF" w:rsidRDefault="000A13DF" w:rsidP="000A13DF">
      <w:pPr>
        <w:pStyle w:val="Bullets"/>
      </w:pPr>
      <w:r>
        <w:t>pr</w:t>
      </w:r>
      <w:r w:rsidR="00C57357">
        <w:t xml:space="preserve">ovider inflexibility in </w:t>
      </w:r>
      <w:r>
        <w:t>scheduling and changing appointments</w:t>
      </w:r>
    </w:p>
    <w:p w14:paraId="1B792589" w14:textId="77777777" w:rsidR="000A13DF" w:rsidRDefault="000A13DF" w:rsidP="000A13DF">
      <w:pPr>
        <w:pStyle w:val="Bullets"/>
      </w:pPr>
      <w:r>
        <w:t>delays in getting appointments</w:t>
      </w:r>
    </w:p>
    <w:p w14:paraId="05BDD782" w14:textId="4A534D29" w:rsidR="000A13DF" w:rsidRDefault="000A13DF" w:rsidP="000A13DF">
      <w:pPr>
        <w:pStyle w:val="Bullets"/>
      </w:pPr>
      <w:r>
        <w:lastRenderedPageBreak/>
        <w:t xml:space="preserve">participants not being informed about scheduled appointments resulting in </w:t>
      </w:r>
      <w:r w:rsidR="00C57357">
        <w:t xml:space="preserve">missed appointments and income support </w:t>
      </w:r>
      <w:r>
        <w:t>penalties</w:t>
      </w:r>
    </w:p>
    <w:p w14:paraId="5F013851" w14:textId="0BD3B12E" w:rsidR="000A13DF" w:rsidRDefault="000A13DF" w:rsidP="000A13DF">
      <w:pPr>
        <w:pStyle w:val="Bullets"/>
      </w:pPr>
      <w:r>
        <w:t>provider</w:t>
      </w:r>
      <w:r w:rsidR="008536E9">
        <w:t>s</w:t>
      </w:r>
      <w:r>
        <w:t xml:space="preserve"> scheduling appointments at times when the participant had job interviews</w:t>
      </w:r>
    </w:p>
    <w:p w14:paraId="4CDA6E11" w14:textId="6632192D" w:rsidR="000A13DF" w:rsidRDefault="000A13DF" w:rsidP="000A13DF">
      <w:pPr>
        <w:pStyle w:val="Bullets"/>
      </w:pPr>
      <w:r>
        <w:t xml:space="preserve">participants </w:t>
      </w:r>
      <w:r w:rsidR="00C57357">
        <w:t xml:space="preserve">being </w:t>
      </w:r>
      <w:r>
        <w:t>unable to attend appointments due to transport issues</w:t>
      </w:r>
    </w:p>
    <w:p w14:paraId="72BD5891" w14:textId="22E2C91E" w:rsidR="000A13DF" w:rsidRDefault="000A13DF" w:rsidP="000A13DF">
      <w:pPr>
        <w:pStyle w:val="Bullets"/>
      </w:pPr>
      <w:r>
        <w:t xml:space="preserve">phone appointments not </w:t>
      </w:r>
      <w:r w:rsidR="00C57357">
        <w:t xml:space="preserve">being </w:t>
      </w:r>
      <w:r>
        <w:t>practical</w:t>
      </w:r>
    </w:p>
    <w:p w14:paraId="64FB9D12" w14:textId="77777777" w:rsidR="000A13DF" w:rsidRDefault="000A13DF" w:rsidP="000A13DF">
      <w:pPr>
        <w:pStyle w:val="Bullets"/>
      </w:pPr>
      <w:r>
        <w:t>participants feeling harassed by communication from providers to attend appointments, for example, during a period of medical exemption.</w:t>
      </w:r>
    </w:p>
    <w:p w14:paraId="73FACB05" w14:textId="77777777" w:rsidR="00C57357" w:rsidRDefault="00C57357" w:rsidP="00C57357">
      <w:pPr>
        <w:pStyle w:val="numberpara3"/>
        <w:numPr>
          <w:ilvl w:val="0"/>
          <w:numId w:val="0"/>
        </w:numPr>
        <w:spacing w:after="0"/>
      </w:pPr>
    </w:p>
    <w:p w14:paraId="21C72693" w14:textId="17800146" w:rsidR="00A544DE" w:rsidRDefault="008536E9" w:rsidP="00CC62B4">
      <w:pPr>
        <w:pStyle w:val="numberpara3"/>
        <w:numPr>
          <w:ilvl w:val="0"/>
          <w:numId w:val="0"/>
        </w:numPr>
      </w:pPr>
      <w:r>
        <w:t>In light of these issues</w:t>
      </w:r>
      <w:r w:rsidR="00C01288">
        <w:t xml:space="preserve">, we agree there should be greater flexibility in the frequency and mode of contact between providers and participants. </w:t>
      </w:r>
      <w:r w:rsidR="00A544DE">
        <w:t xml:space="preserve">However, any proposal to reduce face to face communication needs to take into account the participant’s individual circumstances and preferences. </w:t>
      </w:r>
      <w:r w:rsidR="00C01288">
        <w:t>Online video co</w:t>
      </w:r>
      <w:r w:rsidR="00A544DE">
        <w:t xml:space="preserve">nferencing may not be suitable in all cases, particularly for vulnerable </w:t>
      </w:r>
      <w:r w:rsidR="00623608">
        <w:t xml:space="preserve">participants, such as those </w:t>
      </w:r>
      <w:r w:rsidR="00A544DE">
        <w:t xml:space="preserve">who do not have </w:t>
      </w:r>
      <w:r w:rsidR="00623608">
        <w:t xml:space="preserve">English as a first language or </w:t>
      </w:r>
      <w:r w:rsidR="00852568">
        <w:t>do not have access to</w:t>
      </w:r>
      <w:r w:rsidR="00A544DE">
        <w:t xml:space="preserve"> suitable</w:t>
      </w:r>
      <w:r w:rsidR="00852568">
        <w:t xml:space="preserve"> technology</w:t>
      </w:r>
      <w:r w:rsidR="00A544DE">
        <w:t>. Providers should consider the participant’s preferences, the nature of their disability and cultural and language considerations before deciding on the mode of contact for appointments.</w:t>
      </w:r>
    </w:p>
    <w:p w14:paraId="5BEFEB43" w14:textId="5E3A0C68" w:rsidR="00C57357" w:rsidRDefault="00C57357" w:rsidP="00C57357">
      <w:pPr>
        <w:pStyle w:val="Heading3"/>
      </w:pPr>
      <w:bookmarkStart w:id="7" w:name="_Toc469574507"/>
      <w:r>
        <w:t>Job plans</w:t>
      </w:r>
      <w:bookmarkEnd w:id="7"/>
    </w:p>
    <w:p w14:paraId="2DD9147A" w14:textId="2614FFE2" w:rsidR="00C57357" w:rsidRDefault="00623608" w:rsidP="00C57357">
      <w:pPr>
        <w:pStyle w:val="numberpara3"/>
        <w:numPr>
          <w:ilvl w:val="0"/>
          <w:numId w:val="0"/>
        </w:numPr>
      </w:pPr>
      <w:r>
        <w:t xml:space="preserve">Some complainants express concerns that job plans </w:t>
      </w:r>
      <w:r w:rsidR="00E91F71">
        <w:t xml:space="preserve">are </w:t>
      </w:r>
      <w:r w:rsidR="00C57357">
        <w:t xml:space="preserve">not relevant to their needs (for example, the job plan could not be changed to include volunteer work) </w:t>
      </w:r>
      <w:r w:rsidR="008536E9">
        <w:t xml:space="preserve">or </w:t>
      </w:r>
      <w:r w:rsidR="00C57357">
        <w:t xml:space="preserve">they </w:t>
      </w:r>
      <w:r w:rsidR="00E91F71">
        <w:t xml:space="preserve">are </w:t>
      </w:r>
      <w:r w:rsidR="00C57357">
        <w:t xml:space="preserve">not given time to read the job plan before signing it. Others complain that too much time </w:t>
      </w:r>
      <w:r w:rsidR="00E91F71">
        <w:t xml:space="preserve">is </w:t>
      </w:r>
      <w:r w:rsidR="00C57357">
        <w:t>spent on the job plan rather than discussing prospective jobs.</w:t>
      </w:r>
    </w:p>
    <w:p w14:paraId="701F8727" w14:textId="1E1F6E40" w:rsidR="0013532B" w:rsidRDefault="00623608" w:rsidP="00CC62B4">
      <w:pPr>
        <w:pStyle w:val="numberpara3"/>
        <w:numPr>
          <w:ilvl w:val="0"/>
          <w:numId w:val="0"/>
        </w:numPr>
      </w:pPr>
      <w:r>
        <w:t>We consider that j</w:t>
      </w:r>
      <w:r w:rsidR="00FB5235">
        <w:t xml:space="preserve">ob plans </w:t>
      </w:r>
      <w:r w:rsidR="0013532B">
        <w:t>should be developed after genuine negotiation between the provider and the participant</w:t>
      </w:r>
      <w:r>
        <w:t xml:space="preserve"> and</w:t>
      </w:r>
      <w:r w:rsidR="0013532B">
        <w:t xml:space="preserve"> </w:t>
      </w:r>
      <w:r>
        <w:t>include</w:t>
      </w:r>
      <w:r w:rsidR="00FB5235">
        <w:t xml:space="preserve"> activities relevant to the individual’s circumstances</w:t>
      </w:r>
      <w:r w:rsidR="00A544DE">
        <w:t>.</w:t>
      </w:r>
    </w:p>
    <w:p w14:paraId="0490D463" w14:textId="77777777" w:rsidR="0013532B" w:rsidRDefault="006A35FA" w:rsidP="006A35FA">
      <w:pPr>
        <w:pStyle w:val="Heading3"/>
      </w:pPr>
      <w:bookmarkStart w:id="8" w:name="_Toc469574508"/>
      <w:r>
        <w:t>Better i</w:t>
      </w:r>
      <w:r w:rsidR="0013532B">
        <w:t>nformation</w:t>
      </w:r>
      <w:r w:rsidR="00CC62B4">
        <w:t xml:space="preserve"> for participants</w:t>
      </w:r>
      <w:bookmarkEnd w:id="8"/>
    </w:p>
    <w:p w14:paraId="43309F20" w14:textId="77777777" w:rsidR="0013532B" w:rsidRDefault="00FB5235" w:rsidP="00CC62B4">
      <w:pPr>
        <w:pStyle w:val="numberpara3"/>
        <w:numPr>
          <w:ilvl w:val="0"/>
          <w:numId w:val="0"/>
        </w:numPr>
      </w:pPr>
      <w:r>
        <w:t xml:space="preserve">We agree that better information for </w:t>
      </w:r>
      <w:r w:rsidR="00A665EA">
        <w:t>DES participants</w:t>
      </w:r>
      <w:r w:rsidR="006A35FA">
        <w:t xml:space="preserve"> </w:t>
      </w:r>
      <w:r w:rsidR="00A665EA">
        <w:t xml:space="preserve">is critical if they are to exercise </w:t>
      </w:r>
      <w:r>
        <w:t>effective choice and control</w:t>
      </w:r>
      <w:r w:rsidR="00623608">
        <w:t xml:space="preserve"> in selecting a provider and the services they receive. We consider</w:t>
      </w:r>
      <w:r w:rsidR="00A665EA">
        <w:t xml:space="preserve"> that DSS should </w:t>
      </w:r>
      <w:r w:rsidR="0013532B">
        <w:t>facilitate access to information on accessible and user friendly platforms to ensure</w:t>
      </w:r>
      <w:r w:rsidR="00A665EA">
        <w:t xml:space="preserve"> the information is consistent and accessible to people with disabilities.</w:t>
      </w:r>
    </w:p>
    <w:p w14:paraId="3B555B34" w14:textId="77777777" w:rsidR="00A83E39" w:rsidRDefault="00623608" w:rsidP="008A616A">
      <w:pPr>
        <w:pStyle w:val="numberpara3"/>
        <w:numPr>
          <w:ilvl w:val="0"/>
          <w:numId w:val="0"/>
        </w:numPr>
      </w:pPr>
      <w:r>
        <w:t xml:space="preserve">Two key areas we consider </w:t>
      </w:r>
      <w:r w:rsidR="00D46425">
        <w:t>participants</w:t>
      </w:r>
      <w:r w:rsidR="006A35FA">
        <w:t xml:space="preserve"> and providers</w:t>
      </w:r>
      <w:r w:rsidR="00D46425">
        <w:t xml:space="preserve"> should </w:t>
      </w:r>
      <w:r w:rsidR="006A35FA">
        <w:t xml:space="preserve">be given information </w:t>
      </w:r>
      <w:r w:rsidR="00103229">
        <w:t xml:space="preserve">about </w:t>
      </w:r>
      <w:r>
        <w:t>are</w:t>
      </w:r>
      <w:r w:rsidR="00103229">
        <w:t>:</w:t>
      </w:r>
    </w:p>
    <w:p w14:paraId="5498A5CB" w14:textId="77777777" w:rsidR="00A83E39" w:rsidRDefault="00623608" w:rsidP="00A83E39">
      <w:pPr>
        <w:pStyle w:val="numberpara3"/>
        <w:numPr>
          <w:ilvl w:val="0"/>
          <w:numId w:val="26"/>
        </w:numPr>
      </w:pPr>
      <w:r>
        <w:t>complaint and feedback mechanisms</w:t>
      </w:r>
      <w:r w:rsidR="00CC62B4">
        <w:t xml:space="preserve"> and</w:t>
      </w:r>
      <w:r w:rsidR="008A616A">
        <w:t xml:space="preserve"> </w:t>
      </w:r>
    </w:p>
    <w:p w14:paraId="7F1D36A8" w14:textId="77777777" w:rsidR="00623608" w:rsidRDefault="00CC62B4" w:rsidP="00A83E39">
      <w:pPr>
        <w:pStyle w:val="numberpara3"/>
        <w:numPr>
          <w:ilvl w:val="0"/>
          <w:numId w:val="26"/>
        </w:numPr>
      </w:pPr>
      <w:r>
        <w:t>program of support requirements</w:t>
      </w:r>
      <w:r w:rsidR="00623608">
        <w:t>.</w:t>
      </w:r>
    </w:p>
    <w:p w14:paraId="1EC6CA09" w14:textId="77A328E7" w:rsidR="00BD65CF" w:rsidRDefault="00A83E39" w:rsidP="00CC62B4">
      <w:pPr>
        <w:pStyle w:val="numberpara3"/>
        <w:numPr>
          <w:ilvl w:val="0"/>
          <w:numId w:val="0"/>
        </w:numPr>
      </w:pPr>
      <w:r>
        <w:t>It is important for participants to be given clear and accessible information about how to compl</w:t>
      </w:r>
      <w:r w:rsidR="00992086">
        <w:t>ain and provide feedback if they are not satisfied with their</w:t>
      </w:r>
      <w:r w:rsidR="00BD65CF">
        <w:t xml:space="preserve"> DES provider.</w:t>
      </w:r>
      <w:r w:rsidR="00BD65CF" w:rsidRPr="00BD65CF">
        <w:t xml:space="preserve"> </w:t>
      </w:r>
      <w:r w:rsidR="00BD65CF">
        <w:t xml:space="preserve">The current </w:t>
      </w:r>
      <w:r w:rsidR="008536E9">
        <w:t xml:space="preserve">DES </w:t>
      </w:r>
      <w:r w:rsidR="00BD65CF">
        <w:t>complaints pathway is complex and can involve multiple agencies.</w:t>
      </w:r>
      <w:r w:rsidR="00BD65CF">
        <w:rPr>
          <w:rStyle w:val="FootnoteReference"/>
        </w:rPr>
        <w:footnoteReference w:id="2"/>
      </w:r>
      <w:r w:rsidR="00BD65CF">
        <w:t xml:space="preserve"> </w:t>
      </w:r>
      <w:r w:rsidR="00B8657F">
        <w:lastRenderedPageBreak/>
        <w:t>Each</w:t>
      </w:r>
      <w:r w:rsidR="008A2907">
        <w:t xml:space="preserve"> agency involved in the DES complaints pathway should be receptive to DES complaints so there is ‘no wrong door’ for </w:t>
      </w:r>
      <w:r w:rsidR="00B8657F">
        <w:t xml:space="preserve">participants. </w:t>
      </w:r>
      <w:r>
        <w:t xml:space="preserve">The information </w:t>
      </w:r>
      <w:r w:rsidR="00B8657F">
        <w:t xml:space="preserve">provided by agencies </w:t>
      </w:r>
      <w:r w:rsidR="00BD65CF">
        <w:t xml:space="preserve">should clearly explain the complaints process to </w:t>
      </w:r>
      <w:r w:rsidR="00992086">
        <w:t xml:space="preserve">make </w:t>
      </w:r>
      <w:r w:rsidR="00BD65CF">
        <w:t>it easy for people to complain and promote the message that feedback is welcomed and valued</w:t>
      </w:r>
      <w:r w:rsidR="0099282E">
        <w:t>.</w:t>
      </w:r>
    </w:p>
    <w:p w14:paraId="4B41909D" w14:textId="77777777" w:rsidR="008A616A" w:rsidRDefault="008A616A" w:rsidP="00CC62B4">
      <w:pPr>
        <w:pStyle w:val="numberpara3"/>
        <w:numPr>
          <w:ilvl w:val="0"/>
          <w:numId w:val="0"/>
        </w:numPr>
      </w:pPr>
      <w:r>
        <w:t xml:space="preserve">Our office has dealt with several complaints which highlight lack of awareness about the program of support requirement to qualify for DSP. </w:t>
      </w:r>
      <w:r w:rsidR="00A665EA" w:rsidRPr="00D46425">
        <w:t>In December 2016, the Ombudsman’s office finalised an own motion on the accessibility of Disability Support Pension (DSP) for remote Indigenous Australians.</w:t>
      </w:r>
      <w:r w:rsidR="00A665EA" w:rsidRPr="00D46425">
        <w:rPr>
          <w:rStyle w:val="FootnoteReference"/>
        </w:rPr>
        <w:footnoteReference w:id="3"/>
      </w:r>
      <w:r w:rsidR="00A665EA" w:rsidRPr="00D46425">
        <w:t xml:space="preserve"> The investigation focussed on complaints from remote Indigenous Australians about the DSP assessment process. </w:t>
      </w:r>
    </w:p>
    <w:p w14:paraId="2D55AC9B" w14:textId="77777777" w:rsidR="00A83E39" w:rsidRPr="00A83E39" w:rsidRDefault="00A665EA" w:rsidP="00A83E39">
      <w:pPr>
        <w:pStyle w:val="numberpara3"/>
        <w:numPr>
          <w:ilvl w:val="0"/>
          <w:numId w:val="0"/>
        </w:numPr>
      </w:pPr>
      <w:r w:rsidRPr="00D46425">
        <w:t xml:space="preserve">One of the recommendations arising </w:t>
      </w:r>
      <w:r w:rsidR="00A83E39">
        <w:t xml:space="preserve">from the investigation was for </w:t>
      </w:r>
      <w:r w:rsidRPr="00D46425">
        <w:t xml:space="preserve">DSS </w:t>
      </w:r>
      <w:r w:rsidR="00A83E39">
        <w:t xml:space="preserve">to </w:t>
      </w:r>
      <w:r w:rsidRPr="00D46425">
        <w:t>r</w:t>
      </w:r>
      <w:r w:rsidR="00103229">
        <w:t>equire DES providers, to give</w:t>
      </w:r>
      <w:r w:rsidRPr="00D46425">
        <w:t xml:space="preserve"> information to remote Indigenous </w:t>
      </w:r>
      <w:r w:rsidR="00A83E39">
        <w:t xml:space="preserve">DSP claimants, those receiving Newstart (incapacitated) and </w:t>
      </w:r>
      <w:r w:rsidRPr="00D46425">
        <w:t>working age income support recipients with longer-term reduced work capacity, of the possible requirement to have completed a p</w:t>
      </w:r>
      <w:r w:rsidR="00D46425">
        <w:t>rogram of support if they wish t</w:t>
      </w:r>
      <w:r w:rsidRPr="00D46425">
        <w:t>o qualify for DSP into the future.</w:t>
      </w:r>
      <w:r w:rsidR="00CC62B4">
        <w:rPr>
          <w:rStyle w:val="FootnoteReference"/>
        </w:rPr>
        <w:footnoteReference w:id="4"/>
      </w:r>
      <w:r w:rsidRPr="00D46425">
        <w:t xml:space="preserve"> DSS</w:t>
      </w:r>
      <w:r w:rsidR="00CC62B4">
        <w:t xml:space="preserve"> accepted the recommendation. </w:t>
      </w:r>
      <w:r w:rsidR="008A616A">
        <w:t xml:space="preserve">We consider that clear information </w:t>
      </w:r>
      <w:r w:rsidR="00BD65CF">
        <w:t xml:space="preserve">from DES providers </w:t>
      </w:r>
      <w:r w:rsidR="008A616A">
        <w:t>about general program of support requirements</w:t>
      </w:r>
      <w:r w:rsidR="00A83E39">
        <w:t xml:space="preserve"> would help </w:t>
      </w:r>
      <w:r w:rsidR="00BD65CF">
        <w:t xml:space="preserve">relevant participants </w:t>
      </w:r>
      <w:r w:rsidR="00A83E39">
        <w:t>better understand DSP eligibility requirements.</w:t>
      </w:r>
    </w:p>
    <w:p w14:paraId="4ACB7A6B" w14:textId="77777777" w:rsidR="00A544DE" w:rsidRDefault="00A544DE" w:rsidP="00A544DE">
      <w:pPr>
        <w:pStyle w:val="Heading1"/>
      </w:pPr>
      <w:bookmarkStart w:id="9" w:name="_Toc469574509"/>
      <w:r>
        <w:t>Aligning Incentives to Support Better Outcomes</w:t>
      </w:r>
      <w:bookmarkEnd w:id="9"/>
    </w:p>
    <w:p w14:paraId="7B2438FA" w14:textId="77777777" w:rsidR="00B61B95" w:rsidRDefault="00B61B95" w:rsidP="006A35FA">
      <w:pPr>
        <w:pStyle w:val="Heading3"/>
      </w:pPr>
      <w:bookmarkStart w:id="10" w:name="_Toc469574510"/>
      <w:r>
        <w:t>Complaints and feedback</w:t>
      </w:r>
      <w:bookmarkEnd w:id="10"/>
      <w:r>
        <w:t xml:space="preserve"> </w:t>
      </w:r>
    </w:p>
    <w:p w14:paraId="37AAD46B" w14:textId="77777777" w:rsidR="00CC62B4" w:rsidRDefault="00B61B95" w:rsidP="00CC62B4">
      <w:pPr>
        <w:pStyle w:val="numberpara"/>
        <w:numPr>
          <w:ilvl w:val="0"/>
          <w:numId w:val="0"/>
        </w:numPr>
      </w:pPr>
      <w:r>
        <w:t xml:space="preserve">In our view, any outcome-focussed funding model </w:t>
      </w:r>
      <w:r w:rsidRPr="00D8130C">
        <w:t xml:space="preserve">should include a robust and effective complaints and feedback </w:t>
      </w:r>
      <w:r>
        <w:t>mechanism, not only as a mechanism for people to resolve issues they may have with the delivery of services, but also</w:t>
      </w:r>
      <w:r w:rsidRPr="00D8130C">
        <w:t xml:space="preserve"> as a critical element of achieving improved </w:t>
      </w:r>
      <w:r>
        <w:t xml:space="preserve">service delivery </w:t>
      </w:r>
      <w:r w:rsidRPr="00D8130C">
        <w:t xml:space="preserve">outcomes and </w:t>
      </w:r>
      <w:r>
        <w:t xml:space="preserve">as </w:t>
      </w:r>
      <w:r w:rsidRPr="00D8130C">
        <w:t>a fundamental component of effective government stewardship</w:t>
      </w:r>
      <w:r>
        <w:t xml:space="preserve"> and accountability</w:t>
      </w:r>
      <w:r w:rsidR="00CC62B4">
        <w:t xml:space="preserve">. </w:t>
      </w:r>
    </w:p>
    <w:p w14:paraId="2FA3E19E" w14:textId="77777777" w:rsidR="00B61B95" w:rsidRDefault="00B61B95" w:rsidP="00CC62B4">
      <w:pPr>
        <w:pStyle w:val="numberpara"/>
        <w:numPr>
          <w:ilvl w:val="0"/>
          <w:numId w:val="0"/>
        </w:numPr>
      </w:pPr>
      <w:r>
        <w:t>C</w:t>
      </w:r>
      <w:r w:rsidRPr="0001121E">
        <w:t xml:space="preserve">omplaints and feedback </w:t>
      </w:r>
      <w:r>
        <w:t>can deliver direct information from clients to an agency and their providers about the effectiveness of the programs they deliver. More specifically, complaints and feedback provide early warning about faulty decisions and poor service delivery</w:t>
      </w:r>
      <w:r w:rsidRPr="0001121E">
        <w:t xml:space="preserve">. </w:t>
      </w:r>
      <w:r>
        <w:t xml:space="preserve">They also provide agencies and providers with an opportunity to provide a remedy to a client who has suffered disadvantage, maintain good relations with the public, build client loyalty and ensure systemic problems are identified and dealt with to inform decision making about future service delivery.  </w:t>
      </w:r>
    </w:p>
    <w:p w14:paraId="3D132E95" w14:textId="77777777" w:rsidR="00B61B95" w:rsidRDefault="00B61B95" w:rsidP="00B61B95">
      <w:r>
        <w:t>In 2014, we conducted an own motion investigation into complaint management by government agencies</w:t>
      </w:r>
      <w:r>
        <w:rPr>
          <w:rStyle w:val="FootnoteReference"/>
        </w:rPr>
        <w:footnoteReference w:id="5"/>
      </w:r>
      <w:r>
        <w:t xml:space="preserve">. One of the Ombudsman’s key recommendations following </w:t>
      </w:r>
      <w:r>
        <w:lastRenderedPageBreak/>
        <w:t xml:space="preserve">that investigation was that agencies need to ensure their complaint systems meet the needs of disadvantaged and vulnerable people. </w:t>
      </w:r>
    </w:p>
    <w:p w14:paraId="23EEEF36" w14:textId="77777777" w:rsidR="00B61B95" w:rsidRDefault="00B61B95" w:rsidP="00B61B95"/>
    <w:p w14:paraId="205B9F5E" w14:textId="3F8FEECE" w:rsidR="00E61C22" w:rsidRDefault="00E61C22" w:rsidP="00E61C22">
      <w:r>
        <w:t xml:space="preserve">In our experience, the long-term unemployed and those who face challenges such as remoteness, a lack of literacy, disability, or homelessness, are more likely to have problems with government </w:t>
      </w:r>
      <w:r w:rsidR="00AB75A0">
        <w:t xml:space="preserve">and government contracted service providers </w:t>
      </w:r>
      <w:r>
        <w:t>because it is more difficult for them to access government services through mainstream channels. They are also less likely to complain when something goes wrong.</w:t>
      </w:r>
    </w:p>
    <w:p w14:paraId="75FDAE30" w14:textId="77777777" w:rsidR="00E61C22" w:rsidRDefault="00E61C22" w:rsidP="00B61B95"/>
    <w:p w14:paraId="20106DDC" w14:textId="0FC93BDE" w:rsidR="00B61B95" w:rsidRDefault="00B61B95" w:rsidP="00B61B95">
      <w:r>
        <w:t xml:space="preserve">Improving the efficiency and effectiveness of the delivery of </w:t>
      </w:r>
      <w:r w:rsidR="00AB75A0">
        <w:t xml:space="preserve">employment </w:t>
      </w:r>
      <w:r>
        <w:t xml:space="preserve">services by introducing greater competition, contestability and informed user choice should not happen at the expense of disadvantaged and vulnerable groups. There is a tendency for public sector organisations, with limited resources, to focus their attention towards solutions for the greatest number. This means that disadvantaged and vulnerable people, who require more intensive servicing, often fall through the cracks. </w:t>
      </w:r>
    </w:p>
    <w:p w14:paraId="315365AB" w14:textId="77777777" w:rsidR="00B61B95" w:rsidRDefault="00B61B95" w:rsidP="00B61B95"/>
    <w:p w14:paraId="6770154E" w14:textId="77777777" w:rsidR="00B61B95" w:rsidRDefault="00B61B95" w:rsidP="00B61B95">
      <w:r>
        <w:t xml:space="preserve">The role of an </w:t>
      </w:r>
      <w:r w:rsidRPr="00D8130C">
        <w:t>effective c</w:t>
      </w:r>
      <w:r>
        <w:t xml:space="preserve">omplaints and feedback system is to act as a safety net for these people, to put them carefully back into the system to ensure they are able to access services in the same way as everyone else. Therefore it is critical that complaints and feedback systems are </w:t>
      </w:r>
      <w:r w:rsidRPr="00D8130C">
        <w:t xml:space="preserve">tailored, responsive and flexible enough to deal with the needs of disadvantaged and vulnerable groups. They should focus on the resolution of the </w:t>
      </w:r>
      <w:r>
        <w:t>complaint</w:t>
      </w:r>
      <w:r w:rsidRPr="00D8130C">
        <w:t xml:space="preserve"> for the client</w:t>
      </w:r>
      <w:r>
        <w:t xml:space="preserve">, including ensuring accountability by government and contracted service providers where such arrangements exist. </w:t>
      </w:r>
    </w:p>
    <w:p w14:paraId="51EE366A" w14:textId="77777777" w:rsidR="00B61B95" w:rsidRDefault="00B61B95" w:rsidP="00B61B95"/>
    <w:p w14:paraId="3AAA5B9F" w14:textId="77777777" w:rsidR="00E61C22" w:rsidRDefault="00B61B95" w:rsidP="00B61B95">
      <w:r>
        <w:t xml:space="preserve">We </w:t>
      </w:r>
      <w:r w:rsidR="00BD65CF">
        <w:t xml:space="preserve">consider that a robust </w:t>
      </w:r>
      <w:r>
        <w:t xml:space="preserve">complaints and feedback </w:t>
      </w:r>
      <w:r w:rsidR="00BD65CF">
        <w:t xml:space="preserve">framework and a monitoring and evaluation framework is </w:t>
      </w:r>
      <w:r w:rsidR="00103229">
        <w:t xml:space="preserve">an </w:t>
      </w:r>
      <w:r w:rsidR="00BD65CF">
        <w:t xml:space="preserve">essential </w:t>
      </w:r>
      <w:r w:rsidR="00103229">
        <w:t xml:space="preserve">part of </w:t>
      </w:r>
      <w:r w:rsidR="00BD65CF">
        <w:t xml:space="preserve">an outcomes focussed </w:t>
      </w:r>
      <w:r>
        <w:t>funding model.</w:t>
      </w:r>
      <w:r w:rsidR="00103229">
        <w:t xml:space="preserve"> Complaints and feedback focus</w:t>
      </w:r>
      <w:r>
        <w:t xml:space="preserve"> providers on continual service improvement and is fundamental to ensuring service delivery meets the needs of the client and improves outcomes. </w:t>
      </w:r>
      <w:r w:rsidR="00BD65CF">
        <w:t xml:space="preserve">An </w:t>
      </w:r>
      <w:r w:rsidR="00E61C22">
        <w:t xml:space="preserve">evaluation and monitoring framework </w:t>
      </w:r>
      <w:r w:rsidR="00BD65CF">
        <w:t xml:space="preserve">is </w:t>
      </w:r>
      <w:r w:rsidR="00103229">
        <w:t xml:space="preserve">essential </w:t>
      </w:r>
      <w:r w:rsidR="00E61C22">
        <w:t xml:space="preserve">so the responsible policy department </w:t>
      </w:r>
      <w:r w:rsidR="00BD65CF">
        <w:t xml:space="preserve">(DSS) </w:t>
      </w:r>
      <w:r w:rsidR="00E61C22">
        <w:t xml:space="preserve">can ensure its stewardship of contracted out services and hold providers </w:t>
      </w:r>
      <w:r w:rsidR="00BD65CF">
        <w:t xml:space="preserve">to </w:t>
      </w:r>
      <w:r w:rsidR="00E61C22">
        <w:t>account</w:t>
      </w:r>
      <w:r w:rsidR="00BD65CF">
        <w:t xml:space="preserve"> under their contracts</w:t>
      </w:r>
      <w:r w:rsidR="00E61C22">
        <w:t xml:space="preserve">. </w:t>
      </w:r>
    </w:p>
    <w:p w14:paraId="3489B7CE" w14:textId="77777777" w:rsidR="00CB22E4" w:rsidRDefault="00387990" w:rsidP="00387990">
      <w:pPr>
        <w:pStyle w:val="Heading1"/>
      </w:pPr>
      <w:bookmarkStart w:id="11" w:name="_Toc469574511"/>
      <w:r>
        <w:t>Improved Gateway and Assessment Process</w:t>
      </w:r>
      <w:bookmarkEnd w:id="11"/>
    </w:p>
    <w:p w14:paraId="225D39E5" w14:textId="77777777" w:rsidR="00E61C22" w:rsidRDefault="00E61C22" w:rsidP="006A35FA">
      <w:r>
        <w:t>We share the concerns noted in the discussion paper about the current gateway and assessment processes which can be ‘time consuming, cumbersome and confusing for job seekers.’</w:t>
      </w:r>
      <w:r w:rsidR="000E3792">
        <w:rPr>
          <w:rStyle w:val="FootnoteReference"/>
          <w:b/>
          <w:i/>
        </w:rPr>
        <w:footnoteReference w:id="6"/>
      </w:r>
      <w:r>
        <w:t xml:space="preserve"> We welcome DSS’s proposal to </w:t>
      </w:r>
      <w:r w:rsidR="002150E0">
        <w:t xml:space="preserve">review </w:t>
      </w:r>
      <w:r w:rsidR="00CC62B4">
        <w:t>the current assessment proces</w:t>
      </w:r>
      <w:r>
        <w:t>s</w:t>
      </w:r>
      <w:r w:rsidR="002150E0">
        <w:t>es</w:t>
      </w:r>
      <w:r w:rsidR="00FB5235">
        <w:t xml:space="preserve"> and make the following suggestions about aspects to be considered in the review.</w:t>
      </w:r>
    </w:p>
    <w:p w14:paraId="6D82DAC8" w14:textId="77777777" w:rsidR="006A35FA" w:rsidRDefault="006A35FA" w:rsidP="000E3792"/>
    <w:p w14:paraId="50102DA1" w14:textId="77777777" w:rsidR="000E3792" w:rsidRDefault="00CC62B4" w:rsidP="000E3792">
      <w:r>
        <w:t xml:space="preserve">The </w:t>
      </w:r>
      <w:r w:rsidR="002150E0">
        <w:t xml:space="preserve">Ombudsman’s </w:t>
      </w:r>
      <w:r w:rsidR="000E3792">
        <w:t>own motion on the accessibility of DSP fo</w:t>
      </w:r>
      <w:r>
        <w:t>r remote Indigenous Australians</w:t>
      </w:r>
      <w:r w:rsidR="00140FBA">
        <w:rPr>
          <w:rStyle w:val="FootnoteReference"/>
        </w:rPr>
        <w:footnoteReference w:id="7"/>
      </w:r>
      <w:r>
        <w:t xml:space="preserve"> </w:t>
      </w:r>
      <w:r w:rsidR="000E3792">
        <w:t xml:space="preserve">made a number of recommendations to address some of the significant challenges remote Indigenous Australians face in accessing and participating in </w:t>
      </w:r>
      <w:r>
        <w:t>Job Capacity Assessments (</w:t>
      </w:r>
      <w:r w:rsidR="000E3792">
        <w:t>JCAs</w:t>
      </w:r>
      <w:r>
        <w:t>)</w:t>
      </w:r>
      <w:r w:rsidR="000E3792">
        <w:t>.</w:t>
      </w:r>
      <w:r>
        <w:rPr>
          <w:rStyle w:val="FootnoteReference"/>
        </w:rPr>
        <w:footnoteReference w:id="8"/>
      </w:r>
      <w:r w:rsidR="000E3792">
        <w:t xml:space="preserve"> </w:t>
      </w:r>
      <w:r w:rsidR="002150E0">
        <w:t>These included</w:t>
      </w:r>
      <w:r w:rsidR="00140FBA">
        <w:t>:</w:t>
      </w:r>
    </w:p>
    <w:p w14:paraId="17B366D0" w14:textId="77777777" w:rsidR="00850853" w:rsidRDefault="00850853" w:rsidP="000E3792"/>
    <w:p w14:paraId="587BED90" w14:textId="77777777" w:rsidR="00850853" w:rsidRDefault="00850853" w:rsidP="00850853">
      <w:pPr>
        <w:pStyle w:val="Bullets"/>
      </w:pPr>
      <w:r>
        <w:lastRenderedPageBreak/>
        <w:t>assessors taking a more pro-active role in contacting treating doctors and facilitating specialist referrals when an Indigenous person in a remote area faces barriers in accessing medical evidence</w:t>
      </w:r>
    </w:p>
    <w:p w14:paraId="25558967" w14:textId="77777777" w:rsidR="00140FBA" w:rsidRDefault="00140FBA" w:rsidP="00850853">
      <w:pPr>
        <w:pStyle w:val="Bullets"/>
      </w:pPr>
      <w:r>
        <w:t>Indigenous cultural competency and cultural aw</w:t>
      </w:r>
      <w:r w:rsidR="002150E0">
        <w:t xml:space="preserve">areness training for assessors </w:t>
      </w:r>
      <w:r w:rsidR="00850853">
        <w:t xml:space="preserve">that addresses the </w:t>
      </w:r>
      <w:r>
        <w:t>need for</w:t>
      </w:r>
      <w:r w:rsidR="00850853">
        <w:t>,</w:t>
      </w:r>
      <w:r>
        <w:t xml:space="preserve"> and use of</w:t>
      </w:r>
      <w:r w:rsidR="00850853">
        <w:t>,</w:t>
      </w:r>
      <w:r>
        <w:t xml:space="preserve"> Indigenous language interpreters and cultural considerations around disability</w:t>
      </w:r>
      <w:r w:rsidR="00850853">
        <w:t xml:space="preserve"> and self-reporting</w:t>
      </w:r>
    </w:p>
    <w:p w14:paraId="5D84F0F5" w14:textId="77777777" w:rsidR="00850853" w:rsidRDefault="00850853" w:rsidP="00850853">
      <w:pPr>
        <w:pStyle w:val="Bullets"/>
      </w:pPr>
      <w:r>
        <w:t>training assessors to thoroughly assess a person’s barriers without placing over-reliance on self-reported barriers.</w:t>
      </w:r>
    </w:p>
    <w:p w14:paraId="501CDE37" w14:textId="77777777" w:rsidR="00140FBA" w:rsidRDefault="00850853" w:rsidP="00850853">
      <w:pPr>
        <w:pStyle w:val="Bullets"/>
      </w:pPr>
      <w:r>
        <w:t>t</w:t>
      </w:r>
      <w:r w:rsidR="00140FBA">
        <w:t>he value of conducting face to face assessments where possible, whether in person or via videoconference.</w:t>
      </w:r>
    </w:p>
    <w:p w14:paraId="7E85BD71" w14:textId="77777777" w:rsidR="000E3792" w:rsidRDefault="000E3792" w:rsidP="00850853">
      <w:pPr>
        <w:pStyle w:val="Bullets"/>
        <w:numPr>
          <w:ilvl w:val="0"/>
          <w:numId w:val="0"/>
        </w:numPr>
        <w:ind w:left="720"/>
      </w:pPr>
    </w:p>
    <w:p w14:paraId="6BC1939B" w14:textId="77777777" w:rsidR="000E3792" w:rsidRPr="000E3792" w:rsidRDefault="000E3792" w:rsidP="000E3792">
      <w:r>
        <w:t xml:space="preserve">In our view, the issues raised in our investigation are equally relevant to </w:t>
      </w:r>
      <w:r w:rsidR="00140FBA">
        <w:t xml:space="preserve">other vulnerable </w:t>
      </w:r>
      <w:r>
        <w:t>jobseekers</w:t>
      </w:r>
      <w:r w:rsidR="00850853">
        <w:t xml:space="preserve"> who use</w:t>
      </w:r>
      <w:r w:rsidR="00140FBA">
        <w:t xml:space="preserve"> assessment processes, such as jobseekers from culturally and linguistically div</w:t>
      </w:r>
      <w:r w:rsidR="00FB5235">
        <w:t xml:space="preserve">erse backgrounds and </w:t>
      </w:r>
      <w:r w:rsidR="002150E0">
        <w:t xml:space="preserve">jobseekers with </w:t>
      </w:r>
      <w:r w:rsidR="00140FBA">
        <w:t>cognitive impair</w:t>
      </w:r>
      <w:r w:rsidR="002150E0">
        <w:t>ments</w:t>
      </w:r>
      <w:r w:rsidR="00BD65CF">
        <w:t>, intellectual disabilities</w:t>
      </w:r>
      <w:r w:rsidR="002150E0">
        <w:t xml:space="preserve"> or </w:t>
      </w:r>
      <w:r w:rsidR="00850853">
        <w:t xml:space="preserve">those </w:t>
      </w:r>
      <w:r w:rsidR="002150E0">
        <w:t>mental health conditions.</w:t>
      </w:r>
      <w:r w:rsidR="00FB5235">
        <w:t xml:space="preserve"> </w:t>
      </w:r>
      <w:r>
        <w:t xml:space="preserve">We encourage DSS to consider </w:t>
      </w:r>
      <w:r w:rsidR="00140FBA">
        <w:t xml:space="preserve">the recommendations in the Ombudsman’s report </w:t>
      </w:r>
      <w:r>
        <w:t>in any review of the current assessment processes.</w:t>
      </w:r>
    </w:p>
    <w:p w14:paraId="7C488F60" w14:textId="77777777" w:rsidR="00CB22E4" w:rsidRDefault="00CB22E4"/>
    <w:sectPr w:rsidR="00CB22E4">
      <w:headerReference w:type="default" r:id="rId10"/>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9B72C" w14:textId="77777777" w:rsidR="008A2907" w:rsidRDefault="008A2907">
      <w:r>
        <w:separator/>
      </w:r>
    </w:p>
  </w:endnote>
  <w:endnote w:type="continuationSeparator" w:id="0">
    <w:p w14:paraId="6662AAAC" w14:textId="77777777" w:rsidR="008A2907" w:rsidRDefault="008A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B79D" w14:textId="77777777" w:rsidR="008A2907" w:rsidRDefault="008A2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3D894" w14:textId="77777777" w:rsidR="008A2907" w:rsidRDefault="008A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EC57" w14:textId="77777777" w:rsidR="008A2907" w:rsidRDefault="008A2907">
    <w:pPr>
      <w:pStyle w:val="Footer"/>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405264">
      <w:rPr>
        <w:noProof/>
        <w:lang w:val="en-US"/>
      </w:rPr>
      <w:t>2</w:t>
    </w:r>
    <w:r>
      <w:rPr>
        <w:lang w:val="en-US"/>
      </w:rPr>
      <w:fldChar w:fldCharType="end"/>
    </w:r>
    <w:r>
      <w:rPr>
        <w:lang w:val="en-US"/>
      </w:rPr>
      <w:t xml:space="preserve"> of 6</w:t>
    </w:r>
  </w:p>
  <w:p w14:paraId="5B83837F" w14:textId="77777777" w:rsidR="008A2907" w:rsidRDefault="008A2907">
    <w:pPr>
      <w:pStyle w:val="Footer"/>
      <w:jc w:val="center"/>
      <w:rPr>
        <w:lang w:val="en-US"/>
      </w:rPr>
    </w:pPr>
  </w:p>
  <w:p w14:paraId="5F587A53" w14:textId="77777777" w:rsidR="008A2907" w:rsidRDefault="008A29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65D3" w14:textId="77777777" w:rsidR="008A2907" w:rsidRDefault="008A2907">
      <w:r>
        <w:separator/>
      </w:r>
    </w:p>
  </w:footnote>
  <w:footnote w:type="continuationSeparator" w:id="0">
    <w:p w14:paraId="39014150" w14:textId="77777777" w:rsidR="008A2907" w:rsidRDefault="008A2907">
      <w:r>
        <w:continuationSeparator/>
      </w:r>
    </w:p>
  </w:footnote>
  <w:footnote w:id="1">
    <w:p w14:paraId="401576BE" w14:textId="4722C530" w:rsidR="008A2907" w:rsidRPr="000A13DF" w:rsidRDefault="008A2907" w:rsidP="000A13DF">
      <w:pPr>
        <w:pStyle w:val="FootnoteText"/>
        <w:ind w:left="0" w:firstLine="0"/>
      </w:pPr>
      <w:r>
        <w:rPr>
          <w:rStyle w:val="FootnoteReference"/>
        </w:rPr>
        <w:footnoteRef/>
      </w:r>
      <w:r>
        <w:t xml:space="preserve"> </w:t>
      </w:r>
      <w:r w:rsidRPr="000A13DF">
        <w:t>In the period 1 July 2015 to 12 December 2016, the Commonwealth Ombudsman received 60 complaints about DES.</w:t>
      </w:r>
      <w:r>
        <w:t xml:space="preserve"> Of these complaints, 55 were made by participants and 46 were about dissatisfaction with a DES provider. The remaining complaints were about the scheme, the policy or other issues.</w:t>
      </w:r>
    </w:p>
    <w:p w14:paraId="6A12613C" w14:textId="6E1428D1" w:rsidR="008A2907" w:rsidRDefault="008A2907">
      <w:pPr>
        <w:pStyle w:val="FootnoteText"/>
      </w:pPr>
    </w:p>
  </w:footnote>
  <w:footnote w:id="2">
    <w:p w14:paraId="7AD68C21" w14:textId="77777777" w:rsidR="008A2907" w:rsidRDefault="008A2907" w:rsidP="00BD65CF">
      <w:pPr>
        <w:pStyle w:val="FootnoteText"/>
        <w:ind w:left="0" w:firstLine="0"/>
      </w:pPr>
      <w:r>
        <w:rPr>
          <w:rStyle w:val="FootnoteReference"/>
        </w:rPr>
        <w:footnoteRef/>
      </w:r>
      <w:r>
        <w:t xml:space="preserve"> If a person has complaint about their DES provider, they should first complain to their provider, then to the National Customer Service Line managed by the Department of Employment or alternatively to the Complaints Resolution and Referral Service, part of JobAccess, managed by the Department of Social Services. They may also need to complain to the Department of Human Services if their complaint is about their income support payment.</w:t>
      </w:r>
    </w:p>
  </w:footnote>
  <w:footnote w:id="3">
    <w:p w14:paraId="13CACD72" w14:textId="77777777" w:rsidR="008A2907" w:rsidRDefault="008A2907" w:rsidP="00A665EA">
      <w:pPr>
        <w:pStyle w:val="FootnoteText"/>
        <w:ind w:left="0" w:firstLine="0"/>
      </w:pPr>
      <w:r>
        <w:rPr>
          <w:rStyle w:val="FootnoteReference"/>
        </w:rPr>
        <w:footnoteRef/>
      </w:r>
      <w:r>
        <w:t xml:space="preserve"> Commonwealth Ombudsman, Department of Human Services: Accessibility of Disability Support Pension for remote Indigenous Australians, Report No.05/2016, December 2016, </w:t>
      </w:r>
      <w:hyperlink r:id="rId1" w:history="1">
        <w:r w:rsidRPr="00F82135">
          <w:rPr>
            <w:rStyle w:val="Hyperlink"/>
          </w:rPr>
          <w:t>http://www.ombudsman.gov.au/__data/assets/pdf_file/0024/42558/Accessibility-of-DSP-for-remote-Indigenous-Australians_Final-report.pdf</w:t>
        </w:r>
      </w:hyperlink>
    </w:p>
  </w:footnote>
  <w:footnote w:id="4">
    <w:p w14:paraId="663840D7" w14:textId="77777777" w:rsidR="008A2907" w:rsidRDefault="008A2907">
      <w:pPr>
        <w:pStyle w:val="FootnoteText"/>
      </w:pPr>
      <w:r>
        <w:rPr>
          <w:rStyle w:val="FootnoteReference"/>
        </w:rPr>
        <w:footnoteRef/>
      </w:r>
      <w:r>
        <w:t xml:space="preserve"> Ibid, recommendation 6(b).</w:t>
      </w:r>
    </w:p>
  </w:footnote>
  <w:footnote w:id="5">
    <w:p w14:paraId="171C5B50" w14:textId="77777777" w:rsidR="008A2907" w:rsidRDefault="008A2907" w:rsidP="00B61B95">
      <w:pPr>
        <w:pStyle w:val="FootnoteText"/>
        <w:ind w:left="0" w:firstLine="0"/>
      </w:pPr>
      <w:r>
        <w:rPr>
          <w:rStyle w:val="FootnoteReference"/>
        </w:rPr>
        <w:footnoteRef/>
      </w:r>
      <w:r>
        <w:t xml:space="preserve"> </w:t>
      </w:r>
      <w:r w:rsidRPr="00BF2DA4">
        <w:t xml:space="preserve">Complaint management by government agencies: </w:t>
      </w:r>
      <w:r w:rsidRPr="00BF2DA4">
        <w:rPr>
          <w:i/>
        </w:rPr>
        <w:t>An investigation into the management of complaints by Commonwealth and ACT government</w:t>
      </w:r>
      <w:r w:rsidRPr="00BF2DA4">
        <w:t xml:space="preserve">, Report 02/2014, October 2014 – available at </w:t>
      </w:r>
      <w:hyperlink r:id="rId2" w:history="1">
        <w:r w:rsidRPr="00861DB3">
          <w:rPr>
            <w:rStyle w:val="Hyperlink"/>
          </w:rPr>
          <w:t>http://www.ombudsman.gov.au/__data/assets/pdf_file/0011/30017/October-2014-Complaint-management-by-government-agencies.pdf</w:t>
        </w:r>
      </w:hyperlink>
    </w:p>
    <w:p w14:paraId="35E7D26C" w14:textId="77777777" w:rsidR="008A2907" w:rsidRDefault="008A2907" w:rsidP="00B61B95">
      <w:pPr>
        <w:pStyle w:val="FootnoteText"/>
      </w:pPr>
    </w:p>
  </w:footnote>
  <w:footnote w:id="6">
    <w:p w14:paraId="19804238" w14:textId="77777777" w:rsidR="008A2907" w:rsidRDefault="008A2907">
      <w:pPr>
        <w:pStyle w:val="FootnoteText"/>
      </w:pPr>
      <w:r>
        <w:rPr>
          <w:rStyle w:val="FootnoteReference"/>
        </w:rPr>
        <w:footnoteRef/>
      </w:r>
      <w:r>
        <w:t xml:space="preserve"> Discussion paper, p 47</w:t>
      </w:r>
    </w:p>
  </w:footnote>
  <w:footnote w:id="7">
    <w:p w14:paraId="68790EAC" w14:textId="77777777" w:rsidR="008A2907" w:rsidRDefault="008A2907" w:rsidP="00140FBA">
      <w:pPr>
        <w:pStyle w:val="FootnoteText"/>
        <w:ind w:left="0" w:firstLine="0"/>
      </w:pPr>
      <w:r>
        <w:rPr>
          <w:rStyle w:val="FootnoteReference"/>
        </w:rPr>
        <w:footnoteRef/>
      </w:r>
      <w:r>
        <w:t xml:space="preserve"> Commonwealth Ombudsman, Department of Human Services: Accessibility of Disability Support Pension for remote Indigenous Australians, Report No.05/2016, December 2016, </w:t>
      </w:r>
      <w:hyperlink r:id="rId3" w:history="1">
        <w:r w:rsidRPr="00F82135">
          <w:rPr>
            <w:rStyle w:val="Hyperlink"/>
          </w:rPr>
          <w:t>http://www.ombudsman.gov.au/__data/assets/pdf_file/0024/42558/Accessibility-of-DSP-for-remote-Indigenous-Australians_Final-report.pdf</w:t>
        </w:r>
      </w:hyperlink>
      <w:r>
        <w:t xml:space="preserve"> </w:t>
      </w:r>
    </w:p>
  </w:footnote>
  <w:footnote w:id="8">
    <w:p w14:paraId="0734BC65" w14:textId="77777777" w:rsidR="008A2907" w:rsidRDefault="008A2907">
      <w:pPr>
        <w:pStyle w:val="FootnoteText"/>
      </w:pPr>
      <w:r>
        <w:rPr>
          <w:rStyle w:val="FootnoteReference"/>
        </w:rPr>
        <w:footnoteRef/>
      </w:r>
      <w:r>
        <w:t xml:space="preserve"> Ibid, in particular, see recommendations 1, 2, 4 and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5C8F" w14:textId="77777777" w:rsidR="008A2907" w:rsidRPr="00722C82" w:rsidRDefault="008A2907">
    <w:pPr>
      <w:pStyle w:val="Header"/>
      <w:rPr>
        <w:b/>
        <w:sz w:val="20"/>
        <w:szCs w:val="20"/>
      </w:rPr>
    </w:pPr>
    <w:r w:rsidRPr="00722C82">
      <w:rPr>
        <w:b/>
        <w:sz w:val="20"/>
        <w:szCs w:val="20"/>
      </w:rPr>
      <w:t>Commonwealth Ombudsman—Agency name: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91C"/>
    <w:multiLevelType w:val="hybridMultilevel"/>
    <w:tmpl w:val="B09A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160D"/>
    <w:multiLevelType w:val="hybridMultilevel"/>
    <w:tmpl w:val="331E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3164D"/>
    <w:multiLevelType w:val="hybridMultilevel"/>
    <w:tmpl w:val="63C263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9A05DC"/>
    <w:multiLevelType w:val="hybridMultilevel"/>
    <w:tmpl w:val="FC1E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70009"/>
    <w:multiLevelType w:val="hybridMultilevel"/>
    <w:tmpl w:val="E2EAC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975F17"/>
    <w:multiLevelType w:val="hybridMultilevel"/>
    <w:tmpl w:val="A4AE0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43E06"/>
    <w:multiLevelType w:val="hybridMultilevel"/>
    <w:tmpl w:val="40D0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61DD1"/>
    <w:multiLevelType w:val="hybridMultilevel"/>
    <w:tmpl w:val="D67499A4"/>
    <w:lvl w:ilvl="0" w:tplc="09CA048E">
      <w:start w:val="1"/>
      <w:numFmt w:val="decimal"/>
      <w:pStyle w:val="numberpara5"/>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A57C94"/>
    <w:multiLevelType w:val="hybridMultilevel"/>
    <w:tmpl w:val="27927B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F425A6"/>
    <w:multiLevelType w:val="hybridMultilevel"/>
    <w:tmpl w:val="A1689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E106F"/>
    <w:multiLevelType w:val="multilevel"/>
    <w:tmpl w:val="21EEEF1E"/>
    <w:lvl w:ilvl="0">
      <w:start w:val="1"/>
      <w:numFmt w:val="decimal"/>
      <w:pStyle w:val="numberpara2"/>
      <w:lvlText w:val="2.%1"/>
      <w:lvlJc w:val="left"/>
      <w:pPr>
        <w:tabs>
          <w:tab w:val="num" w:pos="360"/>
        </w:tabs>
        <w:ind w:left="0" w:firstLine="0"/>
      </w:pPr>
      <w:rPr>
        <w:rFonts w:hint="default"/>
      </w:rPr>
    </w:lvl>
    <w:lvl w:ilvl="1">
      <w:start w:val="1"/>
      <w:numFmt w:val="decimal"/>
      <w:pStyle w:val="numberpara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2D2E84"/>
    <w:multiLevelType w:val="hybridMultilevel"/>
    <w:tmpl w:val="5B0E85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D144BC"/>
    <w:multiLevelType w:val="hybridMultilevel"/>
    <w:tmpl w:val="DFCE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666AB"/>
    <w:multiLevelType w:val="hybridMultilevel"/>
    <w:tmpl w:val="D706A87A"/>
    <w:lvl w:ilvl="0" w:tplc="EB92027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0049D"/>
    <w:multiLevelType w:val="hybridMultilevel"/>
    <w:tmpl w:val="394ED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997614"/>
    <w:multiLevelType w:val="multilevel"/>
    <w:tmpl w:val="D5D84CB4"/>
    <w:lvl w:ilvl="0">
      <w:start w:val="1"/>
      <w:numFmt w:val="decimal"/>
      <w:pStyle w:val="numberpara4"/>
      <w:lvlText w:val="4.%1"/>
      <w:lvlJc w:val="left"/>
      <w:pPr>
        <w:tabs>
          <w:tab w:val="num" w:pos="3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6E7F80"/>
    <w:multiLevelType w:val="hybridMultilevel"/>
    <w:tmpl w:val="260C1126"/>
    <w:lvl w:ilvl="0" w:tplc="B43AC4CE">
      <w:start w:val="1"/>
      <w:numFmt w:val="decimal"/>
      <w:pStyle w:val="numberpara3"/>
      <w:lvlText w:val="3.%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F96D46"/>
    <w:multiLevelType w:val="hybridMultilevel"/>
    <w:tmpl w:val="AF02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000951"/>
    <w:multiLevelType w:val="hybridMultilevel"/>
    <w:tmpl w:val="3946A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A757FB"/>
    <w:multiLevelType w:val="multilevel"/>
    <w:tmpl w:val="D1309BEA"/>
    <w:lvl w:ilvl="0">
      <w:start w:val="1"/>
      <w:numFmt w:val="decimal"/>
      <w:pStyle w:val="numberpara"/>
      <w:lvlText w:val="1.%1"/>
      <w:lvlJc w:val="left"/>
      <w:pPr>
        <w:tabs>
          <w:tab w:val="num" w:pos="360"/>
        </w:tabs>
        <w:ind w:left="0" w:firstLine="0"/>
      </w:pPr>
      <w:rPr>
        <w:rFonts w:hint="default"/>
      </w:rPr>
    </w:lvl>
    <w:lvl w:ilvl="1">
      <w:start w:val="1"/>
      <w:numFmt w:val="decimal"/>
      <w:pStyle w:val="numberpar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DF56E7"/>
    <w:multiLevelType w:val="hybridMultilevel"/>
    <w:tmpl w:val="27868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F05185"/>
    <w:multiLevelType w:val="hybridMultilevel"/>
    <w:tmpl w:val="D88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73F77"/>
    <w:multiLevelType w:val="hybridMultilevel"/>
    <w:tmpl w:val="02F85F02"/>
    <w:lvl w:ilvl="0" w:tplc="EFDEE144">
      <w:start w:val="1"/>
      <w:numFmt w:val="decimal"/>
      <w:pStyle w:val="numberpara6"/>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0D82"/>
    <w:multiLevelType w:val="hybridMultilevel"/>
    <w:tmpl w:val="B8EA80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79ED51C8"/>
    <w:multiLevelType w:val="hybridMultilevel"/>
    <w:tmpl w:val="70A6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8020FD"/>
    <w:multiLevelType w:val="hybridMultilevel"/>
    <w:tmpl w:val="8210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B0C46"/>
    <w:multiLevelType w:val="hybridMultilevel"/>
    <w:tmpl w:val="F9665722"/>
    <w:lvl w:ilvl="0" w:tplc="C3261A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17DBA"/>
    <w:multiLevelType w:val="hybridMultilevel"/>
    <w:tmpl w:val="1ED67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7"/>
  </w:num>
  <w:num w:numId="5">
    <w:abstractNumId w:val="22"/>
  </w:num>
  <w:num w:numId="6">
    <w:abstractNumId w:val="16"/>
  </w:num>
  <w:num w:numId="7">
    <w:abstractNumId w:val="13"/>
  </w:num>
  <w:num w:numId="8">
    <w:abstractNumId w:val="9"/>
  </w:num>
  <w:num w:numId="9">
    <w:abstractNumId w:val="23"/>
  </w:num>
  <w:num w:numId="10">
    <w:abstractNumId w:val="26"/>
  </w:num>
  <w:num w:numId="11">
    <w:abstractNumId w:val="19"/>
    <w:lvlOverride w:ilvl="0">
      <w:startOverride w:val="1"/>
    </w:lvlOverride>
    <w:lvlOverride w:ilvl="1">
      <w:startOverride w:val="4"/>
    </w:lvlOverride>
  </w:num>
  <w:num w:numId="12">
    <w:abstractNumId w:val="14"/>
  </w:num>
  <w:num w:numId="13">
    <w:abstractNumId w:val="18"/>
  </w:num>
  <w:num w:numId="14">
    <w:abstractNumId w:val="8"/>
  </w:num>
  <w:num w:numId="15">
    <w:abstractNumId w:val="24"/>
  </w:num>
  <w:num w:numId="16">
    <w:abstractNumId w:val="27"/>
  </w:num>
  <w:num w:numId="17">
    <w:abstractNumId w:val="1"/>
  </w:num>
  <w:num w:numId="18">
    <w:abstractNumId w:val="3"/>
  </w:num>
  <w:num w:numId="19">
    <w:abstractNumId w:val="5"/>
  </w:num>
  <w:num w:numId="20">
    <w:abstractNumId w:val="12"/>
  </w:num>
  <w:num w:numId="21">
    <w:abstractNumId w:val="6"/>
  </w:num>
  <w:num w:numId="22">
    <w:abstractNumId w:val="25"/>
  </w:num>
  <w:num w:numId="23">
    <w:abstractNumId w:val="17"/>
  </w:num>
  <w:num w:numId="24">
    <w:abstractNumId w:val="21"/>
  </w:num>
  <w:num w:numId="25">
    <w:abstractNumId w:val="4"/>
  </w:num>
  <w:num w:numId="26">
    <w:abstractNumId w:val="2"/>
  </w:num>
  <w:num w:numId="27">
    <w:abstractNumId w:val="1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8E"/>
    <w:rsid w:val="00011EF8"/>
    <w:rsid w:val="000335DA"/>
    <w:rsid w:val="00093B0A"/>
    <w:rsid w:val="0009758E"/>
    <w:rsid w:val="000A13DF"/>
    <w:rsid w:val="000E3792"/>
    <w:rsid w:val="00103229"/>
    <w:rsid w:val="001256AB"/>
    <w:rsid w:val="0013532B"/>
    <w:rsid w:val="00140A4E"/>
    <w:rsid w:val="00140FBA"/>
    <w:rsid w:val="001E25DB"/>
    <w:rsid w:val="002150E0"/>
    <w:rsid w:val="002222F4"/>
    <w:rsid w:val="0024021B"/>
    <w:rsid w:val="00245E2B"/>
    <w:rsid w:val="00310C66"/>
    <w:rsid w:val="00387990"/>
    <w:rsid w:val="00405264"/>
    <w:rsid w:val="00447942"/>
    <w:rsid w:val="004C0AD9"/>
    <w:rsid w:val="00540475"/>
    <w:rsid w:val="00547D0A"/>
    <w:rsid w:val="005A3571"/>
    <w:rsid w:val="005B01FB"/>
    <w:rsid w:val="00623608"/>
    <w:rsid w:val="00625DEB"/>
    <w:rsid w:val="00644104"/>
    <w:rsid w:val="0067456A"/>
    <w:rsid w:val="006A35FA"/>
    <w:rsid w:val="006B2AE3"/>
    <w:rsid w:val="00722C82"/>
    <w:rsid w:val="00744845"/>
    <w:rsid w:val="00745768"/>
    <w:rsid w:val="00796F0F"/>
    <w:rsid w:val="00850853"/>
    <w:rsid w:val="00852568"/>
    <w:rsid w:val="008536E9"/>
    <w:rsid w:val="0085501A"/>
    <w:rsid w:val="008A2907"/>
    <w:rsid w:val="008A616A"/>
    <w:rsid w:val="00992086"/>
    <w:rsid w:val="0099282E"/>
    <w:rsid w:val="009C3FEA"/>
    <w:rsid w:val="009D40EB"/>
    <w:rsid w:val="00A544DE"/>
    <w:rsid w:val="00A665EA"/>
    <w:rsid w:val="00A83E39"/>
    <w:rsid w:val="00AA569A"/>
    <w:rsid w:val="00AB75A0"/>
    <w:rsid w:val="00B61B95"/>
    <w:rsid w:val="00B8657F"/>
    <w:rsid w:val="00BD65CF"/>
    <w:rsid w:val="00C01288"/>
    <w:rsid w:val="00C10AC2"/>
    <w:rsid w:val="00C4168F"/>
    <w:rsid w:val="00C57357"/>
    <w:rsid w:val="00CA420C"/>
    <w:rsid w:val="00CB22E4"/>
    <w:rsid w:val="00CC62B4"/>
    <w:rsid w:val="00D42750"/>
    <w:rsid w:val="00D46425"/>
    <w:rsid w:val="00D57884"/>
    <w:rsid w:val="00E148CA"/>
    <w:rsid w:val="00E61C22"/>
    <w:rsid w:val="00E661C8"/>
    <w:rsid w:val="00E91F71"/>
    <w:rsid w:val="00EC6820"/>
    <w:rsid w:val="00F27DBB"/>
    <w:rsid w:val="00F33F9B"/>
    <w:rsid w:val="00F857AE"/>
    <w:rsid w:val="00FA1523"/>
    <w:rsid w:val="00FB5235"/>
    <w:rsid w:val="00FD1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7CB26D"/>
  <w15:chartTrackingRefBased/>
  <w15:docId w15:val="{0D6BD74F-480F-4201-9835-5778D23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360" w:after="180"/>
      <w:outlineLvl w:val="0"/>
    </w:pPr>
    <w:rPr>
      <w:rFonts w:ascii="Univers 57 Condensed" w:hAnsi="Univers 57 Condensed" w:cs="Arial"/>
      <w:b/>
      <w:bCs/>
      <w:smallCaps/>
      <w:kern w:val="32"/>
      <w:sz w:val="40"/>
      <w:szCs w:val="32"/>
    </w:rPr>
  </w:style>
  <w:style w:type="paragraph" w:styleId="Heading2">
    <w:name w:val="heading 2"/>
    <w:basedOn w:val="Normal"/>
    <w:next w:val="Normal"/>
    <w:qFormat/>
    <w:pPr>
      <w:keepNext/>
      <w:spacing w:before="240" w:after="120"/>
      <w:outlineLvl w:val="1"/>
    </w:pPr>
    <w:rPr>
      <w:rFonts w:ascii="Univers 57 Condensed" w:hAnsi="Univers 57 Condensed"/>
      <w:b/>
      <w:sz w:val="28"/>
    </w:rPr>
  </w:style>
  <w:style w:type="paragraph" w:styleId="Heading3">
    <w:name w:val="heading 3"/>
    <w:basedOn w:val="Normal"/>
    <w:next w:val="Normal"/>
    <w:qFormat/>
    <w:pPr>
      <w:keepNext/>
      <w:spacing w:before="240" w:after="120"/>
      <w:outlineLvl w:val="2"/>
    </w:pPr>
    <w:rPr>
      <w:rFonts w:cs="Arial"/>
      <w:b/>
      <w:bCs/>
      <w:i/>
      <w:szCs w:val="26"/>
    </w:rPr>
  </w:style>
  <w:style w:type="paragraph" w:styleId="Heading4">
    <w:name w:val="heading 4"/>
    <w:basedOn w:val="Normal"/>
    <w:next w:val="Normal"/>
    <w:qFormat/>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leader="dot" w:pos="8296"/>
      </w:tabs>
      <w:spacing w:before="120" w:after="120"/>
    </w:pPr>
    <w:rPr>
      <w:b/>
      <w:bCs/>
      <w:smallCaps/>
      <w:noProof/>
      <w:sz w:val="32"/>
    </w:rPr>
  </w:style>
  <w:style w:type="paragraph" w:customStyle="1" w:styleId="contents">
    <w:name w:val="contents"/>
    <w:basedOn w:val="Normal"/>
    <w:next w:val="Normal"/>
    <w:rPr>
      <w:rFonts w:ascii="Univers 57 Condensed" w:hAnsi="Univers 57 Condensed"/>
      <w:b/>
      <w:smallCaps/>
      <w:sz w:val="40"/>
    </w:rPr>
  </w:style>
  <w:style w:type="paragraph" w:styleId="TOC2">
    <w:name w:val="toc 2"/>
    <w:basedOn w:val="Normal"/>
    <w:next w:val="Normal"/>
    <w:autoRedefine/>
    <w:uiPriority w:val="39"/>
    <w:pPr>
      <w:tabs>
        <w:tab w:val="right" w:leader="dot" w:pos="8296"/>
      </w:tabs>
      <w:spacing w:before="120" w:after="60"/>
    </w:pPr>
    <w:rPr>
      <w:noProof/>
    </w:rPr>
  </w:style>
  <w:style w:type="paragraph" w:styleId="TOC3">
    <w:name w:val="toc 3"/>
    <w:basedOn w:val="Normal"/>
    <w:next w:val="Normal"/>
    <w:autoRedefine/>
    <w:uiPriority w:val="39"/>
    <w:pPr>
      <w:tabs>
        <w:tab w:val="right" w:leader="dot" w:pos="8296"/>
      </w:tabs>
      <w:spacing w:before="60" w:after="120"/>
      <w:ind w:left="170"/>
    </w:pPr>
    <w:rPr>
      <w:i/>
      <w:iCs/>
      <w:noProof/>
    </w:rPr>
  </w:style>
  <w:style w:type="character" w:styleId="Hyperlink">
    <w:name w:val="Hyperlink"/>
    <w:basedOn w:val="DefaultParagraphFont"/>
    <w:uiPriority w:val="99"/>
    <w:rPr>
      <w:rFonts w:ascii="Arial" w:hAnsi="Arial"/>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Arial" w:hAnsi="Arial"/>
      <w:sz w:val="22"/>
    </w:rPr>
  </w:style>
  <w:style w:type="paragraph" w:styleId="Header">
    <w:name w:val="header"/>
    <w:basedOn w:val="Normal"/>
    <w:semiHidden/>
    <w:pPr>
      <w:tabs>
        <w:tab w:val="center" w:pos="4153"/>
        <w:tab w:val="right" w:pos="8306"/>
      </w:tabs>
    </w:pPr>
  </w:style>
  <w:style w:type="paragraph" w:customStyle="1" w:styleId="Recommendations">
    <w:name w:val="Recommendations"/>
    <w:basedOn w:val="Normal"/>
    <w:pPr>
      <w:pBdr>
        <w:top w:val="single" w:sz="4" w:space="1" w:color="auto"/>
        <w:left w:val="single" w:sz="4" w:space="4" w:color="auto"/>
        <w:bottom w:val="single" w:sz="4" w:space="1" w:color="auto"/>
        <w:right w:val="single" w:sz="4" w:space="4" w:color="auto"/>
      </w:pBdr>
      <w:shd w:val="clear" w:color="auto" w:fill="D9D9D9"/>
      <w:spacing w:before="120" w:after="120"/>
    </w:pPr>
  </w:style>
  <w:style w:type="paragraph" w:customStyle="1" w:styleId="numberpara">
    <w:name w:val="number para"/>
    <w:basedOn w:val="Normal"/>
    <w:pPr>
      <w:numPr>
        <w:numId w:val="1"/>
      </w:numPr>
      <w:tabs>
        <w:tab w:val="clear" w:pos="360"/>
        <w:tab w:val="num" w:pos="720"/>
      </w:tabs>
      <w:spacing w:after="240"/>
    </w:pPr>
  </w:style>
  <w:style w:type="paragraph" w:customStyle="1" w:styleId="numberpara2">
    <w:name w:val="number para2"/>
    <w:basedOn w:val="Normal"/>
    <w:pPr>
      <w:numPr>
        <w:numId w:val="2"/>
      </w:numPr>
      <w:tabs>
        <w:tab w:val="clear" w:pos="360"/>
        <w:tab w:val="left" w:pos="720"/>
      </w:tabs>
      <w:spacing w:after="240"/>
    </w:pPr>
  </w:style>
  <w:style w:type="paragraph" w:customStyle="1" w:styleId="numberpara3">
    <w:name w:val="number para3"/>
    <w:basedOn w:val="Normal"/>
    <w:pPr>
      <w:numPr>
        <w:numId w:val="6"/>
      </w:numPr>
      <w:spacing w:after="240"/>
    </w:pPr>
  </w:style>
  <w:style w:type="paragraph" w:styleId="FootnoteText">
    <w:name w:val="footnote text"/>
    <w:basedOn w:val="Normal"/>
    <w:link w:val="FootnoteTextChar"/>
    <w:uiPriority w:val="99"/>
    <w:semiHidden/>
    <w:pPr>
      <w:tabs>
        <w:tab w:val="left" w:pos="357"/>
      </w:tabs>
      <w:ind w:left="357" w:hanging="357"/>
    </w:pPr>
    <w:rPr>
      <w:sz w:val="20"/>
      <w:szCs w:val="20"/>
    </w:rPr>
  </w:style>
  <w:style w:type="paragraph" w:customStyle="1" w:styleId="numberpara4">
    <w:name w:val="number para4"/>
    <w:basedOn w:val="numberpara3"/>
    <w:pPr>
      <w:numPr>
        <w:numId w:val="3"/>
      </w:numPr>
      <w:tabs>
        <w:tab w:val="clear" w:pos="360"/>
      </w:tabs>
    </w:pPr>
  </w:style>
  <w:style w:type="paragraph" w:customStyle="1" w:styleId="numberpara5">
    <w:name w:val="number para5"/>
    <w:basedOn w:val="numberpara3"/>
    <w:pPr>
      <w:numPr>
        <w:numId w:val="4"/>
      </w:numPr>
      <w:tabs>
        <w:tab w:val="clear" w:pos="360"/>
      </w:tabs>
    </w:pPr>
  </w:style>
  <w:style w:type="paragraph" w:customStyle="1" w:styleId="numberpara6">
    <w:name w:val="number para6"/>
    <w:basedOn w:val="numberpara3"/>
    <w:pPr>
      <w:numPr>
        <w:numId w:val="5"/>
      </w:numPr>
      <w:tabs>
        <w:tab w:val="clear" w:pos="360"/>
        <w:tab w:val="left" w:pos="720"/>
      </w:tabs>
    </w:pPr>
  </w:style>
  <w:style w:type="paragraph" w:customStyle="1" w:styleId="Quotes">
    <w:name w:val="Quotes"/>
    <w:basedOn w:val="Normal"/>
    <w:rsid w:val="00E661C8"/>
    <w:pPr>
      <w:spacing w:after="240"/>
      <w:ind w:left="709" w:right="284" w:firstLine="11"/>
    </w:pPr>
    <w:rPr>
      <w:rFonts w:ascii="Arial Narrow" w:hAnsi="Arial Narrow"/>
    </w:rPr>
  </w:style>
  <w:style w:type="character" w:styleId="FootnoteReference">
    <w:name w:val="footnote reference"/>
    <w:basedOn w:val="DefaultParagraphFont"/>
    <w:uiPriority w:val="99"/>
    <w:semiHidden/>
    <w:rPr>
      <w:vertAlign w:val="superscript"/>
    </w:rPr>
  </w:style>
  <w:style w:type="paragraph" w:customStyle="1" w:styleId="Bullets">
    <w:name w:val="Bullets"/>
    <w:basedOn w:val="Normal"/>
    <w:qFormat/>
    <w:rsid w:val="00E661C8"/>
    <w:pPr>
      <w:numPr>
        <w:numId w:val="7"/>
      </w:numPr>
      <w:spacing w:before="120"/>
      <w:ind w:hanging="578"/>
    </w:pPr>
  </w:style>
  <w:style w:type="paragraph" w:styleId="ListParagraph">
    <w:name w:val="List Paragraph"/>
    <w:aliases w:val="Body Bullets 1,Bullet Point,Bullet point,Bullet points,Content descriptions,L,List Paragraph1,List Paragraph11,Recommendation"/>
    <w:basedOn w:val="Normal"/>
    <w:link w:val="ListParagraphChar"/>
    <w:uiPriority w:val="34"/>
    <w:qFormat/>
    <w:rsid w:val="00F857AE"/>
    <w:pPr>
      <w:ind w:left="720"/>
      <w:contextualSpacing/>
    </w:pPr>
  </w:style>
  <w:style w:type="paragraph" w:styleId="BalloonText">
    <w:name w:val="Balloon Text"/>
    <w:basedOn w:val="Normal"/>
    <w:link w:val="BalloonTextChar"/>
    <w:uiPriority w:val="99"/>
    <w:semiHidden/>
    <w:unhideWhenUsed/>
    <w:rsid w:val="00E14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CA"/>
    <w:rPr>
      <w:rFonts w:ascii="Segoe UI" w:hAnsi="Segoe UI" w:cs="Segoe UI"/>
      <w:sz w:val="18"/>
      <w:szCs w:val="18"/>
      <w:lang w:eastAsia="en-US"/>
    </w:rPr>
  </w:style>
  <w:style w:type="table" w:styleId="TableGrid">
    <w:name w:val="Table Grid"/>
    <w:basedOn w:val="TableNormal"/>
    <w:uiPriority w:val="39"/>
    <w:rsid w:val="001E25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61B95"/>
    <w:rPr>
      <w:rFonts w:ascii="Arial" w:hAnsi="Arial"/>
      <w:lang w:eastAsia="en-US"/>
    </w:rPr>
  </w:style>
  <w:style w:type="character" w:customStyle="1" w:styleId="ListParagraphChar">
    <w:name w:val="List Paragraph Char"/>
    <w:aliases w:val="Body Bullets 1 Char,Bullet Point Char,Bullet point Char,Bullet points Char,Content descriptions Char,L Char,List Paragraph1 Char,List Paragraph11 Char,Recommendation Char"/>
    <w:basedOn w:val="DefaultParagraphFont"/>
    <w:link w:val="ListParagraph"/>
    <w:uiPriority w:val="34"/>
    <w:locked/>
    <w:rsid w:val="00992086"/>
    <w:rPr>
      <w:rFonts w:ascii="Arial" w:hAnsi="Arial"/>
      <w:sz w:val="22"/>
      <w:szCs w:val="24"/>
      <w:lang w:eastAsia="en-US"/>
    </w:rPr>
  </w:style>
  <w:style w:type="character" w:styleId="CommentReference">
    <w:name w:val="annotation reference"/>
    <w:basedOn w:val="DefaultParagraphFont"/>
    <w:uiPriority w:val="99"/>
    <w:semiHidden/>
    <w:unhideWhenUsed/>
    <w:rsid w:val="00AB75A0"/>
    <w:rPr>
      <w:sz w:val="16"/>
      <w:szCs w:val="16"/>
    </w:rPr>
  </w:style>
  <w:style w:type="paragraph" w:styleId="CommentText">
    <w:name w:val="annotation text"/>
    <w:basedOn w:val="Normal"/>
    <w:link w:val="CommentTextChar"/>
    <w:uiPriority w:val="99"/>
    <w:semiHidden/>
    <w:unhideWhenUsed/>
    <w:rsid w:val="00AB75A0"/>
    <w:rPr>
      <w:sz w:val="20"/>
      <w:szCs w:val="20"/>
    </w:rPr>
  </w:style>
  <w:style w:type="character" w:customStyle="1" w:styleId="CommentTextChar">
    <w:name w:val="Comment Text Char"/>
    <w:basedOn w:val="DefaultParagraphFont"/>
    <w:link w:val="CommentText"/>
    <w:uiPriority w:val="99"/>
    <w:semiHidden/>
    <w:rsid w:val="00AB75A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75A0"/>
    <w:rPr>
      <w:b/>
      <w:bCs/>
    </w:rPr>
  </w:style>
  <w:style w:type="character" w:customStyle="1" w:styleId="CommentSubjectChar">
    <w:name w:val="Comment Subject Char"/>
    <w:basedOn w:val="CommentTextChar"/>
    <w:link w:val="CommentSubject"/>
    <w:uiPriority w:val="99"/>
    <w:semiHidden/>
    <w:rsid w:val="00AB75A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ov.au/__data/assets/pdf_file/0024/42558/Accessibility-of-DSP-for-remote-Indigenous-Australians_Final-report.pdf" TargetMode="External"/><Relationship Id="rId2" Type="http://schemas.openxmlformats.org/officeDocument/2006/relationships/hyperlink" Target="http://www.ombudsman.gov.au/__data/assets/pdf_file/0011/30017/October-2014-Complaint-management-by-government-agencies.pdf" TargetMode="External"/><Relationship Id="rId1" Type="http://schemas.openxmlformats.org/officeDocument/2006/relationships/hyperlink" Target="http://www.ombudsman.gov.au/__data/assets/pdf_file/0024/42558/Accessibility-of-DSP-for-remote-Indigenous-Australians_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Official%20Stationery\OCO\Ombudsma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2AC2-EB14-4184-941D-4C3DDB92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Ombudsman Report.dotx</Template>
  <TotalTime>0</TotalTime>
  <Pages>8</Pages>
  <Words>1949</Words>
  <Characters>12319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Name of report</vt:lpstr>
    </vt:vector>
  </TitlesOfParts>
  <Company>Commonwealth Ombudsman</Company>
  <LinksUpToDate>false</LinksUpToDate>
  <CharactersWithSpaces>14240</CharactersWithSpaces>
  <SharedDoc>false</SharedDoc>
  <HLinks>
    <vt:vector size="36" baseType="variant">
      <vt:variant>
        <vt:i4>1376316</vt:i4>
      </vt:variant>
      <vt:variant>
        <vt:i4>32</vt:i4>
      </vt:variant>
      <vt:variant>
        <vt:i4>0</vt:i4>
      </vt:variant>
      <vt:variant>
        <vt:i4>5</vt:i4>
      </vt:variant>
      <vt:variant>
        <vt:lpwstr/>
      </vt:variant>
      <vt:variant>
        <vt:lpwstr>_Toc157237920</vt:lpwstr>
      </vt:variant>
      <vt:variant>
        <vt:i4>1441852</vt:i4>
      </vt:variant>
      <vt:variant>
        <vt:i4>26</vt:i4>
      </vt:variant>
      <vt:variant>
        <vt:i4>0</vt:i4>
      </vt:variant>
      <vt:variant>
        <vt:i4>5</vt:i4>
      </vt:variant>
      <vt:variant>
        <vt:lpwstr/>
      </vt:variant>
      <vt:variant>
        <vt:lpwstr>_Toc157237919</vt:lpwstr>
      </vt:variant>
      <vt:variant>
        <vt:i4>1441852</vt:i4>
      </vt:variant>
      <vt:variant>
        <vt:i4>20</vt:i4>
      </vt:variant>
      <vt:variant>
        <vt:i4>0</vt:i4>
      </vt:variant>
      <vt:variant>
        <vt:i4>5</vt:i4>
      </vt:variant>
      <vt:variant>
        <vt:lpwstr/>
      </vt:variant>
      <vt:variant>
        <vt:lpwstr>_Toc157237918</vt:lpwstr>
      </vt:variant>
      <vt:variant>
        <vt:i4>1441852</vt:i4>
      </vt:variant>
      <vt:variant>
        <vt:i4>14</vt:i4>
      </vt:variant>
      <vt:variant>
        <vt:i4>0</vt:i4>
      </vt:variant>
      <vt:variant>
        <vt:i4>5</vt:i4>
      </vt:variant>
      <vt:variant>
        <vt:lpwstr/>
      </vt:variant>
      <vt:variant>
        <vt:lpwstr>_Toc157237917</vt:lpwstr>
      </vt:variant>
      <vt:variant>
        <vt:i4>1441852</vt:i4>
      </vt:variant>
      <vt:variant>
        <vt:i4>8</vt:i4>
      </vt:variant>
      <vt:variant>
        <vt:i4>0</vt:i4>
      </vt:variant>
      <vt:variant>
        <vt:i4>5</vt:i4>
      </vt:variant>
      <vt:variant>
        <vt:lpwstr/>
      </vt:variant>
      <vt:variant>
        <vt:lpwstr>_Toc157237916</vt:lpwstr>
      </vt:variant>
      <vt:variant>
        <vt:i4>1441852</vt:i4>
      </vt:variant>
      <vt:variant>
        <vt:i4>2</vt:i4>
      </vt:variant>
      <vt:variant>
        <vt:i4>0</vt:i4>
      </vt:variant>
      <vt:variant>
        <vt:i4>5</vt:i4>
      </vt:variant>
      <vt:variant>
        <vt:lpwstr/>
      </vt:variant>
      <vt:variant>
        <vt:lpwstr>_Toc157237915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Suseela Durvasula</dc:creator>
  <cp:keywords/>
  <dc:description/>
  <cp:lastModifiedBy>Suseela Durvasula</cp:lastModifiedBy>
  <cp:revision>2</cp:revision>
  <cp:lastPrinted>2016-12-15T03:14:00Z</cp:lastPrinted>
  <dcterms:created xsi:type="dcterms:W3CDTF">2016-12-19T22:13:00Z</dcterms:created>
  <dcterms:modified xsi:type="dcterms:W3CDTF">2016-12-19T22:13:00Z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A437959</vt:lpwstr>
  </property>
  <property fmtid="{D5CDD505-2E9C-101B-9397-08002B2CF9AE}" pid="4" name="Objective-Title">
    <vt:lpwstr>Commonwealth Ombudsman submission-Disability Employment Services discussion paper</vt:lpwstr>
  </property>
  <property fmtid="{D5CDD505-2E9C-101B-9397-08002B2CF9AE}" pid="5" name="Objective-Author - Internal [system]">
    <vt:lpwstr>Suseela Durvasula</vt:lpwstr>
  </property>
  <property fmtid="{D5CDD505-2E9C-101B-9397-08002B2CF9AE}" pid="6" name="Objective-Agency [system]">
    <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ies>
</file>