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90" w:rsidRDefault="00F3664F" w:rsidP="009042CA">
      <w:pPr>
        <w:pStyle w:val="Heading1"/>
        <w:numPr>
          <w:ilvl w:val="0"/>
          <w:numId w:val="0"/>
        </w:numPr>
        <w:ind w:left="397"/>
      </w:pPr>
      <w:bookmarkStart w:id="0" w:name="_GoBack"/>
      <w:bookmarkEnd w:id="0"/>
      <w:r>
        <w:t xml:space="preserve"> </w:t>
      </w:r>
    </w:p>
    <w:p w:rsidR="006F5211" w:rsidRDefault="006F5211" w:rsidP="001F6E90">
      <w:pPr>
        <w:spacing w:after="200"/>
        <w:jc w:val="center"/>
        <w:rPr>
          <w:b/>
          <w:color w:val="F46A3A"/>
          <w:sz w:val="52"/>
        </w:rPr>
      </w:pPr>
    </w:p>
    <w:p w:rsidR="001F6E90" w:rsidRDefault="001F6E90" w:rsidP="001F6E90">
      <w:pPr>
        <w:spacing w:after="200"/>
        <w:jc w:val="center"/>
        <w:rPr>
          <w:b/>
          <w:color w:val="F46A3A"/>
          <w:sz w:val="52"/>
        </w:rPr>
      </w:pPr>
    </w:p>
    <w:p w:rsidR="001F6E90" w:rsidRDefault="001F6E90" w:rsidP="001F6E90">
      <w:pPr>
        <w:spacing w:after="200"/>
        <w:jc w:val="center"/>
        <w:rPr>
          <w:b/>
          <w:color w:val="F46A3A"/>
          <w:sz w:val="52"/>
        </w:rPr>
      </w:pPr>
    </w:p>
    <w:p w:rsidR="00573035" w:rsidRDefault="00164DA9" w:rsidP="00573035">
      <w:pPr>
        <w:spacing w:after="200"/>
        <w:ind w:left="1134"/>
        <w:rPr>
          <w:b/>
          <w:color w:val="404040" w:themeColor="text1" w:themeTint="BF"/>
          <w:sz w:val="40"/>
          <w:szCs w:val="40"/>
        </w:rPr>
      </w:pPr>
      <w:r>
        <w:rPr>
          <w:b/>
          <w:noProof/>
          <w:color w:val="404040" w:themeColor="text1" w:themeTint="BF"/>
          <w:sz w:val="40"/>
          <w:szCs w:val="40"/>
          <w:lang w:eastAsia="en-AU"/>
        </w:rPr>
        <mc:AlternateContent>
          <mc:Choice Requires="wps">
            <w:drawing>
              <wp:anchor distT="0" distB="0" distL="114300" distR="114300" simplePos="0" relativeHeight="251658240" behindDoc="0" locked="0" layoutInCell="1" allowOverlap="1">
                <wp:simplePos x="0" y="0"/>
                <wp:positionH relativeFrom="column">
                  <wp:posOffset>727075</wp:posOffset>
                </wp:positionH>
                <wp:positionV relativeFrom="paragraph">
                  <wp:posOffset>3593465</wp:posOffset>
                </wp:positionV>
                <wp:extent cx="4083050" cy="0"/>
                <wp:effectExtent l="22225" t="24130" r="19050"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0" cy="0"/>
                        </a:xfrm>
                        <a:prstGeom prst="straightConnector1">
                          <a:avLst/>
                        </a:prstGeom>
                        <a:noFill/>
                        <a:ln w="38100">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5A8C7" id="_x0000_t32" coordsize="21600,21600" o:spt="32" o:oned="t" path="m,l21600,21600e" filled="f">
                <v:path arrowok="t" fillok="f" o:connecttype="none"/>
                <o:lock v:ext="edit" shapetype="t"/>
              </v:shapetype>
              <v:shape id="AutoShape 2" o:spid="_x0000_s1026" type="#_x0000_t32" style="position:absolute;margin-left:57.25pt;margin-top:282.95pt;width:3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" strokecolor="#9bbb59 [3206]" strokeweight="3pt"/>
            </w:pict>
          </mc:Fallback>
        </mc:AlternateContent>
      </w:r>
      <w:r w:rsidR="003D081C">
        <w:rPr>
          <w:b/>
          <w:color w:val="F46A3A"/>
          <w:sz w:val="56"/>
        </w:rPr>
        <w:br/>
      </w:r>
      <w:r w:rsidR="003D081C">
        <w:rPr>
          <w:b/>
          <w:color w:val="F46A3A"/>
          <w:sz w:val="56"/>
        </w:rPr>
        <w:br/>
      </w:r>
      <w:r w:rsidR="00573035">
        <w:rPr>
          <w:b/>
          <w:color w:val="404040" w:themeColor="text1" w:themeTint="BF"/>
          <w:sz w:val="72"/>
        </w:rPr>
        <w:br/>
      </w:r>
      <w:r w:rsidR="00C548A5">
        <w:rPr>
          <w:b/>
          <w:color w:val="404040" w:themeColor="text1" w:themeTint="BF"/>
          <w:sz w:val="72"/>
        </w:rPr>
        <w:t>New Disability Employment Services from 2018</w:t>
      </w:r>
      <w:r>
        <w:rPr>
          <w:b/>
          <w:color w:val="404040" w:themeColor="text1" w:themeTint="BF"/>
          <w:sz w:val="72"/>
        </w:rPr>
        <w:t xml:space="preserve"> </w:t>
      </w:r>
      <w:r w:rsidR="001F71A5" w:rsidRPr="00573035">
        <w:rPr>
          <w:b/>
          <w:color w:val="404040" w:themeColor="text1" w:themeTint="BF"/>
          <w:sz w:val="72"/>
        </w:rPr>
        <w:t xml:space="preserve"> </w:t>
      </w:r>
      <w:r w:rsidR="001F6E90" w:rsidRPr="00573035">
        <w:rPr>
          <w:b/>
          <w:color w:val="404040" w:themeColor="text1" w:themeTint="BF"/>
          <w:sz w:val="72"/>
        </w:rPr>
        <w:br/>
      </w:r>
    </w:p>
    <w:p w:rsidR="00573035" w:rsidRPr="00573035" w:rsidRDefault="00164DA9" w:rsidP="00573035">
      <w:pPr>
        <w:spacing w:after="200"/>
        <w:ind w:left="1134"/>
        <w:rPr>
          <w:b/>
          <w:i/>
          <w:color w:val="404040" w:themeColor="text1" w:themeTint="BF"/>
          <w:sz w:val="32"/>
          <w:szCs w:val="40"/>
        </w:rPr>
      </w:pPr>
      <w:r>
        <w:rPr>
          <w:b/>
          <w:i/>
          <w:color w:val="404040" w:themeColor="text1" w:themeTint="BF"/>
          <w:sz w:val="52"/>
        </w:rPr>
        <w:lastRenderedPageBreak/>
        <w:t xml:space="preserve">Submission by the Mental Health Commission of New South Wales </w:t>
      </w:r>
    </w:p>
    <w:p w:rsidR="002926B4" w:rsidRPr="00F3664F" w:rsidRDefault="00573035" w:rsidP="00F3664F">
      <w:pPr>
        <w:spacing w:after="200"/>
        <w:ind w:left="1134"/>
        <w:rPr>
          <w:color w:val="404040" w:themeColor="text1" w:themeTint="BF"/>
          <w:sz w:val="40"/>
          <w:szCs w:val="40"/>
        </w:rPr>
        <w:sectPr w:rsidR="002926B4" w:rsidRPr="00F3664F" w:rsidSect="00DD7A77">
          <w:headerReference w:type="default" r:id="rId8"/>
          <w:footerReference w:type="default" r:id="rId9"/>
          <w:headerReference w:type="first" r:id="rId10"/>
          <w:footerReference w:type="first" r:id="rId11"/>
          <w:pgSz w:w="11907" w:h="16840" w:code="9"/>
          <w:pgMar w:top="1440" w:right="1440" w:bottom="1440" w:left="1440" w:header="283" w:footer="397" w:gutter="0"/>
          <w:cols w:space="708"/>
          <w:titlePg/>
          <w:docGrid w:linePitch="326"/>
        </w:sectPr>
      </w:pPr>
      <w:r>
        <w:rPr>
          <w:b/>
          <w:color w:val="404040" w:themeColor="text1" w:themeTint="BF"/>
          <w:sz w:val="40"/>
          <w:szCs w:val="40"/>
        </w:rPr>
        <w:br/>
      </w:r>
      <w:r w:rsidR="00C548A5">
        <w:rPr>
          <w:color w:val="404040" w:themeColor="text1" w:themeTint="BF"/>
          <w:sz w:val="40"/>
          <w:szCs w:val="40"/>
        </w:rPr>
        <w:t>December</w:t>
      </w:r>
      <w:r w:rsidR="00164DA9">
        <w:rPr>
          <w:color w:val="404040" w:themeColor="text1" w:themeTint="BF"/>
          <w:sz w:val="40"/>
          <w:szCs w:val="40"/>
        </w:rPr>
        <w:t xml:space="preserve"> 2016</w:t>
      </w:r>
    </w:p>
    <w:p w:rsidR="00164DA9" w:rsidRPr="00F849A3" w:rsidRDefault="00164DA9" w:rsidP="00164DA9">
      <w:pPr>
        <w:pStyle w:val="Heading1"/>
        <w:numPr>
          <w:ilvl w:val="0"/>
          <w:numId w:val="0"/>
        </w:numPr>
      </w:pPr>
      <w:bookmarkStart w:id="1" w:name="_Toc465341717"/>
      <w:r w:rsidRPr="00F849A3">
        <w:lastRenderedPageBreak/>
        <w:t>The Mental Health Commission of NSW</w:t>
      </w:r>
      <w:bookmarkEnd w:id="1"/>
    </w:p>
    <w:p w:rsidR="00164DA9" w:rsidRPr="00F849A3" w:rsidRDefault="00164DA9" w:rsidP="006B784F">
      <w:r w:rsidRPr="00F849A3">
        <w:t>The Mental Health Commission of New South Wales (NSW) is an independent statutory agency responsible for monitoring, reviewing and improving mental health and wellbeing for people in NSW. It works with Government and the community to secure better mental health and wellbeing for everyone and to prevent mental illness, and to ensure the availability of appropriate supports in or close to home when people are unwell or at risk of becoming unwell.</w:t>
      </w:r>
    </w:p>
    <w:p w:rsidR="00164DA9" w:rsidRPr="00F849A3" w:rsidRDefault="00164DA9" w:rsidP="00164DA9">
      <w:r w:rsidRPr="00F849A3">
        <w:t xml:space="preserve">In all its work, the Commission is guided by the lived experience of people with mental illness, and their families and carers. The Commission promotes policies and practices that recognise the autonomy of people who experience mental illness and support their recovery, emphasising their personal and social needs and preferences as well as broader health </w:t>
      </w:r>
    </w:p>
    <w:p w:rsidR="00164DA9" w:rsidRPr="00F849A3" w:rsidRDefault="00164DA9" w:rsidP="00164DA9">
      <w:r w:rsidRPr="00F849A3">
        <w:t>The Commission works in three main ways:</w:t>
      </w:r>
    </w:p>
    <w:p w:rsidR="00164DA9" w:rsidRPr="00164DA9" w:rsidRDefault="00164DA9" w:rsidP="00164DA9">
      <w:pPr>
        <w:pStyle w:val="ListParagraph"/>
        <w:numPr>
          <w:ilvl w:val="0"/>
          <w:numId w:val="4"/>
        </w:numPr>
        <w:rPr>
          <w:sz w:val="22"/>
          <w:szCs w:val="22"/>
        </w:rPr>
      </w:pPr>
      <w:r w:rsidRPr="00164DA9">
        <w:rPr>
          <w:sz w:val="22"/>
          <w:szCs w:val="22"/>
        </w:rPr>
        <w:t>Advocating, educating and advising about positive change to mental health policy, practice and systems in order to support better responses to people who experience mental illness, and their families and carers.</w:t>
      </w:r>
    </w:p>
    <w:p w:rsidR="00164DA9" w:rsidRPr="00164DA9" w:rsidRDefault="00164DA9" w:rsidP="00164DA9">
      <w:pPr>
        <w:pStyle w:val="ListParagraph"/>
        <w:numPr>
          <w:ilvl w:val="0"/>
          <w:numId w:val="4"/>
        </w:numPr>
        <w:rPr>
          <w:sz w:val="22"/>
          <w:szCs w:val="22"/>
        </w:rPr>
      </w:pPr>
      <w:r w:rsidRPr="00164DA9">
        <w:rPr>
          <w:sz w:val="22"/>
          <w:szCs w:val="22"/>
        </w:rPr>
        <w:t xml:space="preserve">Partnering with community-managed organisations, academic institutions, professional groups or government agencies to support the development of better approaches to the provision of mental health services and improved community wellbeing, and promote their wide adoption. </w:t>
      </w:r>
    </w:p>
    <w:p w:rsidR="00C548A5" w:rsidRDefault="00164DA9" w:rsidP="00164DA9">
      <w:pPr>
        <w:pStyle w:val="ListParagraph"/>
        <w:numPr>
          <w:ilvl w:val="0"/>
          <w:numId w:val="4"/>
        </w:numPr>
        <w:rPr>
          <w:sz w:val="22"/>
          <w:szCs w:val="22"/>
        </w:rPr>
      </w:pPr>
      <w:r w:rsidRPr="00164DA9">
        <w:rPr>
          <w:sz w:val="22"/>
          <w:szCs w:val="22"/>
        </w:rPr>
        <w:t xml:space="preserve">Monitoring and reviewing the current system of mental health supports and </w:t>
      </w:r>
      <w:r w:rsidR="00556D27">
        <w:rPr>
          <w:sz w:val="22"/>
          <w:szCs w:val="22"/>
        </w:rPr>
        <w:t>progress towards achieving the a</w:t>
      </w:r>
      <w:r w:rsidRPr="00164DA9">
        <w:rPr>
          <w:sz w:val="22"/>
          <w:szCs w:val="22"/>
        </w:rPr>
        <w:t xml:space="preserve">ctions </w:t>
      </w:r>
      <w:r w:rsidRPr="00556D27">
        <w:rPr>
          <w:i/>
          <w:sz w:val="22"/>
          <w:szCs w:val="22"/>
        </w:rPr>
        <w:t xml:space="preserve">in </w:t>
      </w:r>
      <w:r w:rsidR="00556D27" w:rsidRPr="00556D27">
        <w:rPr>
          <w:i/>
          <w:sz w:val="22"/>
          <w:szCs w:val="22"/>
        </w:rPr>
        <w:t>Living Well: A Strategic Plan for Mental Health in NSW 2014-2024</w:t>
      </w:r>
      <w:r w:rsidRPr="00164DA9">
        <w:rPr>
          <w:sz w:val="22"/>
          <w:szCs w:val="22"/>
        </w:rPr>
        <w:t>, and providing this information to the community and the mental health sector in ways that encourage positive change.</w:t>
      </w:r>
    </w:p>
    <w:p w:rsidR="00C548A5" w:rsidRDefault="00C548A5" w:rsidP="00C548A5">
      <w:r>
        <w:br w:type="page"/>
      </w:r>
    </w:p>
    <w:p w:rsidR="00164DA9" w:rsidRPr="00C548A5" w:rsidRDefault="00C548A5" w:rsidP="00C548A5">
      <w:pPr>
        <w:rPr>
          <w:rFonts w:eastAsia="Times" w:cstheme="minorHAnsi"/>
          <w:b/>
          <w:color w:val="F46A3A"/>
          <w:kern w:val="32"/>
          <w:sz w:val="32"/>
          <w:lang w:eastAsia="en-AU"/>
        </w:rPr>
      </w:pPr>
      <w:r w:rsidRPr="00C548A5">
        <w:rPr>
          <w:rFonts w:eastAsia="Times" w:cstheme="minorHAnsi"/>
          <w:b/>
          <w:color w:val="F46A3A"/>
          <w:kern w:val="32"/>
          <w:sz w:val="32"/>
          <w:lang w:eastAsia="en-AU"/>
        </w:rPr>
        <w:lastRenderedPageBreak/>
        <w:t>Living Well: A Str</w:t>
      </w:r>
      <w:r>
        <w:rPr>
          <w:rFonts w:eastAsia="Times" w:cstheme="minorHAnsi"/>
          <w:b/>
          <w:color w:val="F46A3A"/>
          <w:kern w:val="32"/>
          <w:sz w:val="32"/>
          <w:lang w:eastAsia="en-AU"/>
        </w:rPr>
        <w:t>a</w:t>
      </w:r>
      <w:r w:rsidRPr="00C548A5">
        <w:rPr>
          <w:rFonts w:eastAsia="Times" w:cstheme="minorHAnsi"/>
          <w:b/>
          <w:color w:val="F46A3A"/>
          <w:kern w:val="32"/>
          <w:sz w:val="32"/>
          <w:lang w:eastAsia="en-AU"/>
        </w:rPr>
        <w:t>tegic Plan fo</w:t>
      </w:r>
      <w:r>
        <w:rPr>
          <w:rFonts w:eastAsia="Times" w:cstheme="minorHAnsi"/>
          <w:b/>
          <w:color w:val="F46A3A"/>
          <w:kern w:val="32"/>
          <w:sz w:val="32"/>
          <w:lang w:eastAsia="en-AU"/>
        </w:rPr>
        <w:t>r</w:t>
      </w:r>
      <w:r w:rsidRPr="00C548A5">
        <w:rPr>
          <w:rFonts w:eastAsia="Times" w:cstheme="minorHAnsi"/>
          <w:b/>
          <w:color w:val="F46A3A"/>
          <w:kern w:val="32"/>
          <w:sz w:val="32"/>
          <w:lang w:eastAsia="en-AU"/>
        </w:rPr>
        <w:t xml:space="preserve"> Mental Health in NSW </w:t>
      </w:r>
    </w:p>
    <w:p w:rsidR="006B784F" w:rsidRPr="006B784F" w:rsidRDefault="006B784F" w:rsidP="006B784F">
      <w:pPr>
        <w:pStyle w:val="NormalWeb"/>
        <w:spacing w:line="276" w:lineRule="auto"/>
        <w:rPr>
          <w:rFonts w:asciiTheme="minorHAnsi" w:hAnsiTheme="minorHAnsi"/>
          <w:sz w:val="22"/>
          <w:szCs w:val="22"/>
          <w:lang w:val="en"/>
        </w:rPr>
      </w:pPr>
      <w:bookmarkStart w:id="2" w:name="_Toc465341718"/>
      <w:r w:rsidRPr="006B784F">
        <w:rPr>
          <w:rFonts w:asciiTheme="minorHAnsi" w:hAnsiTheme="minorHAnsi"/>
          <w:sz w:val="22"/>
          <w:szCs w:val="22"/>
          <w:lang w:val="en"/>
        </w:rPr>
        <w:t xml:space="preserve">On 15 December 2014 the NSW Government adopted </w:t>
      </w:r>
      <w:hyperlink r:id="rId12" w:history="1">
        <w:r w:rsidRPr="006B784F">
          <w:rPr>
            <w:rFonts w:asciiTheme="minorHAnsi" w:hAnsiTheme="minorHAnsi"/>
            <w:i/>
            <w:iCs/>
            <w:sz w:val="22"/>
            <w:szCs w:val="22"/>
          </w:rPr>
          <w:t>Living Well: A Strategic Plan for Mental Health in NSW 2014-2024</w:t>
        </w:r>
      </w:hyperlink>
      <w:r w:rsidRPr="006B784F">
        <w:rPr>
          <w:rFonts w:asciiTheme="minorHAnsi" w:hAnsiTheme="minorHAnsi"/>
          <w:sz w:val="22"/>
          <w:szCs w:val="22"/>
          <w:lang w:val="en"/>
        </w:rPr>
        <w:t>, developed by the NSW Mental Health Commission following an unprecedented program of consultation and engagement with Government, mental health professionals and the community, in which more than 2000 people participated.</w:t>
      </w:r>
    </w:p>
    <w:p w:rsidR="006B784F" w:rsidRPr="006B784F" w:rsidRDefault="006B784F" w:rsidP="006B784F">
      <w:pPr>
        <w:pStyle w:val="NormalWeb"/>
        <w:spacing w:line="276" w:lineRule="auto"/>
        <w:rPr>
          <w:rFonts w:asciiTheme="minorHAnsi" w:hAnsiTheme="minorHAnsi"/>
          <w:sz w:val="22"/>
          <w:szCs w:val="22"/>
          <w:lang w:val="en"/>
        </w:rPr>
      </w:pPr>
      <w:r w:rsidRPr="006B784F">
        <w:rPr>
          <w:rFonts w:asciiTheme="minorHAnsi" w:hAnsiTheme="minorHAnsi"/>
          <w:sz w:val="22"/>
          <w:szCs w:val="22"/>
          <w:lang w:val="en"/>
        </w:rPr>
        <w:t xml:space="preserve">In </w:t>
      </w:r>
      <w:hyperlink r:id="rId13" w:history="1">
        <w:r w:rsidRPr="006B784F">
          <w:rPr>
            <w:rFonts w:asciiTheme="minorHAnsi" w:hAnsiTheme="minorHAnsi"/>
            <w:sz w:val="22"/>
            <w:szCs w:val="22"/>
          </w:rPr>
          <w:t xml:space="preserve">accepting </w:t>
        </w:r>
        <w:r w:rsidRPr="006B784F">
          <w:rPr>
            <w:rFonts w:asciiTheme="minorHAnsi" w:hAnsiTheme="minorHAnsi"/>
            <w:i/>
            <w:iCs/>
            <w:sz w:val="22"/>
            <w:szCs w:val="22"/>
          </w:rPr>
          <w:t>Living Well</w:t>
        </w:r>
      </w:hyperlink>
      <w:r w:rsidRPr="006B784F">
        <w:rPr>
          <w:rFonts w:asciiTheme="minorHAnsi" w:hAnsiTheme="minorHAnsi"/>
          <w:sz w:val="22"/>
          <w:szCs w:val="22"/>
          <w:lang w:val="en"/>
        </w:rPr>
        <w:t>, and all the 141 Actions it contains, the Government has set a ground-breaking new direction for the provision of services and supports to people in NSW who experience mental illness. This is modelled on proven principles of recovery and person-centred care, which emphasise choice and autonomy and consider the personal and social dimensions of mental illness alongside its impact on people’s health. For this reason, the Plan takes a whole-of-Government perspective, including housing, education, employment assistance, the justice system and family support among the spectrum of services that people may require when they experience mental illness.</w:t>
      </w:r>
    </w:p>
    <w:p w:rsidR="007E71DB" w:rsidRDefault="00E7731A">
      <w:pPr>
        <w:spacing w:after="200"/>
        <w:rPr>
          <w:rFonts w:eastAsia="Times New Roman"/>
          <w:iCs/>
          <w:szCs w:val="22"/>
          <w:lang w:eastAsia="en-AU"/>
        </w:rPr>
      </w:pPr>
      <w:r>
        <w:rPr>
          <w:rFonts w:eastAsia="Times New Roman"/>
          <w:iCs/>
          <w:szCs w:val="22"/>
          <w:lang w:eastAsia="en-AU"/>
        </w:rPr>
        <w:t xml:space="preserve">As argued in </w:t>
      </w:r>
      <w:r w:rsidRPr="00E7731A">
        <w:rPr>
          <w:rFonts w:eastAsia="Times New Roman"/>
          <w:i/>
          <w:iCs/>
          <w:szCs w:val="22"/>
          <w:lang w:eastAsia="en-AU"/>
        </w:rPr>
        <w:t>Living Well</w:t>
      </w:r>
      <w:r>
        <w:rPr>
          <w:rFonts w:eastAsia="Times New Roman"/>
          <w:iCs/>
          <w:szCs w:val="22"/>
          <w:lang w:eastAsia="en-AU"/>
        </w:rPr>
        <w:t xml:space="preserve">, workforce participation is an essential part of the recovery journey for people with a mental illness. A job brings opportunities for social inclusion and financial independence, both of which support mental health. By contrast, unemployment can lead to social exclusion, economic disadvantage, poor mental </w:t>
      </w:r>
      <w:r w:rsidR="00345E89">
        <w:rPr>
          <w:rFonts w:eastAsia="Times New Roman"/>
          <w:iCs/>
          <w:szCs w:val="22"/>
          <w:lang w:eastAsia="en-AU"/>
        </w:rPr>
        <w:t>and</w:t>
      </w:r>
      <w:r>
        <w:rPr>
          <w:rFonts w:eastAsia="Times New Roman"/>
          <w:iCs/>
          <w:szCs w:val="22"/>
          <w:lang w:eastAsia="en-AU"/>
        </w:rPr>
        <w:t xml:space="preserve"> physical health and housing instability. The positive effects of participation in work have been well documented.</w:t>
      </w:r>
      <w:r w:rsidR="00DD6A3C">
        <w:rPr>
          <w:rStyle w:val="EndnoteReference"/>
          <w:rFonts w:eastAsia="Times New Roman"/>
          <w:iCs/>
          <w:szCs w:val="22"/>
          <w:lang w:eastAsia="en-AU"/>
        </w:rPr>
        <w:endnoteReference w:id="1"/>
      </w:r>
      <w:r>
        <w:rPr>
          <w:rFonts w:eastAsia="Times New Roman"/>
          <w:iCs/>
          <w:szCs w:val="22"/>
          <w:lang w:eastAsia="en-AU"/>
        </w:rPr>
        <w:t xml:space="preserve"> </w:t>
      </w:r>
      <w:r w:rsidR="009632CA">
        <w:rPr>
          <w:rFonts w:eastAsia="Times New Roman"/>
          <w:iCs/>
          <w:szCs w:val="22"/>
          <w:lang w:eastAsia="en-AU"/>
        </w:rPr>
        <w:t xml:space="preserve"> </w:t>
      </w:r>
    </w:p>
    <w:p w:rsidR="007E71DB" w:rsidRDefault="007E71DB">
      <w:pPr>
        <w:spacing w:after="200"/>
        <w:rPr>
          <w:rFonts w:eastAsia="Times New Roman"/>
          <w:iCs/>
          <w:szCs w:val="22"/>
          <w:lang w:eastAsia="en-AU"/>
        </w:rPr>
      </w:pPr>
      <w:r w:rsidRPr="007E71DB">
        <w:rPr>
          <w:rFonts w:eastAsia="Times New Roman"/>
          <w:i/>
          <w:iCs/>
          <w:szCs w:val="22"/>
          <w:lang w:eastAsia="en-AU"/>
        </w:rPr>
        <w:t>Living Well</w:t>
      </w:r>
      <w:r>
        <w:rPr>
          <w:rFonts w:eastAsia="Times New Roman"/>
          <w:iCs/>
          <w:szCs w:val="22"/>
          <w:lang w:eastAsia="en-AU"/>
        </w:rPr>
        <w:t xml:space="preserve"> notes that the barriers to workforce participation among people with mental illness </w:t>
      </w:r>
      <w:r w:rsidR="00345E89">
        <w:rPr>
          <w:rFonts w:eastAsia="Times New Roman"/>
          <w:iCs/>
          <w:szCs w:val="22"/>
          <w:lang w:eastAsia="en-AU"/>
        </w:rPr>
        <w:t>include</w:t>
      </w:r>
      <w:r>
        <w:rPr>
          <w:rFonts w:eastAsia="Times New Roman"/>
          <w:iCs/>
          <w:szCs w:val="22"/>
          <w:lang w:eastAsia="en-AU"/>
        </w:rPr>
        <w:t>: its episodic nature and the fear of losing income support and associate</w:t>
      </w:r>
      <w:r w:rsidR="00556D27">
        <w:rPr>
          <w:rFonts w:eastAsia="Times New Roman"/>
          <w:iCs/>
          <w:szCs w:val="22"/>
          <w:lang w:eastAsia="en-AU"/>
        </w:rPr>
        <w:t>d</w:t>
      </w:r>
      <w:r>
        <w:rPr>
          <w:rFonts w:eastAsia="Times New Roman"/>
          <w:iCs/>
          <w:szCs w:val="22"/>
          <w:lang w:eastAsia="en-AU"/>
        </w:rPr>
        <w:t xml:space="preserve"> </w:t>
      </w:r>
      <w:r w:rsidR="00345E89">
        <w:rPr>
          <w:rFonts w:eastAsia="Times New Roman"/>
          <w:iCs/>
          <w:szCs w:val="22"/>
          <w:lang w:eastAsia="en-AU"/>
        </w:rPr>
        <w:t>benefits</w:t>
      </w:r>
      <w:r>
        <w:rPr>
          <w:rFonts w:eastAsia="Times New Roman"/>
          <w:iCs/>
          <w:szCs w:val="22"/>
          <w:lang w:eastAsia="en-AU"/>
        </w:rPr>
        <w:t xml:space="preserve">; difficulties in accessing health, employment, rehabilitation and other services; unaddressed needs for continuing support; and stigma and discrimination. People with mental illness can also experience barriers to education and training. </w:t>
      </w:r>
    </w:p>
    <w:p w:rsidR="007E71DB" w:rsidRDefault="007E71DB">
      <w:pPr>
        <w:spacing w:after="200"/>
        <w:rPr>
          <w:rFonts w:eastAsia="Times New Roman"/>
          <w:iCs/>
          <w:szCs w:val="22"/>
          <w:lang w:eastAsia="en-AU"/>
        </w:rPr>
      </w:pPr>
      <w:r w:rsidRPr="007E71DB">
        <w:rPr>
          <w:rFonts w:eastAsia="Times New Roman"/>
          <w:i/>
          <w:iCs/>
          <w:szCs w:val="22"/>
          <w:lang w:eastAsia="en-AU"/>
        </w:rPr>
        <w:t>Living Well</w:t>
      </w:r>
      <w:r>
        <w:rPr>
          <w:rFonts w:eastAsia="Times New Roman"/>
          <w:iCs/>
          <w:szCs w:val="22"/>
          <w:lang w:eastAsia="en-AU"/>
        </w:rPr>
        <w:t xml:space="preserve"> </w:t>
      </w:r>
      <w:r w:rsidR="00556D27">
        <w:rPr>
          <w:rFonts w:eastAsia="Times New Roman"/>
          <w:iCs/>
          <w:szCs w:val="22"/>
          <w:lang w:eastAsia="en-AU"/>
        </w:rPr>
        <w:t xml:space="preserve">highlights </w:t>
      </w:r>
      <w:r>
        <w:rPr>
          <w:rFonts w:eastAsia="Times New Roman"/>
          <w:iCs/>
          <w:szCs w:val="22"/>
          <w:lang w:eastAsia="en-AU"/>
        </w:rPr>
        <w:t xml:space="preserve">the assistance provided by Commonwealth services such as Job Access and points to the opportunities for establishing and improving links among Commonwealth employment services and mental health services. In NSW there are some examples of partnerships between Disability Employment </w:t>
      </w:r>
      <w:r w:rsidR="00345E89">
        <w:rPr>
          <w:rFonts w:eastAsia="Times New Roman"/>
          <w:iCs/>
          <w:szCs w:val="22"/>
          <w:lang w:eastAsia="en-AU"/>
        </w:rPr>
        <w:t>Services</w:t>
      </w:r>
      <w:r>
        <w:rPr>
          <w:rFonts w:eastAsia="Times New Roman"/>
          <w:iCs/>
          <w:szCs w:val="22"/>
          <w:lang w:eastAsia="en-AU"/>
        </w:rPr>
        <w:t xml:space="preserve"> and NSW mental health services; these could be ramped up. </w:t>
      </w:r>
    </w:p>
    <w:p w:rsidR="007E71DB" w:rsidRDefault="007E71DB">
      <w:pPr>
        <w:spacing w:after="200"/>
        <w:rPr>
          <w:rFonts w:eastAsia="Times New Roman"/>
          <w:iCs/>
          <w:szCs w:val="22"/>
          <w:lang w:eastAsia="en-AU"/>
        </w:rPr>
      </w:pPr>
      <w:r>
        <w:rPr>
          <w:rFonts w:eastAsia="Times New Roman"/>
          <w:iCs/>
          <w:szCs w:val="22"/>
          <w:lang w:eastAsia="en-AU"/>
        </w:rPr>
        <w:lastRenderedPageBreak/>
        <w:t xml:space="preserve">Specifically </w:t>
      </w:r>
      <w:r w:rsidRPr="007E71DB">
        <w:rPr>
          <w:rFonts w:eastAsia="Times New Roman"/>
          <w:i/>
          <w:iCs/>
          <w:szCs w:val="22"/>
          <w:lang w:eastAsia="en-AU"/>
        </w:rPr>
        <w:t>Living Well</w:t>
      </w:r>
      <w:r>
        <w:rPr>
          <w:rFonts w:eastAsia="Times New Roman"/>
          <w:iCs/>
          <w:szCs w:val="22"/>
          <w:lang w:eastAsia="en-AU"/>
        </w:rPr>
        <w:t xml:space="preserve"> calls for the following actions in NSW in relation to the employment inclusion of people with mental illness. Commonwealth agencies and services are important partners in </w:t>
      </w:r>
      <w:r w:rsidR="00345E89">
        <w:rPr>
          <w:rFonts w:eastAsia="Times New Roman"/>
          <w:iCs/>
          <w:szCs w:val="22"/>
          <w:lang w:eastAsia="en-AU"/>
        </w:rPr>
        <w:t>realising</w:t>
      </w:r>
      <w:r>
        <w:rPr>
          <w:rFonts w:eastAsia="Times New Roman"/>
          <w:iCs/>
          <w:szCs w:val="22"/>
          <w:lang w:eastAsia="en-AU"/>
        </w:rPr>
        <w:t xml:space="preserve"> the vision of </w:t>
      </w:r>
      <w:r w:rsidRPr="007E71DB">
        <w:rPr>
          <w:rFonts w:eastAsia="Times New Roman"/>
          <w:i/>
          <w:iCs/>
          <w:szCs w:val="22"/>
          <w:lang w:eastAsia="en-AU"/>
        </w:rPr>
        <w:t>Living Well</w:t>
      </w:r>
      <w:r>
        <w:rPr>
          <w:rFonts w:eastAsia="Times New Roman"/>
          <w:iCs/>
          <w:szCs w:val="22"/>
          <w:lang w:eastAsia="en-AU"/>
        </w:rPr>
        <w:t xml:space="preserve">. </w:t>
      </w:r>
    </w:p>
    <w:p w:rsidR="007E71DB" w:rsidRDefault="007E71DB" w:rsidP="00473463">
      <w:pPr>
        <w:autoSpaceDE w:val="0"/>
        <w:autoSpaceDN w:val="0"/>
        <w:adjustRightInd w:val="0"/>
        <w:spacing w:after="200"/>
        <w:rPr>
          <w:rFonts w:ascii="Calibri" w:eastAsiaTheme="minorHAnsi" w:hAnsi="Calibri" w:cs="Calibri"/>
          <w:color w:val="000000"/>
          <w:szCs w:val="22"/>
        </w:rPr>
      </w:pPr>
      <w:r w:rsidRPr="007E71DB">
        <w:rPr>
          <w:rFonts w:ascii="Calibri" w:eastAsiaTheme="minorHAnsi" w:hAnsi="Calibri" w:cs="Calibri"/>
          <w:b/>
          <w:bCs/>
          <w:color w:val="000000"/>
          <w:szCs w:val="22"/>
        </w:rPr>
        <w:t xml:space="preserve">3.5.1 </w:t>
      </w:r>
      <w:r w:rsidRPr="007E71DB">
        <w:rPr>
          <w:rFonts w:ascii="Calibri" w:eastAsiaTheme="minorHAnsi" w:hAnsi="Calibri" w:cs="Calibri"/>
          <w:color w:val="000000"/>
          <w:szCs w:val="22"/>
        </w:rPr>
        <w:t xml:space="preserve">Explore the potential to reduce stigma in the workplace by developing a network of ambassadors who work at various levels across a range of agencies and industries and have a lived experience of mental illness. </w:t>
      </w:r>
    </w:p>
    <w:p w:rsidR="007E71DB" w:rsidRPr="007E71DB" w:rsidRDefault="007E71DB" w:rsidP="00473463">
      <w:pPr>
        <w:autoSpaceDE w:val="0"/>
        <w:autoSpaceDN w:val="0"/>
        <w:adjustRightInd w:val="0"/>
        <w:spacing w:after="115"/>
        <w:rPr>
          <w:rFonts w:ascii="Calibri" w:eastAsiaTheme="minorHAnsi" w:hAnsi="Calibri" w:cs="Calibri"/>
          <w:color w:val="000000"/>
          <w:szCs w:val="22"/>
        </w:rPr>
      </w:pPr>
      <w:r w:rsidRPr="007E71DB">
        <w:rPr>
          <w:rFonts w:ascii="Calibri" w:eastAsiaTheme="minorHAnsi" w:hAnsi="Calibri" w:cs="Calibri"/>
          <w:b/>
          <w:bCs/>
          <w:color w:val="000000"/>
          <w:szCs w:val="22"/>
        </w:rPr>
        <w:t xml:space="preserve">3.5.2 </w:t>
      </w:r>
      <w:r w:rsidRPr="007E71DB">
        <w:rPr>
          <w:rFonts w:ascii="Calibri" w:eastAsiaTheme="minorHAnsi" w:hAnsi="Calibri" w:cs="Calibri"/>
          <w:color w:val="000000"/>
          <w:szCs w:val="22"/>
        </w:rPr>
        <w:t xml:space="preserve">Support the recruitment and retention of people who experience mental illness including: </w:t>
      </w:r>
    </w:p>
    <w:p w:rsidR="007E71DB" w:rsidRPr="007E71DB" w:rsidRDefault="007E71DB" w:rsidP="00473463">
      <w:pPr>
        <w:autoSpaceDE w:val="0"/>
        <w:autoSpaceDN w:val="0"/>
        <w:adjustRightInd w:val="0"/>
        <w:spacing w:after="200"/>
        <w:ind w:left="720"/>
        <w:rPr>
          <w:rFonts w:ascii="Calibri" w:eastAsiaTheme="minorHAnsi" w:hAnsi="Calibri" w:cs="Calibri"/>
          <w:color w:val="000000"/>
          <w:szCs w:val="22"/>
        </w:rPr>
      </w:pPr>
      <w:r w:rsidRPr="007E71DB">
        <w:rPr>
          <w:rFonts w:ascii="Courier New" w:eastAsiaTheme="minorHAnsi" w:hAnsi="Courier New" w:cs="Courier New"/>
          <w:color w:val="000000"/>
          <w:szCs w:val="22"/>
        </w:rPr>
        <w:t xml:space="preserve">- </w:t>
      </w:r>
      <w:r w:rsidRPr="007E71DB">
        <w:rPr>
          <w:rFonts w:ascii="Calibri" w:eastAsiaTheme="minorHAnsi" w:hAnsi="Calibri" w:cs="Calibri"/>
          <w:color w:val="000000"/>
          <w:szCs w:val="22"/>
        </w:rPr>
        <w:t xml:space="preserve">Commonwealth-funded programs that provide tailored advice and support to managers and employees where an employee requires support to gain or retain employment </w:t>
      </w:r>
    </w:p>
    <w:p w:rsidR="00556D27" w:rsidRDefault="007E71DB" w:rsidP="00473463">
      <w:pPr>
        <w:autoSpaceDE w:val="0"/>
        <w:autoSpaceDN w:val="0"/>
        <w:adjustRightInd w:val="0"/>
        <w:spacing w:after="200"/>
        <w:ind w:left="720"/>
        <w:rPr>
          <w:rFonts w:ascii="Calibri" w:eastAsiaTheme="minorHAnsi" w:hAnsi="Calibri" w:cs="Calibri"/>
          <w:color w:val="000000"/>
          <w:szCs w:val="22"/>
        </w:rPr>
      </w:pPr>
      <w:r w:rsidRPr="007E71DB">
        <w:rPr>
          <w:rFonts w:ascii="Courier New" w:eastAsiaTheme="minorHAnsi" w:hAnsi="Courier New" w:cs="Courier New"/>
          <w:color w:val="000000"/>
          <w:szCs w:val="22"/>
        </w:rPr>
        <w:t xml:space="preserve">- </w:t>
      </w:r>
      <w:r w:rsidRPr="007E71DB">
        <w:rPr>
          <w:rFonts w:ascii="Calibri" w:eastAsiaTheme="minorHAnsi" w:hAnsi="Calibri" w:cs="Calibri"/>
          <w:color w:val="000000"/>
          <w:szCs w:val="22"/>
        </w:rPr>
        <w:t xml:space="preserve">Resources that provide advice to public sector agencies about workplace adjustments and other considerations for managing employees who experience mental illness. </w:t>
      </w:r>
    </w:p>
    <w:p w:rsidR="007E71DB" w:rsidRPr="007E71DB" w:rsidRDefault="007E71DB" w:rsidP="00556D27">
      <w:pPr>
        <w:autoSpaceDE w:val="0"/>
        <w:autoSpaceDN w:val="0"/>
        <w:adjustRightInd w:val="0"/>
        <w:spacing w:after="200"/>
        <w:rPr>
          <w:rFonts w:ascii="Calibri" w:eastAsiaTheme="minorHAnsi" w:hAnsi="Calibri" w:cs="Calibri"/>
          <w:color w:val="000000"/>
          <w:szCs w:val="22"/>
        </w:rPr>
      </w:pPr>
      <w:r w:rsidRPr="007E71DB">
        <w:rPr>
          <w:rFonts w:ascii="Calibri" w:eastAsiaTheme="minorHAnsi" w:hAnsi="Calibri" w:cs="Calibri"/>
          <w:b/>
          <w:bCs/>
          <w:color w:val="000000"/>
          <w:szCs w:val="22"/>
        </w:rPr>
        <w:t xml:space="preserve">3.5.3 </w:t>
      </w:r>
      <w:r w:rsidRPr="007E71DB">
        <w:rPr>
          <w:rFonts w:ascii="Calibri" w:eastAsiaTheme="minorHAnsi" w:hAnsi="Calibri" w:cs="Calibri"/>
          <w:color w:val="000000"/>
          <w:szCs w:val="22"/>
        </w:rPr>
        <w:t xml:space="preserve">Ensure that public sector reforms increase workforce participation among people with a mental illness through explicit consideration of this population in agency workforce planning. This planning should ensure agencies are equipped to sensitively and appropriately manage employees who experience transient periods of mental illness. </w:t>
      </w:r>
    </w:p>
    <w:p w:rsidR="007E71DB" w:rsidRDefault="007E71DB" w:rsidP="00473463">
      <w:pPr>
        <w:autoSpaceDE w:val="0"/>
        <w:autoSpaceDN w:val="0"/>
        <w:adjustRightInd w:val="0"/>
        <w:spacing w:after="200"/>
        <w:rPr>
          <w:rFonts w:ascii="Calibri" w:eastAsiaTheme="minorHAnsi" w:hAnsi="Calibri" w:cs="Calibri"/>
          <w:b/>
          <w:bCs/>
          <w:color w:val="000000"/>
          <w:szCs w:val="22"/>
        </w:rPr>
      </w:pPr>
      <w:r w:rsidRPr="007E71DB">
        <w:rPr>
          <w:rFonts w:ascii="Calibri" w:eastAsiaTheme="minorHAnsi" w:hAnsi="Calibri" w:cs="Calibri"/>
          <w:b/>
          <w:bCs/>
          <w:color w:val="000000"/>
          <w:szCs w:val="22"/>
        </w:rPr>
        <w:t xml:space="preserve">3.5.4 </w:t>
      </w:r>
      <w:r w:rsidRPr="007E71DB">
        <w:rPr>
          <w:rFonts w:ascii="Calibri" w:eastAsiaTheme="minorHAnsi" w:hAnsi="Calibri" w:cs="Calibri"/>
          <w:color w:val="000000"/>
          <w:szCs w:val="22"/>
        </w:rPr>
        <w:t xml:space="preserve">Improve the collection of data that relates specifically to employees who experience mental illness. This should include efforts to increase self-reporting among employees who experience transient, episodic or continuing mental illness. The Public Service Commission’s People Matter Employee Survey is one example of how this might be done. </w:t>
      </w:r>
    </w:p>
    <w:p w:rsidR="007E71DB" w:rsidRDefault="007E71DB" w:rsidP="00473463">
      <w:pPr>
        <w:autoSpaceDE w:val="0"/>
        <w:autoSpaceDN w:val="0"/>
        <w:adjustRightInd w:val="0"/>
        <w:spacing w:after="200"/>
        <w:rPr>
          <w:rFonts w:ascii="Calibri" w:eastAsiaTheme="minorHAnsi" w:hAnsi="Calibri" w:cs="Calibri"/>
          <w:b/>
          <w:bCs/>
          <w:color w:val="000000"/>
          <w:szCs w:val="22"/>
        </w:rPr>
      </w:pPr>
      <w:r w:rsidRPr="007E71DB">
        <w:rPr>
          <w:rFonts w:ascii="Calibri" w:eastAsiaTheme="minorHAnsi" w:hAnsi="Calibri" w:cs="Calibri"/>
          <w:b/>
          <w:bCs/>
          <w:color w:val="000000"/>
          <w:szCs w:val="22"/>
        </w:rPr>
        <w:t xml:space="preserve">3.5.5 </w:t>
      </w:r>
      <w:r w:rsidRPr="007E71DB">
        <w:rPr>
          <w:rFonts w:ascii="Calibri" w:eastAsiaTheme="minorHAnsi" w:hAnsi="Calibri" w:cs="Calibri"/>
          <w:color w:val="000000"/>
          <w:szCs w:val="22"/>
        </w:rPr>
        <w:t xml:space="preserve">Ensure that agencies that provide services to people who experience mental illness, whether directly or through the community-managed sector, respond to the individual aspirations of clients living with a mental illness for education, training and employment, including through referral to Commonwealth-funded employment services. </w:t>
      </w:r>
    </w:p>
    <w:p w:rsidR="007E71DB" w:rsidRPr="007E71DB" w:rsidRDefault="007E71DB" w:rsidP="00473463">
      <w:pPr>
        <w:autoSpaceDE w:val="0"/>
        <w:autoSpaceDN w:val="0"/>
        <w:adjustRightInd w:val="0"/>
        <w:spacing w:after="0"/>
        <w:rPr>
          <w:rFonts w:ascii="Calibri" w:eastAsiaTheme="minorHAnsi" w:hAnsi="Calibri" w:cs="Calibri"/>
          <w:color w:val="000000"/>
          <w:szCs w:val="22"/>
        </w:rPr>
      </w:pPr>
      <w:r w:rsidRPr="007E71DB">
        <w:rPr>
          <w:rFonts w:ascii="Calibri" w:eastAsiaTheme="minorHAnsi" w:hAnsi="Calibri" w:cs="Calibri"/>
          <w:b/>
          <w:bCs/>
          <w:color w:val="000000"/>
          <w:szCs w:val="22"/>
        </w:rPr>
        <w:t xml:space="preserve">3.5.6 </w:t>
      </w:r>
      <w:r w:rsidRPr="007E71DB">
        <w:rPr>
          <w:rFonts w:ascii="Calibri" w:eastAsiaTheme="minorHAnsi" w:hAnsi="Calibri" w:cs="Calibri"/>
          <w:color w:val="000000"/>
          <w:szCs w:val="22"/>
        </w:rPr>
        <w:t xml:space="preserve">Develop a better understanding of the economic impact on NSW associated with mental illness in the workplace (including absenteeism and presenteeism) and under-employment. </w:t>
      </w:r>
    </w:p>
    <w:p w:rsidR="007E71DB" w:rsidRPr="007E71DB" w:rsidRDefault="007E71DB" w:rsidP="007E71DB">
      <w:pPr>
        <w:autoSpaceDE w:val="0"/>
        <w:autoSpaceDN w:val="0"/>
        <w:adjustRightInd w:val="0"/>
        <w:spacing w:after="0" w:line="240" w:lineRule="auto"/>
        <w:rPr>
          <w:rFonts w:ascii="Calibri" w:eastAsiaTheme="minorHAnsi" w:hAnsi="Calibri" w:cs="Calibri"/>
          <w:color w:val="000000"/>
          <w:szCs w:val="22"/>
        </w:rPr>
      </w:pPr>
    </w:p>
    <w:p w:rsidR="007E71DB" w:rsidRDefault="00E022C3">
      <w:pPr>
        <w:spacing w:after="200"/>
        <w:rPr>
          <w:rFonts w:eastAsia="Times" w:cstheme="minorHAnsi"/>
          <w:b/>
          <w:color w:val="F46A3A"/>
          <w:kern w:val="32"/>
          <w:sz w:val="32"/>
          <w:lang w:eastAsia="en-AU"/>
        </w:rPr>
      </w:pPr>
      <w:r>
        <w:rPr>
          <w:rFonts w:eastAsia="Times" w:cstheme="minorHAnsi"/>
          <w:b/>
          <w:color w:val="F46A3A"/>
          <w:kern w:val="32"/>
          <w:sz w:val="32"/>
          <w:lang w:eastAsia="en-AU"/>
        </w:rPr>
        <w:t xml:space="preserve">Data - </w:t>
      </w:r>
      <w:r w:rsidR="00473463" w:rsidRPr="00473463">
        <w:rPr>
          <w:rFonts w:eastAsia="Times" w:cstheme="minorHAnsi"/>
          <w:b/>
          <w:color w:val="F46A3A"/>
          <w:kern w:val="32"/>
          <w:sz w:val="32"/>
          <w:lang w:eastAsia="en-AU"/>
        </w:rPr>
        <w:t>Employment Exclusion of People with Mental Illness</w:t>
      </w:r>
    </w:p>
    <w:p w:rsidR="00DD3976" w:rsidRDefault="00DD3976" w:rsidP="00E022C3">
      <w:pPr>
        <w:spacing w:after="200"/>
        <w:rPr>
          <w:rFonts w:ascii="Calibri" w:eastAsiaTheme="minorHAnsi" w:hAnsi="Calibri" w:cs="Calibri"/>
          <w:color w:val="000000"/>
          <w:szCs w:val="22"/>
        </w:rPr>
      </w:pPr>
      <w:r w:rsidRPr="00DD3976">
        <w:rPr>
          <w:rFonts w:ascii="Calibri" w:eastAsiaTheme="minorHAnsi" w:hAnsi="Calibri" w:cs="Calibri"/>
          <w:color w:val="000000"/>
          <w:szCs w:val="22"/>
        </w:rPr>
        <w:lastRenderedPageBreak/>
        <w:t xml:space="preserve">The Australian Bureau of Statistics (ABS) reports that in 2012 the labour force participation rate </w:t>
      </w:r>
      <w:r w:rsidR="00345E89" w:rsidRPr="00DD3976">
        <w:rPr>
          <w:rFonts w:ascii="Calibri" w:eastAsiaTheme="minorHAnsi" w:hAnsi="Calibri" w:cs="Calibri"/>
          <w:color w:val="000000"/>
          <w:szCs w:val="22"/>
        </w:rPr>
        <w:t>for people</w:t>
      </w:r>
      <w:r w:rsidRPr="00DD3976">
        <w:rPr>
          <w:rFonts w:ascii="Calibri" w:eastAsiaTheme="minorHAnsi" w:hAnsi="Calibri" w:cs="Calibri"/>
          <w:color w:val="000000"/>
          <w:szCs w:val="22"/>
        </w:rPr>
        <w:t xml:space="preserve"> with disability was 52.8%, compared with 82.5% for people without disability. People with</w:t>
      </w:r>
      <w:r>
        <w:rPr>
          <w:rFonts w:ascii="Calibri" w:eastAsiaTheme="minorHAnsi" w:hAnsi="Calibri" w:cs="Calibri"/>
          <w:color w:val="000000"/>
          <w:szCs w:val="22"/>
        </w:rPr>
        <w:t xml:space="preserve"> </w:t>
      </w:r>
      <w:r w:rsidRPr="00DD3976">
        <w:rPr>
          <w:rFonts w:ascii="Calibri" w:eastAsiaTheme="minorHAnsi" w:hAnsi="Calibri" w:cs="Calibri"/>
          <w:color w:val="000000"/>
          <w:szCs w:val="22"/>
        </w:rPr>
        <w:t>psychological disability had a labour force participation rate of 29.1%. Many of</w:t>
      </w:r>
      <w:r>
        <w:rPr>
          <w:rFonts w:ascii="Calibri" w:eastAsiaTheme="minorHAnsi" w:hAnsi="Calibri" w:cs="Calibri"/>
          <w:color w:val="000000"/>
          <w:szCs w:val="22"/>
        </w:rPr>
        <w:t xml:space="preserve"> </w:t>
      </w:r>
      <w:r w:rsidRPr="00DD3976">
        <w:rPr>
          <w:rFonts w:ascii="Calibri" w:eastAsiaTheme="minorHAnsi" w:hAnsi="Calibri" w:cs="Calibri"/>
          <w:color w:val="000000"/>
          <w:szCs w:val="22"/>
        </w:rPr>
        <w:t>the people with psychological disability who are looking for work cannot find it; their rate of</w:t>
      </w:r>
      <w:r>
        <w:rPr>
          <w:rFonts w:ascii="Calibri" w:eastAsiaTheme="minorHAnsi" w:hAnsi="Calibri" w:cs="Calibri"/>
          <w:color w:val="000000"/>
          <w:szCs w:val="22"/>
        </w:rPr>
        <w:t xml:space="preserve"> </w:t>
      </w:r>
      <w:r w:rsidRPr="00DD3976">
        <w:rPr>
          <w:rFonts w:ascii="Calibri" w:eastAsiaTheme="minorHAnsi" w:hAnsi="Calibri" w:cs="Calibri"/>
          <w:color w:val="000000"/>
          <w:szCs w:val="22"/>
        </w:rPr>
        <w:t>unemployment is 20.4%.</w:t>
      </w:r>
      <w:r>
        <w:rPr>
          <w:rStyle w:val="EndnoteReference"/>
          <w:rFonts w:ascii="Calibri" w:eastAsiaTheme="minorHAnsi" w:hAnsi="Calibri" w:cs="Calibri"/>
          <w:color w:val="000000"/>
          <w:szCs w:val="22"/>
        </w:rPr>
        <w:endnoteReference w:id="2"/>
      </w:r>
      <w:r>
        <w:rPr>
          <w:rFonts w:ascii="Calibri" w:eastAsiaTheme="minorHAnsi" w:hAnsi="Calibri" w:cs="Calibri"/>
          <w:color w:val="000000"/>
          <w:szCs w:val="22"/>
        </w:rPr>
        <w:t xml:space="preserve"> </w:t>
      </w:r>
    </w:p>
    <w:p w:rsidR="005444F0" w:rsidRPr="00DD3976" w:rsidRDefault="005444F0" w:rsidP="00E022C3">
      <w:pPr>
        <w:spacing w:after="200"/>
        <w:rPr>
          <w:rFonts w:ascii="Calibri" w:eastAsiaTheme="minorHAnsi" w:hAnsi="Calibri" w:cs="Calibri"/>
          <w:color w:val="000000"/>
          <w:szCs w:val="22"/>
        </w:rPr>
      </w:pPr>
      <w:r>
        <w:rPr>
          <w:rFonts w:ascii="Calibri" w:eastAsiaTheme="minorHAnsi" w:hAnsi="Calibri" w:cs="Calibri"/>
          <w:color w:val="000000"/>
          <w:szCs w:val="22"/>
        </w:rPr>
        <w:t xml:space="preserve">The data collected by the Australian Bureau of Statistics could be used fruitfully in designing supported employment services for people with mental illness. </w:t>
      </w:r>
      <w:r w:rsidR="006A25B2">
        <w:rPr>
          <w:rFonts w:ascii="Calibri" w:eastAsiaTheme="minorHAnsi" w:hAnsi="Calibri" w:cs="Calibri"/>
          <w:color w:val="000000"/>
          <w:szCs w:val="22"/>
        </w:rPr>
        <w:t>For example we know that many people with psychological disability who work would like to work more</w:t>
      </w:r>
      <w:r w:rsidR="006A25B2">
        <w:rPr>
          <w:rStyle w:val="EndnoteReference"/>
          <w:rFonts w:ascii="Calibri" w:eastAsiaTheme="minorHAnsi" w:hAnsi="Calibri" w:cs="Calibri"/>
          <w:color w:val="000000"/>
          <w:szCs w:val="22"/>
        </w:rPr>
        <w:endnoteReference w:id="3"/>
      </w:r>
      <w:r w:rsidR="006A25B2">
        <w:rPr>
          <w:rFonts w:ascii="Calibri" w:eastAsiaTheme="minorHAnsi" w:hAnsi="Calibri" w:cs="Calibri"/>
          <w:color w:val="000000"/>
          <w:szCs w:val="22"/>
        </w:rPr>
        <w:t xml:space="preserve"> and employment supports </w:t>
      </w:r>
      <w:r w:rsidR="00345E89">
        <w:rPr>
          <w:rFonts w:ascii="Calibri" w:eastAsiaTheme="minorHAnsi" w:hAnsi="Calibri" w:cs="Calibri"/>
          <w:color w:val="000000"/>
          <w:szCs w:val="22"/>
        </w:rPr>
        <w:t>should</w:t>
      </w:r>
      <w:r w:rsidR="006A25B2">
        <w:rPr>
          <w:rFonts w:ascii="Calibri" w:eastAsiaTheme="minorHAnsi" w:hAnsi="Calibri" w:cs="Calibri"/>
          <w:color w:val="000000"/>
          <w:szCs w:val="22"/>
        </w:rPr>
        <w:t xml:space="preserve"> be available to help people realise this goal. The data collected includes </w:t>
      </w:r>
      <w:r w:rsidR="00345E89">
        <w:rPr>
          <w:rFonts w:ascii="Calibri" w:eastAsiaTheme="minorHAnsi" w:hAnsi="Calibri" w:cs="Calibri"/>
          <w:color w:val="000000"/>
          <w:szCs w:val="22"/>
        </w:rPr>
        <w:t>some</w:t>
      </w:r>
      <w:r w:rsidR="006A25B2">
        <w:rPr>
          <w:rFonts w:ascii="Calibri" w:eastAsiaTheme="minorHAnsi" w:hAnsi="Calibri" w:cs="Calibri"/>
          <w:color w:val="000000"/>
          <w:szCs w:val="22"/>
        </w:rPr>
        <w:t xml:space="preserve"> basic information on adjustments </w:t>
      </w:r>
      <w:r w:rsidR="00345E89">
        <w:rPr>
          <w:rFonts w:ascii="Calibri" w:eastAsiaTheme="minorHAnsi" w:hAnsi="Calibri" w:cs="Calibri"/>
          <w:color w:val="000000"/>
          <w:szCs w:val="22"/>
        </w:rPr>
        <w:t>required</w:t>
      </w:r>
      <w:r w:rsidR="006A25B2">
        <w:rPr>
          <w:rFonts w:ascii="Calibri" w:eastAsiaTheme="minorHAnsi" w:hAnsi="Calibri" w:cs="Calibri"/>
          <w:color w:val="000000"/>
          <w:szCs w:val="22"/>
        </w:rPr>
        <w:t xml:space="preserve"> in the workplace by people with psychological disability. This information, in </w:t>
      </w:r>
      <w:r w:rsidR="00345E89">
        <w:rPr>
          <w:rFonts w:ascii="Calibri" w:eastAsiaTheme="minorHAnsi" w:hAnsi="Calibri" w:cs="Calibri"/>
          <w:color w:val="000000"/>
          <w:szCs w:val="22"/>
        </w:rPr>
        <w:t>c</w:t>
      </w:r>
      <w:r w:rsidR="006A25B2">
        <w:rPr>
          <w:rFonts w:ascii="Calibri" w:eastAsiaTheme="minorHAnsi" w:hAnsi="Calibri" w:cs="Calibri"/>
          <w:color w:val="000000"/>
          <w:szCs w:val="22"/>
        </w:rPr>
        <w:t>onjun</w:t>
      </w:r>
      <w:r w:rsidR="00345E89">
        <w:rPr>
          <w:rFonts w:ascii="Calibri" w:eastAsiaTheme="minorHAnsi" w:hAnsi="Calibri" w:cs="Calibri"/>
          <w:color w:val="000000"/>
          <w:szCs w:val="22"/>
        </w:rPr>
        <w:t>c</w:t>
      </w:r>
      <w:r w:rsidR="006A25B2">
        <w:rPr>
          <w:rFonts w:ascii="Calibri" w:eastAsiaTheme="minorHAnsi" w:hAnsi="Calibri" w:cs="Calibri"/>
          <w:color w:val="000000"/>
          <w:szCs w:val="22"/>
        </w:rPr>
        <w:t>tion with information collected by the DES providers</w:t>
      </w:r>
      <w:r w:rsidR="00556D27">
        <w:rPr>
          <w:rFonts w:ascii="Calibri" w:eastAsiaTheme="minorHAnsi" w:hAnsi="Calibri" w:cs="Calibri"/>
          <w:color w:val="000000"/>
          <w:szCs w:val="22"/>
        </w:rPr>
        <w:t>,</w:t>
      </w:r>
      <w:r w:rsidR="006A25B2">
        <w:rPr>
          <w:rFonts w:ascii="Calibri" w:eastAsiaTheme="minorHAnsi" w:hAnsi="Calibri" w:cs="Calibri"/>
          <w:color w:val="000000"/>
          <w:szCs w:val="22"/>
        </w:rPr>
        <w:t xml:space="preserve"> could be used to communicate to employers areas to address to meet their disability discrimination requirements, and good practical ideas o</w:t>
      </w:r>
      <w:r w:rsidR="00556D27">
        <w:rPr>
          <w:rFonts w:ascii="Calibri" w:eastAsiaTheme="minorHAnsi" w:hAnsi="Calibri" w:cs="Calibri"/>
          <w:color w:val="000000"/>
          <w:szCs w:val="22"/>
        </w:rPr>
        <w:t>f</w:t>
      </w:r>
      <w:r w:rsidR="006A25B2">
        <w:rPr>
          <w:rFonts w:ascii="Calibri" w:eastAsiaTheme="minorHAnsi" w:hAnsi="Calibri" w:cs="Calibri"/>
          <w:color w:val="000000"/>
          <w:szCs w:val="22"/>
        </w:rPr>
        <w:t xml:space="preserve"> the types of reasonable adjustments that create accessible </w:t>
      </w:r>
      <w:r w:rsidR="00345E89">
        <w:rPr>
          <w:rFonts w:ascii="Calibri" w:eastAsiaTheme="minorHAnsi" w:hAnsi="Calibri" w:cs="Calibri"/>
          <w:color w:val="000000"/>
          <w:szCs w:val="22"/>
        </w:rPr>
        <w:t>workplaces</w:t>
      </w:r>
      <w:r w:rsidR="006A25B2">
        <w:rPr>
          <w:rFonts w:ascii="Calibri" w:eastAsiaTheme="minorHAnsi" w:hAnsi="Calibri" w:cs="Calibri"/>
          <w:color w:val="000000"/>
          <w:szCs w:val="22"/>
        </w:rPr>
        <w:t xml:space="preserve"> for people with mental illness. </w:t>
      </w:r>
    </w:p>
    <w:p w:rsidR="00E356E2" w:rsidRDefault="00E356E2">
      <w:pPr>
        <w:spacing w:after="200"/>
        <w:rPr>
          <w:rFonts w:eastAsia="Times" w:cstheme="minorHAnsi"/>
          <w:b/>
          <w:color w:val="F46A3A"/>
          <w:kern w:val="32"/>
          <w:sz w:val="32"/>
          <w:lang w:eastAsia="en-AU"/>
        </w:rPr>
      </w:pPr>
      <w:r>
        <w:rPr>
          <w:rFonts w:eastAsia="Times" w:cstheme="minorHAnsi"/>
          <w:b/>
          <w:color w:val="F46A3A"/>
          <w:kern w:val="32"/>
          <w:sz w:val="32"/>
          <w:lang w:eastAsia="en-AU"/>
        </w:rPr>
        <w:br w:type="page"/>
      </w:r>
    </w:p>
    <w:p w:rsidR="006C459B" w:rsidRPr="006C459B" w:rsidRDefault="006C459B">
      <w:pPr>
        <w:spacing w:after="200"/>
        <w:rPr>
          <w:rFonts w:eastAsia="Times" w:cstheme="minorHAnsi"/>
          <w:b/>
          <w:color w:val="F46A3A"/>
          <w:kern w:val="32"/>
          <w:sz w:val="32"/>
          <w:lang w:eastAsia="en-AU"/>
        </w:rPr>
      </w:pPr>
      <w:r w:rsidRPr="006C459B">
        <w:rPr>
          <w:rFonts w:eastAsia="Times" w:cstheme="minorHAnsi"/>
          <w:b/>
          <w:color w:val="F46A3A"/>
          <w:kern w:val="32"/>
          <w:sz w:val="32"/>
          <w:lang w:eastAsia="en-AU"/>
        </w:rPr>
        <w:lastRenderedPageBreak/>
        <w:t>Proposed changes to DES</w:t>
      </w:r>
    </w:p>
    <w:p w:rsidR="006C459B" w:rsidRDefault="006C459B">
      <w:pPr>
        <w:spacing w:after="200"/>
        <w:rPr>
          <w:rFonts w:ascii="Calibri" w:eastAsiaTheme="minorHAnsi" w:hAnsi="Calibri" w:cs="Calibri"/>
          <w:color w:val="000000"/>
          <w:szCs w:val="22"/>
        </w:rPr>
      </w:pPr>
      <w:r w:rsidRPr="006C459B">
        <w:rPr>
          <w:rFonts w:ascii="Calibri" w:eastAsiaTheme="minorHAnsi" w:hAnsi="Calibri" w:cs="Calibri"/>
          <w:color w:val="000000"/>
          <w:szCs w:val="22"/>
        </w:rPr>
        <w:t xml:space="preserve">In considering the specific proposed changes to the DES system, the NSW Mental Health Commission </w:t>
      </w:r>
      <w:r w:rsidR="006A2EDD">
        <w:rPr>
          <w:rFonts w:ascii="Calibri" w:eastAsiaTheme="minorHAnsi" w:hAnsi="Calibri" w:cs="Calibri"/>
          <w:color w:val="000000"/>
          <w:szCs w:val="22"/>
        </w:rPr>
        <w:t>supports</w:t>
      </w:r>
      <w:r w:rsidRPr="006C459B">
        <w:rPr>
          <w:rFonts w:ascii="Calibri" w:eastAsiaTheme="minorHAnsi" w:hAnsi="Calibri" w:cs="Calibri"/>
          <w:color w:val="000000"/>
          <w:szCs w:val="22"/>
        </w:rPr>
        <w:t xml:space="preserve"> those recommendations arising from the Australian Human Right’s Commission’s Willing to Work inquiry: </w:t>
      </w:r>
    </w:p>
    <w:p w:rsidR="006C459B" w:rsidRPr="006C459B" w:rsidRDefault="006C459B" w:rsidP="006C459B">
      <w:pPr>
        <w:autoSpaceDE w:val="0"/>
        <w:autoSpaceDN w:val="0"/>
        <w:adjustRightInd w:val="0"/>
        <w:spacing w:after="120" w:line="23" w:lineRule="atLeast"/>
        <w:rPr>
          <w:rFonts w:ascii="Calibri" w:eastAsiaTheme="minorHAnsi" w:hAnsi="Calibri" w:cs="Calibri"/>
          <w:i/>
          <w:color w:val="000000"/>
          <w:szCs w:val="22"/>
        </w:rPr>
      </w:pPr>
      <w:r>
        <w:rPr>
          <w:rFonts w:ascii="Calibri" w:eastAsiaTheme="minorHAnsi" w:hAnsi="Calibri" w:cs="Calibri"/>
          <w:i/>
          <w:color w:val="000000"/>
          <w:szCs w:val="22"/>
        </w:rPr>
        <w:t>“</w:t>
      </w:r>
      <w:r w:rsidRPr="006C459B">
        <w:rPr>
          <w:rFonts w:ascii="Calibri" w:eastAsiaTheme="minorHAnsi" w:hAnsi="Calibri" w:cs="Calibri"/>
          <w:i/>
          <w:color w:val="000000"/>
          <w:szCs w:val="22"/>
        </w:rPr>
        <w:t xml:space="preserve">Recommendation 38: That the following principles underpin reform of the DES system: </w:t>
      </w:r>
    </w:p>
    <w:p w:rsidR="006C459B" w:rsidRPr="006C459B" w:rsidRDefault="006C459B" w:rsidP="006C459B">
      <w:pPr>
        <w:numPr>
          <w:ilvl w:val="0"/>
          <w:numId w:val="6"/>
        </w:numPr>
        <w:autoSpaceDE w:val="0"/>
        <w:autoSpaceDN w:val="0"/>
        <w:adjustRightInd w:val="0"/>
        <w:spacing w:after="120" w:line="23" w:lineRule="atLeast"/>
        <w:ind w:left="567" w:hanging="567"/>
        <w:rPr>
          <w:rFonts w:ascii="Calibri" w:eastAsiaTheme="minorHAnsi" w:hAnsi="Calibri" w:cs="Calibri"/>
          <w:i/>
          <w:color w:val="000000"/>
          <w:szCs w:val="22"/>
        </w:rPr>
      </w:pPr>
      <w:r w:rsidRPr="006C459B">
        <w:rPr>
          <w:rFonts w:ascii="Calibri" w:eastAsiaTheme="minorHAnsi" w:hAnsi="Calibri" w:cs="Calibri"/>
          <w:i/>
          <w:color w:val="000000"/>
          <w:szCs w:val="22"/>
        </w:rPr>
        <w:t xml:space="preserve">- Outcome Payments should be linked to longer-term outcomes (for example, 12 to 18 months in a job rather than three to six months). </w:t>
      </w:r>
    </w:p>
    <w:p w:rsidR="006C459B" w:rsidRPr="006C459B" w:rsidRDefault="006C459B" w:rsidP="006C459B">
      <w:pPr>
        <w:numPr>
          <w:ilvl w:val="0"/>
          <w:numId w:val="6"/>
        </w:numPr>
        <w:autoSpaceDE w:val="0"/>
        <w:autoSpaceDN w:val="0"/>
        <w:adjustRightInd w:val="0"/>
        <w:spacing w:after="120" w:line="23" w:lineRule="atLeast"/>
        <w:ind w:left="567" w:hanging="567"/>
        <w:rPr>
          <w:rFonts w:ascii="Calibri" w:eastAsiaTheme="minorHAnsi" w:hAnsi="Calibri" w:cs="Calibri"/>
          <w:i/>
          <w:color w:val="000000"/>
          <w:szCs w:val="22"/>
        </w:rPr>
      </w:pPr>
      <w:r w:rsidRPr="006C459B">
        <w:rPr>
          <w:rFonts w:ascii="Calibri" w:eastAsiaTheme="minorHAnsi" w:hAnsi="Calibri" w:cs="Calibri"/>
          <w:i/>
          <w:color w:val="000000"/>
          <w:szCs w:val="22"/>
        </w:rPr>
        <w:t xml:space="preserve">- Star Ratings should be linked to the achievement of longer-term outcomes to ensure accountability. </w:t>
      </w:r>
    </w:p>
    <w:p w:rsidR="006C459B" w:rsidRPr="006C459B" w:rsidRDefault="006C459B" w:rsidP="006C459B">
      <w:pPr>
        <w:numPr>
          <w:ilvl w:val="0"/>
          <w:numId w:val="6"/>
        </w:numPr>
        <w:autoSpaceDE w:val="0"/>
        <w:autoSpaceDN w:val="0"/>
        <w:adjustRightInd w:val="0"/>
        <w:spacing w:after="120" w:line="23" w:lineRule="atLeast"/>
        <w:ind w:left="567" w:hanging="567"/>
        <w:rPr>
          <w:rFonts w:ascii="Calibri" w:eastAsiaTheme="minorHAnsi" w:hAnsi="Calibri" w:cs="Calibri"/>
          <w:i/>
          <w:color w:val="000000"/>
          <w:szCs w:val="22"/>
        </w:rPr>
      </w:pPr>
      <w:r w:rsidRPr="006C459B">
        <w:rPr>
          <w:rFonts w:ascii="Calibri" w:eastAsiaTheme="minorHAnsi" w:hAnsi="Calibri" w:cs="Calibri"/>
          <w:i/>
          <w:color w:val="000000"/>
          <w:szCs w:val="22"/>
        </w:rPr>
        <w:t xml:space="preserve">- Accessible, user friendly information is provided which enables people to make informed choices. </w:t>
      </w:r>
    </w:p>
    <w:p w:rsidR="006C459B" w:rsidRPr="006C459B" w:rsidRDefault="006C459B" w:rsidP="006C459B">
      <w:pPr>
        <w:numPr>
          <w:ilvl w:val="0"/>
          <w:numId w:val="6"/>
        </w:numPr>
        <w:autoSpaceDE w:val="0"/>
        <w:autoSpaceDN w:val="0"/>
        <w:adjustRightInd w:val="0"/>
        <w:spacing w:after="120" w:line="23" w:lineRule="atLeast"/>
        <w:ind w:left="567" w:hanging="567"/>
        <w:rPr>
          <w:rFonts w:ascii="Calibri" w:eastAsiaTheme="minorHAnsi" w:hAnsi="Calibri" w:cs="Calibri"/>
          <w:i/>
          <w:color w:val="000000"/>
          <w:szCs w:val="22"/>
        </w:rPr>
      </w:pPr>
      <w:r w:rsidRPr="006C459B">
        <w:rPr>
          <w:rFonts w:ascii="Calibri" w:eastAsiaTheme="minorHAnsi" w:hAnsi="Calibri" w:cs="Calibri"/>
          <w:i/>
          <w:color w:val="000000"/>
          <w:szCs w:val="22"/>
        </w:rPr>
        <w:t xml:space="preserve">- Ongoing support funding should be assessed and linked to the needs of each individual candidate rather than based on set limits. </w:t>
      </w:r>
    </w:p>
    <w:p w:rsidR="006C459B" w:rsidRPr="006C459B" w:rsidRDefault="006C459B" w:rsidP="006C459B">
      <w:pPr>
        <w:numPr>
          <w:ilvl w:val="0"/>
          <w:numId w:val="6"/>
        </w:numPr>
        <w:autoSpaceDE w:val="0"/>
        <w:autoSpaceDN w:val="0"/>
        <w:adjustRightInd w:val="0"/>
        <w:spacing w:after="120" w:line="23" w:lineRule="atLeast"/>
        <w:ind w:left="567" w:hanging="567"/>
        <w:rPr>
          <w:rFonts w:ascii="Calibri" w:eastAsiaTheme="minorHAnsi" w:hAnsi="Calibri" w:cs="Calibri"/>
          <w:i/>
          <w:color w:val="000000"/>
          <w:szCs w:val="22"/>
        </w:rPr>
      </w:pPr>
      <w:r w:rsidRPr="006C459B">
        <w:rPr>
          <w:rFonts w:ascii="Calibri" w:eastAsiaTheme="minorHAnsi" w:hAnsi="Calibri" w:cs="Calibri"/>
          <w:i/>
          <w:color w:val="000000"/>
          <w:szCs w:val="22"/>
        </w:rPr>
        <w:t xml:space="preserve">- There should be incentives for providers to place people in positions for more than their minimum benchmark hours — if the individual is willing and able to do so. </w:t>
      </w:r>
    </w:p>
    <w:p w:rsidR="006C459B" w:rsidRPr="006C459B" w:rsidRDefault="006C459B" w:rsidP="006C459B">
      <w:pPr>
        <w:numPr>
          <w:ilvl w:val="0"/>
          <w:numId w:val="6"/>
        </w:numPr>
        <w:autoSpaceDE w:val="0"/>
        <w:autoSpaceDN w:val="0"/>
        <w:adjustRightInd w:val="0"/>
        <w:spacing w:after="120" w:line="23" w:lineRule="atLeast"/>
        <w:ind w:left="567" w:hanging="567"/>
        <w:rPr>
          <w:rFonts w:ascii="Calibri" w:eastAsiaTheme="minorHAnsi" w:hAnsi="Calibri" w:cs="Calibri"/>
          <w:i/>
          <w:color w:val="000000"/>
          <w:szCs w:val="22"/>
        </w:rPr>
      </w:pPr>
      <w:r w:rsidRPr="006C459B">
        <w:rPr>
          <w:rFonts w:ascii="Calibri" w:eastAsiaTheme="minorHAnsi" w:hAnsi="Calibri" w:cs="Calibri"/>
          <w:i/>
          <w:color w:val="000000"/>
          <w:szCs w:val="22"/>
        </w:rPr>
        <w:t xml:space="preserve">- The Star Ratings system should be aligned with the National Disability Standards, particularly in relation to measures of client satisfaction. </w:t>
      </w:r>
    </w:p>
    <w:p w:rsidR="006C459B" w:rsidRDefault="006C459B" w:rsidP="006C459B">
      <w:pPr>
        <w:numPr>
          <w:ilvl w:val="0"/>
          <w:numId w:val="6"/>
        </w:numPr>
        <w:autoSpaceDE w:val="0"/>
        <w:autoSpaceDN w:val="0"/>
        <w:adjustRightInd w:val="0"/>
        <w:spacing w:after="120" w:line="23" w:lineRule="atLeast"/>
        <w:ind w:left="567" w:hanging="567"/>
        <w:rPr>
          <w:rFonts w:ascii="Calibri" w:eastAsiaTheme="minorHAnsi" w:hAnsi="Calibri" w:cs="Calibri"/>
          <w:color w:val="000000"/>
          <w:szCs w:val="22"/>
        </w:rPr>
      </w:pPr>
      <w:r w:rsidRPr="006C459B">
        <w:rPr>
          <w:rFonts w:ascii="Calibri" w:eastAsiaTheme="minorHAnsi" w:hAnsi="Calibri" w:cs="Calibri"/>
          <w:i/>
          <w:color w:val="000000"/>
          <w:szCs w:val="22"/>
        </w:rPr>
        <w:t>- The provision of training for DES providers in key areas in relation to supporting people with disability to find employment, including: disability awareness, cultural competence, job matching and engagement of employers.</w:t>
      </w:r>
      <w:r>
        <w:rPr>
          <w:rFonts w:ascii="Calibri" w:eastAsiaTheme="minorHAnsi" w:hAnsi="Calibri" w:cs="Calibri"/>
          <w:i/>
          <w:color w:val="000000"/>
          <w:szCs w:val="22"/>
        </w:rPr>
        <w:t>”</w:t>
      </w:r>
      <w:r>
        <w:rPr>
          <w:rStyle w:val="EndnoteReference"/>
          <w:rFonts w:ascii="Calibri" w:eastAsiaTheme="minorHAnsi" w:hAnsi="Calibri" w:cs="Calibri"/>
          <w:i/>
          <w:color w:val="000000"/>
          <w:szCs w:val="22"/>
        </w:rPr>
        <w:endnoteReference w:id="4"/>
      </w:r>
      <w:r w:rsidRPr="006C459B">
        <w:rPr>
          <w:rFonts w:ascii="Calibri" w:eastAsiaTheme="minorHAnsi" w:hAnsi="Calibri" w:cs="Calibri"/>
          <w:color w:val="000000"/>
          <w:szCs w:val="22"/>
        </w:rPr>
        <w:t xml:space="preserve"> </w:t>
      </w:r>
    </w:p>
    <w:p w:rsidR="00DE2D5E" w:rsidRDefault="00694760">
      <w:pPr>
        <w:spacing w:after="200"/>
        <w:rPr>
          <w:rFonts w:ascii="Calibri" w:eastAsiaTheme="minorHAnsi" w:hAnsi="Calibri" w:cs="Calibri"/>
          <w:szCs w:val="22"/>
        </w:rPr>
      </w:pPr>
      <w:r w:rsidRPr="00976371">
        <w:rPr>
          <w:rFonts w:ascii="Calibri" w:eastAsiaTheme="minorHAnsi" w:hAnsi="Calibri" w:cs="Calibri"/>
          <w:szCs w:val="22"/>
        </w:rPr>
        <w:t xml:space="preserve">The service providers the Commission spoke to who are involved in </w:t>
      </w:r>
      <w:r w:rsidR="00AA6466" w:rsidRPr="00976371">
        <w:rPr>
          <w:rFonts w:ascii="Calibri" w:eastAsiaTheme="minorHAnsi" w:hAnsi="Calibri" w:cs="Calibri"/>
          <w:szCs w:val="22"/>
        </w:rPr>
        <w:t xml:space="preserve">working on employment goals with </w:t>
      </w:r>
      <w:r w:rsidR="00556D27" w:rsidRPr="00976371">
        <w:rPr>
          <w:rFonts w:ascii="Calibri" w:eastAsiaTheme="minorHAnsi" w:hAnsi="Calibri" w:cs="Calibri"/>
          <w:szCs w:val="22"/>
        </w:rPr>
        <w:t xml:space="preserve">people with </w:t>
      </w:r>
      <w:r w:rsidR="00AA6466" w:rsidRPr="00976371">
        <w:rPr>
          <w:rFonts w:ascii="Calibri" w:eastAsiaTheme="minorHAnsi" w:hAnsi="Calibri" w:cs="Calibri"/>
          <w:szCs w:val="22"/>
        </w:rPr>
        <w:t xml:space="preserve">mental illness </w:t>
      </w:r>
      <w:r w:rsidRPr="00976371">
        <w:rPr>
          <w:rFonts w:ascii="Calibri" w:eastAsiaTheme="minorHAnsi" w:hAnsi="Calibri" w:cs="Calibri"/>
          <w:szCs w:val="22"/>
        </w:rPr>
        <w:t>told us that the</w:t>
      </w:r>
      <w:r w:rsidR="00AA6466" w:rsidRPr="00976371">
        <w:rPr>
          <w:rFonts w:ascii="Calibri" w:eastAsiaTheme="minorHAnsi" w:hAnsi="Calibri" w:cs="Calibri"/>
          <w:szCs w:val="22"/>
        </w:rPr>
        <w:t xml:space="preserve"> </w:t>
      </w:r>
      <w:r w:rsidRPr="00976371">
        <w:rPr>
          <w:rFonts w:ascii="Calibri" w:eastAsiaTheme="minorHAnsi" w:hAnsi="Calibri" w:cs="Calibri"/>
          <w:szCs w:val="22"/>
        </w:rPr>
        <w:t xml:space="preserve">current system is often too focused on deficits and disability and needs to take a more strengths based approach. </w:t>
      </w:r>
    </w:p>
    <w:p w:rsidR="00DE2D5E" w:rsidRDefault="00694760">
      <w:pPr>
        <w:spacing w:after="200"/>
        <w:rPr>
          <w:rFonts w:ascii="Calibri" w:eastAsiaTheme="minorHAnsi" w:hAnsi="Calibri" w:cs="Calibri"/>
          <w:szCs w:val="22"/>
        </w:rPr>
      </w:pPr>
      <w:r w:rsidRPr="00976371">
        <w:rPr>
          <w:rFonts w:ascii="Calibri" w:eastAsiaTheme="minorHAnsi" w:hAnsi="Calibri" w:cs="Calibri"/>
          <w:szCs w:val="22"/>
        </w:rPr>
        <w:t>Proce</w:t>
      </w:r>
      <w:r w:rsidR="00DE2D5E">
        <w:rPr>
          <w:rFonts w:ascii="Calibri" w:eastAsiaTheme="minorHAnsi" w:hAnsi="Calibri" w:cs="Calibri"/>
          <w:szCs w:val="22"/>
        </w:rPr>
        <w:t xml:space="preserve">sses need to be person-centred and focus first and foremost on individual preferences. It was reported that often DES providers focus on the opportunities that are available through their existing contacts with employers rather on the expressed needs of clients. Scheme incentives mean that clients can be directed quickly into employment opportunities regardless of their appropriateness or alignment with client goals. </w:t>
      </w:r>
    </w:p>
    <w:p w:rsidR="00694760" w:rsidRPr="00976371" w:rsidRDefault="00DE2D5E">
      <w:pPr>
        <w:spacing w:after="200"/>
        <w:rPr>
          <w:rFonts w:ascii="Calibri" w:eastAsiaTheme="minorHAnsi" w:hAnsi="Calibri" w:cs="Calibri"/>
          <w:szCs w:val="22"/>
        </w:rPr>
      </w:pPr>
      <w:r>
        <w:rPr>
          <w:rFonts w:ascii="Calibri" w:eastAsiaTheme="minorHAnsi" w:hAnsi="Calibri" w:cs="Calibri"/>
          <w:szCs w:val="22"/>
        </w:rPr>
        <w:t>S</w:t>
      </w:r>
      <w:r w:rsidR="00694760" w:rsidRPr="00976371">
        <w:rPr>
          <w:rFonts w:ascii="Calibri" w:eastAsiaTheme="minorHAnsi" w:hAnsi="Calibri" w:cs="Calibri"/>
          <w:szCs w:val="22"/>
        </w:rPr>
        <w:t>ervice providers need to be experts in their work.</w:t>
      </w:r>
      <w:r w:rsidR="00556D27" w:rsidRPr="00976371">
        <w:rPr>
          <w:rFonts w:ascii="Calibri" w:eastAsiaTheme="minorHAnsi" w:hAnsi="Calibri" w:cs="Calibri"/>
          <w:szCs w:val="22"/>
        </w:rPr>
        <w:t xml:space="preserve"> </w:t>
      </w:r>
      <w:r w:rsidR="00694760" w:rsidRPr="00976371">
        <w:rPr>
          <w:rFonts w:ascii="Calibri" w:eastAsiaTheme="minorHAnsi" w:hAnsi="Calibri" w:cs="Calibri"/>
          <w:szCs w:val="22"/>
        </w:rPr>
        <w:t xml:space="preserve">The Commission was told that employment specialists are often poorly trained and that assessors often lack expertise in the type of disability they </w:t>
      </w:r>
      <w:r w:rsidR="00694760" w:rsidRPr="00976371">
        <w:rPr>
          <w:rFonts w:ascii="Calibri" w:eastAsiaTheme="minorHAnsi" w:hAnsi="Calibri" w:cs="Calibri"/>
          <w:szCs w:val="22"/>
        </w:rPr>
        <w:lastRenderedPageBreak/>
        <w:t xml:space="preserve">are asked to assess. The assessment process itself was particularly singled out as requiring streamlining.  </w:t>
      </w:r>
    </w:p>
    <w:p w:rsidR="00E356E2" w:rsidRDefault="00AA6466">
      <w:pPr>
        <w:spacing w:after="200"/>
        <w:rPr>
          <w:rFonts w:ascii="Calibri" w:eastAsiaTheme="minorHAnsi" w:hAnsi="Calibri" w:cs="Calibri"/>
          <w:color w:val="000000"/>
          <w:szCs w:val="22"/>
        </w:rPr>
      </w:pPr>
      <w:r>
        <w:rPr>
          <w:rFonts w:ascii="Calibri" w:eastAsiaTheme="minorHAnsi" w:hAnsi="Calibri" w:cs="Calibri"/>
          <w:color w:val="000000"/>
          <w:szCs w:val="22"/>
        </w:rPr>
        <w:t xml:space="preserve">These comments are </w:t>
      </w:r>
      <w:r w:rsidR="00345E89">
        <w:rPr>
          <w:rFonts w:ascii="Calibri" w:eastAsiaTheme="minorHAnsi" w:hAnsi="Calibri" w:cs="Calibri"/>
          <w:color w:val="000000"/>
          <w:szCs w:val="22"/>
        </w:rPr>
        <w:t>consistent</w:t>
      </w:r>
      <w:r>
        <w:rPr>
          <w:rFonts w:ascii="Calibri" w:eastAsiaTheme="minorHAnsi" w:hAnsi="Calibri" w:cs="Calibri"/>
          <w:color w:val="000000"/>
          <w:szCs w:val="22"/>
        </w:rPr>
        <w:t xml:space="preserve"> with the recovery-focus around which state and national reforms in mental health are centred. Employment services working with people with mental illness should be consistent with the National Framework for </w:t>
      </w:r>
      <w:r w:rsidR="00345E89">
        <w:rPr>
          <w:rFonts w:ascii="Calibri" w:eastAsiaTheme="minorHAnsi" w:hAnsi="Calibri" w:cs="Calibri"/>
          <w:color w:val="000000"/>
          <w:szCs w:val="22"/>
        </w:rPr>
        <w:t>Recovery</w:t>
      </w:r>
      <w:r>
        <w:rPr>
          <w:rFonts w:ascii="Calibri" w:eastAsiaTheme="minorHAnsi" w:hAnsi="Calibri" w:cs="Calibri"/>
          <w:color w:val="000000"/>
          <w:szCs w:val="22"/>
        </w:rPr>
        <w:t xml:space="preserve"> Oriented Mental Health Services – set out in Box 1.  </w:t>
      </w:r>
    </w:p>
    <w:p w:rsidR="00E356E2" w:rsidRDefault="00E356E2" w:rsidP="00E356E2">
      <w:r>
        <w:br w:type="page"/>
      </w:r>
    </w:p>
    <w:p w:rsidR="00AA6466" w:rsidRDefault="00AA6466">
      <w:pPr>
        <w:spacing w:after="200"/>
        <w:rPr>
          <w:rFonts w:ascii="Calibri" w:eastAsiaTheme="minorHAnsi" w:hAnsi="Calibri" w:cs="Calibri"/>
          <w:color w:val="000000"/>
          <w:szCs w:val="22"/>
        </w:rPr>
      </w:pPr>
    </w:p>
    <w:tbl>
      <w:tblPr>
        <w:tblStyle w:val="TableGrid"/>
        <w:tblW w:w="0" w:type="auto"/>
        <w:tblLook w:val="04A0" w:firstRow="1" w:lastRow="0" w:firstColumn="1" w:lastColumn="0" w:noHBand="0" w:noVBand="1"/>
      </w:tblPr>
      <w:tblGrid>
        <w:gridCol w:w="9017"/>
      </w:tblGrid>
      <w:tr w:rsidR="00AA6466" w:rsidTr="00AA6466">
        <w:tc>
          <w:tcPr>
            <w:tcW w:w="9017" w:type="dxa"/>
          </w:tcPr>
          <w:p w:rsidR="00AA6466" w:rsidRPr="00AA6466" w:rsidRDefault="00AA6466" w:rsidP="00AA6466">
            <w:pPr>
              <w:pStyle w:val="Pa9"/>
              <w:spacing w:before="340" w:after="40"/>
              <w:rPr>
                <w:rFonts w:ascii="Calibri" w:eastAsiaTheme="minorHAnsi" w:hAnsi="Calibri" w:cs="Calibri"/>
                <w:b/>
                <w:color w:val="000000"/>
                <w:sz w:val="22"/>
                <w:szCs w:val="22"/>
                <w:lang w:eastAsia="en-US"/>
              </w:rPr>
            </w:pPr>
            <w:r w:rsidRPr="00AA6466">
              <w:rPr>
                <w:rFonts w:ascii="Calibri" w:eastAsiaTheme="minorHAnsi" w:hAnsi="Calibri" w:cs="Calibri"/>
                <w:b/>
                <w:color w:val="000000"/>
                <w:sz w:val="22"/>
                <w:szCs w:val="22"/>
                <w:lang w:eastAsia="en-US"/>
              </w:rPr>
              <w:t xml:space="preserve">Domain 1: Promoting a culture and language of hope and optimism </w:t>
            </w:r>
          </w:p>
          <w:p w:rsidR="00AA6466" w:rsidRPr="00AA6466" w:rsidRDefault="00AA6466" w:rsidP="00AA6466">
            <w:pPr>
              <w:pStyle w:val="Pa2"/>
              <w:spacing w:before="40" w:after="40"/>
              <w:rPr>
                <w:rFonts w:ascii="Calibri" w:eastAsiaTheme="minorHAnsi" w:hAnsi="Calibri" w:cs="Calibri"/>
                <w:color w:val="000000"/>
                <w:sz w:val="22"/>
                <w:szCs w:val="22"/>
                <w:lang w:eastAsia="en-US"/>
              </w:rPr>
            </w:pPr>
            <w:r w:rsidRPr="00AA6466">
              <w:rPr>
                <w:rFonts w:ascii="Calibri" w:eastAsiaTheme="minorHAnsi" w:hAnsi="Calibri" w:cs="Calibri"/>
                <w:color w:val="000000"/>
                <w:sz w:val="22"/>
                <w:szCs w:val="22"/>
                <w:lang w:eastAsia="en-US"/>
              </w:rPr>
              <w:t xml:space="preserve">A service culture and language that makes a person feel valued, important, welcome and safe, communicates positive expectations and promotes hope and optimism—this is central to recovery-oriented practice and service delivery </w:t>
            </w:r>
          </w:p>
          <w:p w:rsidR="00AA6466" w:rsidRPr="00AA6466" w:rsidRDefault="00AA6466" w:rsidP="00AA6466">
            <w:pPr>
              <w:pStyle w:val="Pa9"/>
              <w:spacing w:before="340" w:after="40"/>
              <w:rPr>
                <w:rFonts w:ascii="Calibri" w:eastAsiaTheme="minorHAnsi" w:hAnsi="Calibri" w:cs="Calibri"/>
                <w:b/>
                <w:color w:val="000000"/>
                <w:sz w:val="22"/>
                <w:szCs w:val="22"/>
                <w:lang w:eastAsia="en-US"/>
              </w:rPr>
            </w:pPr>
            <w:r w:rsidRPr="00AA6466">
              <w:rPr>
                <w:rFonts w:ascii="Calibri" w:eastAsiaTheme="minorHAnsi" w:hAnsi="Calibri" w:cs="Calibri"/>
                <w:b/>
                <w:color w:val="000000"/>
                <w:sz w:val="22"/>
                <w:szCs w:val="22"/>
                <w:lang w:eastAsia="en-US"/>
              </w:rPr>
              <w:t xml:space="preserve">Domain 2: Person 1st and holistic </w:t>
            </w:r>
          </w:p>
          <w:p w:rsidR="00AA6466" w:rsidRPr="00AA6466" w:rsidRDefault="00AA6466" w:rsidP="00AA6466">
            <w:pPr>
              <w:pStyle w:val="Pa2"/>
              <w:spacing w:before="40" w:after="40"/>
              <w:rPr>
                <w:rFonts w:ascii="Calibri" w:eastAsiaTheme="minorHAnsi" w:hAnsi="Calibri" w:cs="Calibri"/>
                <w:color w:val="000000"/>
                <w:sz w:val="22"/>
                <w:szCs w:val="22"/>
                <w:lang w:eastAsia="en-US"/>
              </w:rPr>
            </w:pPr>
            <w:r w:rsidRPr="00AA6466">
              <w:rPr>
                <w:rFonts w:ascii="Calibri" w:eastAsiaTheme="minorHAnsi" w:hAnsi="Calibri" w:cs="Calibri"/>
                <w:color w:val="000000"/>
                <w:sz w:val="22"/>
                <w:szCs w:val="22"/>
                <w:lang w:eastAsia="en-US"/>
              </w:rPr>
              <w:t xml:space="preserve">Putting people who experience mental health issues first and at the centre of practice and service delivery; viewing a person’s life situation holistically </w:t>
            </w:r>
          </w:p>
          <w:p w:rsidR="00AA6466" w:rsidRPr="00AA6466" w:rsidRDefault="00AA6466" w:rsidP="00AA6466">
            <w:pPr>
              <w:pStyle w:val="Pa9"/>
              <w:spacing w:before="340" w:after="40"/>
              <w:rPr>
                <w:rFonts w:ascii="Calibri" w:eastAsiaTheme="minorHAnsi" w:hAnsi="Calibri" w:cs="Calibri"/>
                <w:b/>
                <w:color w:val="000000"/>
                <w:sz w:val="22"/>
                <w:szCs w:val="22"/>
                <w:lang w:eastAsia="en-US"/>
              </w:rPr>
            </w:pPr>
            <w:r w:rsidRPr="00AA6466">
              <w:rPr>
                <w:rFonts w:ascii="Calibri" w:eastAsiaTheme="minorHAnsi" w:hAnsi="Calibri" w:cs="Calibri"/>
                <w:b/>
                <w:color w:val="000000"/>
                <w:sz w:val="22"/>
                <w:szCs w:val="22"/>
                <w:lang w:eastAsia="en-US"/>
              </w:rPr>
              <w:t xml:space="preserve">Domain 3: Supporting personal recovery </w:t>
            </w:r>
          </w:p>
          <w:p w:rsidR="00AA6466" w:rsidRPr="00AA6466" w:rsidRDefault="00AA6466" w:rsidP="00AA6466">
            <w:pPr>
              <w:pStyle w:val="Pa2"/>
              <w:spacing w:before="40" w:after="40"/>
              <w:rPr>
                <w:rFonts w:ascii="Calibri" w:eastAsiaTheme="minorHAnsi" w:hAnsi="Calibri" w:cs="Calibri"/>
                <w:color w:val="000000"/>
                <w:sz w:val="22"/>
                <w:szCs w:val="22"/>
                <w:lang w:eastAsia="en-US"/>
              </w:rPr>
            </w:pPr>
            <w:r w:rsidRPr="00AA6466">
              <w:rPr>
                <w:rFonts w:ascii="Calibri" w:eastAsiaTheme="minorHAnsi" w:hAnsi="Calibri" w:cs="Calibri"/>
                <w:color w:val="000000"/>
                <w:sz w:val="22"/>
                <w:szCs w:val="22"/>
                <w:lang w:eastAsia="en-US"/>
              </w:rPr>
              <w:t xml:space="preserve">Personally defined and led recovery at the heart of practice rather than an additional task </w:t>
            </w:r>
          </w:p>
          <w:p w:rsidR="00AA6466" w:rsidRPr="00AA6466" w:rsidRDefault="00AA6466" w:rsidP="00AA6466">
            <w:pPr>
              <w:pStyle w:val="Pa9"/>
              <w:spacing w:before="340" w:after="40"/>
              <w:rPr>
                <w:rFonts w:ascii="Calibri" w:eastAsiaTheme="minorHAnsi" w:hAnsi="Calibri" w:cs="Calibri"/>
                <w:b/>
                <w:color w:val="000000"/>
                <w:sz w:val="22"/>
                <w:szCs w:val="22"/>
                <w:lang w:eastAsia="en-US"/>
              </w:rPr>
            </w:pPr>
            <w:r w:rsidRPr="00AA6466">
              <w:rPr>
                <w:rFonts w:ascii="Calibri" w:eastAsiaTheme="minorHAnsi" w:hAnsi="Calibri" w:cs="Calibri"/>
                <w:b/>
                <w:color w:val="000000"/>
                <w:sz w:val="22"/>
                <w:szCs w:val="22"/>
                <w:lang w:eastAsia="en-US"/>
              </w:rPr>
              <w:t xml:space="preserve">Domain 4: Organisational commitment and workforce development </w:t>
            </w:r>
          </w:p>
          <w:p w:rsidR="00AA6466" w:rsidRPr="00AA6466" w:rsidRDefault="00AA6466" w:rsidP="00AA6466">
            <w:pPr>
              <w:pStyle w:val="Pa2"/>
              <w:spacing w:before="40" w:after="40"/>
              <w:rPr>
                <w:rFonts w:ascii="Calibri" w:eastAsiaTheme="minorHAnsi" w:hAnsi="Calibri" w:cs="Calibri"/>
                <w:color w:val="000000"/>
                <w:sz w:val="22"/>
                <w:szCs w:val="22"/>
                <w:lang w:eastAsia="en-US"/>
              </w:rPr>
            </w:pPr>
            <w:r w:rsidRPr="00AA6466">
              <w:rPr>
                <w:rFonts w:ascii="Calibri" w:eastAsiaTheme="minorHAnsi" w:hAnsi="Calibri" w:cs="Calibri"/>
                <w:color w:val="000000"/>
                <w:sz w:val="22"/>
                <w:szCs w:val="22"/>
                <w:lang w:eastAsia="en-US"/>
              </w:rPr>
              <w:t xml:space="preserve">Service and work environments and an organisational culture that are conducive to recovery and to building a workforce that is appropriately skilled, equipped, supported and resourced for recovery-oriented practice </w:t>
            </w:r>
          </w:p>
          <w:p w:rsidR="00AA6466" w:rsidRDefault="00AA6466" w:rsidP="00AA6466">
            <w:pPr>
              <w:pStyle w:val="Pa9"/>
              <w:spacing w:before="340"/>
              <w:rPr>
                <w:rFonts w:ascii="Calibri" w:eastAsiaTheme="minorHAnsi" w:hAnsi="Calibri" w:cs="Calibri"/>
                <w:b/>
                <w:color w:val="000000"/>
                <w:sz w:val="22"/>
                <w:szCs w:val="22"/>
                <w:lang w:eastAsia="en-US"/>
              </w:rPr>
            </w:pPr>
            <w:r w:rsidRPr="00AA6466">
              <w:rPr>
                <w:rFonts w:ascii="Calibri" w:eastAsiaTheme="minorHAnsi" w:hAnsi="Calibri" w:cs="Calibri"/>
                <w:b/>
                <w:color w:val="000000"/>
                <w:sz w:val="22"/>
                <w:szCs w:val="22"/>
                <w:lang w:eastAsia="en-US"/>
              </w:rPr>
              <w:t xml:space="preserve">Domain 5: Action on social inclusion and the social determinants of health, mental health and wellbeing </w:t>
            </w:r>
          </w:p>
          <w:p w:rsidR="00AA6466" w:rsidRDefault="00AA6466" w:rsidP="00AA6466">
            <w:pPr>
              <w:pStyle w:val="Pa9"/>
              <w:spacing w:after="40"/>
              <w:rPr>
                <w:rFonts w:ascii="Calibri" w:eastAsiaTheme="minorHAnsi" w:hAnsi="Calibri" w:cs="Calibri"/>
                <w:color w:val="000000"/>
                <w:szCs w:val="22"/>
              </w:rPr>
            </w:pPr>
            <w:r w:rsidRPr="00AA6466">
              <w:rPr>
                <w:rFonts w:ascii="Calibri" w:eastAsiaTheme="minorHAnsi" w:hAnsi="Calibri" w:cs="Calibri"/>
                <w:color w:val="000000"/>
                <w:sz w:val="22"/>
                <w:szCs w:val="22"/>
                <w:lang w:eastAsia="en-US"/>
              </w:rPr>
              <w:t>Upholding the human rights of people experiencing mental health issues and challenging stigma and discrimination; advocating to address the poor and unequal living circumstances that adversely impact on recovery.</w:t>
            </w:r>
          </w:p>
        </w:tc>
      </w:tr>
    </w:tbl>
    <w:p w:rsidR="00AA6466" w:rsidRPr="00AA6466" w:rsidRDefault="00AA6466">
      <w:pPr>
        <w:spacing w:after="200"/>
        <w:rPr>
          <w:rFonts w:ascii="Calibri" w:eastAsiaTheme="minorHAnsi" w:hAnsi="Calibri" w:cs="Calibri"/>
          <w:b/>
          <w:color w:val="000000"/>
          <w:szCs w:val="22"/>
        </w:rPr>
      </w:pPr>
      <w:r w:rsidRPr="00AA6466">
        <w:rPr>
          <w:rFonts w:ascii="Calibri" w:eastAsiaTheme="minorHAnsi" w:hAnsi="Calibri" w:cs="Calibri"/>
          <w:b/>
          <w:color w:val="000000"/>
          <w:szCs w:val="22"/>
        </w:rPr>
        <w:t xml:space="preserve">Box 1: National Framework for Recovery Oriented Mental Health Services </w:t>
      </w:r>
    </w:p>
    <w:p w:rsidR="006C459B" w:rsidRDefault="006C459B">
      <w:pPr>
        <w:spacing w:after="200"/>
        <w:rPr>
          <w:rFonts w:eastAsia="Times" w:cstheme="minorHAnsi"/>
          <w:b/>
          <w:color w:val="F46A3A"/>
          <w:kern w:val="32"/>
          <w:sz w:val="32"/>
          <w:lang w:eastAsia="en-AU"/>
        </w:rPr>
      </w:pPr>
      <w:r>
        <w:rPr>
          <w:rFonts w:eastAsia="Times" w:cstheme="minorHAnsi"/>
          <w:b/>
          <w:color w:val="F46A3A"/>
          <w:kern w:val="32"/>
          <w:sz w:val="32"/>
          <w:lang w:eastAsia="en-AU"/>
        </w:rPr>
        <w:t xml:space="preserve">Employment models for people with mental illness </w:t>
      </w:r>
    </w:p>
    <w:p w:rsidR="00041885" w:rsidRDefault="00B1042E" w:rsidP="00041885">
      <w:pPr>
        <w:spacing w:after="120"/>
        <w:rPr>
          <w:rFonts w:ascii="Calibri" w:eastAsiaTheme="minorHAnsi" w:hAnsi="Calibri" w:cs="Calibri"/>
          <w:color w:val="000000"/>
          <w:szCs w:val="22"/>
        </w:rPr>
      </w:pPr>
      <w:r w:rsidRPr="00B1042E">
        <w:rPr>
          <w:rFonts w:ascii="Calibri" w:eastAsiaTheme="minorHAnsi" w:hAnsi="Calibri" w:cs="Calibri"/>
          <w:color w:val="000000"/>
          <w:szCs w:val="22"/>
        </w:rPr>
        <w:t xml:space="preserve">The recovery model is entirely </w:t>
      </w:r>
      <w:r w:rsidR="00345E89" w:rsidRPr="00B1042E">
        <w:rPr>
          <w:rFonts w:ascii="Calibri" w:eastAsiaTheme="minorHAnsi" w:hAnsi="Calibri" w:cs="Calibri"/>
          <w:color w:val="000000"/>
          <w:szCs w:val="22"/>
        </w:rPr>
        <w:t>consistent</w:t>
      </w:r>
      <w:r w:rsidRPr="00B1042E">
        <w:rPr>
          <w:rFonts w:ascii="Calibri" w:eastAsiaTheme="minorHAnsi" w:hAnsi="Calibri" w:cs="Calibri"/>
          <w:color w:val="000000"/>
          <w:szCs w:val="22"/>
        </w:rPr>
        <w:t xml:space="preserve"> with the evidence based supported employment model </w:t>
      </w:r>
      <w:r>
        <w:rPr>
          <w:rFonts w:ascii="Calibri" w:eastAsiaTheme="minorHAnsi" w:hAnsi="Calibri" w:cs="Calibri"/>
          <w:color w:val="000000"/>
          <w:szCs w:val="22"/>
        </w:rPr>
        <w:t xml:space="preserve">for people with mental illness – </w:t>
      </w:r>
      <w:r w:rsidR="00041885">
        <w:rPr>
          <w:rFonts w:ascii="Calibri" w:eastAsiaTheme="minorHAnsi" w:hAnsi="Calibri" w:cs="Calibri"/>
          <w:color w:val="000000"/>
          <w:szCs w:val="22"/>
        </w:rPr>
        <w:t>Individual</w:t>
      </w:r>
      <w:r>
        <w:rPr>
          <w:rFonts w:ascii="Calibri" w:eastAsiaTheme="minorHAnsi" w:hAnsi="Calibri" w:cs="Calibri"/>
          <w:color w:val="000000"/>
          <w:szCs w:val="22"/>
        </w:rPr>
        <w:t xml:space="preserve"> Placement and Support</w:t>
      </w:r>
      <w:r w:rsidR="00041885">
        <w:rPr>
          <w:rFonts w:ascii="Calibri" w:eastAsiaTheme="minorHAnsi" w:hAnsi="Calibri" w:cs="Calibri"/>
          <w:color w:val="000000"/>
          <w:szCs w:val="22"/>
        </w:rPr>
        <w:t xml:space="preserve"> (IPS)</w:t>
      </w:r>
      <w:r>
        <w:rPr>
          <w:rFonts w:ascii="Calibri" w:eastAsiaTheme="minorHAnsi" w:hAnsi="Calibri" w:cs="Calibri"/>
          <w:color w:val="000000"/>
          <w:szCs w:val="22"/>
        </w:rPr>
        <w:t xml:space="preserve">. This model should guide the design of employment supports provided to people with mental illness.  The key </w:t>
      </w:r>
      <w:r w:rsidR="00345E89">
        <w:rPr>
          <w:rFonts w:ascii="Calibri" w:eastAsiaTheme="minorHAnsi" w:hAnsi="Calibri" w:cs="Calibri"/>
          <w:color w:val="000000"/>
          <w:szCs w:val="22"/>
        </w:rPr>
        <w:t>principles</w:t>
      </w:r>
      <w:r>
        <w:rPr>
          <w:rFonts w:ascii="Calibri" w:eastAsiaTheme="minorHAnsi" w:hAnsi="Calibri" w:cs="Calibri"/>
          <w:color w:val="000000"/>
          <w:szCs w:val="22"/>
        </w:rPr>
        <w:t xml:space="preserve"> of IPS</w:t>
      </w:r>
      <w:r w:rsidR="00041885">
        <w:rPr>
          <w:rFonts w:ascii="Calibri" w:eastAsiaTheme="minorHAnsi" w:hAnsi="Calibri" w:cs="Calibri"/>
          <w:color w:val="000000"/>
          <w:szCs w:val="22"/>
        </w:rPr>
        <w:t xml:space="preserve"> are: </w:t>
      </w:r>
    </w:p>
    <w:p w:rsidR="00041885" w:rsidRPr="00976371" w:rsidRDefault="00041885" w:rsidP="00041885">
      <w:pPr>
        <w:pStyle w:val="ListParagraph"/>
        <w:numPr>
          <w:ilvl w:val="0"/>
          <w:numId w:val="7"/>
        </w:numPr>
        <w:spacing w:after="200"/>
        <w:rPr>
          <w:rFonts w:ascii="Calibri" w:eastAsiaTheme="minorHAnsi" w:hAnsi="Calibri" w:cs="Calibri"/>
          <w:color w:val="000000"/>
          <w:sz w:val="22"/>
          <w:szCs w:val="22"/>
        </w:rPr>
      </w:pPr>
      <w:r w:rsidRPr="00976371">
        <w:rPr>
          <w:rFonts w:ascii="Calibri" w:eastAsiaTheme="minorHAnsi" w:hAnsi="Calibri" w:cs="Calibri"/>
          <w:color w:val="000000"/>
          <w:sz w:val="22"/>
          <w:szCs w:val="22"/>
        </w:rPr>
        <w:t>competitive employment as the primary goal</w:t>
      </w:r>
    </w:p>
    <w:p w:rsidR="00041885" w:rsidRPr="00041885" w:rsidRDefault="00041885" w:rsidP="00041885">
      <w:pPr>
        <w:pStyle w:val="ListParagraph"/>
        <w:numPr>
          <w:ilvl w:val="0"/>
          <w:numId w:val="7"/>
        </w:numPr>
        <w:spacing w:after="200"/>
        <w:rPr>
          <w:rFonts w:ascii="Calibri" w:eastAsiaTheme="minorHAnsi" w:hAnsi="Calibri" w:cs="Calibri"/>
          <w:color w:val="000000"/>
          <w:sz w:val="22"/>
          <w:szCs w:val="22"/>
        </w:rPr>
      </w:pPr>
      <w:r w:rsidRPr="00041885">
        <w:rPr>
          <w:rFonts w:ascii="Calibri" w:eastAsiaTheme="minorHAnsi" w:hAnsi="Calibri" w:cs="Calibri"/>
          <w:color w:val="000000"/>
          <w:sz w:val="22"/>
          <w:szCs w:val="22"/>
        </w:rPr>
        <w:t xml:space="preserve">eligibility based on </w:t>
      </w:r>
      <w:r>
        <w:rPr>
          <w:rFonts w:ascii="Calibri" w:eastAsiaTheme="minorHAnsi" w:hAnsi="Calibri" w:cs="Calibri"/>
          <w:color w:val="000000"/>
          <w:sz w:val="22"/>
          <w:szCs w:val="22"/>
        </w:rPr>
        <w:t>client</w:t>
      </w:r>
      <w:r w:rsidRPr="00041885">
        <w:rPr>
          <w:rFonts w:ascii="Calibri" w:eastAsiaTheme="minorHAnsi" w:hAnsi="Calibri" w:cs="Calibri"/>
          <w:color w:val="000000"/>
          <w:sz w:val="22"/>
          <w:szCs w:val="22"/>
        </w:rPr>
        <w:t xml:space="preserve"> choice</w:t>
      </w:r>
    </w:p>
    <w:p w:rsidR="00041885" w:rsidRPr="00041885" w:rsidRDefault="00041885" w:rsidP="00041885">
      <w:pPr>
        <w:pStyle w:val="ListParagraph"/>
        <w:numPr>
          <w:ilvl w:val="0"/>
          <w:numId w:val="7"/>
        </w:numPr>
        <w:spacing w:after="200"/>
        <w:rPr>
          <w:rFonts w:ascii="Calibri" w:eastAsiaTheme="minorHAnsi" w:hAnsi="Calibri" w:cs="Calibri"/>
          <w:color w:val="000000"/>
          <w:sz w:val="22"/>
          <w:szCs w:val="22"/>
        </w:rPr>
      </w:pPr>
      <w:r w:rsidRPr="00041885">
        <w:rPr>
          <w:rFonts w:ascii="Calibri" w:eastAsiaTheme="minorHAnsi" w:hAnsi="Calibri" w:cs="Calibri"/>
          <w:color w:val="000000"/>
          <w:sz w:val="22"/>
          <w:szCs w:val="22"/>
        </w:rPr>
        <w:t>integration of vocational and clinical services</w:t>
      </w:r>
    </w:p>
    <w:p w:rsidR="00041885" w:rsidRPr="00041885" w:rsidRDefault="00041885" w:rsidP="00041885">
      <w:pPr>
        <w:pStyle w:val="ListParagraph"/>
        <w:numPr>
          <w:ilvl w:val="0"/>
          <w:numId w:val="7"/>
        </w:numPr>
        <w:spacing w:after="200"/>
        <w:rPr>
          <w:rFonts w:ascii="Calibri" w:eastAsiaTheme="minorHAnsi" w:hAnsi="Calibri" w:cs="Calibri"/>
          <w:color w:val="000000"/>
          <w:sz w:val="22"/>
          <w:szCs w:val="22"/>
        </w:rPr>
      </w:pPr>
      <w:r w:rsidRPr="00041885">
        <w:rPr>
          <w:rFonts w:ascii="Calibri" w:eastAsiaTheme="minorHAnsi" w:hAnsi="Calibri" w:cs="Calibri"/>
          <w:color w:val="000000"/>
          <w:sz w:val="22"/>
          <w:szCs w:val="22"/>
        </w:rPr>
        <w:t>job search guided by individual preferences</w:t>
      </w:r>
    </w:p>
    <w:p w:rsidR="00041885" w:rsidRPr="00041885" w:rsidRDefault="00041885" w:rsidP="00041885">
      <w:pPr>
        <w:pStyle w:val="ListParagraph"/>
        <w:numPr>
          <w:ilvl w:val="0"/>
          <w:numId w:val="7"/>
        </w:numPr>
        <w:spacing w:after="200"/>
        <w:rPr>
          <w:rFonts w:ascii="Calibri" w:eastAsiaTheme="minorHAnsi" w:hAnsi="Calibri" w:cs="Calibri"/>
          <w:color w:val="000000"/>
          <w:sz w:val="22"/>
          <w:szCs w:val="22"/>
        </w:rPr>
      </w:pPr>
      <w:r w:rsidRPr="00041885">
        <w:rPr>
          <w:rFonts w:ascii="Calibri" w:eastAsiaTheme="minorHAnsi" w:hAnsi="Calibri" w:cs="Calibri"/>
          <w:color w:val="000000"/>
          <w:sz w:val="22"/>
          <w:szCs w:val="22"/>
        </w:rPr>
        <w:t xml:space="preserve">personalised benefits </w:t>
      </w:r>
      <w:r w:rsidR="00345E89" w:rsidRPr="00041885">
        <w:rPr>
          <w:rFonts w:ascii="Calibri" w:eastAsiaTheme="minorHAnsi" w:hAnsi="Calibri" w:cs="Calibri"/>
          <w:color w:val="000000"/>
          <w:sz w:val="22"/>
          <w:szCs w:val="22"/>
        </w:rPr>
        <w:t>counselling</w:t>
      </w:r>
    </w:p>
    <w:p w:rsidR="00041885" w:rsidRPr="00041885" w:rsidRDefault="00041885" w:rsidP="00041885">
      <w:pPr>
        <w:pStyle w:val="ListParagraph"/>
        <w:numPr>
          <w:ilvl w:val="0"/>
          <w:numId w:val="7"/>
        </w:numPr>
        <w:spacing w:after="200"/>
        <w:rPr>
          <w:rFonts w:ascii="Calibri" w:eastAsiaTheme="minorHAnsi" w:hAnsi="Calibri" w:cs="Calibri"/>
          <w:color w:val="000000"/>
          <w:sz w:val="22"/>
          <w:szCs w:val="22"/>
        </w:rPr>
      </w:pPr>
      <w:r w:rsidRPr="00041885">
        <w:rPr>
          <w:rFonts w:ascii="Calibri" w:eastAsiaTheme="minorHAnsi" w:hAnsi="Calibri" w:cs="Calibri"/>
          <w:color w:val="000000"/>
          <w:sz w:val="22"/>
          <w:szCs w:val="22"/>
        </w:rPr>
        <w:t>rapid job search</w:t>
      </w:r>
    </w:p>
    <w:p w:rsidR="00041885" w:rsidRPr="00041885" w:rsidRDefault="00041885" w:rsidP="00041885">
      <w:pPr>
        <w:pStyle w:val="ListParagraph"/>
        <w:numPr>
          <w:ilvl w:val="0"/>
          <w:numId w:val="7"/>
        </w:numPr>
        <w:spacing w:after="200"/>
        <w:rPr>
          <w:rFonts w:ascii="Calibri" w:eastAsiaTheme="minorHAnsi" w:hAnsi="Calibri" w:cs="Calibri"/>
          <w:color w:val="000000"/>
          <w:sz w:val="22"/>
          <w:szCs w:val="22"/>
        </w:rPr>
      </w:pPr>
      <w:r w:rsidRPr="00041885">
        <w:rPr>
          <w:rFonts w:ascii="Calibri" w:eastAsiaTheme="minorHAnsi" w:hAnsi="Calibri" w:cs="Calibri"/>
          <w:color w:val="000000"/>
          <w:sz w:val="22"/>
          <w:szCs w:val="22"/>
        </w:rPr>
        <w:t>systematic job development</w:t>
      </w:r>
    </w:p>
    <w:p w:rsidR="00041885" w:rsidRPr="00041885" w:rsidRDefault="00041885" w:rsidP="00041885">
      <w:pPr>
        <w:pStyle w:val="ListParagraph"/>
        <w:numPr>
          <w:ilvl w:val="0"/>
          <w:numId w:val="7"/>
        </w:numPr>
        <w:spacing w:after="200"/>
        <w:rPr>
          <w:rFonts w:ascii="Calibri" w:eastAsiaTheme="minorHAnsi" w:hAnsi="Calibri" w:cs="Calibri"/>
          <w:color w:val="000000"/>
          <w:sz w:val="22"/>
          <w:szCs w:val="22"/>
        </w:rPr>
      </w:pPr>
      <w:r w:rsidRPr="00041885">
        <w:rPr>
          <w:rFonts w:ascii="Calibri" w:eastAsiaTheme="minorHAnsi" w:hAnsi="Calibri" w:cs="Calibri"/>
          <w:color w:val="000000"/>
          <w:sz w:val="22"/>
          <w:szCs w:val="22"/>
        </w:rPr>
        <w:t xml:space="preserve">time-unlimited support. </w:t>
      </w:r>
    </w:p>
    <w:p w:rsidR="00E356E2" w:rsidRDefault="00E356E2">
      <w:pPr>
        <w:spacing w:after="200"/>
        <w:rPr>
          <w:rFonts w:ascii="Calibri" w:eastAsiaTheme="minorHAnsi" w:hAnsi="Calibri" w:cs="Calibri"/>
          <w:color w:val="000000"/>
          <w:szCs w:val="22"/>
        </w:rPr>
      </w:pPr>
      <w:r>
        <w:rPr>
          <w:rFonts w:ascii="Calibri" w:eastAsiaTheme="minorHAnsi" w:hAnsi="Calibri" w:cs="Calibri"/>
          <w:color w:val="000000"/>
          <w:szCs w:val="22"/>
        </w:rPr>
        <w:lastRenderedPageBreak/>
        <w:br w:type="page"/>
      </w:r>
    </w:p>
    <w:p w:rsidR="00041885" w:rsidRDefault="00041885">
      <w:pPr>
        <w:spacing w:after="200"/>
        <w:rPr>
          <w:rFonts w:ascii="Calibri" w:eastAsiaTheme="minorHAnsi" w:hAnsi="Calibri" w:cs="Calibri"/>
          <w:color w:val="000000"/>
          <w:szCs w:val="22"/>
        </w:rPr>
      </w:pPr>
      <w:r>
        <w:rPr>
          <w:rFonts w:ascii="Calibri" w:eastAsiaTheme="minorHAnsi" w:hAnsi="Calibri" w:cs="Calibri"/>
          <w:color w:val="000000"/>
          <w:szCs w:val="22"/>
        </w:rPr>
        <w:lastRenderedPageBreak/>
        <w:t xml:space="preserve">There is extensive evidence for the efficacy of IPS is securing competitive employment outcomes for people with mental illness. </w:t>
      </w:r>
      <w:r w:rsidR="006B5BA4">
        <w:rPr>
          <w:rFonts w:ascii="Calibri" w:eastAsiaTheme="minorHAnsi" w:hAnsi="Calibri" w:cs="Calibri"/>
          <w:color w:val="000000"/>
          <w:szCs w:val="22"/>
        </w:rPr>
        <w:t xml:space="preserve">A recent systematic review and meta-analysis concluded: </w:t>
      </w:r>
    </w:p>
    <w:p w:rsidR="006B5BA4" w:rsidRDefault="006B5BA4" w:rsidP="006B5BA4">
      <w:pPr>
        <w:autoSpaceDE w:val="0"/>
        <w:autoSpaceDN w:val="0"/>
        <w:adjustRightInd w:val="0"/>
        <w:spacing w:after="0" w:line="240" w:lineRule="auto"/>
        <w:ind w:left="720"/>
        <w:rPr>
          <w:rFonts w:ascii="Calibri" w:eastAsiaTheme="minorHAnsi" w:hAnsi="Calibri" w:cs="Calibri"/>
          <w:i/>
          <w:color w:val="000000"/>
          <w:szCs w:val="22"/>
        </w:rPr>
      </w:pPr>
      <w:r>
        <w:rPr>
          <w:rFonts w:ascii="Calibri" w:eastAsiaTheme="minorHAnsi" w:hAnsi="Calibri" w:cs="Calibri"/>
          <w:i/>
          <w:color w:val="000000"/>
          <w:szCs w:val="22"/>
        </w:rPr>
        <w:t>“</w:t>
      </w:r>
      <w:r w:rsidRPr="006B5BA4">
        <w:rPr>
          <w:rFonts w:ascii="Calibri" w:eastAsiaTheme="minorHAnsi" w:hAnsi="Calibri" w:cs="Calibri"/>
          <w:i/>
          <w:color w:val="000000"/>
          <w:szCs w:val="22"/>
        </w:rPr>
        <w:t>This study provides strong evidence that IPS is effective in a variety of international settings, with its impact on competitive employment rates remaining for at least 2 years irrespective of economic conditions. Given these findings, policy-makers and clinicians need to begin addressing the barriers preventing widescale use of supported employment principles, to ensure access to high-fidelity IPS is made available to those with severe mental illness regardless of where they live or the prevailing economic conditions.</w:t>
      </w:r>
      <w:r>
        <w:rPr>
          <w:rFonts w:ascii="Calibri" w:eastAsiaTheme="minorHAnsi" w:hAnsi="Calibri" w:cs="Calibri"/>
          <w:i/>
          <w:color w:val="000000"/>
          <w:szCs w:val="22"/>
        </w:rPr>
        <w:t>”</w:t>
      </w:r>
      <w:r>
        <w:rPr>
          <w:rStyle w:val="EndnoteReference"/>
          <w:rFonts w:ascii="Calibri" w:eastAsiaTheme="minorHAnsi" w:hAnsi="Calibri" w:cs="Calibri"/>
          <w:i/>
          <w:color w:val="000000"/>
          <w:szCs w:val="22"/>
        </w:rPr>
        <w:endnoteReference w:id="5"/>
      </w:r>
    </w:p>
    <w:p w:rsidR="00510062" w:rsidRDefault="00510062" w:rsidP="006B5BA4">
      <w:pPr>
        <w:autoSpaceDE w:val="0"/>
        <w:autoSpaceDN w:val="0"/>
        <w:adjustRightInd w:val="0"/>
        <w:spacing w:after="0" w:line="240" w:lineRule="auto"/>
        <w:ind w:left="720"/>
        <w:rPr>
          <w:rFonts w:ascii="Calibri" w:eastAsiaTheme="minorHAnsi" w:hAnsi="Calibri" w:cs="Calibri"/>
          <w:i/>
          <w:color w:val="000000"/>
          <w:szCs w:val="22"/>
        </w:rPr>
      </w:pPr>
    </w:p>
    <w:p w:rsidR="006A2EDD" w:rsidRDefault="00510062">
      <w:pPr>
        <w:spacing w:after="200"/>
        <w:rPr>
          <w:rFonts w:ascii="Calibri" w:eastAsiaTheme="minorHAnsi" w:hAnsi="Calibri" w:cs="Calibri"/>
          <w:color w:val="000000"/>
          <w:szCs w:val="22"/>
        </w:rPr>
      </w:pPr>
      <w:r w:rsidRPr="00510062">
        <w:rPr>
          <w:rFonts w:ascii="Calibri" w:eastAsiaTheme="minorHAnsi" w:hAnsi="Calibri" w:cs="Calibri"/>
          <w:color w:val="000000"/>
          <w:szCs w:val="22"/>
        </w:rPr>
        <w:t>Open competitive employment</w:t>
      </w:r>
      <w:r>
        <w:rPr>
          <w:rFonts w:ascii="Calibri" w:eastAsiaTheme="minorHAnsi" w:hAnsi="Calibri" w:cs="Calibri"/>
          <w:color w:val="000000"/>
          <w:szCs w:val="22"/>
        </w:rPr>
        <w:t xml:space="preserve">, the goals of IPS, </w:t>
      </w:r>
      <w:r w:rsidRPr="00510062">
        <w:rPr>
          <w:rFonts w:ascii="Calibri" w:eastAsiaTheme="minorHAnsi" w:hAnsi="Calibri" w:cs="Calibri"/>
          <w:color w:val="000000"/>
          <w:szCs w:val="22"/>
        </w:rPr>
        <w:t xml:space="preserve"> should be </w:t>
      </w:r>
      <w:r>
        <w:rPr>
          <w:rFonts w:ascii="Calibri" w:eastAsiaTheme="minorHAnsi" w:hAnsi="Calibri" w:cs="Calibri"/>
          <w:color w:val="000000"/>
          <w:szCs w:val="22"/>
        </w:rPr>
        <w:t>accessible</w:t>
      </w:r>
      <w:r w:rsidRPr="00510062">
        <w:rPr>
          <w:rFonts w:ascii="Calibri" w:eastAsiaTheme="minorHAnsi" w:hAnsi="Calibri" w:cs="Calibri"/>
          <w:color w:val="000000"/>
          <w:szCs w:val="22"/>
        </w:rPr>
        <w:t xml:space="preserve"> for all people</w:t>
      </w:r>
      <w:r>
        <w:rPr>
          <w:rFonts w:ascii="Calibri" w:eastAsiaTheme="minorHAnsi" w:hAnsi="Calibri" w:cs="Calibri"/>
          <w:color w:val="000000"/>
          <w:szCs w:val="22"/>
        </w:rPr>
        <w:t xml:space="preserve"> – but until this is achieved other </w:t>
      </w:r>
      <w:r w:rsidR="00057B14">
        <w:rPr>
          <w:rFonts w:ascii="Calibri" w:eastAsiaTheme="minorHAnsi" w:hAnsi="Calibri" w:cs="Calibri"/>
          <w:color w:val="000000"/>
          <w:szCs w:val="22"/>
        </w:rPr>
        <w:t>models</w:t>
      </w:r>
      <w:r>
        <w:rPr>
          <w:rFonts w:ascii="Calibri" w:eastAsiaTheme="minorHAnsi" w:hAnsi="Calibri" w:cs="Calibri"/>
          <w:color w:val="000000"/>
          <w:szCs w:val="22"/>
        </w:rPr>
        <w:t xml:space="preserve"> such as social businesses will be the preferred option for some people with mental illness. Th</w:t>
      </w:r>
      <w:r w:rsidR="00976371">
        <w:rPr>
          <w:rFonts w:ascii="Calibri" w:eastAsiaTheme="minorHAnsi" w:hAnsi="Calibri" w:cs="Calibri"/>
          <w:color w:val="000000"/>
          <w:szCs w:val="22"/>
        </w:rPr>
        <w:t>ese</w:t>
      </w:r>
      <w:r>
        <w:rPr>
          <w:rFonts w:ascii="Calibri" w:eastAsiaTheme="minorHAnsi" w:hAnsi="Calibri" w:cs="Calibri"/>
          <w:color w:val="000000"/>
          <w:szCs w:val="22"/>
        </w:rPr>
        <w:t xml:space="preserve"> models should be based on principles of equity and provide transition to mainstream employment based on a client’s individual preferences. </w:t>
      </w:r>
    </w:p>
    <w:p w:rsidR="008D3192" w:rsidRDefault="008D3192">
      <w:pPr>
        <w:spacing w:after="200"/>
        <w:rPr>
          <w:rFonts w:eastAsia="Times" w:cstheme="minorHAnsi"/>
          <w:b/>
          <w:color w:val="F46A3A"/>
          <w:kern w:val="32"/>
          <w:sz w:val="32"/>
          <w:lang w:eastAsia="en-AU"/>
        </w:rPr>
      </w:pPr>
      <w:r>
        <w:rPr>
          <w:rFonts w:eastAsia="Times" w:cstheme="minorHAnsi"/>
          <w:b/>
          <w:color w:val="F46A3A"/>
          <w:kern w:val="32"/>
          <w:sz w:val="32"/>
          <w:lang w:eastAsia="en-AU"/>
        </w:rPr>
        <w:t xml:space="preserve">Targeting employers </w:t>
      </w:r>
    </w:p>
    <w:p w:rsidR="008D3192" w:rsidRDefault="008D3192">
      <w:pPr>
        <w:spacing w:after="200"/>
        <w:rPr>
          <w:rFonts w:ascii="Calibri" w:eastAsiaTheme="minorHAnsi" w:hAnsi="Calibri" w:cs="Calibri"/>
          <w:color w:val="000000"/>
          <w:szCs w:val="22"/>
        </w:rPr>
      </w:pPr>
      <w:r>
        <w:rPr>
          <w:rFonts w:ascii="Calibri" w:eastAsiaTheme="minorHAnsi" w:hAnsi="Calibri" w:cs="Calibri"/>
          <w:color w:val="000000"/>
          <w:szCs w:val="22"/>
        </w:rPr>
        <w:t xml:space="preserve">The proposed new approaches targeting the employer side of the employment </w:t>
      </w:r>
      <w:r w:rsidR="00345E89">
        <w:rPr>
          <w:rFonts w:ascii="Calibri" w:eastAsiaTheme="minorHAnsi" w:hAnsi="Calibri" w:cs="Calibri"/>
          <w:color w:val="000000"/>
          <w:szCs w:val="22"/>
        </w:rPr>
        <w:t>partnerships</w:t>
      </w:r>
      <w:r>
        <w:rPr>
          <w:rFonts w:ascii="Calibri" w:eastAsiaTheme="minorHAnsi" w:hAnsi="Calibri" w:cs="Calibri"/>
          <w:color w:val="000000"/>
          <w:szCs w:val="22"/>
        </w:rPr>
        <w:t xml:space="preserve"> are welcomed. Arguably, the most significant barrier to employment for people with mental illness is employer attitudes and this is where the most significant behaviour change is required. </w:t>
      </w:r>
    </w:p>
    <w:p w:rsidR="008D3192" w:rsidRDefault="008D3192">
      <w:pPr>
        <w:spacing w:after="200"/>
        <w:rPr>
          <w:rFonts w:ascii="Calibri" w:eastAsiaTheme="minorHAnsi" w:hAnsi="Calibri" w:cs="Calibri"/>
          <w:color w:val="000000"/>
          <w:szCs w:val="22"/>
        </w:rPr>
      </w:pPr>
      <w:r w:rsidRPr="008D3192">
        <w:rPr>
          <w:rFonts w:ascii="Calibri" w:eastAsiaTheme="minorHAnsi" w:hAnsi="Calibri" w:cs="Calibri"/>
          <w:color w:val="000000"/>
          <w:szCs w:val="22"/>
        </w:rPr>
        <w:t xml:space="preserve">The report of the Australian Human Rights Commission into employment discrimination against Australian with disability and older Australians found </w:t>
      </w:r>
    </w:p>
    <w:p w:rsidR="008D3192" w:rsidRDefault="008D3192" w:rsidP="008D3192">
      <w:pPr>
        <w:spacing w:after="200"/>
        <w:ind w:left="720"/>
        <w:rPr>
          <w:rFonts w:ascii="Calibri" w:eastAsiaTheme="minorHAnsi" w:hAnsi="Calibri" w:cs="Calibri"/>
          <w:i/>
          <w:color w:val="000000"/>
          <w:szCs w:val="22"/>
        </w:rPr>
      </w:pPr>
      <w:r w:rsidRPr="008D3192">
        <w:rPr>
          <w:rFonts w:ascii="Calibri" w:eastAsiaTheme="minorHAnsi" w:hAnsi="Calibri" w:cs="Calibri"/>
          <w:i/>
          <w:color w:val="000000"/>
          <w:szCs w:val="22"/>
        </w:rPr>
        <w:t>“Employment discrimination against people with disability is ongoing and systemic. At the recruitment stage, bias, inaccessibility and exclusion are recurring issues. People with disability face a conundrum regarding if, when and how to disclose their disability and can experience barriers in accessing necessary workplace adjustments and opportunities for career progression. Discrimination is underpinned by negative assumptions and attitudes that are held by many employers and throughout the community about the productivity and capability of people with disability and perceptions that they present a higher work health and safety risk.”</w:t>
      </w:r>
      <w:r>
        <w:rPr>
          <w:rStyle w:val="EndnoteReference"/>
          <w:rFonts w:ascii="Calibri" w:eastAsiaTheme="minorHAnsi" w:hAnsi="Calibri" w:cs="Calibri"/>
          <w:i/>
          <w:color w:val="000000"/>
          <w:szCs w:val="22"/>
        </w:rPr>
        <w:endnoteReference w:id="6"/>
      </w:r>
    </w:p>
    <w:p w:rsidR="002B63CE" w:rsidRDefault="008735D4" w:rsidP="002B63CE">
      <w:pPr>
        <w:spacing w:after="200"/>
        <w:rPr>
          <w:rFonts w:ascii="Calibri" w:eastAsiaTheme="minorHAnsi" w:hAnsi="Calibri" w:cs="Calibri"/>
          <w:color w:val="000000"/>
          <w:szCs w:val="22"/>
        </w:rPr>
      </w:pPr>
      <w:r>
        <w:rPr>
          <w:rFonts w:ascii="Calibri" w:eastAsiaTheme="minorHAnsi" w:hAnsi="Calibri" w:cs="Calibri"/>
          <w:color w:val="000000"/>
          <w:szCs w:val="22"/>
        </w:rPr>
        <w:t xml:space="preserve">The Commonwealth government is a large employer and the DSS should be a powerful advocate for disability inclusion and good quality work practices within the Commonwealth public service. The </w:t>
      </w:r>
      <w:r w:rsidR="00057B14">
        <w:rPr>
          <w:rFonts w:ascii="Calibri" w:eastAsiaTheme="minorHAnsi" w:hAnsi="Calibri" w:cs="Calibri"/>
          <w:color w:val="000000"/>
          <w:szCs w:val="22"/>
        </w:rPr>
        <w:lastRenderedPageBreak/>
        <w:t>Commission</w:t>
      </w:r>
      <w:r>
        <w:rPr>
          <w:rFonts w:ascii="Calibri" w:eastAsiaTheme="minorHAnsi" w:hAnsi="Calibri" w:cs="Calibri"/>
          <w:color w:val="000000"/>
          <w:szCs w:val="22"/>
        </w:rPr>
        <w:t xml:space="preserve"> acknowledges the current </w:t>
      </w:r>
      <w:r w:rsidRPr="008735D4">
        <w:rPr>
          <w:rFonts w:ascii="Calibri" w:eastAsiaTheme="minorHAnsi" w:hAnsi="Calibri" w:cs="Calibri"/>
          <w:color w:val="000000"/>
          <w:szCs w:val="22"/>
        </w:rPr>
        <w:t xml:space="preserve">Australian Public Service Commission’s As One disability employment strategy. It will need to be critically reviewed to assess </w:t>
      </w:r>
      <w:r w:rsidR="00976371">
        <w:rPr>
          <w:rFonts w:ascii="Calibri" w:eastAsiaTheme="minorHAnsi" w:hAnsi="Calibri" w:cs="Calibri"/>
          <w:color w:val="000000"/>
          <w:szCs w:val="22"/>
        </w:rPr>
        <w:t>its</w:t>
      </w:r>
      <w:r w:rsidRPr="008735D4">
        <w:rPr>
          <w:rFonts w:ascii="Calibri" w:eastAsiaTheme="minorHAnsi" w:hAnsi="Calibri" w:cs="Calibri"/>
          <w:color w:val="000000"/>
          <w:szCs w:val="22"/>
        </w:rPr>
        <w:t xml:space="preserve"> impact on employment outcomes and whether other measures are needed to create change. </w:t>
      </w:r>
      <w:r w:rsidR="000A6329">
        <w:rPr>
          <w:rFonts w:ascii="Calibri" w:eastAsiaTheme="minorHAnsi" w:hAnsi="Calibri" w:cs="Calibri"/>
          <w:color w:val="000000"/>
          <w:szCs w:val="22"/>
        </w:rPr>
        <w:t xml:space="preserve"> </w:t>
      </w:r>
    </w:p>
    <w:p w:rsidR="00CA57D8" w:rsidRPr="002B63CE" w:rsidRDefault="00CA57D8" w:rsidP="002B63CE">
      <w:pPr>
        <w:spacing w:after="200"/>
        <w:rPr>
          <w:rFonts w:ascii="Calibri" w:eastAsiaTheme="minorHAnsi" w:hAnsi="Calibri" w:cs="Calibri"/>
          <w:color w:val="000000"/>
          <w:szCs w:val="22"/>
        </w:rPr>
      </w:pPr>
      <w:r>
        <w:rPr>
          <w:rFonts w:ascii="Calibri" w:eastAsiaTheme="minorHAnsi" w:hAnsi="Calibri" w:cs="Calibri"/>
          <w:color w:val="000000"/>
          <w:szCs w:val="22"/>
        </w:rPr>
        <w:t xml:space="preserve">The positive benefits if work may be dependent on the quality of the work such as the presence of </w:t>
      </w:r>
      <w:r w:rsidR="00057B14">
        <w:rPr>
          <w:rFonts w:ascii="Calibri" w:eastAsiaTheme="minorHAnsi" w:hAnsi="Calibri" w:cs="Calibri"/>
          <w:color w:val="000000"/>
          <w:szCs w:val="22"/>
        </w:rPr>
        <w:t>supportive</w:t>
      </w:r>
      <w:r>
        <w:rPr>
          <w:rFonts w:ascii="Calibri" w:eastAsiaTheme="minorHAnsi" w:hAnsi="Calibri" w:cs="Calibri"/>
          <w:color w:val="000000"/>
          <w:szCs w:val="22"/>
        </w:rPr>
        <w:t xml:space="preserve"> supervision.</w:t>
      </w:r>
      <w:r>
        <w:rPr>
          <w:rStyle w:val="EndnoteReference"/>
          <w:rFonts w:ascii="Calibri" w:eastAsiaTheme="minorHAnsi" w:hAnsi="Calibri" w:cs="Calibri"/>
          <w:color w:val="000000"/>
          <w:szCs w:val="22"/>
        </w:rPr>
        <w:endnoteReference w:id="7"/>
      </w:r>
      <w:r>
        <w:rPr>
          <w:rFonts w:ascii="Calibri" w:eastAsiaTheme="minorHAnsi" w:hAnsi="Calibri" w:cs="Calibri"/>
          <w:color w:val="000000"/>
          <w:szCs w:val="22"/>
        </w:rPr>
        <w:t xml:space="preserve"> Part of the disability employment solution will be the creation of </w:t>
      </w:r>
      <w:r w:rsidR="00057B14">
        <w:rPr>
          <w:rFonts w:ascii="Calibri" w:eastAsiaTheme="minorHAnsi" w:hAnsi="Calibri" w:cs="Calibri"/>
          <w:color w:val="000000"/>
          <w:szCs w:val="22"/>
        </w:rPr>
        <w:t>workplaces</w:t>
      </w:r>
      <w:r>
        <w:rPr>
          <w:rFonts w:ascii="Calibri" w:eastAsiaTheme="minorHAnsi" w:hAnsi="Calibri" w:cs="Calibri"/>
          <w:color w:val="000000"/>
          <w:szCs w:val="22"/>
        </w:rPr>
        <w:t xml:space="preserve"> that support the wellbeing of all employees, and Commonwealth government employers must take up this challenge. The more seriously employers take their role in supporting </w:t>
      </w:r>
      <w:r w:rsidR="00057B14">
        <w:rPr>
          <w:rFonts w:ascii="Calibri" w:eastAsiaTheme="minorHAnsi" w:hAnsi="Calibri" w:cs="Calibri"/>
          <w:color w:val="000000"/>
          <w:szCs w:val="22"/>
        </w:rPr>
        <w:t>workplace</w:t>
      </w:r>
      <w:r>
        <w:rPr>
          <w:rFonts w:ascii="Calibri" w:eastAsiaTheme="minorHAnsi" w:hAnsi="Calibri" w:cs="Calibri"/>
          <w:color w:val="000000"/>
          <w:szCs w:val="22"/>
        </w:rPr>
        <w:t xml:space="preserve"> wellbeing for all </w:t>
      </w:r>
      <w:r w:rsidR="00057B14">
        <w:rPr>
          <w:rFonts w:ascii="Calibri" w:eastAsiaTheme="minorHAnsi" w:hAnsi="Calibri" w:cs="Calibri"/>
          <w:color w:val="000000"/>
          <w:szCs w:val="22"/>
        </w:rPr>
        <w:t>employees</w:t>
      </w:r>
      <w:r>
        <w:rPr>
          <w:rFonts w:ascii="Calibri" w:eastAsiaTheme="minorHAnsi" w:hAnsi="Calibri" w:cs="Calibri"/>
          <w:color w:val="000000"/>
          <w:szCs w:val="22"/>
        </w:rPr>
        <w:t xml:space="preserve">, the better the chance of successful employment for employees with disability who may require flexibility and adjustment. </w:t>
      </w:r>
    </w:p>
    <w:p w:rsidR="00E356E2" w:rsidRDefault="00E356E2">
      <w:pPr>
        <w:spacing w:after="200"/>
        <w:rPr>
          <w:rFonts w:eastAsia="Times" w:cstheme="minorHAnsi"/>
          <w:b/>
          <w:color w:val="F46A3A"/>
          <w:kern w:val="32"/>
          <w:sz w:val="32"/>
          <w:lang w:eastAsia="en-AU"/>
        </w:rPr>
      </w:pPr>
      <w:r>
        <w:rPr>
          <w:rFonts w:eastAsia="Times" w:cstheme="minorHAnsi"/>
          <w:b/>
          <w:color w:val="F46A3A"/>
          <w:kern w:val="32"/>
          <w:sz w:val="32"/>
          <w:lang w:eastAsia="en-AU"/>
        </w:rPr>
        <w:br w:type="page"/>
      </w:r>
    </w:p>
    <w:p w:rsidR="002B63CE" w:rsidRDefault="002B63CE" w:rsidP="007E71DB">
      <w:pPr>
        <w:rPr>
          <w:rFonts w:eastAsia="Times" w:cstheme="minorHAnsi"/>
          <w:b/>
          <w:color w:val="F46A3A"/>
          <w:kern w:val="32"/>
          <w:sz w:val="32"/>
          <w:lang w:eastAsia="en-AU"/>
        </w:rPr>
      </w:pPr>
      <w:r w:rsidRPr="002B63CE">
        <w:rPr>
          <w:rFonts w:eastAsia="Times" w:cstheme="minorHAnsi"/>
          <w:b/>
          <w:color w:val="F46A3A"/>
          <w:kern w:val="32"/>
          <w:sz w:val="32"/>
          <w:lang w:eastAsia="en-AU"/>
        </w:rPr>
        <w:lastRenderedPageBreak/>
        <w:t>A complex problem</w:t>
      </w:r>
    </w:p>
    <w:p w:rsidR="000A6329" w:rsidRDefault="000A6329" w:rsidP="007E71DB">
      <w:pPr>
        <w:rPr>
          <w:rFonts w:ascii="Calibri" w:eastAsiaTheme="minorHAnsi" w:hAnsi="Calibri" w:cs="Calibri"/>
          <w:color w:val="000000"/>
          <w:szCs w:val="22"/>
        </w:rPr>
      </w:pPr>
      <w:r>
        <w:rPr>
          <w:rFonts w:ascii="Calibri" w:eastAsiaTheme="minorHAnsi" w:hAnsi="Calibri" w:cs="Calibri"/>
          <w:color w:val="000000"/>
          <w:szCs w:val="22"/>
        </w:rPr>
        <w:t xml:space="preserve">As is well known by the Department of Social Services, disability employment is a sticky policy problem as rates of labour force </w:t>
      </w:r>
      <w:r w:rsidR="00345E89">
        <w:rPr>
          <w:rFonts w:ascii="Calibri" w:eastAsiaTheme="minorHAnsi" w:hAnsi="Calibri" w:cs="Calibri"/>
          <w:color w:val="000000"/>
          <w:szCs w:val="22"/>
        </w:rPr>
        <w:t>participation</w:t>
      </w:r>
      <w:r>
        <w:rPr>
          <w:rFonts w:ascii="Calibri" w:eastAsiaTheme="minorHAnsi" w:hAnsi="Calibri" w:cs="Calibri"/>
          <w:color w:val="000000"/>
          <w:szCs w:val="22"/>
        </w:rPr>
        <w:t xml:space="preserve"> have not shifted in decades.</w:t>
      </w:r>
      <w:r>
        <w:rPr>
          <w:rStyle w:val="EndnoteReference"/>
          <w:rFonts w:ascii="Calibri" w:eastAsiaTheme="minorHAnsi" w:hAnsi="Calibri" w:cs="Calibri"/>
          <w:color w:val="000000"/>
          <w:szCs w:val="22"/>
        </w:rPr>
        <w:endnoteReference w:id="8"/>
      </w:r>
      <w:r>
        <w:rPr>
          <w:rFonts w:ascii="Calibri" w:eastAsiaTheme="minorHAnsi" w:hAnsi="Calibri" w:cs="Calibri"/>
          <w:color w:val="000000"/>
          <w:szCs w:val="22"/>
        </w:rPr>
        <w:t xml:space="preserve"> We need to expect more from Disability Employment Services and the Commission supports the efforts of the DSS to refine their processes and design. </w:t>
      </w:r>
      <w:r w:rsidR="00976371">
        <w:rPr>
          <w:rFonts w:ascii="Calibri" w:eastAsiaTheme="minorHAnsi" w:hAnsi="Calibri" w:cs="Calibri"/>
          <w:color w:val="000000"/>
          <w:szCs w:val="22"/>
        </w:rPr>
        <w:t xml:space="preserve">The </w:t>
      </w:r>
      <w:r>
        <w:rPr>
          <w:rFonts w:ascii="Calibri" w:eastAsiaTheme="minorHAnsi" w:hAnsi="Calibri" w:cs="Calibri"/>
          <w:color w:val="000000"/>
          <w:szCs w:val="22"/>
        </w:rPr>
        <w:t xml:space="preserve">DES </w:t>
      </w:r>
      <w:r w:rsidR="00976371">
        <w:rPr>
          <w:rFonts w:ascii="Calibri" w:eastAsiaTheme="minorHAnsi" w:hAnsi="Calibri" w:cs="Calibri"/>
          <w:color w:val="000000"/>
          <w:szCs w:val="22"/>
        </w:rPr>
        <w:t>system</w:t>
      </w:r>
      <w:r w:rsidR="00057B14">
        <w:rPr>
          <w:rFonts w:ascii="Calibri" w:eastAsiaTheme="minorHAnsi" w:hAnsi="Calibri" w:cs="Calibri"/>
          <w:color w:val="000000"/>
          <w:szCs w:val="22"/>
        </w:rPr>
        <w:t>,</w:t>
      </w:r>
      <w:r w:rsidR="00976371">
        <w:rPr>
          <w:rFonts w:ascii="Calibri" w:eastAsiaTheme="minorHAnsi" w:hAnsi="Calibri" w:cs="Calibri"/>
          <w:color w:val="000000"/>
          <w:szCs w:val="22"/>
        </w:rPr>
        <w:t xml:space="preserve"> </w:t>
      </w:r>
      <w:r>
        <w:rPr>
          <w:rFonts w:ascii="Calibri" w:eastAsiaTheme="minorHAnsi" w:hAnsi="Calibri" w:cs="Calibri"/>
          <w:color w:val="000000"/>
          <w:szCs w:val="22"/>
        </w:rPr>
        <w:t xml:space="preserve">legislative approaches, employer </w:t>
      </w:r>
      <w:r w:rsidR="00345E89">
        <w:rPr>
          <w:rFonts w:ascii="Calibri" w:eastAsiaTheme="minorHAnsi" w:hAnsi="Calibri" w:cs="Calibri"/>
          <w:color w:val="000000"/>
          <w:szCs w:val="22"/>
        </w:rPr>
        <w:t>frameworks</w:t>
      </w:r>
      <w:r>
        <w:rPr>
          <w:rFonts w:ascii="Calibri" w:eastAsiaTheme="minorHAnsi" w:hAnsi="Calibri" w:cs="Calibri"/>
          <w:color w:val="000000"/>
          <w:szCs w:val="22"/>
        </w:rPr>
        <w:t xml:space="preserve">, and </w:t>
      </w:r>
      <w:r w:rsidR="00345E89">
        <w:rPr>
          <w:rFonts w:ascii="Calibri" w:eastAsiaTheme="minorHAnsi" w:hAnsi="Calibri" w:cs="Calibri"/>
          <w:color w:val="000000"/>
          <w:szCs w:val="22"/>
        </w:rPr>
        <w:t>education</w:t>
      </w:r>
      <w:r>
        <w:rPr>
          <w:rFonts w:ascii="Calibri" w:eastAsiaTheme="minorHAnsi" w:hAnsi="Calibri" w:cs="Calibri"/>
          <w:color w:val="000000"/>
          <w:szCs w:val="22"/>
        </w:rPr>
        <w:t xml:space="preserve"> and training supports</w:t>
      </w:r>
      <w:r w:rsidR="00057B14">
        <w:rPr>
          <w:rFonts w:ascii="Calibri" w:eastAsiaTheme="minorHAnsi" w:hAnsi="Calibri" w:cs="Calibri"/>
          <w:color w:val="000000"/>
          <w:szCs w:val="22"/>
        </w:rPr>
        <w:t>,</w:t>
      </w:r>
      <w:r>
        <w:rPr>
          <w:rFonts w:ascii="Calibri" w:eastAsiaTheme="minorHAnsi" w:hAnsi="Calibri" w:cs="Calibri"/>
          <w:color w:val="000000"/>
          <w:szCs w:val="22"/>
        </w:rPr>
        <w:t xml:space="preserve"> all have their place</w:t>
      </w:r>
      <w:r w:rsidR="00345E89">
        <w:rPr>
          <w:rFonts w:ascii="Calibri" w:eastAsiaTheme="minorHAnsi" w:hAnsi="Calibri" w:cs="Calibri"/>
          <w:color w:val="000000"/>
          <w:szCs w:val="22"/>
        </w:rPr>
        <w:t xml:space="preserve"> and can be improved</w:t>
      </w:r>
      <w:r>
        <w:rPr>
          <w:rFonts w:ascii="Calibri" w:eastAsiaTheme="minorHAnsi" w:hAnsi="Calibri" w:cs="Calibri"/>
          <w:color w:val="000000"/>
          <w:szCs w:val="22"/>
        </w:rPr>
        <w:t>, but despite these systems</w:t>
      </w:r>
      <w:r w:rsidR="00057B14">
        <w:rPr>
          <w:rFonts w:ascii="Calibri" w:eastAsiaTheme="minorHAnsi" w:hAnsi="Calibri" w:cs="Calibri"/>
          <w:color w:val="000000"/>
          <w:szCs w:val="22"/>
        </w:rPr>
        <w:t xml:space="preserve"> being in place for some time</w:t>
      </w:r>
      <w:r>
        <w:rPr>
          <w:rFonts w:ascii="Calibri" w:eastAsiaTheme="minorHAnsi" w:hAnsi="Calibri" w:cs="Calibri"/>
          <w:color w:val="000000"/>
          <w:szCs w:val="22"/>
        </w:rPr>
        <w:t xml:space="preserve">, outcomes are not </w:t>
      </w:r>
      <w:r w:rsidR="00345E89">
        <w:rPr>
          <w:rFonts w:ascii="Calibri" w:eastAsiaTheme="minorHAnsi" w:hAnsi="Calibri" w:cs="Calibri"/>
          <w:color w:val="000000"/>
          <w:szCs w:val="22"/>
        </w:rPr>
        <w:t>changing</w:t>
      </w:r>
      <w:r>
        <w:rPr>
          <w:rFonts w:ascii="Calibri" w:eastAsiaTheme="minorHAnsi" w:hAnsi="Calibri" w:cs="Calibri"/>
          <w:color w:val="000000"/>
          <w:szCs w:val="22"/>
        </w:rPr>
        <w:t xml:space="preserve">. </w:t>
      </w:r>
    </w:p>
    <w:p w:rsidR="002F71EB" w:rsidRDefault="000A6329" w:rsidP="007E71DB">
      <w:pPr>
        <w:rPr>
          <w:rFonts w:ascii="Calibri" w:eastAsiaTheme="minorHAnsi" w:hAnsi="Calibri" w:cs="Calibri"/>
          <w:color w:val="000000"/>
          <w:szCs w:val="22"/>
        </w:rPr>
        <w:sectPr w:rsidR="002F71EB" w:rsidSect="00C55B1A">
          <w:headerReference w:type="first" r:id="rId14"/>
          <w:pgSz w:w="11907" w:h="16840" w:code="9"/>
          <w:pgMar w:top="1440" w:right="1440" w:bottom="1440" w:left="1440" w:header="284" w:footer="397" w:gutter="0"/>
          <w:cols w:space="708"/>
          <w:titlePg/>
          <w:docGrid w:linePitch="326"/>
        </w:sectPr>
      </w:pPr>
      <w:r>
        <w:rPr>
          <w:rFonts w:ascii="Calibri" w:eastAsiaTheme="minorHAnsi" w:hAnsi="Calibri" w:cs="Calibri"/>
          <w:color w:val="000000"/>
          <w:szCs w:val="22"/>
        </w:rPr>
        <w:t>Innovation ne</w:t>
      </w:r>
      <w:r w:rsidR="00345E89">
        <w:rPr>
          <w:rFonts w:ascii="Calibri" w:eastAsiaTheme="minorHAnsi" w:hAnsi="Calibri" w:cs="Calibri"/>
          <w:color w:val="000000"/>
          <w:szCs w:val="22"/>
        </w:rPr>
        <w:t xml:space="preserve">eds to be part of the policy response. The Commission welcomes the suggestion of innovative employer initiatives being supported by the Government. New solutions need to be developed in partnership with </w:t>
      </w:r>
      <w:r w:rsidR="00057B14">
        <w:rPr>
          <w:rFonts w:ascii="Calibri" w:eastAsiaTheme="minorHAnsi" w:hAnsi="Calibri" w:cs="Calibri"/>
          <w:color w:val="000000"/>
          <w:szCs w:val="22"/>
        </w:rPr>
        <w:t>people currently excluded from work</w:t>
      </w:r>
      <w:r w:rsidR="00345E89">
        <w:rPr>
          <w:rFonts w:ascii="Calibri" w:eastAsiaTheme="minorHAnsi" w:hAnsi="Calibri" w:cs="Calibri"/>
          <w:color w:val="000000"/>
          <w:szCs w:val="22"/>
        </w:rPr>
        <w:t xml:space="preserve">. </w:t>
      </w:r>
      <w:r w:rsidR="00057B14">
        <w:rPr>
          <w:rFonts w:ascii="Calibri" w:eastAsiaTheme="minorHAnsi" w:hAnsi="Calibri" w:cs="Calibri"/>
          <w:color w:val="000000"/>
          <w:szCs w:val="22"/>
        </w:rPr>
        <w:t>Meaningful</w:t>
      </w:r>
      <w:r w:rsidR="00345E89">
        <w:rPr>
          <w:rFonts w:ascii="Calibri" w:eastAsiaTheme="minorHAnsi" w:hAnsi="Calibri" w:cs="Calibri"/>
          <w:color w:val="000000"/>
          <w:szCs w:val="22"/>
        </w:rPr>
        <w:t xml:space="preserve"> engagement with the deepest needs of people with experience of mental illness and employment exclusion, employers, and service providers is the best route to effe</w:t>
      </w:r>
      <w:r w:rsidR="002F71EB">
        <w:rPr>
          <w:rFonts w:ascii="Calibri" w:eastAsiaTheme="minorHAnsi" w:hAnsi="Calibri" w:cs="Calibri"/>
          <w:color w:val="000000"/>
          <w:szCs w:val="22"/>
        </w:rPr>
        <w:t xml:space="preserve">ctive, actionable, initiatives. </w:t>
      </w:r>
    </w:p>
    <w:p w:rsidR="000A6329" w:rsidRDefault="000A6329" w:rsidP="007E71DB">
      <w:pPr>
        <w:rPr>
          <w:rFonts w:ascii="Calibri" w:eastAsiaTheme="minorHAnsi" w:hAnsi="Calibri" w:cs="Calibri"/>
          <w:color w:val="000000"/>
          <w:szCs w:val="22"/>
        </w:rPr>
      </w:pPr>
    </w:p>
    <w:p w:rsidR="000A6329" w:rsidRDefault="000A6329" w:rsidP="007E71DB">
      <w:pPr>
        <w:rPr>
          <w:rFonts w:ascii="Calibri" w:eastAsiaTheme="minorHAnsi" w:hAnsi="Calibri" w:cs="Calibri"/>
          <w:color w:val="000000"/>
          <w:szCs w:val="22"/>
        </w:rPr>
      </w:pPr>
    </w:p>
    <w:bookmarkEnd w:id="2"/>
    <w:p w:rsidR="002926B4" w:rsidRPr="0026152C" w:rsidRDefault="002926B4" w:rsidP="002926B4">
      <w:pPr>
        <w:spacing w:after="200"/>
      </w:pPr>
    </w:p>
    <w:sectPr w:rsidR="002926B4" w:rsidRPr="0026152C" w:rsidSect="00C55B1A">
      <w:headerReference w:type="first" r:id="rId15"/>
      <w:pgSz w:w="11907" w:h="16840" w:code="9"/>
      <w:pgMar w:top="1440" w:right="1440" w:bottom="1440" w:left="1440" w:header="28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E5" w:rsidRDefault="00496CE5" w:rsidP="003F4DAC">
      <w:r>
        <w:separator/>
      </w:r>
    </w:p>
  </w:endnote>
  <w:endnote w:type="continuationSeparator" w:id="0">
    <w:p w:rsidR="00496CE5" w:rsidRDefault="00496CE5" w:rsidP="003F4DAC">
      <w:r>
        <w:continuationSeparator/>
      </w:r>
    </w:p>
  </w:endnote>
  <w:endnote w:id="1">
    <w:p w:rsidR="00DD6A3C" w:rsidRDefault="00DD6A3C">
      <w:pPr>
        <w:pStyle w:val="EndnoteText"/>
      </w:pPr>
      <w:r>
        <w:rPr>
          <w:rStyle w:val="EndnoteReference"/>
        </w:rPr>
        <w:endnoteRef/>
      </w:r>
      <w:r>
        <w:t xml:space="preserve"> See for example Modini, M., Joyce, S., Mykletun, A., Christensen, H., Bryant, R.A., Mitchell, P.B., Harvey, S.H. 2016. The mental health benefits of employment: Results of a systematic meta-review. </w:t>
      </w:r>
      <w:r w:rsidR="009632CA" w:rsidRPr="009632CA">
        <w:rPr>
          <w:i/>
        </w:rPr>
        <w:t>Australasian Psychiatry, 24</w:t>
      </w:r>
      <w:r w:rsidR="009632CA">
        <w:t xml:space="preserve">(4) 331-336. </w:t>
      </w:r>
    </w:p>
  </w:endnote>
  <w:endnote w:id="2">
    <w:p w:rsidR="00DD3976" w:rsidRDefault="00DD3976">
      <w:pPr>
        <w:pStyle w:val="EndnoteText"/>
      </w:pPr>
      <w:r>
        <w:rPr>
          <w:rStyle w:val="EndnoteReference"/>
        </w:rPr>
        <w:endnoteRef/>
      </w:r>
      <w:r>
        <w:t xml:space="preserve"> </w:t>
      </w:r>
      <w:r w:rsidRPr="00DD3976">
        <w:rPr>
          <w:rStyle w:val="f61"/>
          <w:rFonts w:cs="Arial"/>
          <w:lang w:val="en"/>
        </w:rPr>
        <w:t xml:space="preserve">Australian Bureau of Statistics (ABS). 2015. </w:t>
      </w:r>
      <w:r w:rsidRPr="00DD3976">
        <w:rPr>
          <w:rStyle w:val="f65"/>
          <w:rFonts w:cs="Arial"/>
          <w:i/>
          <w:lang w:val="en"/>
        </w:rPr>
        <w:t>Disability and Labour Force Participation, 2012</w:t>
      </w:r>
      <w:r w:rsidRPr="00DD3976">
        <w:rPr>
          <w:rStyle w:val="f61"/>
          <w:rFonts w:cs="Arial"/>
          <w:i/>
          <w:lang w:val="en"/>
        </w:rPr>
        <w:t>.</w:t>
      </w:r>
      <w:r w:rsidRPr="00DD3976">
        <w:rPr>
          <w:rStyle w:val="f61"/>
          <w:rFonts w:cs="Arial"/>
          <w:lang w:val="en"/>
        </w:rPr>
        <w:t xml:space="preserve"> Available at</w:t>
      </w:r>
      <w:r>
        <w:rPr>
          <w:rStyle w:val="f61"/>
          <w:rFonts w:cs="Arial"/>
          <w:lang w:val="en"/>
        </w:rPr>
        <w:t xml:space="preserve"> </w:t>
      </w:r>
      <w:r w:rsidRPr="00DD3976">
        <w:rPr>
          <w:rStyle w:val="f61"/>
          <w:rFonts w:cs="Arial"/>
          <w:color w:val="0563C1"/>
          <w:lang w:val="en"/>
        </w:rPr>
        <w:t>http://www.abs.gov.au/ausstats/abs@.nsf/mf/4433.0.55.006</w:t>
      </w:r>
      <w:r w:rsidRPr="00DD3976">
        <w:rPr>
          <w:rStyle w:val="f61"/>
          <w:rFonts w:cs="Arial"/>
          <w:lang w:val="en"/>
        </w:rPr>
        <w:t>.</w:t>
      </w:r>
    </w:p>
  </w:endnote>
  <w:endnote w:id="3">
    <w:p w:rsidR="006A25B2" w:rsidRDefault="006A25B2">
      <w:pPr>
        <w:pStyle w:val="EndnoteText"/>
      </w:pPr>
      <w:r>
        <w:rPr>
          <w:rStyle w:val="EndnoteReference"/>
        </w:rPr>
        <w:endnoteRef/>
      </w:r>
      <w:r>
        <w:t xml:space="preserve"> </w:t>
      </w:r>
      <w:r w:rsidRPr="00DD3976">
        <w:rPr>
          <w:rStyle w:val="f61"/>
          <w:rFonts w:cs="Arial"/>
          <w:lang w:val="en"/>
        </w:rPr>
        <w:t xml:space="preserve">Australian Bureau of Statistics (ABS). 2015. </w:t>
      </w:r>
      <w:r w:rsidRPr="00DD3976">
        <w:rPr>
          <w:rStyle w:val="f65"/>
          <w:rFonts w:cs="Arial"/>
          <w:i/>
          <w:lang w:val="en"/>
        </w:rPr>
        <w:t>Disability and Labour Force Participation, 2012</w:t>
      </w:r>
      <w:r w:rsidRPr="00DD3976">
        <w:rPr>
          <w:rStyle w:val="f61"/>
          <w:rFonts w:cs="Arial"/>
          <w:i/>
          <w:lang w:val="en"/>
        </w:rPr>
        <w:t>.</w:t>
      </w:r>
      <w:r w:rsidRPr="00DD3976">
        <w:rPr>
          <w:rStyle w:val="f61"/>
          <w:rFonts w:cs="Arial"/>
          <w:lang w:val="en"/>
        </w:rPr>
        <w:t xml:space="preserve"> Available at</w:t>
      </w:r>
      <w:r>
        <w:rPr>
          <w:rStyle w:val="f61"/>
          <w:rFonts w:cs="Arial"/>
          <w:lang w:val="en"/>
        </w:rPr>
        <w:t xml:space="preserve"> </w:t>
      </w:r>
      <w:r w:rsidRPr="00DD3976">
        <w:rPr>
          <w:rStyle w:val="f61"/>
          <w:rFonts w:cs="Arial"/>
          <w:color w:val="0563C1"/>
          <w:lang w:val="en"/>
        </w:rPr>
        <w:t>http://www.abs.gov.au/ausstats/abs@.nsf/mf/4433.0.55.006</w:t>
      </w:r>
      <w:r w:rsidRPr="00DD3976">
        <w:rPr>
          <w:rStyle w:val="f61"/>
          <w:rFonts w:cs="Arial"/>
          <w:lang w:val="en"/>
        </w:rPr>
        <w:t>.</w:t>
      </w:r>
    </w:p>
  </w:endnote>
  <w:endnote w:id="4">
    <w:p w:rsidR="006C459B" w:rsidRDefault="006C459B">
      <w:pPr>
        <w:pStyle w:val="EndnoteText"/>
      </w:pPr>
      <w:r>
        <w:rPr>
          <w:rStyle w:val="EndnoteReference"/>
        </w:rPr>
        <w:endnoteRef/>
      </w:r>
      <w:r>
        <w:t xml:space="preserve"> Australian Human Rights Commission. 2016. </w:t>
      </w:r>
      <w:r w:rsidRPr="008D3192">
        <w:rPr>
          <w:i/>
        </w:rPr>
        <w:t>Willing To Work - National Inquiry into Employment Discrimination Against Older Australians and Australians with Disability</w:t>
      </w:r>
      <w:r>
        <w:t>. Sydney: Australian Human Rights Commission.</w:t>
      </w:r>
    </w:p>
  </w:endnote>
  <w:endnote w:id="5">
    <w:p w:rsidR="006B5BA4" w:rsidRDefault="006B5BA4">
      <w:pPr>
        <w:pStyle w:val="EndnoteText"/>
      </w:pPr>
      <w:r>
        <w:rPr>
          <w:rStyle w:val="EndnoteReference"/>
        </w:rPr>
        <w:endnoteRef/>
      </w:r>
      <w:r>
        <w:t xml:space="preserve"> Modini, M., Tan, L., Brinchmann, B., Wang, M-J., Killackey, E., Glozier, N., Mykletun, A., Harvey, S.B. Supported employment for people with severe mental illness: systematic revi</w:t>
      </w:r>
      <w:r w:rsidR="00345E89">
        <w:t>e</w:t>
      </w:r>
      <w:r>
        <w:t xml:space="preserve">w and meta-analysis of the international evidence. </w:t>
      </w:r>
      <w:r w:rsidRPr="006B5BA4">
        <w:rPr>
          <w:i/>
        </w:rPr>
        <w:t>The British Journal of Psychiatry, 209</w:t>
      </w:r>
      <w:r>
        <w:t xml:space="preserve">, 14-22. </w:t>
      </w:r>
    </w:p>
  </w:endnote>
  <w:endnote w:id="6">
    <w:p w:rsidR="008D3192" w:rsidRDefault="008D3192">
      <w:pPr>
        <w:pStyle w:val="EndnoteText"/>
      </w:pPr>
      <w:r>
        <w:rPr>
          <w:rStyle w:val="EndnoteReference"/>
        </w:rPr>
        <w:endnoteRef/>
      </w:r>
      <w:r>
        <w:t xml:space="preserve"> Australian Human Rights Commission. 2016. </w:t>
      </w:r>
      <w:r w:rsidRPr="008D3192">
        <w:rPr>
          <w:i/>
        </w:rPr>
        <w:t>Willing To Work - National Inquiry into Employment Discrimination Against Older Australians and Australians with Disability</w:t>
      </w:r>
      <w:r>
        <w:t xml:space="preserve">. Sydney: Australian Human Rights Commission. </w:t>
      </w:r>
    </w:p>
  </w:endnote>
  <w:endnote w:id="7">
    <w:p w:rsidR="00CA57D8" w:rsidRDefault="00CA57D8">
      <w:pPr>
        <w:pStyle w:val="EndnoteText"/>
      </w:pPr>
      <w:r>
        <w:rPr>
          <w:rStyle w:val="EndnoteReference"/>
        </w:rPr>
        <w:endnoteRef/>
      </w:r>
      <w:r>
        <w:t xml:space="preserve"> Modini, M., Joyce, S., Mykletun, A., Christensen, H., Bryant, R.A., Mitchell, P.B., Harvey, S.H. 2016. The mental health benefits of employment: Results of a systematic meta-review. </w:t>
      </w:r>
      <w:r w:rsidRPr="009632CA">
        <w:rPr>
          <w:i/>
        </w:rPr>
        <w:t>Australasian Psychiatry, 24</w:t>
      </w:r>
      <w:r>
        <w:t>(4) 331-336.</w:t>
      </w:r>
    </w:p>
  </w:endnote>
  <w:endnote w:id="8">
    <w:p w:rsidR="000A6329" w:rsidRDefault="000A6329">
      <w:pPr>
        <w:pStyle w:val="EndnoteText"/>
        <w:rPr>
          <w:rStyle w:val="f61"/>
          <w:rFonts w:cs="Arial"/>
          <w:color w:val="0563C1"/>
          <w:lang w:val="en"/>
        </w:rPr>
      </w:pPr>
      <w:r>
        <w:rPr>
          <w:rStyle w:val="EndnoteReference"/>
        </w:rPr>
        <w:endnoteRef/>
      </w:r>
      <w:r>
        <w:t xml:space="preserve"> </w:t>
      </w:r>
      <w:r w:rsidRPr="000A6329">
        <w:t xml:space="preserve">Australian Bureau of Statistics (ABS). 2015. </w:t>
      </w:r>
      <w:r w:rsidRPr="000A6329">
        <w:rPr>
          <w:i/>
        </w:rPr>
        <w:t>Disability and Labour Force Participation, 2012</w:t>
      </w:r>
      <w:r w:rsidRPr="000A6329">
        <w:t xml:space="preserve">. Available </w:t>
      </w:r>
      <w:r w:rsidRPr="000A6329">
        <w:rPr>
          <w:rStyle w:val="f61"/>
          <w:rFonts w:cs="Arial"/>
          <w:lang w:val="en"/>
        </w:rPr>
        <w:t xml:space="preserve">at </w:t>
      </w:r>
      <w:r w:rsidRPr="000A6329">
        <w:rPr>
          <w:rStyle w:val="f61"/>
          <w:rFonts w:cs="Arial"/>
          <w:color w:val="0563C1"/>
          <w:lang w:val="en"/>
        </w:rPr>
        <w:t xml:space="preserve">http://www.abs.gov.au/ausstats/abs@.nsf/mf/4433.0.55.006 </w:t>
      </w:r>
    </w:p>
    <w:p w:rsidR="002F71EB" w:rsidRPr="000A6329" w:rsidRDefault="002F71EB">
      <w:pPr>
        <w:pStyle w:val="EndnoteText"/>
        <w:rPr>
          <w:rStyle w:val="f61"/>
          <w:rFonts w:cs="Arial"/>
          <w:color w:val="0563C1"/>
          <w:lang w:val="e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Samo Sans Pro Medium">
    <w:altName w:val="Samo Sans Pr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11471596"/>
      <w:docPartObj>
        <w:docPartGallery w:val="Page Numbers (Bottom of Page)"/>
        <w:docPartUnique/>
      </w:docPartObj>
    </w:sdtPr>
    <w:sdtEndPr/>
    <w:sdtContent>
      <w:p w:rsidR="00FD1BAA" w:rsidRPr="000F3302" w:rsidRDefault="006A2EDD" w:rsidP="00AD639D">
        <w:pPr>
          <w:spacing w:after="200"/>
          <w:rPr>
            <w:color w:val="808080" w:themeColor="background1" w:themeShade="80"/>
          </w:rPr>
        </w:pPr>
        <w:r>
          <w:rPr>
            <w:color w:val="808080" w:themeColor="background1" w:themeShade="80"/>
            <w:sz w:val="18"/>
          </w:rPr>
          <w:t>New Disability Employment Services from 2018</w:t>
        </w:r>
        <w:r w:rsidR="00AD639D" w:rsidRPr="00AD639D">
          <w:rPr>
            <w:color w:val="808080" w:themeColor="background1" w:themeShade="80"/>
            <w:sz w:val="18"/>
          </w:rPr>
          <w:t xml:space="preserve">  </w:t>
        </w:r>
        <w:r w:rsidR="00AD639D" w:rsidRPr="00AD639D">
          <w:rPr>
            <w:color w:val="808080" w:themeColor="background1" w:themeShade="80"/>
            <w:sz w:val="18"/>
          </w:rPr>
          <w:br/>
          <w:t>Submission by the Mental Health Commission of New South Wales</w:t>
        </w:r>
        <w:r w:rsidR="00AC57FB">
          <w:rPr>
            <w:color w:val="808080" w:themeColor="background1" w:themeShade="80"/>
            <w:sz w:val="18"/>
          </w:rPr>
          <w:t xml:space="preserve">  </w:t>
        </w:r>
        <w:r w:rsidR="00AE70DF">
          <w:rPr>
            <w:color w:val="808080" w:themeColor="background1" w:themeShade="80"/>
            <w:sz w:val="18"/>
          </w:rPr>
          <w:tab/>
        </w:r>
        <w:r w:rsidR="00AE70DF">
          <w:rPr>
            <w:color w:val="808080" w:themeColor="background1" w:themeShade="80"/>
            <w:sz w:val="18"/>
          </w:rPr>
          <w:tab/>
        </w:r>
        <w:r w:rsidR="00AE70DF">
          <w:rPr>
            <w:color w:val="808080" w:themeColor="background1" w:themeShade="80"/>
            <w:sz w:val="18"/>
          </w:rPr>
          <w:tab/>
        </w:r>
        <w:r w:rsidR="00AE70DF">
          <w:rPr>
            <w:color w:val="808080" w:themeColor="background1" w:themeShade="80"/>
            <w:sz w:val="18"/>
          </w:rPr>
          <w:tab/>
        </w:r>
        <w:r w:rsidR="00AE70DF">
          <w:rPr>
            <w:color w:val="808080" w:themeColor="background1" w:themeShade="80"/>
            <w:sz w:val="18"/>
          </w:rPr>
          <w:tab/>
        </w:r>
        <w:r w:rsidR="00AE70DF">
          <w:rPr>
            <w:color w:val="808080" w:themeColor="background1" w:themeShade="80"/>
            <w:sz w:val="18"/>
          </w:rPr>
          <w:tab/>
        </w:r>
        <w:r w:rsidR="00E20C43" w:rsidRPr="000F3302">
          <w:rPr>
            <w:color w:val="808080" w:themeColor="background1" w:themeShade="80"/>
          </w:rPr>
          <w:fldChar w:fldCharType="begin"/>
        </w:r>
        <w:r w:rsidR="000F3302" w:rsidRPr="000F3302">
          <w:rPr>
            <w:color w:val="808080" w:themeColor="background1" w:themeShade="80"/>
          </w:rPr>
          <w:instrText xml:space="preserve"> PAGE   \* MERGEFORMAT </w:instrText>
        </w:r>
        <w:r w:rsidR="00E20C43" w:rsidRPr="000F3302">
          <w:rPr>
            <w:color w:val="808080" w:themeColor="background1" w:themeShade="80"/>
          </w:rPr>
          <w:fldChar w:fldCharType="separate"/>
        </w:r>
        <w:r w:rsidR="00AE70DF">
          <w:rPr>
            <w:noProof/>
            <w:color w:val="808080" w:themeColor="background1" w:themeShade="80"/>
          </w:rPr>
          <w:t>8</w:t>
        </w:r>
        <w:r w:rsidR="00E20C43" w:rsidRPr="000F3302">
          <w:rPr>
            <w:color w:val="808080" w:themeColor="background1" w:themeShade="80"/>
          </w:rPr>
          <w:fldChar w:fldCharType="end"/>
        </w:r>
      </w:p>
    </w:sdtContent>
  </w:sdt>
  <w:p w:rsidR="00FD1BAA" w:rsidRPr="00F66E8A" w:rsidRDefault="00F66E8A">
    <w:pPr>
      <w:pStyle w:val="Footer"/>
      <w:rPr>
        <w:color w:val="808080" w:themeColor="background1" w:themeShade="80"/>
        <w:sz w:val="18"/>
      </w:rPr>
    </w:pPr>
    <w:r w:rsidRPr="00F66E8A">
      <w:rPr>
        <w:color w:val="808080" w:themeColor="background1" w:themeShade="80"/>
        <w:sz w:val="18"/>
      </w:rPr>
      <w:t>TRIM Ref</w:t>
    </w:r>
    <w:r w:rsidR="00AD639D">
      <w:rPr>
        <w:color w:val="808080" w:themeColor="background1" w:themeShade="80"/>
        <w:sz w:val="18"/>
      </w:rPr>
      <w:t xml:space="preserve"> TD16/7058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25" w:rsidRPr="008C1A55" w:rsidRDefault="008C1A55" w:rsidP="008C1A55">
    <w:pPr>
      <w:pStyle w:val="Footer"/>
      <w:tabs>
        <w:tab w:val="clear" w:pos="4320"/>
        <w:tab w:val="clear" w:pos="8640"/>
        <w:tab w:val="left" w:pos="1134"/>
      </w:tabs>
      <w:ind w:left="-709"/>
      <w:rPr>
        <w:rFonts w:cstheme="minorHAnsi"/>
        <w:noProof/>
        <w:color w:val="595959" w:themeColor="text1" w:themeTint="A6"/>
        <w:sz w:val="18"/>
      </w:rPr>
    </w:pPr>
    <w:r>
      <w:rPr>
        <w:rFonts w:cstheme="minorHAnsi"/>
        <w:noProof/>
        <w:color w:val="595959" w:themeColor="text1" w:themeTint="A6"/>
        <w:sz w:val="18"/>
      </w:rPr>
      <w:tab/>
    </w:r>
    <w:r w:rsidRPr="008C1A55">
      <w:rPr>
        <w:rFonts w:cstheme="minorHAnsi"/>
        <w:noProof/>
        <w:color w:val="595959" w:themeColor="text1" w:themeTint="A6"/>
        <w:sz w:val="18"/>
      </w:rPr>
      <w:t>TRIM Ref:</w:t>
    </w:r>
    <w:r w:rsidR="00AD639D">
      <w:rPr>
        <w:rFonts w:cstheme="minorHAnsi"/>
        <w:noProof/>
        <w:color w:val="595959" w:themeColor="text1" w:themeTint="A6"/>
        <w:sz w:val="18"/>
      </w:rPr>
      <w:t xml:space="preserve"> TD16/</w:t>
    </w:r>
    <w:r w:rsidR="00F01817">
      <w:rPr>
        <w:rFonts w:cstheme="minorHAnsi"/>
        <w:noProof/>
        <w:color w:val="595959" w:themeColor="text1" w:themeTint="A6"/>
        <w:sz w:val="18"/>
      </w:rPr>
      <w:t>7984</w:t>
    </w:r>
  </w:p>
  <w:p w:rsidR="001B3225" w:rsidRDefault="001B3225" w:rsidP="0097095C">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E5" w:rsidRDefault="00496CE5" w:rsidP="003F4DAC">
      <w:r>
        <w:separator/>
      </w:r>
    </w:p>
  </w:footnote>
  <w:footnote w:type="continuationSeparator" w:id="0">
    <w:p w:rsidR="00496CE5" w:rsidRDefault="00496CE5" w:rsidP="003F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25" w:rsidRDefault="00C55B1A">
    <w:pPr>
      <w:pStyle w:val="Header"/>
      <w:tabs>
        <w:tab w:val="clear" w:pos="8640"/>
      </w:tabs>
      <w:ind w:left="-1560" w:right="-1588"/>
    </w:pPr>
    <w:r w:rsidRPr="00185230">
      <w:rPr>
        <w:noProof/>
        <w:lang w:eastAsia="en-AU"/>
      </w:rPr>
      <w:drawing>
        <wp:anchor distT="0" distB="0" distL="114300" distR="114300" simplePos="0" relativeHeight="251667456" behindDoc="1" locked="0" layoutInCell="1" allowOverlap="1" wp14:anchorId="59DCFED7" wp14:editId="0E296AAE">
          <wp:simplePos x="0" y="0"/>
          <wp:positionH relativeFrom="page">
            <wp:posOffset>0</wp:posOffset>
          </wp:positionH>
          <wp:positionV relativeFrom="paragraph">
            <wp:posOffset>10630535</wp:posOffset>
          </wp:positionV>
          <wp:extent cx="7610475" cy="10744200"/>
          <wp:effectExtent l="0" t="0" r="9525" b="0"/>
          <wp:wrapNone/>
          <wp:docPr id="6" name="Picture 28" descr="MHC_Report cover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HC_Report coverfor word"/>
                  <pic:cNvPicPr>
                    <a:picLocks noChangeAspect="1" noChangeArrowheads="1"/>
                  </pic:cNvPicPr>
                </pic:nvPicPr>
                <pic:blipFill>
                  <a:blip r:embed="rId1"/>
                  <a:srcRect/>
                  <a:stretch>
                    <a:fillRect/>
                  </a:stretch>
                </pic:blipFill>
                <pic:spPr bwMode="auto">
                  <a:xfrm>
                    <a:off x="0" y="0"/>
                    <a:ext cx="7610475" cy="10744200"/>
                  </a:xfrm>
                  <a:prstGeom prst="rect">
                    <a:avLst/>
                  </a:prstGeom>
                  <a:noFill/>
                  <a:ln w="9525">
                    <a:noFill/>
                    <a:miter lim="800000"/>
                    <a:headEnd/>
                    <a:tailEnd/>
                  </a:ln>
                </pic:spPr>
              </pic:pic>
            </a:graphicData>
          </a:graphic>
        </wp:anchor>
      </w:drawing>
    </w:r>
  </w:p>
  <w:p w:rsidR="001B3225" w:rsidRDefault="000F3302" w:rsidP="000F3302">
    <w:pPr>
      <w:pStyle w:val="Header"/>
      <w:tabs>
        <w:tab w:val="clear" w:pos="4320"/>
        <w:tab w:val="clear" w:pos="8640"/>
        <w:tab w:val="left" w:pos="0"/>
      </w:tabs>
      <w:ind w:left="-1560" w:right="-1588"/>
      <w:jc w:val="both"/>
    </w:pPr>
    <w:r>
      <w:br/>
    </w:r>
    <w:r w:rsidR="00DD7A77">
      <w:tab/>
    </w:r>
    <w:r w:rsidRPr="000F3302">
      <w:rPr>
        <w:color w:val="808080" w:themeColor="background1" w:themeShade="80"/>
      </w:rPr>
      <w:t>Mental Health Commission of NSW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25" w:rsidRDefault="003D081C">
    <w:pPr>
      <w:pStyle w:val="Header"/>
      <w:tabs>
        <w:tab w:val="clear" w:pos="8640"/>
      </w:tabs>
      <w:ind w:left="-1560" w:right="-1588"/>
    </w:pPr>
    <w:r w:rsidRPr="003D081C">
      <w:rPr>
        <w:noProof/>
        <w:lang w:eastAsia="en-AU"/>
      </w:rPr>
      <w:drawing>
        <wp:anchor distT="0" distB="0" distL="114300" distR="114300" simplePos="0" relativeHeight="251665408" behindDoc="1" locked="0" layoutInCell="1" allowOverlap="1">
          <wp:simplePos x="0" y="0"/>
          <wp:positionH relativeFrom="column">
            <wp:posOffset>-910590</wp:posOffset>
          </wp:positionH>
          <wp:positionV relativeFrom="paragraph">
            <wp:posOffset>-271145</wp:posOffset>
          </wp:positionV>
          <wp:extent cx="7600950" cy="10744200"/>
          <wp:effectExtent l="19050" t="0" r="0" b="0"/>
          <wp:wrapNone/>
          <wp:docPr id="5" name="Picture 5" descr="MHC_Report cover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C_Report cover_front"/>
                  <pic:cNvPicPr>
                    <a:picLocks noChangeAspect="1" noChangeArrowheads="1"/>
                  </pic:cNvPicPr>
                </pic:nvPicPr>
                <pic:blipFill>
                  <a:blip r:embed="rId1"/>
                  <a:srcRect/>
                  <a:stretch>
                    <a:fillRect/>
                  </a:stretch>
                </pic:blipFill>
                <pic:spPr bwMode="auto">
                  <a:xfrm>
                    <a:off x="0" y="0"/>
                    <a:ext cx="7600950" cy="10744200"/>
                  </a:xfrm>
                  <a:prstGeom prst="rect">
                    <a:avLst/>
                  </a:prstGeom>
                  <a:noFill/>
                  <a:ln w="9525">
                    <a:noFill/>
                    <a:miter lim="800000"/>
                    <a:headEnd/>
                    <a:tailEnd/>
                  </a:ln>
                </pic:spPr>
              </pic:pic>
            </a:graphicData>
          </a:graphic>
        </wp:anchor>
      </w:drawing>
    </w:r>
  </w:p>
  <w:tbl>
    <w:tblPr>
      <w:tblStyle w:val="TableGrid"/>
      <w:tblW w:w="10740"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4677"/>
    </w:tblGrid>
    <w:tr w:rsidR="001B3225" w:rsidTr="0097095C">
      <w:tc>
        <w:tcPr>
          <w:tcW w:w="6063" w:type="dxa"/>
        </w:tcPr>
        <w:p w:rsidR="001B3225" w:rsidRDefault="001B3225">
          <w:pPr>
            <w:pStyle w:val="Header"/>
            <w:tabs>
              <w:tab w:val="clear" w:pos="8640"/>
            </w:tabs>
            <w:ind w:right="-1588"/>
          </w:pPr>
        </w:p>
      </w:tc>
      <w:tc>
        <w:tcPr>
          <w:tcW w:w="4677" w:type="dxa"/>
          <w:vAlign w:val="center"/>
        </w:tcPr>
        <w:p w:rsidR="001B3225" w:rsidRDefault="001B3225" w:rsidP="0097095C">
          <w:pPr>
            <w:contextualSpacing/>
            <w:jc w:val="right"/>
          </w:pPr>
        </w:p>
      </w:tc>
    </w:tr>
  </w:tbl>
  <w:p w:rsidR="001B3225" w:rsidRDefault="001B3225" w:rsidP="000700AC">
    <w:pPr>
      <w:pStyle w:val="Header"/>
      <w:tabs>
        <w:tab w:val="clear" w:pos="8640"/>
        <w:tab w:val="left" w:pos="2940"/>
      </w:tabs>
      <w:ind w:left="-1560" w:right="-1588"/>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1A" w:rsidRDefault="00C55B1A">
    <w:pPr>
      <w:pStyle w:val="Header"/>
      <w:tabs>
        <w:tab w:val="clear" w:pos="8640"/>
      </w:tabs>
      <w:ind w:left="-1560" w:right="-1588"/>
    </w:pPr>
  </w:p>
  <w:tbl>
    <w:tblPr>
      <w:tblStyle w:val="TableGrid"/>
      <w:tblW w:w="10740"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4677"/>
    </w:tblGrid>
    <w:tr w:rsidR="00C55B1A" w:rsidTr="0097095C">
      <w:tc>
        <w:tcPr>
          <w:tcW w:w="6063" w:type="dxa"/>
        </w:tcPr>
        <w:p w:rsidR="00C55B1A" w:rsidRDefault="00C55B1A">
          <w:pPr>
            <w:pStyle w:val="Header"/>
            <w:tabs>
              <w:tab w:val="clear" w:pos="8640"/>
            </w:tabs>
            <w:ind w:right="-1588"/>
          </w:pPr>
        </w:p>
      </w:tc>
      <w:tc>
        <w:tcPr>
          <w:tcW w:w="4677" w:type="dxa"/>
          <w:vAlign w:val="center"/>
        </w:tcPr>
        <w:p w:rsidR="00C55B1A" w:rsidRDefault="00C55B1A" w:rsidP="0097095C">
          <w:pPr>
            <w:contextualSpacing/>
            <w:jc w:val="right"/>
          </w:pPr>
        </w:p>
      </w:tc>
    </w:tr>
  </w:tbl>
  <w:p w:rsidR="00C55B1A" w:rsidRDefault="00C55B1A" w:rsidP="00C55B1A">
    <w:pPr>
      <w:pStyle w:val="Header"/>
      <w:tabs>
        <w:tab w:val="clear" w:pos="8640"/>
        <w:tab w:val="left" w:pos="2940"/>
      </w:tabs>
      <w:ind w:right="-158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537" w:rsidRDefault="00964537">
    <w:pPr>
      <w:pStyle w:val="Header"/>
      <w:tabs>
        <w:tab w:val="clear" w:pos="8640"/>
      </w:tabs>
      <w:ind w:left="-1560" w:right="-1588"/>
    </w:pPr>
    <w:r w:rsidRPr="00185230">
      <w:rPr>
        <w:noProof/>
        <w:lang w:eastAsia="en-AU"/>
      </w:rPr>
      <w:drawing>
        <wp:anchor distT="0" distB="0" distL="114300" distR="114300" simplePos="0" relativeHeight="251671552" behindDoc="1" locked="0" layoutInCell="1" allowOverlap="1" wp14:anchorId="10AFD480" wp14:editId="4477E899">
          <wp:simplePos x="0" y="0"/>
          <wp:positionH relativeFrom="page">
            <wp:align>left</wp:align>
          </wp:positionH>
          <wp:positionV relativeFrom="paragraph">
            <wp:posOffset>-181610</wp:posOffset>
          </wp:positionV>
          <wp:extent cx="7610475" cy="10744200"/>
          <wp:effectExtent l="0" t="0" r="9525" b="0"/>
          <wp:wrapNone/>
          <wp:docPr id="1" name="Picture 28" descr="MHC_Report cover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HC_Report coverfor word"/>
                  <pic:cNvPicPr>
                    <a:picLocks noChangeAspect="1" noChangeArrowheads="1"/>
                  </pic:cNvPicPr>
                </pic:nvPicPr>
                <pic:blipFill>
                  <a:blip r:embed="rId1"/>
                  <a:srcRect/>
                  <a:stretch>
                    <a:fillRect/>
                  </a:stretch>
                </pic:blipFill>
                <pic:spPr bwMode="auto">
                  <a:xfrm>
                    <a:off x="0" y="0"/>
                    <a:ext cx="7610475" cy="10744200"/>
                  </a:xfrm>
                  <a:prstGeom prst="rect">
                    <a:avLst/>
                  </a:prstGeom>
                  <a:noFill/>
                  <a:ln w="9525">
                    <a:noFill/>
                    <a:miter lim="800000"/>
                    <a:headEnd/>
                    <a:tailEnd/>
                  </a:ln>
                </pic:spPr>
              </pic:pic>
            </a:graphicData>
          </a:graphic>
        </wp:anchor>
      </w:drawing>
    </w:r>
  </w:p>
  <w:tbl>
    <w:tblPr>
      <w:tblStyle w:val="TableGrid"/>
      <w:tblW w:w="10740"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4677"/>
    </w:tblGrid>
    <w:tr w:rsidR="00964537" w:rsidTr="0097095C">
      <w:tc>
        <w:tcPr>
          <w:tcW w:w="6063" w:type="dxa"/>
        </w:tcPr>
        <w:p w:rsidR="00964537" w:rsidRDefault="00964537">
          <w:pPr>
            <w:pStyle w:val="Header"/>
            <w:tabs>
              <w:tab w:val="clear" w:pos="8640"/>
            </w:tabs>
            <w:ind w:right="-1588"/>
          </w:pPr>
        </w:p>
      </w:tc>
      <w:tc>
        <w:tcPr>
          <w:tcW w:w="4677" w:type="dxa"/>
          <w:vAlign w:val="center"/>
        </w:tcPr>
        <w:p w:rsidR="00964537" w:rsidRDefault="00964537" w:rsidP="0097095C">
          <w:pPr>
            <w:contextualSpacing/>
            <w:jc w:val="right"/>
          </w:pPr>
        </w:p>
      </w:tc>
    </w:tr>
  </w:tbl>
  <w:p w:rsidR="00964537" w:rsidRDefault="00964537" w:rsidP="00C55B1A">
    <w:pPr>
      <w:pStyle w:val="Header"/>
      <w:tabs>
        <w:tab w:val="clear" w:pos="8640"/>
        <w:tab w:val="left" w:pos="2940"/>
      </w:tabs>
      <w:ind w:right="-15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5F2"/>
    <w:multiLevelType w:val="hybridMultilevel"/>
    <w:tmpl w:val="862E1F94"/>
    <w:lvl w:ilvl="0" w:tplc="D542DE0E">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778D16"/>
    <w:multiLevelType w:val="hybridMultilevel"/>
    <w:tmpl w:val="775192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7607C9"/>
    <w:multiLevelType w:val="hybridMultilevel"/>
    <w:tmpl w:val="C7907B3C"/>
    <w:lvl w:ilvl="0" w:tplc="0082E9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575801"/>
    <w:multiLevelType w:val="multilevel"/>
    <w:tmpl w:val="58483FA4"/>
    <w:numStyleLink w:val="Headings"/>
  </w:abstractNum>
  <w:abstractNum w:abstractNumId="4" w15:restartNumberingAfterBreak="0">
    <w:nsid w:val="69A64EB3"/>
    <w:multiLevelType w:val="hybridMultilevel"/>
    <w:tmpl w:val="0C022948"/>
    <w:lvl w:ilvl="0" w:tplc="270A0130">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823436"/>
    <w:multiLevelType w:val="hybridMultilevel"/>
    <w:tmpl w:val="770A5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E417D9"/>
    <w:multiLevelType w:val="multilevel"/>
    <w:tmpl w:val="58483FA4"/>
    <w:styleLink w:val="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2049">
      <o:colormru v:ext="edit" colors="#6ca62c,#76b630,#83c937"/>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40"/>
    <w:rsid w:val="00006CE7"/>
    <w:rsid w:val="00016641"/>
    <w:rsid w:val="00026DBC"/>
    <w:rsid w:val="00031F0F"/>
    <w:rsid w:val="00041885"/>
    <w:rsid w:val="00043D69"/>
    <w:rsid w:val="00046B41"/>
    <w:rsid w:val="00047094"/>
    <w:rsid w:val="0005211F"/>
    <w:rsid w:val="00057B14"/>
    <w:rsid w:val="000678D9"/>
    <w:rsid w:val="000700AC"/>
    <w:rsid w:val="000765D0"/>
    <w:rsid w:val="00081557"/>
    <w:rsid w:val="00084F9B"/>
    <w:rsid w:val="000864DE"/>
    <w:rsid w:val="000A6329"/>
    <w:rsid w:val="000A6495"/>
    <w:rsid w:val="000A7CD9"/>
    <w:rsid w:val="000B21ED"/>
    <w:rsid w:val="000B4582"/>
    <w:rsid w:val="000E1293"/>
    <w:rsid w:val="000E4829"/>
    <w:rsid w:val="000E4A13"/>
    <w:rsid w:val="000F2BAF"/>
    <w:rsid w:val="000F3302"/>
    <w:rsid w:val="000F5392"/>
    <w:rsid w:val="000F58D3"/>
    <w:rsid w:val="0010305F"/>
    <w:rsid w:val="0010321E"/>
    <w:rsid w:val="001118C1"/>
    <w:rsid w:val="00111F0E"/>
    <w:rsid w:val="0012749B"/>
    <w:rsid w:val="00133983"/>
    <w:rsid w:val="00152427"/>
    <w:rsid w:val="001555DA"/>
    <w:rsid w:val="00164DA9"/>
    <w:rsid w:val="0017341C"/>
    <w:rsid w:val="001737B3"/>
    <w:rsid w:val="00174367"/>
    <w:rsid w:val="00185230"/>
    <w:rsid w:val="00192592"/>
    <w:rsid w:val="00194029"/>
    <w:rsid w:val="001A1218"/>
    <w:rsid w:val="001A3CE2"/>
    <w:rsid w:val="001A6534"/>
    <w:rsid w:val="001B3225"/>
    <w:rsid w:val="001D6DCB"/>
    <w:rsid w:val="001E31C6"/>
    <w:rsid w:val="001F6E90"/>
    <w:rsid w:val="001F71A5"/>
    <w:rsid w:val="002126D4"/>
    <w:rsid w:val="0021368F"/>
    <w:rsid w:val="00215940"/>
    <w:rsid w:val="00220232"/>
    <w:rsid w:val="002228AD"/>
    <w:rsid w:val="00224859"/>
    <w:rsid w:val="0022608B"/>
    <w:rsid w:val="00227463"/>
    <w:rsid w:val="0023241D"/>
    <w:rsid w:val="00235425"/>
    <w:rsid w:val="00244BE6"/>
    <w:rsid w:val="00246702"/>
    <w:rsid w:val="00252EE9"/>
    <w:rsid w:val="00256C27"/>
    <w:rsid w:val="0026152C"/>
    <w:rsid w:val="002775AF"/>
    <w:rsid w:val="00283994"/>
    <w:rsid w:val="00283CAE"/>
    <w:rsid w:val="002920C6"/>
    <w:rsid w:val="002926B4"/>
    <w:rsid w:val="002B3B90"/>
    <w:rsid w:val="002B63CE"/>
    <w:rsid w:val="002C1A65"/>
    <w:rsid w:val="002D0A95"/>
    <w:rsid w:val="002D23DA"/>
    <w:rsid w:val="002E0281"/>
    <w:rsid w:val="002F3136"/>
    <w:rsid w:val="002F71EB"/>
    <w:rsid w:val="00303F4B"/>
    <w:rsid w:val="00304A93"/>
    <w:rsid w:val="00305783"/>
    <w:rsid w:val="00316CA8"/>
    <w:rsid w:val="00322334"/>
    <w:rsid w:val="003274B9"/>
    <w:rsid w:val="00333E58"/>
    <w:rsid w:val="00344212"/>
    <w:rsid w:val="00345E89"/>
    <w:rsid w:val="003559F4"/>
    <w:rsid w:val="00372FF6"/>
    <w:rsid w:val="00391117"/>
    <w:rsid w:val="003A2196"/>
    <w:rsid w:val="003A6D04"/>
    <w:rsid w:val="003C083C"/>
    <w:rsid w:val="003D081C"/>
    <w:rsid w:val="003D6005"/>
    <w:rsid w:val="003E3584"/>
    <w:rsid w:val="003F4DAC"/>
    <w:rsid w:val="00406806"/>
    <w:rsid w:val="00421852"/>
    <w:rsid w:val="004238EC"/>
    <w:rsid w:val="004315DB"/>
    <w:rsid w:val="00441975"/>
    <w:rsid w:val="00442E5F"/>
    <w:rsid w:val="00451E60"/>
    <w:rsid w:val="00472010"/>
    <w:rsid w:val="00473463"/>
    <w:rsid w:val="00477408"/>
    <w:rsid w:val="00481020"/>
    <w:rsid w:val="0048531A"/>
    <w:rsid w:val="00496CE5"/>
    <w:rsid w:val="004A1134"/>
    <w:rsid w:val="004C4D00"/>
    <w:rsid w:val="00510062"/>
    <w:rsid w:val="00524505"/>
    <w:rsid w:val="00533749"/>
    <w:rsid w:val="005444F0"/>
    <w:rsid w:val="005503A4"/>
    <w:rsid w:val="00550CDD"/>
    <w:rsid w:val="00556D27"/>
    <w:rsid w:val="00564A64"/>
    <w:rsid w:val="005668C2"/>
    <w:rsid w:val="00571BF1"/>
    <w:rsid w:val="00573035"/>
    <w:rsid w:val="005736D6"/>
    <w:rsid w:val="005919CE"/>
    <w:rsid w:val="005C1CE3"/>
    <w:rsid w:val="005D17C8"/>
    <w:rsid w:val="005E35CB"/>
    <w:rsid w:val="005E75B4"/>
    <w:rsid w:val="005F496E"/>
    <w:rsid w:val="005F5813"/>
    <w:rsid w:val="006114C5"/>
    <w:rsid w:val="00612998"/>
    <w:rsid w:val="00622166"/>
    <w:rsid w:val="00641B71"/>
    <w:rsid w:val="0064786B"/>
    <w:rsid w:val="00654400"/>
    <w:rsid w:val="00667E3B"/>
    <w:rsid w:val="00671517"/>
    <w:rsid w:val="00673964"/>
    <w:rsid w:val="006760AE"/>
    <w:rsid w:val="00693F13"/>
    <w:rsid w:val="00694760"/>
    <w:rsid w:val="006A1C4A"/>
    <w:rsid w:val="006A25B2"/>
    <w:rsid w:val="006A2EDD"/>
    <w:rsid w:val="006B19E2"/>
    <w:rsid w:val="006B2F43"/>
    <w:rsid w:val="006B5BA4"/>
    <w:rsid w:val="006B75D1"/>
    <w:rsid w:val="006B784F"/>
    <w:rsid w:val="006C459B"/>
    <w:rsid w:val="006E5240"/>
    <w:rsid w:val="006E540E"/>
    <w:rsid w:val="006E765F"/>
    <w:rsid w:val="006F5211"/>
    <w:rsid w:val="007110A9"/>
    <w:rsid w:val="00713280"/>
    <w:rsid w:val="00721E73"/>
    <w:rsid w:val="00735FB3"/>
    <w:rsid w:val="007407BE"/>
    <w:rsid w:val="00743D39"/>
    <w:rsid w:val="00762765"/>
    <w:rsid w:val="00763CE0"/>
    <w:rsid w:val="007756C8"/>
    <w:rsid w:val="00781D62"/>
    <w:rsid w:val="0079327B"/>
    <w:rsid w:val="007C0276"/>
    <w:rsid w:val="007D67F1"/>
    <w:rsid w:val="007E570A"/>
    <w:rsid w:val="007E71DB"/>
    <w:rsid w:val="00800F5B"/>
    <w:rsid w:val="0080526F"/>
    <w:rsid w:val="00821807"/>
    <w:rsid w:val="008220BD"/>
    <w:rsid w:val="0082643F"/>
    <w:rsid w:val="008323B9"/>
    <w:rsid w:val="008439C1"/>
    <w:rsid w:val="00847EF0"/>
    <w:rsid w:val="0085663B"/>
    <w:rsid w:val="008676DA"/>
    <w:rsid w:val="00872069"/>
    <w:rsid w:val="008735D4"/>
    <w:rsid w:val="00885908"/>
    <w:rsid w:val="008A551B"/>
    <w:rsid w:val="008A55D8"/>
    <w:rsid w:val="008A646A"/>
    <w:rsid w:val="008B1C21"/>
    <w:rsid w:val="008B4658"/>
    <w:rsid w:val="008C1A55"/>
    <w:rsid w:val="008C38F3"/>
    <w:rsid w:val="008C472D"/>
    <w:rsid w:val="008D3192"/>
    <w:rsid w:val="008D3D63"/>
    <w:rsid w:val="008D5A7B"/>
    <w:rsid w:val="00901BB0"/>
    <w:rsid w:val="009042CA"/>
    <w:rsid w:val="0091029F"/>
    <w:rsid w:val="00920FAD"/>
    <w:rsid w:val="00941419"/>
    <w:rsid w:val="0094470B"/>
    <w:rsid w:val="00946CE3"/>
    <w:rsid w:val="00950247"/>
    <w:rsid w:val="0095377C"/>
    <w:rsid w:val="009632CA"/>
    <w:rsid w:val="00964537"/>
    <w:rsid w:val="00966E0C"/>
    <w:rsid w:val="0097095C"/>
    <w:rsid w:val="00971E02"/>
    <w:rsid w:val="00976371"/>
    <w:rsid w:val="009846F1"/>
    <w:rsid w:val="00995BA7"/>
    <w:rsid w:val="009D1C96"/>
    <w:rsid w:val="009D27C4"/>
    <w:rsid w:val="009D6188"/>
    <w:rsid w:val="00A06EEF"/>
    <w:rsid w:val="00A16C45"/>
    <w:rsid w:val="00A17783"/>
    <w:rsid w:val="00A20FB4"/>
    <w:rsid w:val="00A32659"/>
    <w:rsid w:val="00A81BCA"/>
    <w:rsid w:val="00A84782"/>
    <w:rsid w:val="00A85B28"/>
    <w:rsid w:val="00A931BA"/>
    <w:rsid w:val="00A9342D"/>
    <w:rsid w:val="00AA6466"/>
    <w:rsid w:val="00AA7469"/>
    <w:rsid w:val="00AB7D97"/>
    <w:rsid w:val="00AC4C81"/>
    <w:rsid w:val="00AC57FB"/>
    <w:rsid w:val="00AD4337"/>
    <w:rsid w:val="00AD639D"/>
    <w:rsid w:val="00AD68FE"/>
    <w:rsid w:val="00AE366B"/>
    <w:rsid w:val="00AE70DF"/>
    <w:rsid w:val="00AF1B6F"/>
    <w:rsid w:val="00AF452E"/>
    <w:rsid w:val="00B1042E"/>
    <w:rsid w:val="00B20425"/>
    <w:rsid w:val="00B335CF"/>
    <w:rsid w:val="00B46CEB"/>
    <w:rsid w:val="00B51AFF"/>
    <w:rsid w:val="00B5548E"/>
    <w:rsid w:val="00B92E38"/>
    <w:rsid w:val="00B95C4B"/>
    <w:rsid w:val="00B95EDF"/>
    <w:rsid w:val="00BA7E6A"/>
    <w:rsid w:val="00BC6234"/>
    <w:rsid w:val="00BC63ED"/>
    <w:rsid w:val="00BE2E15"/>
    <w:rsid w:val="00C02965"/>
    <w:rsid w:val="00C03587"/>
    <w:rsid w:val="00C31A36"/>
    <w:rsid w:val="00C37A74"/>
    <w:rsid w:val="00C51CDD"/>
    <w:rsid w:val="00C548A5"/>
    <w:rsid w:val="00C55B1A"/>
    <w:rsid w:val="00C63E80"/>
    <w:rsid w:val="00C736C9"/>
    <w:rsid w:val="00CA57D8"/>
    <w:rsid w:val="00CA65CC"/>
    <w:rsid w:val="00CA7EDA"/>
    <w:rsid w:val="00CB44C0"/>
    <w:rsid w:val="00CD2CD3"/>
    <w:rsid w:val="00CD7646"/>
    <w:rsid w:val="00CD78CF"/>
    <w:rsid w:val="00D326EE"/>
    <w:rsid w:val="00D32C9A"/>
    <w:rsid w:val="00D45C1D"/>
    <w:rsid w:val="00D51C0F"/>
    <w:rsid w:val="00D73A8A"/>
    <w:rsid w:val="00D76300"/>
    <w:rsid w:val="00D81A8A"/>
    <w:rsid w:val="00DA2B02"/>
    <w:rsid w:val="00DB1DE8"/>
    <w:rsid w:val="00DB236F"/>
    <w:rsid w:val="00DD3529"/>
    <w:rsid w:val="00DD3976"/>
    <w:rsid w:val="00DD6A3C"/>
    <w:rsid w:val="00DD7A77"/>
    <w:rsid w:val="00DE2D5E"/>
    <w:rsid w:val="00DE2F4D"/>
    <w:rsid w:val="00DE4F93"/>
    <w:rsid w:val="00DF05BC"/>
    <w:rsid w:val="00DF17CD"/>
    <w:rsid w:val="00E022C3"/>
    <w:rsid w:val="00E04664"/>
    <w:rsid w:val="00E108B3"/>
    <w:rsid w:val="00E11B7F"/>
    <w:rsid w:val="00E16C3A"/>
    <w:rsid w:val="00E20C43"/>
    <w:rsid w:val="00E219D7"/>
    <w:rsid w:val="00E241A4"/>
    <w:rsid w:val="00E356E2"/>
    <w:rsid w:val="00E457B2"/>
    <w:rsid w:val="00E6293E"/>
    <w:rsid w:val="00E7731A"/>
    <w:rsid w:val="00E82FF8"/>
    <w:rsid w:val="00E83F3D"/>
    <w:rsid w:val="00E84884"/>
    <w:rsid w:val="00E85727"/>
    <w:rsid w:val="00EA2D06"/>
    <w:rsid w:val="00EA2EAF"/>
    <w:rsid w:val="00EB142B"/>
    <w:rsid w:val="00EB1FC6"/>
    <w:rsid w:val="00EC55AE"/>
    <w:rsid w:val="00ED1C3A"/>
    <w:rsid w:val="00ED758B"/>
    <w:rsid w:val="00F01817"/>
    <w:rsid w:val="00F06294"/>
    <w:rsid w:val="00F06837"/>
    <w:rsid w:val="00F25F82"/>
    <w:rsid w:val="00F32948"/>
    <w:rsid w:val="00F35EE6"/>
    <w:rsid w:val="00F3664F"/>
    <w:rsid w:val="00F40BA2"/>
    <w:rsid w:val="00F4413D"/>
    <w:rsid w:val="00F50151"/>
    <w:rsid w:val="00F634F8"/>
    <w:rsid w:val="00F66E8A"/>
    <w:rsid w:val="00F67820"/>
    <w:rsid w:val="00F80386"/>
    <w:rsid w:val="00F961C5"/>
    <w:rsid w:val="00F96858"/>
    <w:rsid w:val="00FA1A40"/>
    <w:rsid w:val="00FD1BAA"/>
    <w:rsid w:val="00FE1040"/>
    <w:rsid w:val="00FE3284"/>
    <w:rsid w:val="00FE5CB7"/>
    <w:rsid w:val="00FE7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ca62c,#76b630,#83c937"/>
    </o:shapedefaults>
    <o:shapelayout v:ext="edit">
      <o:idmap v:ext="edit" data="1"/>
    </o:shapelayout>
  </w:shapeDefaults>
  <w:decimalSymbol w:val="."/>
  <w:listSeparator w:val=","/>
  <w15:docId w15:val="{B860E0F4-0598-42EE-8663-AF5D5203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41"/>
    <w:pPr>
      <w:spacing w:after="100"/>
    </w:pPr>
    <w:rPr>
      <w:rFonts w:eastAsia="Calibri" w:cs="Times New Roman"/>
      <w:szCs w:val="20"/>
      <w:lang w:val="en-AU"/>
    </w:rPr>
  </w:style>
  <w:style w:type="paragraph" w:styleId="Heading1">
    <w:name w:val="heading 1"/>
    <w:next w:val="Normal"/>
    <w:link w:val="Heading1Char"/>
    <w:qFormat/>
    <w:rsid w:val="00046B41"/>
    <w:pPr>
      <w:keepNext/>
      <w:numPr>
        <w:numId w:val="2"/>
      </w:numPr>
      <w:spacing w:before="240" w:after="120"/>
      <w:outlineLvl w:val="0"/>
    </w:pPr>
    <w:rPr>
      <w:rFonts w:eastAsia="Times" w:cstheme="minorHAnsi"/>
      <w:b/>
      <w:color w:val="F46A3A"/>
      <w:kern w:val="32"/>
      <w:sz w:val="32"/>
      <w:szCs w:val="20"/>
      <w:lang w:val="en-AU" w:eastAsia="en-AU"/>
    </w:rPr>
  </w:style>
  <w:style w:type="paragraph" w:styleId="Heading2">
    <w:name w:val="heading 2"/>
    <w:basedOn w:val="Heading1"/>
    <w:next w:val="Normal"/>
    <w:link w:val="Heading2Char"/>
    <w:uiPriority w:val="9"/>
    <w:unhideWhenUsed/>
    <w:qFormat/>
    <w:rsid w:val="00046B41"/>
    <w:pPr>
      <w:keepLines/>
      <w:numPr>
        <w:ilvl w:val="1"/>
      </w:numPr>
      <w:spacing w:before="20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046B41"/>
    <w:pPr>
      <w:keepNext/>
      <w:keepLines/>
      <w:numPr>
        <w:ilvl w:val="2"/>
        <w:numId w:val="2"/>
      </w:numPr>
      <w:spacing w:before="200"/>
      <w:outlineLvl w:val="2"/>
    </w:pPr>
    <w:rPr>
      <w:rFonts w:ascii="Calibri" w:eastAsiaTheme="majorEastAsia" w:hAnsi="Calibri" w:cstheme="majorBidi"/>
      <w:b/>
      <w:bCs/>
      <w:color w:val="F46A3A"/>
      <w:sz w:val="24"/>
    </w:rPr>
  </w:style>
  <w:style w:type="paragraph" w:styleId="Heading4">
    <w:name w:val="heading 4"/>
    <w:basedOn w:val="Normal"/>
    <w:next w:val="Normal"/>
    <w:link w:val="Heading4Char"/>
    <w:uiPriority w:val="9"/>
    <w:unhideWhenUsed/>
    <w:qFormat/>
    <w:rsid w:val="00046B41"/>
    <w:pPr>
      <w:keepNext/>
      <w:keepLines/>
      <w:spacing w:before="200" w:after="120"/>
      <w:outlineLvl w:val="3"/>
    </w:pPr>
    <w:rPr>
      <w:rFonts w:eastAsiaTheme="majorEastAsia" w:cstheme="majorBidi"/>
      <w:b/>
      <w:bCs/>
      <w:iCs/>
    </w:rPr>
  </w:style>
  <w:style w:type="paragraph" w:styleId="Heading5">
    <w:name w:val="heading 5"/>
    <w:basedOn w:val="Normal"/>
    <w:next w:val="Normal"/>
    <w:link w:val="Heading5Char"/>
    <w:uiPriority w:val="9"/>
    <w:unhideWhenUsed/>
    <w:rsid w:val="009447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B41"/>
    <w:rPr>
      <w:rFonts w:eastAsia="Times" w:cstheme="minorHAnsi"/>
      <w:b/>
      <w:color w:val="F46A3A"/>
      <w:kern w:val="32"/>
      <w:sz w:val="32"/>
      <w:szCs w:val="20"/>
      <w:lang w:val="en-AU" w:eastAsia="en-AU"/>
    </w:rPr>
  </w:style>
  <w:style w:type="paragraph" w:styleId="Header">
    <w:name w:val="header"/>
    <w:basedOn w:val="Normal"/>
    <w:link w:val="HeaderChar"/>
    <w:rsid w:val="009D1C96"/>
    <w:pPr>
      <w:tabs>
        <w:tab w:val="center" w:pos="4320"/>
        <w:tab w:val="right" w:pos="8640"/>
      </w:tabs>
    </w:pPr>
  </w:style>
  <w:style w:type="character" w:customStyle="1" w:styleId="HeaderChar">
    <w:name w:val="Header Char"/>
    <w:basedOn w:val="DefaultParagraphFont"/>
    <w:link w:val="Header"/>
    <w:rsid w:val="009D1C96"/>
    <w:rPr>
      <w:rFonts w:eastAsia="Calibri" w:cs="Times New Roman"/>
      <w:sz w:val="24"/>
      <w:szCs w:val="20"/>
      <w:lang w:val="en-AU"/>
    </w:rPr>
  </w:style>
  <w:style w:type="paragraph" w:styleId="Footer">
    <w:name w:val="footer"/>
    <w:basedOn w:val="Normal"/>
    <w:link w:val="FooterChar"/>
    <w:uiPriority w:val="99"/>
    <w:rsid w:val="009D1C96"/>
    <w:pPr>
      <w:tabs>
        <w:tab w:val="center" w:pos="4320"/>
        <w:tab w:val="right" w:pos="8640"/>
      </w:tabs>
    </w:pPr>
  </w:style>
  <w:style w:type="character" w:customStyle="1" w:styleId="FooterChar">
    <w:name w:val="Footer Char"/>
    <w:basedOn w:val="DefaultParagraphFont"/>
    <w:link w:val="Footer"/>
    <w:uiPriority w:val="99"/>
    <w:rsid w:val="009D1C96"/>
    <w:rPr>
      <w:rFonts w:eastAsia="Calibri" w:cs="Times New Roman"/>
      <w:sz w:val="24"/>
      <w:szCs w:val="20"/>
      <w:lang w:val="en-AU"/>
    </w:rPr>
  </w:style>
  <w:style w:type="table" w:styleId="TableGrid">
    <w:name w:val="Table Grid"/>
    <w:basedOn w:val="TableNormal"/>
    <w:rsid w:val="009D1C96"/>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C96"/>
    <w:rPr>
      <w:rFonts w:ascii="Tahoma" w:hAnsi="Tahoma" w:cs="Tahoma"/>
      <w:sz w:val="16"/>
      <w:szCs w:val="16"/>
    </w:rPr>
  </w:style>
  <w:style w:type="character" w:customStyle="1" w:styleId="BalloonTextChar">
    <w:name w:val="Balloon Text Char"/>
    <w:basedOn w:val="DefaultParagraphFont"/>
    <w:link w:val="BalloonText"/>
    <w:uiPriority w:val="99"/>
    <w:semiHidden/>
    <w:rsid w:val="009D1C96"/>
    <w:rPr>
      <w:rFonts w:ascii="Tahoma" w:eastAsia="Calibri" w:hAnsi="Tahoma" w:cs="Tahoma"/>
      <w:sz w:val="16"/>
      <w:szCs w:val="16"/>
      <w:lang w:val="en-AU"/>
    </w:rPr>
  </w:style>
  <w:style w:type="character" w:customStyle="1" w:styleId="Heading2Char">
    <w:name w:val="Heading 2 Char"/>
    <w:basedOn w:val="DefaultParagraphFont"/>
    <w:link w:val="Heading2"/>
    <w:uiPriority w:val="9"/>
    <w:rsid w:val="00046B41"/>
    <w:rPr>
      <w:rFonts w:eastAsiaTheme="majorEastAsia" w:cstheme="majorBidi"/>
      <w:b/>
      <w:bCs/>
      <w:color w:val="F46A3A"/>
      <w:kern w:val="32"/>
      <w:sz w:val="28"/>
      <w:szCs w:val="26"/>
      <w:lang w:val="en-AU" w:eastAsia="en-AU"/>
    </w:rPr>
  </w:style>
  <w:style w:type="paragraph" w:styleId="ListParagraph">
    <w:name w:val="List Paragraph"/>
    <w:basedOn w:val="Normal"/>
    <w:link w:val="ListParagraphChar"/>
    <w:uiPriority w:val="34"/>
    <w:qFormat/>
    <w:rsid w:val="00046B41"/>
    <w:pPr>
      <w:ind w:left="720"/>
      <w:contextualSpacing/>
    </w:pPr>
    <w:rPr>
      <w:sz w:val="24"/>
    </w:rPr>
  </w:style>
  <w:style w:type="character" w:customStyle="1" w:styleId="Heading3Char">
    <w:name w:val="Heading 3 Char"/>
    <w:basedOn w:val="DefaultParagraphFont"/>
    <w:link w:val="Heading3"/>
    <w:uiPriority w:val="9"/>
    <w:rsid w:val="00046B41"/>
    <w:rPr>
      <w:rFonts w:ascii="Calibri" w:eastAsiaTheme="majorEastAsia" w:hAnsi="Calibri" w:cstheme="majorBidi"/>
      <w:b/>
      <w:bCs/>
      <w:color w:val="F46A3A"/>
      <w:sz w:val="24"/>
      <w:szCs w:val="20"/>
      <w:lang w:val="en-AU"/>
    </w:rPr>
  </w:style>
  <w:style w:type="character" w:customStyle="1" w:styleId="Heading4Char">
    <w:name w:val="Heading 4 Char"/>
    <w:basedOn w:val="DefaultParagraphFont"/>
    <w:link w:val="Heading4"/>
    <w:uiPriority w:val="9"/>
    <w:rsid w:val="00046B41"/>
    <w:rPr>
      <w:rFonts w:eastAsiaTheme="majorEastAsia" w:cstheme="majorBidi"/>
      <w:b/>
      <w:bCs/>
      <w:iCs/>
      <w:szCs w:val="20"/>
      <w:lang w:val="en-AU"/>
    </w:rPr>
  </w:style>
  <w:style w:type="character" w:customStyle="1" w:styleId="Heading5Char">
    <w:name w:val="Heading 5 Char"/>
    <w:basedOn w:val="DefaultParagraphFont"/>
    <w:link w:val="Heading5"/>
    <w:uiPriority w:val="9"/>
    <w:rsid w:val="0094470B"/>
    <w:rPr>
      <w:rFonts w:asciiTheme="majorHAnsi" w:eastAsiaTheme="majorEastAsia" w:hAnsiTheme="majorHAnsi" w:cstheme="majorBidi"/>
      <w:color w:val="243F60" w:themeColor="accent1" w:themeShade="7F"/>
      <w:sz w:val="24"/>
      <w:szCs w:val="20"/>
      <w:lang w:val="en-AU"/>
    </w:rPr>
  </w:style>
  <w:style w:type="character" w:styleId="Hyperlink">
    <w:name w:val="Hyperlink"/>
    <w:basedOn w:val="DefaultParagraphFont"/>
    <w:uiPriority w:val="99"/>
    <w:unhideWhenUsed/>
    <w:rsid w:val="00781D62"/>
    <w:rPr>
      <w:color w:val="0000FF" w:themeColor="hyperlink"/>
      <w:u w:val="single"/>
    </w:rPr>
  </w:style>
  <w:style w:type="paragraph" w:styleId="FootnoteText">
    <w:name w:val="footnote text"/>
    <w:basedOn w:val="Normal"/>
    <w:link w:val="FootnoteTextChar"/>
    <w:uiPriority w:val="99"/>
    <w:semiHidden/>
    <w:unhideWhenUsed/>
    <w:rsid w:val="007407BE"/>
    <w:rPr>
      <w:sz w:val="20"/>
    </w:rPr>
  </w:style>
  <w:style w:type="character" w:customStyle="1" w:styleId="FootnoteTextChar">
    <w:name w:val="Footnote Text Char"/>
    <w:basedOn w:val="DefaultParagraphFont"/>
    <w:link w:val="FootnoteText"/>
    <w:uiPriority w:val="99"/>
    <w:semiHidden/>
    <w:rsid w:val="007407BE"/>
    <w:rPr>
      <w:rFonts w:eastAsia="Calibri" w:cs="Times New Roman"/>
      <w:sz w:val="20"/>
      <w:szCs w:val="20"/>
      <w:lang w:val="en-AU"/>
    </w:rPr>
  </w:style>
  <w:style w:type="character" w:styleId="FootnoteReference">
    <w:name w:val="footnote reference"/>
    <w:basedOn w:val="DefaultParagraphFont"/>
    <w:uiPriority w:val="99"/>
    <w:semiHidden/>
    <w:unhideWhenUsed/>
    <w:rsid w:val="007407BE"/>
    <w:rPr>
      <w:vertAlign w:val="superscript"/>
    </w:rPr>
  </w:style>
  <w:style w:type="paragraph" w:styleId="PlainText">
    <w:name w:val="Plain Text"/>
    <w:basedOn w:val="Normal"/>
    <w:link w:val="PlainTextChar"/>
    <w:uiPriority w:val="99"/>
    <w:semiHidden/>
    <w:unhideWhenUsed/>
    <w:rsid w:val="003274B9"/>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semiHidden/>
    <w:rsid w:val="003274B9"/>
    <w:rPr>
      <w:rFonts w:ascii="Consolas" w:hAnsi="Consolas" w:cs="Consolas"/>
      <w:sz w:val="21"/>
      <w:szCs w:val="21"/>
      <w:lang w:val="en-AU" w:eastAsia="en-AU"/>
    </w:rPr>
  </w:style>
  <w:style w:type="character" w:customStyle="1" w:styleId="ListParagraphChar">
    <w:name w:val="List Paragraph Char"/>
    <w:basedOn w:val="DefaultParagraphFont"/>
    <w:link w:val="ListParagraph"/>
    <w:uiPriority w:val="34"/>
    <w:rsid w:val="00046B41"/>
    <w:rPr>
      <w:rFonts w:eastAsia="Calibri" w:cs="Times New Roman"/>
      <w:sz w:val="24"/>
      <w:szCs w:val="20"/>
      <w:lang w:val="en-AU"/>
    </w:rPr>
  </w:style>
  <w:style w:type="paragraph" w:customStyle="1" w:styleId="Bullets">
    <w:name w:val="Bullets"/>
    <w:basedOn w:val="ListParagraph"/>
    <w:link w:val="BulletsChar"/>
    <w:qFormat/>
    <w:rsid w:val="00046B41"/>
    <w:pPr>
      <w:numPr>
        <w:numId w:val="3"/>
      </w:numPr>
      <w:spacing w:after="240"/>
    </w:pPr>
    <w:rPr>
      <w:rFonts w:eastAsia="Times New Roman"/>
    </w:rPr>
  </w:style>
  <w:style w:type="character" w:customStyle="1" w:styleId="BulletsChar">
    <w:name w:val="Bullets Char"/>
    <w:basedOn w:val="ListParagraphChar"/>
    <w:link w:val="Bullets"/>
    <w:rsid w:val="00046B41"/>
    <w:rPr>
      <w:rFonts w:eastAsia="Times New Roman" w:cs="Times New Roman"/>
      <w:sz w:val="24"/>
      <w:szCs w:val="20"/>
      <w:lang w:val="en-AU"/>
    </w:rPr>
  </w:style>
  <w:style w:type="character" w:styleId="CommentReference">
    <w:name w:val="annotation reference"/>
    <w:basedOn w:val="DefaultParagraphFont"/>
    <w:uiPriority w:val="99"/>
    <w:semiHidden/>
    <w:unhideWhenUsed/>
    <w:rsid w:val="00946CE3"/>
    <w:rPr>
      <w:sz w:val="16"/>
      <w:szCs w:val="16"/>
    </w:rPr>
  </w:style>
  <w:style w:type="paragraph" w:styleId="CommentText">
    <w:name w:val="annotation text"/>
    <w:basedOn w:val="Normal"/>
    <w:link w:val="CommentTextChar"/>
    <w:uiPriority w:val="99"/>
    <w:semiHidden/>
    <w:unhideWhenUsed/>
    <w:rsid w:val="00946CE3"/>
    <w:rPr>
      <w:sz w:val="20"/>
    </w:rPr>
  </w:style>
  <w:style w:type="character" w:customStyle="1" w:styleId="CommentTextChar">
    <w:name w:val="Comment Text Char"/>
    <w:basedOn w:val="DefaultParagraphFont"/>
    <w:link w:val="CommentText"/>
    <w:uiPriority w:val="99"/>
    <w:semiHidden/>
    <w:rsid w:val="00946CE3"/>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46CE3"/>
    <w:rPr>
      <w:b/>
      <w:bCs/>
    </w:rPr>
  </w:style>
  <w:style w:type="character" w:customStyle="1" w:styleId="CommentSubjectChar">
    <w:name w:val="Comment Subject Char"/>
    <w:basedOn w:val="CommentTextChar"/>
    <w:link w:val="CommentSubject"/>
    <w:uiPriority w:val="99"/>
    <w:semiHidden/>
    <w:rsid w:val="00946CE3"/>
    <w:rPr>
      <w:rFonts w:eastAsia="Calibri" w:cs="Times New Roman"/>
      <w:b/>
      <w:bCs/>
      <w:sz w:val="20"/>
      <w:szCs w:val="20"/>
      <w:lang w:val="en-AU"/>
    </w:rPr>
  </w:style>
  <w:style w:type="character" w:styleId="Strong">
    <w:name w:val="Strong"/>
    <w:basedOn w:val="DefaultParagraphFont"/>
    <w:uiPriority w:val="22"/>
    <w:qFormat/>
    <w:rsid w:val="00046B41"/>
    <w:rPr>
      <w:b/>
      <w:bCs/>
    </w:rPr>
  </w:style>
  <w:style w:type="paragraph" w:styleId="NoSpacing">
    <w:name w:val="No Spacing"/>
    <w:uiPriority w:val="1"/>
    <w:rsid w:val="00A9342D"/>
    <w:pPr>
      <w:spacing w:after="0" w:line="240" w:lineRule="auto"/>
    </w:pPr>
    <w:rPr>
      <w:rFonts w:eastAsia="Calibri" w:cs="Times New Roman"/>
      <w:szCs w:val="20"/>
      <w:lang w:val="en-AU"/>
    </w:rPr>
  </w:style>
  <w:style w:type="paragraph" w:styleId="TOC1">
    <w:name w:val="toc 1"/>
    <w:basedOn w:val="Normal"/>
    <w:next w:val="Normal"/>
    <w:autoRedefine/>
    <w:uiPriority w:val="39"/>
    <w:unhideWhenUsed/>
    <w:rsid w:val="00F66E8A"/>
    <w:pPr>
      <w:tabs>
        <w:tab w:val="right" w:leader="dot" w:pos="9017"/>
      </w:tabs>
      <w:spacing w:before="240" w:after="0" w:line="240" w:lineRule="auto"/>
      <w:ind w:left="567" w:hanging="567"/>
    </w:pPr>
    <w:rPr>
      <w:b/>
      <w:noProof/>
    </w:rPr>
  </w:style>
  <w:style w:type="paragraph" w:styleId="TOC2">
    <w:name w:val="toc 2"/>
    <w:basedOn w:val="Normal"/>
    <w:next w:val="Normal"/>
    <w:autoRedefine/>
    <w:uiPriority w:val="39"/>
    <w:unhideWhenUsed/>
    <w:rsid w:val="00F66E8A"/>
    <w:pPr>
      <w:tabs>
        <w:tab w:val="right" w:leader="dot" w:pos="9017"/>
      </w:tabs>
      <w:spacing w:before="120" w:after="0" w:line="240" w:lineRule="auto"/>
      <w:ind w:left="1418" w:hanging="851"/>
    </w:pPr>
  </w:style>
  <w:style w:type="paragraph" w:styleId="TOC3">
    <w:name w:val="toc 3"/>
    <w:basedOn w:val="Normal"/>
    <w:next w:val="Normal"/>
    <w:autoRedefine/>
    <w:uiPriority w:val="39"/>
    <w:unhideWhenUsed/>
    <w:rsid w:val="00F66E8A"/>
    <w:pPr>
      <w:tabs>
        <w:tab w:val="right" w:leader="dot" w:pos="9017"/>
      </w:tabs>
      <w:spacing w:before="120" w:after="0" w:line="240" w:lineRule="auto"/>
      <w:ind w:left="1985" w:hanging="567"/>
    </w:pPr>
  </w:style>
  <w:style w:type="numbering" w:customStyle="1" w:styleId="Headings">
    <w:name w:val="Headings"/>
    <w:uiPriority w:val="99"/>
    <w:rsid w:val="000F3302"/>
    <w:pPr>
      <w:numPr>
        <w:numId w:val="1"/>
      </w:numPr>
    </w:pPr>
  </w:style>
  <w:style w:type="paragraph" w:styleId="TOCHeading">
    <w:name w:val="TOC Heading"/>
    <w:basedOn w:val="Heading1"/>
    <w:next w:val="Normal"/>
    <w:uiPriority w:val="39"/>
    <w:semiHidden/>
    <w:unhideWhenUsed/>
    <w:qFormat/>
    <w:rsid w:val="00046B41"/>
    <w:pPr>
      <w:keepLines/>
      <w:numPr>
        <w:numId w:val="0"/>
      </w:numPr>
      <w:spacing w:before="480" w:after="0"/>
      <w:outlineLvl w:val="9"/>
    </w:pPr>
    <w:rPr>
      <w:rFonts w:asciiTheme="majorHAnsi" w:eastAsiaTheme="majorEastAsia" w:hAnsiTheme="majorHAnsi" w:cstheme="majorBidi"/>
      <w:bCs/>
      <w:color w:val="365F91" w:themeColor="accent1" w:themeShade="BF"/>
      <w:kern w:val="0"/>
      <w:sz w:val="28"/>
      <w:szCs w:val="28"/>
      <w:lang w:val="en-US" w:eastAsia="en-US"/>
    </w:rPr>
  </w:style>
  <w:style w:type="paragraph" w:customStyle="1" w:styleId="Default">
    <w:name w:val="Default"/>
    <w:rsid w:val="00164DA9"/>
    <w:pPr>
      <w:autoSpaceDE w:val="0"/>
      <w:autoSpaceDN w:val="0"/>
      <w:adjustRightInd w:val="0"/>
      <w:spacing w:after="0" w:line="240" w:lineRule="auto"/>
    </w:pPr>
    <w:rPr>
      <w:rFonts w:ascii="Arial" w:hAnsi="Arial" w:cs="Arial"/>
      <w:color w:val="000000"/>
      <w:sz w:val="24"/>
      <w:szCs w:val="24"/>
      <w:lang w:val="en-AU"/>
    </w:rPr>
  </w:style>
  <w:style w:type="paragraph" w:styleId="EndnoteText">
    <w:name w:val="endnote text"/>
    <w:basedOn w:val="Normal"/>
    <w:link w:val="EndnoteTextChar"/>
    <w:uiPriority w:val="99"/>
    <w:semiHidden/>
    <w:unhideWhenUsed/>
    <w:rsid w:val="00164DA9"/>
    <w:pPr>
      <w:spacing w:after="0" w:line="240" w:lineRule="auto"/>
    </w:pPr>
    <w:rPr>
      <w:rFonts w:eastAsiaTheme="minorHAnsi" w:cstheme="minorBidi"/>
      <w:sz w:val="20"/>
    </w:rPr>
  </w:style>
  <w:style w:type="character" w:customStyle="1" w:styleId="EndnoteTextChar">
    <w:name w:val="Endnote Text Char"/>
    <w:basedOn w:val="DefaultParagraphFont"/>
    <w:link w:val="EndnoteText"/>
    <w:uiPriority w:val="99"/>
    <w:semiHidden/>
    <w:rsid w:val="00164DA9"/>
    <w:rPr>
      <w:sz w:val="20"/>
      <w:szCs w:val="20"/>
      <w:lang w:val="en-AU"/>
    </w:rPr>
  </w:style>
  <w:style w:type="character" w:styleId="EndnoteReference">
    <w:name w:val="endnote reference"/>
    <w:basedOn w:val="DefaultParagraphFont"/>
    <w:uiPriority w:val="99"/>
    <w:semiHidden/>
    <w:unhideWhenUsed/>
    <w:rsid w:val="00164DA9"/>
    <w:rPr>
      <w:vertAlign w:val="superscript"/>
    </w:rPr>
  </w:style>
  <w:style w:type="character" w:styleId="Emphasis">
    <w:name w:val="Emphasis"/>
    <w:basedOn w:val="DefaultParagraphFont"/>
    <w:uiPriority w:val="20"/>
    <w:qFormat/>
    <w:rsid w:val="006B784F"/>
    <w:rPr>
      <w:i/>
      <w:iCs/>
    </w:rPr>
  </w:style>
  <w:style w:type="paragraph" w:styleId="NormalWeb">
    <w:name w:val="Normal (Web)"/>
    <w:basedOn w:val="Normal"/>
    <w:uiPriority w:val="99"/>
    <w:semiHidden/>
    <w:unhideWhenUsed/>
    <w:rsid w:val="006B784F"/>
    <w:pPr>
      <w:spacing w:before="100" w:beforeAutospacing="1" w:afterAutospacing="1" w:line="240" w:lineRule="auto"/>
    </w:pPr>
    <w:rPr>
      <w:rFonts w:ascii="Times New Roman" w:eastAsia="Times New Roman" w:hAnsi="Times New Roman"/>
      <w:sz w:val="24"/>
      <w:szCs w:val="24"/>
      <w:lang w:eastAsia="en-AU"/>
    </w:rPr>
  </w:style>
  <w:style w:type="paragraph" w:customStyle="1" w:styleId="Pa1">
    <w:name w:val="Pa1"/>
    <w:basedOn w:val="Default"/>
    <w:next w:val="Default"/>
    <w:uiPriority w:val="99"/>
    <w:rsid w:val="006C459B"/>
    <w:pPr>
      <w:spacing w:line="181" w:lineRule="atLeast"/>
    </w:pPr>
    <w:rPr>
      <w:rFonts w:ascii="HelveticaNeueLT Pro 55 Roman" w:hAnsi="HelveticaNeueLT Pro 55 Roman" w:cstheme="minorBidi"/>
      <w:color w:val="auto"/>
    </w:rPr>
  </w:style>
  <w:style w:type="character" w:customStyle="1" w:styleId="f61">
    <w:name w:val="f61"/>
    <w:basedOn w:val="DefaultParagraphFont"/>
    <w:rsid w:val="00DD3976"/>
  </w:style>
  <w:style w:type="character" w:customStyle="1" w:styleId="f65">
    <w:name w:val="f65"/>
    <w:basedOn w:val="DefaultParagraphFont"/>
    <w:rsid w:val="00DD3976"/>
  </w:style>
  <w:style w:type="paragraph" w:customStyle="1" w:styleId="Pa9">
    <w:name w:val="Pa9"/>
    <w:basedOn w:val="Default"/>
    <w:next w:val="Default"/>
    <w:uiPriority w:val="99"/>
    <w:rsid w:val="00AA6466"/>
    <w:pPr>
      <w:spacing w:line="221" w:lineRule="atLeast"/>
    </w:pPr>
    <w:rPr>
      <w:rFonts w:ascii="Samo Sans Pro Medium" w:hAnsi="Samo Sans Pro Medium" w:cstheme="minorBidi"/>
      <w:color w:val="auto"/>
    </w:rPr>
  </w:style>
  <w:style w:type="paragraph" w:customStyle="1" w:styleId="Pa2">
    <w:name w:val="Pa2"/>
    <w:basedOn w:val="Default"/>
    <w:next w:val="Default"/>
    <w:uiPriority w:val="99"/>
    <w:rsid w:val="00AA6466"/>
    <w:pPr>
      <w:spacing w:line="201" w:lineRule="atLeast"/>
    </w:pPr>
    <w:rPr>
      <w:rFonts w:ascii="Samo Sans Pro Medium" w:hAnsi="Samo Sans Pro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7715">
      <w:bodyDiv w:val="1"/>
      <w:marLeft w:val="0"/>
      <w:marRight w:val="0"/>
      <w:marTop w:val="0"/>
      <w:marBottom w:val="0"/>
      <w:divBdr>
        <w:top w:val="none" w:sz="0" w:space="0" w:color="auto"/>
        <w:left w:val="none" w:sz="0" w:space="0" w:color="auto"/>
        <w:bottom w:val="none" w:sz="0" w:space="0" w:color="auto"/>
        <w:right w:val="none" w:sz="0" w:space="0" w:color="auto"/>
      </w:divBdr>
    </w:div>
    <w:div w:id="864638764">
      <w:bodyDiv w:val="1"/>
      <w:marLeft w:val="0"/>
      <w:marRight w:val="0"/>
      <w:marTop w:val="0"/>
      <w:marBottom w:val="0"/>
      <w:divBdr>
        <w:top w:val="none" w:sz="0" w:space="0" w:color="auto"/>
        <w:left w:val="none" w:sz="0" w:space="0" w:color="auto"/>
        <w:bottom w:val="none" w:sz="0" w:space="0" w:color="auto"/>
        <w:right w:val="none" w:sz="0" w:space="0" w:color="auto"/>
      </w:divBdr>
    </w:div>
    <w:div w:id="884755004">
      <w:bodyDiv w:val="1"/>
      <w:marLeft w:val="0"/>
      <w:marRight w:val="0"/>
      <w:marTop w:val="0"/>
      <w:marBottom w:val="0"/>
      <w:divBdr>
        <w:top w:val="none" w:sz="0" w:space="0" w:color="auto"/>
        <w:left w:val="none" w:sz="0" w:space="0" w:color="auto"/>
        <w:bottom w:val="none" w:sz="0" w:space="0" w:color="auto"/>
        <w:right w:val="none" w:sz="0" w:space="0" w:color="auto"/>
      </w:divBdr>
    </w:div>
    <w:div w:id="1103842058">
      <w:bodyDiv w:val="1"/>
      <w:marLeft w:val="0"/>
      <w:marRight w:val="0"/>
      <w:marTop w:val="0"/>
      <w:marBottom w:val="0"/>
      <w:divBdr>
        <w:top w:val="none" w:sz="0" w:space="0" w:color="auto"/>
        <w:left w:val="none" w:sz="0" w:space="0" w:color="auto"/>
        <w:bottom w:val="none" w:sz="0" w:space="0" w:color="auto"/>
        <w:right w:val="none" w:sz="0" w:space="0" w:color="auto"/>
      </w:divBdr>
    </w:div>
    <w:div w:id="1112893272">
      <w:bodyDiv w:val="1"/>
      <w:marLeft w:val="0"/>
      <w:marRight w:val="0"/>
      <w:marTop w:val="0"/>
      <w:marBottom w:val="0"/>
      <w:divBdr>
        <w:top w:val="none" w:sz="0" w:space="0" w:color="auto"/>
        <w:left w:val="none" w:sz="0" w:space="0" w:color="auto"/>
        <w:bottom w:val="none" w:sz="0" w:space="0" w:color="auto"/>
        <w:right w:val="none" w:sz="0" w:space="0" w:color="auto"/>
      </w:divBdr>
    </w:div>
    <w:div w:id="1118718359">
      <w:bodyDiv w:val="1"/>
      <w:marLeft w:val="0"/>
      <w:marRight w:val="0"/>
      <w:marTop w:val="0"/>
      <w:marBottom w:val="0"/>
      <w:divBdr>
        <w:top w:val="none" w:sz="0" w:space="0" w:color="auto"/>
        <w:left w:val="none" w:sz="0" w:space="0" w:color="auto"/>
        <w:bottom w:val="none" w:sz="0" w:space="0" w:color="auto"/>
        <w:right w:val="none" w:sz="0" w:space="0" w:color="auto"/>
      </w:divBdr>
    </w:div>
    <w:div w:id="1369993659">
      <w:bodyDiv w:val="1"/>
      <w:marLeft w:val="0"/>
      <w:marRight w:val="0"/>
      <w:marTop w:val="0"/>
      <w:marBottom w:val="0"/>
      <w:divBdr>
        <w:top w:val="none" w:sz="0" w:space="0" w:color="auto"/>
        <w:left w:val="none" w:sz="0" w:space="0" w:color="auto"/>
        <w:bottom w:val="none" w:sz="0" w:space="0" w:color="auto"/>
        <w:right w:val="none" w:sz="0" w:space="0" w:color="auto"/>
      </w:divBdr>
    </w:div>
    <w:div w:id="1503661465">
      <w:bodyDiv w:val="1"/>
      <w:marLeft w:val="0"/>
      <w:marRight w:val="0"/>
      <w:marTop w:val="0"/>
      <w:marBottom w:val="0"/>
      <w:divBdr>
        <w:top w:val="none" w:sz="0" w:space="0" w:color="auto"/>
        <w:left w:val="none" w:sz="0" w:space="0" w:color="auto"/>
        <w:bottom w:val="none" w:sz="0" w:space="0" w:color="auto"/>
        <w:right w:val="none" w:sz="0" w:space="0" w:color="auto"/>
      </w:divBdr>
      <w:divsChild>
        <w:div w:id="144972417">
          <w:marLeft w:val="0"/>
          <w:marRight w:val="0"/>
          <w:marTop w:val="0"/>
          <w:marBottom w:val="0"/>
          <w:divBdr>
            <w:top w:val="none" w:sz="0" w:space="0" w:color="auto"/>
            <w:left w:val="none" w:sz="0" w:space="0" w:color="auto"/>
            <w:bottom w:val="none" w:sz="0" w:space="0" w:color="auto"/>
            <w:right w:val="none" w:sz="0" w:space="0" w:color="auto"/>
          </w:divBdr>
          <w:divsChild>
            <w:div w:id="2094349203">
              <w:marLeft w:val="0"/>
              <w:marRight w:val="0"/>
              <w:marTop w:val="0"/>
              <w:marBottom w:val="0"/>
              <w:divBdr>
                <w:top w:val="none" w:sz="0" w:space="0" w:color="auto"/>
                <w:left w:val="none" w:sz="0" w:space="0" w:color="auto"/>
                <w:bottom w:val="none" w:sz="0" w:space="0" w:color="auto"/>
                <w:right w:val="none" w:sz="0" w:space="0" w:color="auto"/>
              </w:divBdr>
              <w:divsChild>
                <w:div w:id="98987075">
                  <w:marLeft w:val="0"/>
                  <w:marRight w:val="0"/>
                  <w:marTop w:val="0"/>
                  <w:marBottom w:val="0"/>
                  <w:divBdr>
                    <w:top w:val="none" w:sz="0" w:space="0" w:color="auto"/>
                    <w:left w:val="none" w:sz="0" w:space="0" w:color="auto"/>
                    <w:bottom w:val="none" w:sz="0" w:space="0" w:color="auto"/>
                    <w:right w:val="none" w:sz="0" w:space="0" w:color="auto"/>
                  </w:divBdr>
                  <w:divsChild>
                    <w:div w:id="1189754043">
                      <w:marLeft w:val="0"/>
                      <w:marRight w:val="0"/>
                      <w:marTop w:val="0"/>
                      <w:marBottom w:val="0"/>
                      <w:divBdr>
                        <w:top w:val="none" w:sz="0" w:space="0" w:color="auto"/>
                        <w:left w:val="none" w:sz="0" w:space="0" w:color="auto"/>
                        <w:bottom w:val="none" w:sz="0" w:space="0" w:color="auto"/>
                        <w:right w:val="none" w:sz="0" w:space="0" w:color="auto"/>
                      </w:divBdr>
                      <w:divsChild>
                        <w:div w:id="1789739495">
                          <w:marLeft w:val="0"/>
                          <w:marRight w:val="0"/>
                          <w:marTop w:val="0"/>
                          <w:marBottom w:val="0"/>
                          <w:divBdr>
                            <w:top w:val="none" w:sz="0" w:space="0" w:color="auto"/>
                            <w:left w:val="none" w:sz="0" w:space="0" w:color="auto"/>
                            <w:bottom w:val="none" w:sz="0" w:space="0" w:color="auto"/>
                            <w:right w:val="none" w:sz="0" w:space="0" w:color="auto"/>
                          </w:divBdr>
                          <w:divsChild>
                            <w:div w:id="222525214">
                              <w:marLeft w:val="0"/>
                              <w:marRight w:val="0"/>
                              <w:marTop w:val="0"/>
                              <w:marBottom w:val="0"/>
                              <w:divBdr>
                                <w:top w:val="none" w:sz="0" w:space="0" w:color="auto"/>
                                <w:left w:val="none" w:sz="0" w:space="0" w:color="auto"/>
                                <w:bottom w:val="none" w:sz="0" w:space="0" w:color="auto"/>
                                <w:right w:val="none" w:sz="0" w:space="0" w:color="auto"/>
                              </w:divBdr>
                              <w:divsChild>
                                <w:div w:id="836386574">
                                  <w:marLeft w:val="0"/>
                                  <w:marRight w:val="0"/>
                                  <w:marTop w:val="0"/>
                                  <w:marBottom w:val="0"/>
                                  <w:divBdr>
                                    <w:top w:val="none" w:sz="0" w:space="0" w:color="auto"/>
                                    <w:left w:val="none" w:sz="0" w:space="0" w:color="auto"/>
                                    <w:bottom w:val="none" w:sz="0" w:space="0" w:color="auto"/>
                                    <w:right w:val="none" w:sz="0" w:space="0" w:color="auto"/>
                                  </w:divBdr>
                                  <w:divsChild>
                                    <w:div w:id="1486702788">
                                      <w:marLeft w:val="0"/>
                                      <w:marRight w:val="0"/>
                                      <w:marTop w:val="0"/>
                                      <w:marBottom w:val="0"/>
                                      <w:divBdr>
                                        <w:top w:val="none" w:sz="0" w:space="0" w:color="auto"/>
                                        <w:left w:val="none" w:sz="0" w:space="0" w:color="auto"/>
                                        <w:bottom w:val="none" w:sz="0" w:space="0" w:color="auto"/>
                                        <w:right w:val="none" w:sz="0" w:space="0" w:color="auto"/>
                                      </w:divBdr>
                                      <w:divsChild>
                                        <w:div w:id="1445805753">
                                          <w:marLeft w:val="0"/>
                                          <w:marRight w:val="0"/>
                                          <w:marTop w:val="0"/>
                                          <w:marBottom w:val="0"/>
                                          <w:divBdr>
                                            <w:top w:val="none" w:sz="0" w:space="0" w:color="auto"/>
                                            <w:left w:val="none" w:sz="0" w:space="0" w:color="auto"/>
                                            <w:bottom w:val="none" w:sz="0" w:space="0" w:color="auto"/>
                                            <w:right w:val="none" w:sz="0" w:space="0" w:color="auto"/>
                                          </w:divBdr>
                                          <w:divsChild>
                                            <w:div w:id="675032503">
                                              <w:marLeft w:val="0"/>
                                              <w:marRight w:val="0"/>
                                              <w:marTop w:val="0"/>
                                              <w:marBottom w:val="0"/>
                                              <w:divBdr>
                                                <w:top w:val="none" w:sz="0" w:space="0" w:color="auto"/>
                                                <w:left w:val="none" w:sz="0" w:space="0" w:color="auto"/>
                                                <w:bottom w:val="none" w:sz="0" w:space="0" w:color="auto"/>
                                                <w:right w:val="none" w:sz="0" w:space="0" w:color="auto"/>
                                              </w:divBdr>
                                              <w:divsChild>
                                                <w:div w:id="1766534558">
                                                  <w:marLeft w:val="0"/>
                                                  <w:marRight w:val="0"/>
                                                  <w:marTop w:val="0"/>
                                                  <w:marBottom w:val="0"/>
                                                  <w:divBdr>
                                                    <w:top w:val="none" w:sz="0" w:space="0" w:color="auto"/>
                                                    <w:left w:val="none" w:sz="0" w:space="0" w:color="auto"/>
                                                    <w:bottom w:val="none" w:sz="0" w:space="0" w:color="auto"/>
                                                    <w:right w:val="none" w:sz="0" w:space="0" w:color="auto"/>
                                                  </w:divBdr>
                                                  <w:divsChild>
                                                    <w:div w:id="11268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sw.gov.au/media-releases-premier/historic-reforms-increase-access-community-based-mental-health-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wmentalhealthcommission.com.au/our-work/living-well-plan-and-re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urn\Documents\Submission%20-%20NSW%20Youth%20Health%20Policy%20consultation%20-%20October%2020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7AD4F-1114-4F1E-9648-9390AEFC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 NSW Youth Health Policy consultation - October 2016</Template>
  <TotalTime>1</TotalTime>
  <Pages>14</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Durney</dc:creator>
  <cp:lastModifiedBy>Samantha Knaggs</cp:lastModifiedBy>
  <cp:revision>2</cp:revision>
  <cp:lastPrinted>2014-06-20T02:15:00Z</cp:lastPrinted>
  <dcterms:created xsi:type="dcterms:W3CDTF">2016-12-16T03:21:00Z</dcterms:created>
  <dcterms:modified xsi:type="dcterms:W3CDTF">2016-12-16T03:21:00Z</dcterms:modified>
</cp:coreProperties>
</file>