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A" w:rsidRPr="000B3363" w:rsidRDefault="00C15BDA" w:rsidP="00C15BDA">
      <w:pPr>
        <w:spacing w:after="120" w:line="240" w:lineRule="auto"/>
        <w:jc w:val="center"/>
        <w:rPr>
          <w:b/>
          <w:noProof/>
          <w:color w:val="365F91" w:themeColor="accent1" w:themeShade="BF"/>
          <w:sz w:val="40"/>
          <w:szCs w:val="40"/>
          <w:lang w:eastAsia="en-AU"/>
        </w:rPr>
      </w:pPr>
      <w:r w:rsidRPr="000B3363">
        <w:rPr>
          <w:b/>
          <w:noProof/>
          <w:color w:val="365F91" w:themeColor="accent1" w:themeShade="BF"/>
          <w:sz w:val="40"/>
          <w:szCs w:val="40"/>
          <w:lang w:eastAsia="en-AU"/>
        </w:rPr>
        <w:t xml:space="preserve">Priority Group – Young </w:t>
      </w:r>
      <w:r>
        <w:rPr>
          <w:b/>
          <w:noProof/>
          <w:color w:val="365F91" w:themeColor="accent1" w:themeShade="BF"/>
          <w:sz w:val="40"/>
          <w:szCs w:val="40"/>
          <w:lang w:eastAsia="en-AU"/>
        </w:rPr>
        <w:t>parents</w:t>
      </w:r>
    </w:p>
    <w:sdt>
      <w:sdtPr>
        <w:rPr>
          <w:rFonts w:eastAsiaTheme="minorHAnsi" w:cstheme="minorBidi"/>
          <w:b w:val="0"/>
          <w:bCs w:val="0"/>
          <w:sz w:val="22"/>
          <w:szCs w:val="22"/>
          <w:lang w:bidi="ar-SA"/>
        </w:rPr>
        <w:id w:val="-2017451273"/>
        <w:docPartObj>
          <w:docPartGallery w:val="Table of Contents"/>
          <w:docPartUnique/>
        </w:docPartObj>
      </w:sdtPr>
      <w:sdtEndPr>
        <w:rPr>
          <w:noProof/>
        </w:rPr>
      </w:sdtEndPr>
      <w:sdtContent>
        <w:p w:rsidR="00C15BDA" w:rsidRPr="007379B9" w:rsidRDefault="00C15BDA" w:rsidP="00C15BDA">
          <w:pPr>
            <w:pStyle w:val="TOCHeading"/>
          </w:pPr>
          <w:r w:rsidRPr="007379B9">
            <w:t>Table of Contents</w:t>
          </w:r>
        </w:p>
        <w:p w:rsidR="00C5376D" w:rsidRDefault="00C15BDA">
          <w:pPr>
            <w:pStyle w:val="TOC1"/>
            <w:tabs>
              <w:tab w:val="right" w:leader="dot" w:pos="9016"/>
            </w:tabs>
            <w:rPr>
              <w:rFonts w:asciiTheme="minorHAnsi" w:eastAsiaTheme="minorEastAsia" w:hAnsiTheme="minorHAnsi"/>
              <w:noProof/>
              <w:lang w:eastAsia="en-AU"/>
            </w:rPr>
          </w:pPr>
          <w:r w:rsidRPr="007379B9">
            <w:fldChar w:fldCharType="begin"/>
          </w:r>
          <w:r w:rsidRPr="007379B9">
            <w:instrText xml:space="preserve"> TOC \o "1-3" \h \z \u </w:instrText>
          </w:r>
          <w:r w:rsidRPr="007379B9">
            <w:fldChar w:fldCharType="separate"/>
          </w:r>
          <w:hyperlink w:anchor="_Toc468958390" w:history="1">
            <w:r w:rsidR="00C5376D" w:rsidRPr="005D7FBA">
              <w:rPr>
                <w:rStyle w:val="Hyperlink"/>
                <w:noProof/>
              </w:rPr>
              <w:t>Introduction</w:t>
            </w:r>
            <w:r w:rsidR="00C5376D">
              <w:rPr>
                <w:noProof/>
                <w:webHidden/>
              </w:rPr>
              <w:tab/>
            </w:r>
            <w:r w:rsidR="00C5376D">
              <w:rPr>
                <w:noProof/>
                <w:webHidden/>
              </w:rPr>
              <w:fldChar w:fldCharType="begin"/>
            </w:r>
            <w:r w:rsidR="00C5376D">
              <w:rPr>
                <w:noProof/>
                <w:webHidden/>
              </w:rPr>
              <w:instrText xml:space="preserve"> PAGEREF _Toc468958390 \h </w:instrText>
            </w:r>
            <w:r w:rsidR="00C5376D">
              <w:rPr>
                <w:noProof/>
                <w:webHidden/>
              </w:rPr>
            </w:r>
            <w:r w:rsidR="00C5376D">
              <w:rPr>
                <w:noProof/>
                <w:webHidden/>
              </w:rPr>
              <w:fldChar w:fldCharType="separate"/>
            </w:r>
            <w:r w:rsidR="00C5376D">
              <w:rPr>
                <w:noProof/>
                <w:webHidden/>
              </w:rPr>
              <w:t>1</w:t>
            </w:r>
            <w:r w:rsidR="00C5376D">
              <w:rPr>
                <w:noProof/>
                <w:webHidden/>
              </w:rPr>
              <w:fldChar w:fldCharType="end"/>
            </w:r>
          </w:hyperlink>
        </w:p>
        <w:p w:rsidR="00C5376D" w:rsidRDefault="00B13742">
          <w:pPr>
            <w:pStyle w:val="TOC2"/>
            <w:tabs>
              <w:tab w:val="right" w:leader="dot" w:pos="9016"/>
            </w:tabs>
            <w:rPr>
              <w:rFonts w:asciiTheme="minorHAnsi" w:eastAsiaTheme="minorEastAsia" w:hAnsiTheme="minorHAnsi"/>
              <w:noProof/>
              <w:lang w:eastAsia="en-AU"/>
            </w:rPr>
          </w:pPr>
          <w:hyperlink w:anchor="_Toc468958391" w:history="1">
            <w:r w:rsidR="00C5376D" w:rsidRPr="005D7FBA">
              <w:rPr>
                <w:rStyle w:val="Hyperlink"/>
                <w:noProof/>
                <w:lang w:eastAsia="en-AU"/>
              </w:rPr>
              <w:t>Who is this priority group?</w:t>
            </w:r>
            <w:r w:rsidR="00C5376D">
              <w:rPr>
                <w:noProof/>
                <w:webHidden/>
              </w:rPr>
              <w:tab/>
            </w:r>
            <w:r w:rsidR="00C5376D">
              <w:rPr>
                <w:noProof/>
                <w:webHidden/>
              </w:rPr>
              <w:fldChar w:fldCharType="begin"/>
            </w:r>
            <w:r w:rsidR="00C5376D">
              <w:rPr>
                <w:noProof/>
                <w:webHidden/>
              </w:rPr>
              <w:instrText xml:space="preserve"> PAGEREF _Toc468958391 \h </w:instrText>
            </w:r>
            <w:r w:rsidR="00C5376D">
              <w:rPr>
                <w:noProof/>
                <w:webHidden/>
              </w:rPr>
            </w:r>
            <w:r w:rsidR="00C5376D">
              <w:rPr>
                <w:noProof/>
                <w:webHidden/>
              </w:rPr>
              <w:fldChar w:fldCharType="separate"/>
            </w:r>
            <w:r w:rsidR="00C5376D">
              <w:rPr>
                <w:noProof/>
                <w:webHidden/>
              </w:rPr>
              <w:t>1</w:t>
            </w:r>
            <w:r w:rsidR="00C5376D">
              <w:rPr>
                <w:noProof/>
                <w:webHidden/>
              </w:rPr>
              <w:fldChar w:fldCharType="end"/>
            </w:r>
          </w:hyperlink>
        </w:p>
        <w:p w:rsidR="00C5376D" w:rsidRDefault="00B13742">
          <w:pPr>
            <w:pStyle w:val="TOC2"/>
            <w:tabs>
              <w:tab w:val="right" w:leader="dot" w:pos="9016"/>
            </w:tabs>
            <w:rPr>
              <w:rFonts w:asciiTheme="minorHAnsi" w:eastAsiaTheme="minorEastAsia" w:hAnsiTheme="minorHAnsi"/>
              <w:noProof/>
              <w:lang w:eastAsia="en-AU"/>
            </w:rPr>
          </w:pPr>
          <w:hyperlink w:anchor="_Toc468958392" w:history="1">
            <w:r w:rsidR="00C5376D" w:rsidRPr="005D7FBA">
              <w:rPr>
                <w:rStyle w:val="Hyperlink"/>
                <w:noProof/>
                <w:lang w:eastAsia="en-AU"/>
              </w:rPr>
              <w:t>Why are young parents a priority group?</w:t>
            </w:r>
            <w:r w:rsidR="00C5376D">
              <w:rPr>
                <w:noProof/>
                <w:webHidden/>
              </w:rPr>
              <w:tab/>
            </w:r>
            <w:r w:rsidR="00C5376D">
              <w:rPr>
                <w:noProof/>
                <w:webHidden/>
              </w:rPr>
              <w:fldChar w:fldCharType="begin"/>
            </w:r>
            <w:r w:rsidR="00C5376D">
              <w:rPr>
                <w:noProof/>
                <w:webHidden/>
              </w:rPr>
              <w:instrText xml:space="preserve"> PAGEREF _Toc468958392 \h </w:instrText>
            </w:r>
            <w:r w:rsidR="00C5376D">
              <w:rPr>
                <w:noProof/>
                <w:webHidden/>
              </w:rPr>
            </w:r>
            <w:r w:rsidR="00C5376D">
              <w:rPr>
                <w:noProof/>
                <w:webHidden/>
              </w:rPr>
              <w:fldChar w:fldCharType="separate"/>
            </w:r>
            <w:r w:rsidR="00C5376D">
              <w:rPr>
                <w:noProof/>
                <w:webHidden/>
              </w:rPr>
              <w:t>1</w:t>
            </w:r>
            <w:r w:rsidR="00C5376D">
              <w:rPr>
                <w:noProof/>
                <w:webHidden/>
              </w:rPr>
              <w:fldChar w:fldCharType="end"/>
            </w:r>
          </w:hyperlink>
        </w:p>
        <w:p w:rsidR="00C5376D" w:rsidRDefault="00B13742">
          <w:pPr>
            <w:pStyle w:val="TOC2"/>
            <w:tabs>
              <w:tab w:val="right" w:leader="dot" w:pos="9016"/>
            </w:tabs>
            <w:rPr>
              <w:rFonts w:asciiTheme="minorHAnsi" w:eastAsiaTheme="minorEastAsia" w:hAnsiTheme="minorHAnsi"/>
              <w:noProof/>
              <w:lang w:eastAsia="en-AU"/>
            </w:rPr>
          </w:pPr>
          <w:hyperlink w:anchor="_Toc468958393" w:history="1">
            <w:r w:rsidR="00C5376D" w:rsidRPr="005D7FBA">
              <w:rPr>
                <w:rStyle w:val="Hyperlink"/>
                <w:noProof/>
                <w:lang w:eastAsia="en-AU"/>
              </w:rPr>
              <w:t>Births data</w:t>
            </w:r>
            <w:r w:rsidR="00C5376D">
              <w:rPr>
                <w:noProof/>
                <w:webHidden/>
              </w:rPr>
              <w:tab/>
            </w:r>
            <w:r w:rsidR="00C5376D">
              <w:rPr>
                <w:noProof/>
                <w:webHidden/>
              </w:rPr>
              <w:fldChar w:fldCharType="begin"/>
            </w:r>
            <w:r w:rsidR="00C5376D">
              <w:rPr>
                <w:noProof/>
                <w:webHidden/>
              </w:rPr>
              <w:instrText xml:space="preserve"> PAGEREF _Toc468958393 \h </w:instrText>
            </w:r>
            <w:r w:rsidR="00C5376D">
              <w:rPr>
                <w:noProof/>
                <w:webHidden/>
              </w:rPr>
            </w:r>
            <w:r w:rsidR="00C5376D">
              <w:rPr>
                <w:noProof/>
                <w:webHidden/>
              </w:rPr>
              <w:fldChar w:fldCharType="separate"/>
            </w:r>
            <w:r w:rsidR="00C5376D">
              <w:rPr>
                <w:noProof/>
                <w:webHidden/>
              </w:rPr>
              <w:t>2</w:t>
            </w:r>
            <w:r w:rsidR="00C5376D">
              <w:rPr>
                <w:noProof/>
                <w:webHidden/>
              </w:rPr>
              <w:fldChar w:fldCharType="end"/>
            </w:r>
          </w:hyperlink>
        </w:p>
        <w:p w:rsidR="00C5376D" w:rsidRDefault="00B13742">
          <w:pPr>
            <w:pStyle w:val="TOC1"/>
            <w:tabs>
              <w:tab w:val="right" w:leader="dot" w:pos="9016"/>
            </w:tabs>
            <w:rPr>
              <w:rFonts w:asciiTheme="minorHAnsi" w:eastAsiaTheme="minorEastAsia" w:hAnsiTheme="minorHAnsi"/>
              <w:noProof/>
              <w:lang w:eastAsia="en-AU"/>
            </w:rPr>
          </w:pPr>
          <w:hyperlink w:anchor="_Toc468958394" w:history="1">
            <w:r w:rsidR="00C5376D" w:rsidRPr="005D7FBA">
              <w:rPr>
                <w:rStyle w:val="Hyperlink"/>
                <w:noProof/>
              </w:rPr>
              <w:t>2015 Priority Investment Approach Baseline Valuation</w:t>
            </w:r>
            <w:r w:rsidR="00C5376D">
              <w:rPr>
                <w:noProof/>
                <w:webHidden/>
              </w:rPr>
              <w:tab/>
            </w:r>
            <w:r w:rsidR="00C5376D">
              <w:rPr>
                <w:noProof/>
                <w:webHidden/>
              </w:rPr>
              <w:fldChar w:fldCharType="begin"/>
            </w:r>
            <w:r w:rsidR="00C5376D">
              <w:rPr>
                <w:noProof/>
                <w:webHidden/>
              </w:rPr>
              <w:instrText xml:space="preserve"> PAGEREF _Toc468958394 \h </w:instrText>
            </w:r>
            <w:r w:rsidR="00C5376D">
              <w:rPr>
                <w:noProof/>
                <w:webHidden/>
              </w:rPr>
            </w:r>
            <w:r w:rsidR="00C5376D">
              <w:rPr>
                <w:noProof/>
                <w:webHidden/>
              </w:rPr>
              <w:fldChar w:fldCharType="separate"/>
            </w:r>
            <w:r w:rsidR="00C5376D">
              <w:rPr>
                <w:noProof/>
                <w:webHidden/>
              </w:rPr>
              <w:t>2</w:t>
            </w:r>
            <w:r w:rsidR="00C5376D">
              <w:rPr>
                <w:noProof/>
                <w:webHidden/>
              </w:rPr>
              <w:fldChar w:fldCharType="end"/>
            </w:r>
          </w:hyperlink>
        </w:p>
        <w:p w:rsidR="00C5376D" w:rsidRDefault="00B13742">
          <w:pPr>
            <w:pStyle w:val="TOC1"/>
            <w:tabs>
              <w:tab w:val="right" w:leader="dot" w:pos="9016"/>
            </w:tabs>
            <w:rPr>
              <w:rFonts w:asciiTheme="minorHAnsi" w:eastAsiaTheme="minorEastAsia" w:hAnsiTheme="minorHAnsi"/>
              <w:noProof/>
              <w:lang w:eastAsia="en-AU"/>
            </w:rPr>
          </w:pPr>
          <w:hyperlink w:anchor="_Toc468958395" w:history="1">
            <w:r w:rsidR="00C5376D" w:rsidRPr="005D7FBA">
              <w:rPr>
                <w:rStyle w:val="Hyperlink"/>
                <w:noProof/>
              </w:rPr>
              <w:t>Parenting Payment</w:t>
            </w:r>
            <w:r w:rsidR="00C5376D">
              <w:rPr>
                <w:noProof/>
                <w:webHidden/>
              </w:rPr>
              <w:tab/>
            </w:r>
            <w:r w:rsidR="00C5376D">
              <w:rPr>
                <w:noProof/>
                <w:webHidden/>
              </w:rPr>
              <w:fldChar w:fldCharType="begin"/>
            </w:r>
            <w:r w:rsidR="00C5376D">
              <w:rPr>
                <w:noProof/>
                <w:webHidden/>
              </w:rPr>
              <w:instrText xml:space="preserve"> PAGEREF _Toc468958395 \h </w:instrText>
            </w:r>
            <w:r w:rsidR="00C5376D">
              <w:rPr>
                <w:noProof/>
                <w:webHidden/>
              </w:rPr>
            </w:r>
            <w:r w:rsidR="00C5376D">
              <w:rPr>
                <w:noProof/>
                <w:webHidden/>
              </w:rPr>
              <w:fldChar w:fldCharType="separate"/>
            </w:r>
            <w:r w:rsidR="00C5376D">
              <w:rPr>
                <w:noProof/>
                <w:webHidden/>
              </w:rPr>
              <w:t>3</w:t>
            </w:r>
            <w:r w:rsidR="00C5376D">
              <w:rPr>
                <w:noProof/>
                <w:webHidden/>
              </w:rPr>
              <w:fldChar w:fldCharType="end"/>
            </w:r>
          </w:hyperlink>
        </w:p>
        <w:p w:rsidR="00C5376D" w:rsidRDefault="00B13742">
          <w:pPr>
            <w:pStyle w:val="TOC2"/>
            <w:tabs>
              <w:tab w:val="right" w:leader="dot" w:pos="9016"/>
            </w:tabs>
            <w:rPr>
              <w:rFonts w:asciiTheme="minorHAnsi" w:eastAsiaTheme="minorEastAsia" w:hAnsiTheme="minorHAnsi"/>
              <w:noProof/>
              <w:lang w:eastAsia="en-AU"/>
            </w:rPr>
          </w:pPr>
          <w:hyperlink w:anchor="_Toc468958396" w:history="1">
            <w:r w:rsidR="00C5376D" w:rsidRPr="005D7FBA">
              <w:rPr>
                <w:rStyle w:val="Hyperlink"/>
                <w:noProof/>
                <w:lang w:eastAsia="en-AU"/>
              </w:rPr>
              <w:t>What is Parenting Payment?</w:t>
            </w:r>
            <w:r w:rsidR="00C5376D">
              <w:rPr>
                <w:noProof/>
                <w:webHidden/>
              </w:rPr>
              <w:tab/>
            </w:r>
            <w:r w:rsidR="00C5376D">
              <w:rPr>
                <w:noProof/>
                <w:webHidden/>
              </w:rPr>
              <w:fldChar w:fldCharType="begin"/>
            </w:r>
            <w:r w:rsidR="00C5376D">
              <w:rPr>
                <w:noProof/>
                <w:webHidden/>
              </w:rPr>
              <w:instrText xml:space="preserve"> PAGEREF _Toc468958396 \h </w:instrText>
            </w:r>
            <w:r w:rsidR="00C5376D">
              <w:rPr>
                <w:noProof/>
                <w:webHidden/>
              </w:rPr>
            </w:r>
            <w:r w:rsidR="00C5376D">
              <w:rPr>
                <w:noProof/>
                <w:webHidden/>
              </w:rPr>
              <w:fldChar w:fldCharType="separate"/>
            </w:r>
            <w:r w:rsidR="00C5376D">
              <w:rPr>
                <w:noProof/>
                <w:webHidden/>
              </w:rPr>
              <w:t>3</w:t>
            </w:r>
            <w:r w:rsidR="00C5376D">
              <w:rPr>
                <w:noProof/>
                <w:webHidden/>
              </w:rPr>
              <w:fldChar w:fldCharType="end"/>
            </w:r>
          </w:hyperlink>
        </w:p>
        <w:p w:rsidR="00C5376D" w:rsidRDefault="00B13742">
          <w:pPr>
            <w:pStyle w:val="TOC2"/>
            <w:tabs>
              <w:tab w:val="right" w:leader="dot" w:pos="9016"/>
            </w:tabs>
            <w:rPr>
              <w:rFonts w:asciiTheme="minorHAnsi" w:eastAsiaTheme="minorEastAsia" w:hAnsiTheme="minorHAnsi"/>
              <w:noProof/>
              <w:lang w:eastAsia="en-AU"/>
            </w:rPr>
          </w:pPr>
          <w:hyperlink w:anchor="_Toc468958397" w:history="1">
            <w:r w:rsidR="00C5376D" w:rsidRPr="005D7FBA">
              <w:rPr>
                <w:rStyle w:val="Hyperlink"/>
                <w:noProof/>
                <w:lang w:eastAsia="en-AU"/>
              </w:rPr>
              <w:t>How much is Parenting Payment?</w:t>
            </w:r>
            <w:r w:rsidR="00C5376D">
              <w:rPr>
                <w:noProof/>
                <w:webHidden/>
              </w:rPr>
              <w:tab/>
            </w:r>
            <w:r w:rsidR="00C5376D">
              <w:rPr>
                <w:noProof/>
                <w:webHidden/>
              </w:rPr>
              <w:fldChar w:fldCharType="begin"/>
            </w:r>
            <w:r w:rsidR="00C5376D">
              <w:rPr>
                <w:noProof/>
                <w:webHidden/>
              </w:rPr>
              <w:instrText xml:space="preserve"> PAGEREF _Toc468958397 \h </w:instrText>
            </w:r>
            <w:r w:rsidR="00C5376D">
              <w:rPr>
                <w:noProof/>
                <w:webHidden/>
              </w:rPr>
            </w:r>
            <w:r w:rsidR="00C5376D">
              <w:rPr>
                <w:noProof/>
                <w:webHidden/>
              </w:rPr>
              <w:fldChar w:fldCharType="separate"/>
            </w:r>
            <w:r w:rsidR="00C5376D">
              <w:rPr>
                <w:noProof/>
                <w:webHidden/>
              </w:rPr>
              <w:t>3</w:t>
            </w:r>
            <w:r w:rsidR="00C5376D">
              <w:rPr>
                <w:noProof/>
                <w:webHidden/>
              </w:rPr>
              <w:fldChar w:fldCharType="end"/>
            </w:r>
          </w:hyperlink>
        </w:p>
        <w:p w:rsidR="00C15BDA" w:rsidRDefault="00C15BDA" w:rsidP="00C15BDA">
          <w:r w:rsidRPr="007379B9">
            <w:rPr>
              <w:b/>
              <w:bCs/>
              <w:noProof/>
            </w:rPr>
            <w:fldChar w:fldCharType="end"/>
          </w:r>
        </w:p>
      </w:sdtContent>
    </w:sdt>
    <w:p w:rsidR="00C15BDA" w:rsidRPr="0000070D" w:rsidRDefault="00C15BDA" w:rsidP="00C15BDA">
      <w:pPr>
        <w:pStyle w:val="Heading1"/>
        <w:pBdr>
          <w:bottom w:val="single" w:sz="4" w:space="1" w:color="auto"/>
        </w:pBdr>
        <w:spacing w:before="240" w:after="240"/>
        <w:rPr>
          <w:b w:val="0"/>
          <w:sz w:val="36"/>
          <w:szCs w:val="36"/>
        </w:rPr>
      </w:pPr>
      <w:bookmarkStart w:id="0" w:name="_Toc468958390"/>
      <w:r w:rsidRPr="0000070D">
        <w:rPr>
          <w:b w:val="0"/>
          <w:sz w:val="36"/>
          <w:szCs w:val="36"/>
        </w:rPr>
        <w:t>Introduction</w:t>
      </w:r>
      <w:bookmarkEnd w:id="0"/>
    </w:p>
    <w:p w:rsidR="00C15BDA" w:rsidRPr="0065326A" w:rsidRDefault="00C15BDA" w:rsidP="0065326A">
      <w:pPr>
        <w:pStyle w:val="Heading2"/>
        <w:spacing w:before="240" w:after="240"/>
        <w:rPr>
          <w:noProof/>
          <w:sz w:val="24"/>
          <w:szCs w:val="24"/>
          <w:lang w:eastAsia="en-AU"/>
        </w:rPr>
      </w:pPr>
      <w:bookmarkStart w:id="1" w:name="_Toc468958391"/>
      <w:r w:rsidRPr="0065326A">
        <w:rPr>
          <w:noProof/>
          <w:sz w:val="24"/>
          <w:szCs w:val="24"/>
          <w:lang w:eastAsia="en-AU"/>
        </w:rPr>
        <w:t>Who is this priority group?</w:t>
      </w:r>
      <w:bookmarkEnd w:id="1"/>
    </w:p>
    <w:p w:rsidR="00C15BDA" w:rsidRPr="0065326A" w:rsidRDefault="00C15BDA" w:rsidP="0065326A">
      <w:pPr>
        <w:spacing w:after="120"/>
        <w:rPr>
          <w:noProof/>
          <w:lang w:eastAsia="en-AU"/>
        </w:rPr>
      </w:pPr>
      <w:r w:rsidRPr="0065326A">
        <w:rPr>
          <w:noProof/>
          <w:lang w:eastAsia="en-AU"/>
        </w:rPr>
        <w:t>Young people aged under</w:t>
      </w:r>
      <w:r w:rsidR="00C978BF">
        <w:rPr>
          <w:noProof/>
          <w:lang w:eastAsia="en-AU"/>
        </w:rPr>
        <w:t xml:space="preserve"> 25</w:t>
      </w:r>
      <w:r w:rsidRPr="0065326A">
        <w:rPr>
          <w:noProof/>
          <w:lang w:eastAsia="en-AU"/>
        </w:rPr>
        <w:t xml:space="preserve"> who claimed Parenting Payment when </w:t>
      </w:r>
      <w:r w:rsidR="009903C4">
        <w:rPr>
          <w:noProof/>
          <w:lang w:eastAsia="en-AU"/>
        </w:rPr>
        <w:t xml:space="preserve">they were aged under 19 and </w:t>
      </w:r>
      <w:r w:rsidRPr="0065326A">
        <w:rPr>
          <w:noProof/>
          <w:lang w:eastAsia="en-AU"/>
        </w:rPr>
        <w:t>are still receiving an income support payment.</w:t>
      </w:r>
    </w:p>
    <w:p w:rsidR="00C15BDA" w:rsidRPr="0065326A" w:rsidRDefault="00C15BDA" w:rsidP="0065326A">
      <w:pPr>
        <w:pStyle w:val="Heading2"/>
        <w:spacing w:before="240" w:after="240"/>
        <w:rPr>
          <w:noProof/>
          <w:sz w:val="24"/>
          <w:szCs w:val="24"/>
          <w:lang w:eastAsia="en-AU"/>
        </w:rPr>
      </w:pPr>
      <w:bookmarkStart w:id="2" w:name="_Toc468958392"/>
      <w:r w:rsidRPr="000B3363">
        <w:rPr>
          <w:noProof/>
          <w:sz w:val="24"/>
          <w:szCs w:val="24"/>
          <w:lang w:eastAsia="en-AU"/>
        </w:rPr>
        <w:t xml:space="preserve">Why </w:t>
      </w:r>
      <w:r>
        <w:rPr>
          <w:noProof/>
          <w:sz w:val="24"/>
          <w:szCs w:val="24"/>
          <w:lang w:eastAsia="en-AU"/>
        </w:rPr>
        <w:t>are</w:t>
      </w:r>
      <w:r w:rsidRPr="000B3363">
        <w:rPr>
          <w:noProof/>
          <w:sz w:val="24"/>
          <w:szCs w:val="24"/>
          <w:lang w:eastAsia="en-AU"/>
        </w:rPr>
        <w:t xml:space="preserve"> young </w:t>
      </w:r>
      <w:r>
        <w:rPr>
          <w:noProof/>
          <w:sz w:val="24"/>
          <w:szCs w:val="24"/>
          <w:lang w:eastAsia="en-AU"/>
        </w:rPr>
        <w:t>parents</w:t>
      </w:r>
      <w:r w:rsidRPr="000B3363">
        <w:rPr>
          <w:noProof/>
          <w:sz w:val="24"/>
          <w:szCs w:val="24"/>
          <w:lang w:eastAsia="en-AU"/>
        </w:rPr>
        <w:t xml:space="preserve"> a priority group?</w:t>
      </w:r>
      <w:bookmarkEnd w:id="2"/>
    </w:p>
    <w:p w:rsidR="00EC2EDF" w:rsidRDefault="00EC2EDF" w:rsidP="00673163">
      <w:pPr>
        <w:spacing w:after="120"/>
        <w:rPr>
          <w:noProof/>
          <w:lang w:eastAsia="en-AU"/>
        </w:rPr>
      </w:pPr>
      <w:r w:rsidRPr="00673163">
        <w:rPr>
          <w:noProof/>
          <w:lang w:eastAsia="en-AU"/>
        </w:rPr>
        <w:t>The Australian Priority Investment Approach to Welfare</w:t>
      </w:r>
      <w:r>
        <w:rPr>
          <w:noProof/>
          <w:lang w:eastAsia="en-AU"/>
        </w:rPr>
        <w:t xml:space="preserve"> aims to improve the lifetime wellbeing of individuals by increasing their capac</w:t>
      </w:r>
      <w:r w:rsidR="00E00F68">
        <w:rPr>
          <w:noProof/>
          <w:lang w:eastAsia="en-AU"/>
        </w:rPr>
        <w:t>ity to live independently of we</w:t>
      </w:r>
      <w:r>
        <w:rPr>
          <w:noProof/>
          <w:lang w:eastAsia="en-AU"/>
        </w:rPr>
        <w:t>l</w:t>
      </w:r>
      <w:r w:rsidR="00E00F68">
        <w:rPr>
          <w:noProof/>
          <w:lang w:eastAsia="en-AU"/>
        </w:rPr>
        <w:t>f</w:t>
      </w:r>
      <w:r>
        <w:rPr>
          <w:noProof/>
          <w:lang w:eastAsia="en-AU"/>
        </w:rPr>
        <w:t xml:space="preserve">are, addressing the risk of intergenerational welfare reliance, </w:t>
      </w:r>
      <w:r w:rsidR="00F1545F">
        <w:rPr>
          <w:noProof/>
          <w:lang w:eastAsia="en-AU"/>
        </w:rPr>
        <w:t>and decreasing Australia’s long</w:t>
      </w:r>
      <w:r w:rsidR="00F1545F">
        <w:rPr>
          <w:noProof/>
          <w:lang w:eastAsia="en-AU"/>
        </w:rPr>
        <w:noBreakHyphen/>
      </w:r>
      <w:r>
        <w:rPr>
          <w:noProof/>
          <w:lang w:eastAsia="en-AU"/>
        </w:rPr>
        <w:t xml:space="preserve">term social security costs.  </w:t>
      </w:r>
    </w:p>
    <w:p w:rsidR="00EC2EDF" w:rsidRPr="00673163" w:rsidRDefault="00EC2EDF" w:rsidP="00673163">
      <w:pPr>
        <w:spacing w:after="120"/>
        <w:rPr>
          <w:noProof/>
          <w:lang w:eastAsia="en-AU"/>
        </w:rPr>
      </w:pPr>
      <w:r>
        <w:rPr>
          <w:noProof/>
          <w:lang w:eastAsia="en-AU"/>
        </w:rPr>
        <w:t xml:space="preserve">The Priority Investment Approach </w:t>
      </w:r>
      <w:r w:rsidRPr="00673163">
        <w:rPr>
          <w:noProof/>
          <w:lang w:eastAsia="en-AU"/>
        </w:rPr>
        <w:t xml:space="preserve">allows the </w:t>
      </w:r>
      <w:r>
        <w:rPr>
          <w:noProof/>
          <w:lang w:eastAsia="en-AU"/>
        </w:rPr>
        <w:t xml:space="preserve">Australian </w:t>
      </w:r>
      <w:r w:rsidRPr="00673163">
        <w:rPr>
          <w:noProof/>
          <w:lang w:eastAsia="en-AU"/>
        </w:rPr>
        <w:t>Government to review the Australian population as a whole and identify groups of people at risk of welfa</w:t>
      </w:r>
      <w:r w:rsidR="00F1545F">
        <w:rPr>
          <w:noProof/>
          <w:lang w:eastAsia="en-AU"/>
        </w:rPr>
        <w:t>re dependence and disadvantage.</w:t>
      </w:r>
      <w:r w:rsidR="00E00F68">
        <w:rPr>
          <w:noProof/>
          <w:lang w:eastAsia="en-AU"/>
        </w:rPr>
        <w:t xml:space="preserve"> </w:t>
      </w:r>
      <w:r w:rsidRPr="00673163">
        <w:rPr>
          <w:noProof/>
          <w:lang w:eastAsia="en-AU"/>
        </w:rPr>
        <w:t>This new way of looking at the social security system will help the Government target funding towards programs and poli</w:t>
      </w:r>
      <w:r w:rsidR="00F1545F">
        <w:rPr>
          <w:noProof/>
          <w:lang w:eastAsia="en-AU"/>
        </w:rPr>
        <w:t xml:space="preserve">cies that </w:t>
      </w:r>
      <w:r w:rsidRPr="00673163">
        <w:rPr>
          <w:noProof/>
          <w:lang w:eastAsia="en-AU"/>
        </w:rPr>
        <w:t xml:space="preserve">help people move into education or employment, and evaluate the effectiveness of these programs over time. </w:t>
      </w:r>
    </w:p>
    <w:p w:rsidR="00DD669C" w:rsidRDefault="00EC2EDF" w:rsidP="00DD669C">
      <w:pPr>
        <w:spacing w:after="120"/>
        <w:rPr>
          <w:noProof/>
          <w:lang w:eastAsia="en-AU"/>
        </w:rPr>
      </w:pPr>
      <w:r>
        <w:rPr>
          <w:noProof/>
          <w:lang w:eastAsia="en-AU"/>
        </w:rPr>
        <w:t xml:space="preserve">The actuarial analysis undertaken for the Priority Investment Approach Baseline Valuation identified a number of groups of young people, including </w:t>
      </w:r>
      <w:r w:rsidR="00E00F68">
        <w:rPr>
          <w:noProof/>
          <w:lang w:eastAsia="en-AU"/>
        </w:rPr>
        <w:t xml:space="preserve">young </w:t>
      </w:r>
      <w:r w:rsidR="009903C4">
        <w:rPr>
          <w:noProof/>
          <w:lang w:eastAsia="en-AU"/>
        </w:rPr>
        <w:t>parents, who are</w:t>
      </w:r>
      <w:r>
        <w:rPr>
          <w:noProof/>
          <w:lang w:eastAsia="en-AU"/>
        </w:rPr>
        <w:t xml:space="preserve"> at risk of long-term </w:t>
      </w:r>
      <w:r w:rsidR="00DD669C">
        <w:rPr>
          <w:noProof/>
          <w:lang w:eastAsia="en-AU"/>
        </w:rPr>
        <w:t>welfare</w:t>
      </w:r>
      <w:r>
        <w:rPr>
          <w:noProof/>
          <w:lang w:eastAsia="en-AU"/>
        </w:rPr>
        <w:t xml:space="preserve"> dependency who would benefit from additional assistance through the Try, Test and Learn Fund.</w:t>
      </w:r>
      <w:r w:rsidR="00DD669C">
        <w:rPr>
          <w:noProof/>
          <w:lang w:eastAsia="en-AU"/>
        </w:rPr>
        <w:t xml:space="preserve">  </w:t>
      </w:r>
    </w:p>
    <w:p w:rsidR="00E00F68" w:rsidRPr="004B2E1B" w:rsidRDefault="00E00F68" w:rsidP="00E00F68">
      <w:pPr>
        <w:spacing w:after="60"/>
        <w:rPr>
          <w:noProof/>
          <w:lang w:eastAsia="en-AU"/>
        </w:rPr>
      </w:pPr>
      <w:r w:rsidRPr="004B2E1B">
        <w:rPr>
          <w:noProof/>
          <w:lang w:eastAsia="en-AU"/>
        </w:rPr>
        <w:t>Having a baby at a young age can disrupt education and increase the barrier</w:t>
      </w:r>
      <w:r>
        <w:rPr>
          <w:noProof/>
          <w:lang w:eastAsia="en-AU"/>
        </w:rPr>
        <w:t xml:space="preserve">s to finding and keeping a job. </w:t>
      </w:r>
      <w:r w:rsidRPr="004B2E1B">
        <w:rPr>
          <w:noProof/>
          <w:lang w:eastAsia="en-AU"/>
        </w:rPr>
        <w:t>This can lead to long-term welfare dependency and poorer life outcomes for young parents and their children.</w:t>
      </w:r>
      <w:r w:rsidR="009903C4">
        <w:rPr>
          <w:noProof/>
          <w:lang w:eastAsia="en-AU"/>
        </w:rPr>
        <w:t xml:space="preserve"> It is i</w:t>
      </w:r>
      <w:r w:rsidR="009903C4" w:rsidRPr="00065C55">
        <w:rPr>
          <w:noProof/>
          <w:lang w:eastAsia="en-AU"/>
        </w:rPr>
        <w:t>mportant to help young parents for their wellbeing and the wellbeing of their children.</w:t>
      </w:r>
    </w:p>
    <w:p w:rsidR="00E00F68" w:rsidRDefault="00E00F68" w:rsidP="00065C55">
      <w:pPr>
        <w:spacing w:after="120"/>
        <w:rPr>
          <w:noProof/>
          <w:lang w:eastAsia="en-AU"/>
        </w:rPr>
      </w:pPr>
    </w:p>
    <w:p w:rsidR="00DD669C" w:rsidRDefault="00065C55" w:rsidP="0065326A">
      <w:pPr>
        <w:spacing w:after="120"/>
        <w:rPr>
          <w:noProof/>
          <w:lang w:eastAsia="en-AU"/>
        </w:rPr>
      </w:pPr>
      <w:r w:rsidRPr="00065C55">
        <w:rPr>
          <w:noProof/>
          <w:lang w:eastAsia="en-AU"/>
        </w:rPr>
        <w:t>Intergenerational influences can play a signficant role in the cycle of welfare dependency.  Actuarial analysis und</w:t>
      </w:r>
      <w:r w:rsidR="009903C4">
        <w:rPr>
          <w:noProof/>
          <w:lang w:eastAsia="en-AU"/>
        </w:rPr>
        <w:t xml:space="preserve">ertaken as part of the Priority Investment Approach </w:t>
      </w:r>
      <w:r w:rsidRPr="00065C55">
        <w:rPr>
          <w:noProof/>
          <w:lang w:eastAsia="en-AU"/>
        </w:rPr>
        <w:t xml:space="preserve">shows that since </w:t>
      </w:r>
      <w:r w:rsidRPr="00065C55">
        <w:rPr>
          <w:noProof/>
          <w:lang w:eastAsia="en-AU"/>
        </w:rPr>
        <w:lastRenderedPageBreak/>
        <w:t xml:space="preserve">2008, 80 per cent of young mothers new to Parenting Payment had a parent or guardian who was on income support at some stage during their upbringing. </w:t>
      </w:r>
      <w:r w:rsidR="001F2A55">
        <w:rPr>
          <w:noProof/>
          <w:lang w:eastAsia="en-AU"/>
        </w:rPr>
        <w:t xml:space="preserve"> </w:t>
      </w:r>
    </w:p>
    <w:p w:rsidR="00065C55" w:rsidRPr="00065C55" w:rsidRDefault="00E00F68" w:rsidP="0065326A">
      <w:pPr>
        <w:spacing w:after="120"/>
      </w:pPr>
      <w:r>
        <w:rPr>
          <w:noProof/>
          <w:lang w:eastAsia="en-AU"/>
        </w:rPr>
        <w:t xml:space="preserve">Statistics show that children of young parents </w:t>
      </w:r>
      <w:r w:rsidR="001F2A55">
        <w:rPr>
          <w:noProof/>
          <w:lang w:eastAsia="en-AU"/>
        </w:rPr>
        <w:t xml:space="preserve">are more likely to grow up without a father, be </w:t>
      </w:r>
      <w:r>
        <w:rPr>
          <w:noProof/>
          <w:lang w:eastAsia="en-AU"/>
        </w:rPr>
        <w:t xml:space="preserve">of </w:t>
      </w:r>
      <w:r w:rsidR="00065C55" w:rsidRPr="00065C55">
        <w:t xml:space="preserve">low birth weight, </w:t>
      </w:r>
      <w:r w:rsidR="001F2A55">
        <w:t xml:space="preserve">have </w:t>
      </w:r>
      <w:r w:rsidR="00065C55" w:rsidRPr="00065C55">
        <w:t xml:space="preserve">lower levels of emotional support and cognitive stimulation, </w:t>
      </w:r>
      <w:r w:rsidR="001F2A55">
        <w:t xml:space="preserve">show </w:t>
      </w:r>
      <w:r w:rsidR="00065C55" w:rsidRPr="00065C55">
        <w:t xml:space="preserve">lower academic achievement later on including </w:t>
      </w:r>
      <w:r w:rsidR="00C15BDA">
        <w:t xml:space="preserve">a higher risk of </w:t>
      </w:r>
      <w:r w:rsidR="00065C55" w:rsidRPr="00065C55">
        <w:t xml:space="preserve">repeating a grade at school, and </w:t>
      </w:r>
      <w:r w:rsidR="001F2A55">
        <w:t xml:space="preserve">be </w:t>
      </w:r>
      <w:r w:rsidR="00065C55" w:rsidRPr="00065C55">
        <w:t>less prepared to enter school</w:t>
      </w:r>
      <w:r w:rsidR="00723902">
        <w:t>. They also h</w:t>
      </w:r>
      <w:r w:rsidR="001F2A55">
        <w:t xml:space="preserve">ave a </w:t>
      </w:r>
      <w:r>
        <w:t>greater risk of socio</w:t>
      </w:r>
      <w:r>
        <w:noBreakHyphen/>
      </w:r>
      <w:r w:rsidR="00065C55" w:rsidRPr="00065C55">
        <w:t xml:space="preserve">emotional problems, </w:t>
      </w:r>
      <w:r w:rsidR="001F2A55">
        <w:t xml:space="preserve">have </w:t>
      </w:r>
      <w:r w:rsidR="00065C55" w:rsidRPr="00065C55">
        <w:t xml:space="preserve">higher rates of foster care placement, </w:t>
      </w:r>
      <w:r w:rsidR="001F2A55">
        <w:t xml:space="preserve">be </w:t>
      </w:r>
      <w:r w:rsidR="00065C55" w:rsidRPr="00065C55">
        <w:t>more likely to be incarcerated at some time during adolescence, have lower educational achievement or leave school early, be a teen parent themselves and be unemployed or underemployed as an adult.</w:t>
      </w:r>
    </w:p>
    <w:p w:rsidR="00065C55" w:rsidRPr="0065326A" w:rsidRDefault="00065C55" w:rsidP="0065326A">
      <w:pPr>
        <w:pStyle w:val="Heading2"/>
        <w:spacing w:before="240" w:after="240"/>
        <w:rPr>
          <w:noProof/>
          <w:sz w:val="24"/>
          <w:szCs w:val="24"/>
          <w:lang w:eastAsia="en-AU"/>
        </w:rPr>
      </w:pPr>
      <w:bookmarkStart w:id="3" w:name="_Toc468958393"/>
      <w:r w:rsidRPr="0065326A">
        <w:rPr>
          <w:noProof/>
          <w:sz w:val="24"/>
          <w:szCs w:val="24"/>
          <w:lang w:eastAsia="en-AU"/>
        </w:rPr>
        <w:t>Births data</w:t>
      </w:r>
      <w:r w:rsidR="009903C4">
        <w:rPr>
          <w:rStyle w:val="FootnoteReference"/>
          <w:noProof/>
          <w:sz w:val="24"/>
          <w:szCs w:val="24"/>
          <w:lang w:eastAsia="en-AU"/>
        </w:rPr>
        <w:footnoteReference w:id="1"/>
      </w:r>
      <w:bookmarkEnd w:id="3"/>
    </w:p>
    <w:p w:rsidR="00065C55" w:rsidRDefault="009903C4" w:rsidP="00065C55">
      <w:pPr>
        <w:rPr>
          <w:noProof/>
          <w:lang w:eastAsia="en-AU"/>
        </w:rPr>
      </w:pPr>
      <w:r>
        <w:rPr>
          <w:noProof/>
          <w:lang w:eastAsia="en-AU"/>
        </w:rPr>
        <w:t xml:space="preserve">There were </w:t>
      </w:r>
      <w:r>
        <w:rPr>
          <w:b/>
          <w:noProof/>
          <w:lang w:eastAsia="en-AU"/>
        </w:rPr>
        <w:t>305,377</w:t>
      </w:r>
      <w:r w:rsidR="00065C55" w:rsidRPr="00065C55">
        <w:rPr>
          <w:b/>
          <w:noProof/>
          <w:lang w:eastAsia="en-AU"/>
        </w:rPr>
        <w:t xml:space="preserve"> </w:t>
      </w:r>
      <w:r w:rsidR="00065C55" w:rsidRPr="00065C55">
        <w:rPr>
          <w:noProof/>
          <w:lang w:eastAsia="en-AU"/>
        </w:rPr>
        <w:t>births in Australia in 2015</w:t>
      </w:r>
      <w:r>
        <w:rPr>
          <w:noProof/>
          <w:lang w:eastAsia="en-AU"/>
        </w:rPr>
        <w:t xml:space="preserve"> of which 8,574 (2.8 per cent) were to mothers aged 15-19. Over 25 per cent (2,203) of these births were to Indigenous mothers. </w:t>
      </w:r>
      <w:r w:rsidR="00065C55" w:rsidRPr="00065C55">
        <w:rPr>
          <w:noProof/>
          <w:lang w:eastAsia="en-AU"/>
        </w:rPr>
        <w:t xml:space="preserve">The fertility rate of Australian women is steady and teenage fertility has dropped to its lowest rate on record. </w:t>
      </w:r>
    </w:p>
    <w:p w:rsidR="00C15BDA" w:rsidRDefault="009903C4" w:rsidP="00065C55">
      <w:pPr>
        <w:rPr>
          <w:noProof/>
          <w:lang w:eastAsia="en-AU"/>
        </w:rPr>
      </w:pPr>
      <w:r>
        <w:rPr>
          <w:noProof/>
          <w:lang w:eastAsia="en-AU"/>
        </w:rPr>
        <w:t>Chart 1 shows that in 2015</w:t>
      </w:r>
      <w:r w:rsidR="00C15BDA">
        <w:rPr>
          <w:noProof/>
          <w:lang w:eastAsia="en-AU"/>
        </w:rPr>
        <w:t>, most births were to mothers aged between 25 and 39, with a p</w:t>
      </w:r>
      <w:r w:rsidR="000F4A5A">
        <w:rPr>
          <w:noProof/>
          <w:lang w:eastAsia="en-AU"/>
        </w:rPr>
        <w:t xml:space="preserve">eak for mothers aged 30 to 34. Birth rates of Indigenous mothers are sigificantly higher than rates for non-Indigenous mothers in the younger age ranges. </w:t>
      </w:r>
    </w:p>
    <w:p w:rsidR="00C15BDA" w:rsidRDefault="00C15BDA" w:rsidP="00F85C9E">
      <w:pPr>
        <w:jc w:val="center"/>
        <w:rPr>
          <w:b/>
          <w:i/>
          <w:noProof/>
          <w:lang w:eastAsia="en-AU"/>
        </w:rPr>
      </w:pPr>
      <w:r w:rsidRPr="0065326A">
        <w:rPr>
          <w:b/>
          <w:i/>
          <w:noProof/>
          <w:lang w:eastAsia="en-AU"/>
        </w:rPr>
        <w:t>Chart 1 – Births by ag</w:t>
      </w:r>
      <w:r w:rsidR="00F85C9E">
        <w:rPr>
          <w:b/>
          <w:i/>
          <w:noProof/>
          <w:lang w:eastAsia="en-AU"/>
        </w:rPr>
        <w:t>e and indigeneity of mother 2015</w:t>
      </w:r>
    </w:p>
    <w:p w:rsidR="00F85C9E" w:rsidRPr="0065326A" w:rsidRDefault="00F85C9E" w:rsidP="00F85C9E">
      <w:pPr>
        <w:jc w:val="center"/>
        <w:rPr>
          <w:b/>
          <w:i/>
        </w:rPr>
      </w:pPr>
      <w:r>
        <w:rPr>
          <w:noProof/>
          <w:lang w:eastAsia="en-AU"/>
        </w:rPr>
        <w:drawing>
          <wp:inline distT="0" distB="0" distL="0" distR="0" wp14:anchorId="36A3C31A" wp14:editId="438097DC">
            <wp:extent cx="5734050" cy="3248025"/>
            <wp:effectExtent l="0" t="0" r="19050" b="9525"/>
            <wp:docPr id="1" name="Chart 1" descr="Chart 1 shows that in 2015, most births were to mothers aged between 25 and 39, with a peak for mothers aged 30 to 34. Birth rates of Indigenous mothers are sigificantly higher than rates for non-Indigenous mothers in the younger age ranges. " title="Chart 1 - Births by age and Indigeneity of moth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326A" w:rsidRPr="0000070D" w:rsidRDefault="0065326A" w:rsidP="0065326A">
      <w:pPr>
        <w:pStyle w:val="Heading1"/>
        <w:pBdr>
          <w:bottom w:val="single" w:sz="4" w:space="1" w:color="auto"/>
        </w:pBdr>
        <w:spacing w:before="240" w:after="240"/>
        <w:rPr>
          <w:b w:val="0"/>
          <w:sz w:val="36"/>
          <w:szCs w:val="36"/>
        </w:rPr>
      </w:pPr>
      <w:bookmarkStart w:id="4" w:name="_Toc468958394"/>
      <w:r>
        <w:rPr>
          <w:b w:val="0"/>
          <w:sz w:val="36"/>
          <w:szCs w:val="36"/>
        </w:rPr>
        <w:t>2015 Priority Investment Approach Baseline Valuation</w:t>
      </w:r>
      <w:bookmarkEnd w:id="4"/>
      <w:r w:rsidR="008C33C8">
        <w:rPr>
          <w:b w:val="0"/>
          <w:sz w:val="36"/>
          <w:szCs w:val="36"/>
        </w:rPr>
        <w:t xml:space="preserve"> </w:t>
      </w:r>
    </w:p>
    <w:p w:rsidR="0065326A" w:rsidRPr="001C2861" w:rsidRDefault="00065C55" w:rsidP="001C2861">
      <w:pPr>
        <w:spacing w:after="120"/>
        <w:contextualSpacing/>
      </w:pPr>
      <w:r w:rsidRPr="00065C55">
        <w:t xml:space="preserve">In 2014-15 </w:t>
      </w:r>
      <w:r w:rsidR="0065326A">
        <w:t xml:space="preserve">there were </w:t>
      </w:r>
      <w:r w:rsidRPr="00065C55">
        <w:t>4,370 (1</w:t>
      </w:r>
      <w:r w:rsidR="0065326A">
        <w:t xml:space="preserve"> per cent</w:t>
      </w:r>
      <w:r w:rsidRPr="00065C55">
        <w:t>)</w:t>
      </w:r>
      <w:r w:rsidR="0065326A">
        <w:t xml:space="preserve"> parents aged </w:t>
      </w:r>
      <w:r w:rsidR="000F4A5A">
        <w:t xml:space="preserve">under 19 </w:t>
      </w:r>
      <w:r w:rsidR="0065326A">
        <w:t>receiving Parenting Payment</w:t>
      </w:r>
      <w:r w:rsidR="001C2861">
        <w:t xml:space="preserve">. </w:t>
      </w:r>
      <w:r w:rsidR="0065326A">
        <w:t xml:space="preserve">The average future lifetime cost for each young parent in this priority group is </w:t>
      </w:r>
      <w:r w:rsidR="0065326A" w:rsidRPr="0065326A">
        <w:rPr>
          <w:b/>
        </w:rPr>
        <w:t>$547,000</w:t>
      </w:r>
      <w:r w:rsidR="0065326A">
        <w:t>.  This consists of:</w:t>
      </w:r>
    </w:p>
    <w:p w:rsidR="0065326A" w:rsidRPr="001C2861" w:rsidRDefault="0065326A" w:rsidP="001C2861">
      <w:pPr>
        <w:numPr>
          <w:ilvl w:val="0"/>
          <w:numId w:val="11"/>
        </w:numPr>
        <w:spacing w:after="120"/>
        <w:contextualSpacing/>
      </w:pPr>
      <w:r w:rsidRPr="001C2861">
        <w:t>Parenting Payment - $120,500 (22 per cent)</w:t>
      </w:r>
    </w:p>
    <w:p w:rsidR="0065326A" w:rsidRPr="001C2861" w:rsidRDefault="0065326A" w:rsidP="001C2861">
      <w:pPr>
        <w:numPr>
          <w:ilvl w:val="0"/>
          <w:numId w:val="11"/>
        </w:numPr>
        <w:spacing w:after="120"/>
        <w:contextualSpacing/>
      </w:pPr>
      <w:r w:rsidRPr="001C2861">
        <w:t>Pre-retirement Income Support - $109,500 (20 per cent)</w:t>
      </w:r>
    </w:p>
    <w:p w:rsidR="0065326A" w:rsidRPr="001C2861" w:rsidRDefault="0065326A" w:rsidP="001C2861">
      <w:pPr>
        <w:numPr>
          <w:ilvl w:val="0"/>
          <w:numId w:val="11"/>
        </w:numPr>
        <w:spacing w:after="120"/>
        <w:contextualSpacing/>
      </w:pPr>
      <w:r w:rsidRPr="001C2861">
        <w:lastRenderedPageBreak/>
        <w:t>Retirement - $82,000 (15 per cent)</w:t>
      </w:r>
    </w:p>
    <w:p w:rsidR="0065326A" w:rsidRPr="001C2861" w:rsidRDefault="0065326A" w:rsidP="001C2861">
      <w:pPr>
        <w:numPr>
          <w:ilvl w:val="0"/>
          <w:numId w:val="11"/>
        </w:numPr>
        <w:spacing w:after="120"/>
        <w:contextualSpacing/>
      </w:pPr>
      <w:r w:rsidRPr="001C2861">
        <w:t>Family Assistance - $186,000 (34 per cent)</w:t>
      </w:r>
    </w:p>
    <w:p w:rsidR="0065326A" w:rsidRPr="001C2861" w:rsidRDefault="0065326A" w:rsidP="001C2861">
      <w:pPr>
        <w:numPr>
          <w:ilvl w:val="0"/>
          <w:numId w:val="11"/>
        </w:numPr>
        <w:spacing w:after="120"/>
        <w:contextualSpacing/>
      </w:pPr>
      <w:r w:rsidRPr="001C2861">
        <w:t>Other supplements - $49,000 (9 per cent)</w:t>
      </w:r>
    </w:p>
    <w:p w:rsidR="001C2861" w:rsidRDefault="001C2861" w:rsidP="001C2861">
      <w:pPr>
        <w:spacing w:after="120"/>
        <w:contextualSpacing/>
      </w:pPr>
    </w:p>
    <w:p w:rsidR="00065C55" w:rsidRDefault="001C2861" w:rsidP="001C2861">
      <w:pPr>
        <w:spacing w:after="120"/>
        <w:contextualSpacing/>
      </w:pPr>
      <w:r w:rsidRPr="001C2861">
        <w:t xml:space="preserve">In 2014-15, </w:t>
      </w:r>
      <w:r w:rsidR="00065C55" w:rsidRPr="001C2861">
        <w:t xml:space="preserve">77 per cent </w:t>
      </w:r>
      <w:r w:rsidR="0065326A" w:rsidRPr="001C2861">
        <w:t xml:space="preserve">of young parents </w:t>
      </w:r>
      <w:r w:rsidR="00F85C9E">
        <w:t xml:space="preserve">aged under 19 </w:t>
      </w:r>
      <w:r w:rsidR="0065326A" w:rsidRPr="001C2861">
        <w:t>were single and</w:t>
      </w:r>
      <w:r w:rsidR="00065C55" w:rsidRPr="001C2861">
        <w:t xml:space="preserve"> 23 per cent </w:t>
      </w:r>
      <w:r w:rsidR="0065326A" w:rsidRPr="001C2861">
        <w:t xml:space="preserve">were </w:t>
      </w:r>
      <w:r w:rsidR="00065C55" w:rsidRPr="001C2861">
        <w:t>partnered</w:t>
      </w:r>
      <w:r w:rsidRPr="001C2861">
        <w:t xml:space="preserve">.  Each </w:t>
      </w:r>
      <w:r w:rsidR="00065C55" w:rsidRPr="001C2861">
        <w:t>year 1,000 new</w:t>
      </w:r>
      <w:r w:rsidR="00065C55" w:rsidRPr="00065C55">
        <w:t xml:space="preserve"> parents under </w:t>
      </w:r>
      <w:r w:rsidR="005B13EB">
        <w:t xml:space="preserve">age </w:t>
      </w:r>
      <w:r w:rsidR="00065C55" w:rsidRPr="00065C55">
        <w:t>19</w:t>
      </w:r>
      <w:r w:rsidR="0065326A">
        <w:t xml:space="preserve"> enter the welfare system</w:t>
      </w:r>
      <w:r>
        <w:t>.</w:t>
      </w:r>
    </w:p>
    <w:p w:rsidR="001C2861" w:rsidRPr="00065C55" w:rsidRDefault="001C2861" w:rsidP="001C2861">
      <w:pPr>
        <w:spacing w:after="120"/>
        <w:contextualSpacing/>
      </w:pPr>
    </w:p>
    <w:p w:rsidR="001C2861" w:rsidRDefault="0065326A" w:rsidP="001C2861">
      <w:pPr>
        <w:spacing w:after="120"/>
      </w:pPr>
      <w:r>
        <w:rPr>
          <w:b/>
          <w:i/>
        </w:rPr>
        <w:t>If nothing changes for this priority group</w:t>
      </w:r>
      <w:r w:rsidR="00C019E8">
        <w:rPr>
          <w:b/>
          <w:i/>
        </w:rPr>
        <w:t xml:space="preserve"> </w:t>
      </w:r>
      <w:r w:rsidR="00065C55" w:rsidRPr="00065C55">
        <w:t>70 per cent will be receiving income support payments in 10 years</w:t>
      </w:r>
      <w:r w:rsidR="00C019E8">
        <w:t xml:space="preserve">, and </w:t>
      </w:r>
      <w:r w:rsidR="00065C55" w:rsidRPr="00065C55">
        <w:t>40 per cent will be receivin</w:t>
      </w:r>
      <w:r w:rsidR="001C2861">
        <w:t>g income support payments in 20 </w:t>
      </w:r>
      <w:r w:rsidR="00065C55" w:rsidRPr="00065C55">
        <w:t>years</w:t>
      </w:r>
      <w:r w:rsidR="00C019E8">
        <w:t>.</w:t>
      </w:r>
      <w:r w:rsidR="001742C2">
        <w:t xml:space="preserve"> </w:t>
      </w:r>
    </w:p>
    <w:p w:rsidR="0065326A" w:rsidRPr="00065C55" w:rsidRDefault="0065326A" w:rsidP="001C2861">
      <w:pPr>
        <w:spacing w:after="120"/>
        <w:rPr>
          <w:noProof/>
          <w:lang w:eastAsia="en-AU"/>
        </w:rPr>
      </w:pPr>
      <w:r>
        <w:t>Chart 2</w:t>
      </w:r>
      <w:r w:rsidR="00C15BDA">
        <w:t xml:space="preserve"> below shows the ten year welfare pathway of Parenting Payment </w:t>
      </w:r>
      <w:r w:rsidR="008C33C8">
        <w:t xml:space="preserve">Single </w:t>
      </w:r>
      <w:r w:rsidR="00C15BDA">
        <w:t>recipients</w:t>
      </w:r>
      <w:r w:rsidR="00334FE0">
        <w:t xml:space="preserve"> aged </w:t>
      </w:r>
      <w:r w:rsidR="008C33C8">
        <w:t>19 and under</w:t>
      </w:r>
      <w:r w:rsidR="00C15BDA">
        <w:t xml:space="preserve"> in June 2005.  </w:t>
      </w:r>
      <w:r w:rsidR="00C15BDA" w:rsidRPr="00065C55">
        <w:rPr>
          <w:noProof/>
          <w:lang w:eastAsia="en-AU"/>
        </w:rPr>
        <w:t xml:space="preserve">The chart shows that </w:t>
      </w:r>
      <w:r w:rsidR="008C33C8">
        <w:rPr>
          <w:noProof/>
          <w:lang w:eastAsia="en-AU"/>
        </w:rPr>
        <w:t>after ten years, 27 per cent of recipients were no longer receiving an income support, 47 per cent were still receiving Parenting Payment (40 per cent receiving a single rate and 7 per cent receiving a partnered rate), 17 per cent were receiving Newstart Allowance, 5 per cent were receiving Carer Payment and 3 per cent were receiving Disability Support Pension.</w:t>
      </w:r>
    </w:p>
    <w:p w:rsidR="00065C55" w:rsidRPr="00065C55" w:rsidRDefault="00C15BDA" w:rsidP="000F4A5A">
      <w:pPr>
        <w:spacing w:after="0"/>
        <w:jc w:val="center"/>
        <w:rPr>
          <w:b/>
          <w:i/>
          <w:noProof/>
          <w:sz w:val="20"/>
          <w:szCs w:val="20"/>
          <w:lang w:eastAsia="en-AU"/>
        </w:rPr>
      </w:pPr>
      <w:r>
        <w:rPr>
          <w:b/>
          <w:i/>
          <w:noProof/>
          <w:sz w:val="20"/>
          <w:szCs w:val="20"/>
          <w:lang w:eastAsia="en-AU"/>
        </w:rPr>
        <w:t xml:space="preserve">Chart </w:t>
      </w:r>
      <w:r w:rsidR="0065326A">
        <w:rPr>
          <w:b/>
          <w:i/>
          <w:noProof/>
          <w:sz w:val="20"/>
          <w:szCs w:val="20"/>
          <w:lang w:eastAsia="en-AU"/>
        </w:rPr>
        <w:t>2</w:t>
      </w:r>
      <w:r>
        <w:rPr>
          <w:b/>
          <w:i/>
          <w:noProof/>
          <w:sz w:val="20"/>
          <w:szCs w:val="20"/>
          <w:lang w:eastAsia="en-AU"/>
        </w:rPr>
        <w:t xml:space="preserve"> - </w:t>
      </w:r>
      <w:r w:rsidR="00065C55" w:rsidRPr="00065C55">
        <w:rPr>
          <w:b/>
          <w:i/>
          <w:noProof/>
          <w:sz w:val="20"/>
          <w:szCs w:val="20"/>
          <w:lang w:eastAsia="en-AU"/>
        </w:rPr>
        <w:t xml:space="preserve">Parenting Payment </w:t>
      </w:r>
      <w:r w:rsidR="000F4A5A">
        <w:rPr>
          <w:b/>
          <w:i/>
          <w:noProof/>
          <w:sz w:val="20"/>
          <w:szCs w:val="20"/>
          <w:lang w:eastAsia="en-AU"/>
        </w:rPr>
        <w:t xml:space="preserve">Single </w:t>
      </w:r>
      <w:r w:rsidR="00065C55" w:rsidRPr="00065C55">
        <w:rPr>
          <w:b/>
          <w:i/>
          <w:noProof/>
          <w:sz w:val="20"/>
          <w:szCs w:val="20"/>
          <w:lang w:eastAsia="en-AU"/>
        </w:rPr>
        <w:t>recipients</w:t>
      </w:r>
      <w:r w:rsidR="00065C55">
        <w:rPr>
          <w:b/>
          <w:i/>
          <w:noProof/>
          <w:sz w:val="20"/>
          <w:szCs w:val="20"/>
          <w:lang w:eastAsia="en-AU"/>
        </w:rPr>
        <w:t xml:space="preserve"> </w:t>
      </w:r>
      <w:r w:rsidR="00065C55" w:rsidRPr="00065C55">
        <w:rPr>
          <w:b/>
          <w:i/>
          <w:noProof/>
          <w:sz w:val="20"/>
          <w:szCs w:val="20"/>
          <w:lang w:eastAsia="en-AU"/>
        </w:rPr>
        <w:t xml:space="preserve">aged </w:t>
      </w:r>
      <w:r w:rsidR="008C33C8">
        <w:rPr>
          <w:b/>
          <w:i/>
          <w:noProof/>
          <w:sz w:val="20"/>
          <w:szCs w:val="20"/>
          <w:lang w:eastAsia="en-AU"/>
        </w:rPr>
        <w:t>19 and under in June 2005</w:t>
      </w:r>
    </w:p>
    <w:p w:rsidR="00065C55" w:rsidRDefault="008C33C8" w:rsidP="00433516">
      <w:pPr>
        <w:jc w:val="center"/>
        <w:rPr>
          <w:lang w:eastAsia="en-AU"/>
        </w:rPr>
      </w:pPr>
      <w:r>
        <w:rPr>
          <w:noProof/>
          <w:lang w:eastAsia="en-AU"/>
        </w:rPr>
        <w:drawing>
          <wp:inline distT="0" distB="0" distL="0" distR="0" wp14:anchorId="374E9D7A" wp14:editId="5DFC20E5">
            <wp:extent cx="4670294" cy="2975816"/>
            <wp:effectExtent l="0" t="0" r="0" b="0"/>
            <wp:docPr id="4" name="Picture 3" descr="Chart 2 shows the ten year welfare pathway of Parenting Payment Single recipients aged 19 and under in June 2005.  The chart shows that after ten years, 27 per cent of recipients were no longer receiving an income support, 47 per cent were still receiving Parenting Payment (40 per cent receiving a single rate and 7 per cent receiving a partnered rate), 17 per cent were receiving Newstart Allowance, 5 per cent were receiving Carer Payment and 3 per cent were receiving Disability Support Pension." title="Chart 2 - Ten year welfare pathway for Parenting Payment Single recipients aged 19 and under in Jun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4673305" cy="2977735"/>
                    </a:xfrm>
                    <a:prstGeom prst="rect">
                      <a:avLst/>
                    </a:prstGeom>
                  </pic:spPr>
                </pic:pic>
              </a:graphicData>
            </a:graphic>
          </wp:inline>
        </w:drawing>
      </w:r>
      <w:bookmarkStart w:id="5" w:name="_GoBack"/>
      <w:bookmarkEnd w:id="5"/>
    </w:p>
    <w:p w:rsidR="00C019E8" w:rsidRPr="0000070D" w:rsidRDefault="00C019E8" w:rsidP="00C019E8">
      <w:pPr>
        <w:pStyle w:val="Heading1"/>
        <w:pBdr>
          <w:bottom w:val="single" w:sz="4" w:space="1" w:color="auto"/>
        </w:pBdr>
        <w:spacing w:before="240" w:after="240"/>
        <w:rPr>
          <w:b w:val="0"/>
          <w:sz w:val="36"/>
          <w:szCs w:val="36"/>
        </w:rPr>
      </w:pPr>
      <w:bookmarkStart w:id="6" w:name="_Toc468958395"/>
      <w:r>
        <w:rPr>
          <w:b w:val="0"/>
          <w:sz w:val="36"/>
          <w:szCs w:val="36"/>
        </w:rPr>
        <w:t>Parenting Payment</w:t>
      </w:r>
      <w:bookmarkEnd w:id="6"/>
    </w:p>
    <w:p w:rsidR="00433516" w:rsidRPr="00433516" w:rsidRDefault="00433516" w:rsidP="00433516">
      <w:pPr>
        <w:pStyle w:val="Heading2"/>
        <w:spacing w:before="120" w:after="120"/>
        <w:rPr>
          <w:noProof/>
          <w:sz w:val="24"/>
          <w:szCs w:val="24"/>
          <w:lang w:eastAsia="en-AU"/>
        </w:rPr>
      </w:pPr>
      <w:bookmarkStart w:id="7" w:name="_Toc468958396"/>
      <w:r w:rsidRPr="00433516">
        <w:rPr>
          <w:noProof/>
          <w:sz w:val="24"/>
          <w:szCs w:val="24"/>
          <w:lang w:eastAsia="en-AU"/>
        </w:rPr>
        <w:t>What is Parenting Payment?</w:t>
      </w:r>
      <w:r w:rsidR="000459A6">
        <w:rPr>
          <w:rStyle w:val="FootnoteReference"/>
          <w:noProof/>
          <w:sz w:val="24"/>
          <w:szCs w:val="24"/>
          <w:lang w:eastAsia="en-AU"/>
        </w:rPr>
        <w:footnoteReference w:id="2"/>
      </w:r>
      <w:bookmarkEnd w:id="7"/>
    </w:p>
    <w:p w:rsidR="00065C55" w:rsidRPr="004B2E1B" w:rsidRDefault="00065C55" w:rsidP="00C019E8">
      <w:pPr>
        <w:spacing w:after="120"/>
        <w:rPr>
          <w:noProof/>
          <w:lang w:eastAsia="en-AU"/>
        </w:rPr>
      </w:pPr>
      <w:r w:rsidRPr="00EA05D3">
        <w:rPr>
          <w:b/>
          <w:noProof/>
          <w:lang w:eastAsia="en-AU"/>
        </w:rPr>
        <w:t>Parenting Payment</w:t>
      </w:r>
      <w:r w:rsidRPr="004B2E1B">
        <w:rPr>
          <w:noProof/>
          <w:lang w:eastAsia="en-AU"/>
        </w:rPr>
        <w:t xml:space="preserve"> is an income support pa</w:t>
      </w:r>
      <w:r w:rsidR="00C019E8">
        <w:rPr>
          <w:noProof/>
          <w:lang w:eastAsia="en-AU"/>
        </w:rPr>
        <w:t xml:space="preserve">yment for parents or guardians </w:t>
      </w:r>
      <w:r w:rsidRPr="004B2E1B">
        <w:rPr>
          <w:noProof/>
          <w:lang w:eastAsia="en-AU"/>
        </w:rPr>
        <w:t>who h</w:t>
      </w:r>
      <w:r w:rsidR="00507D47">
        <w:rPr>
          <w:noProof/>
          <w:lang w:eastAsia="en-AU"/>
        </w:rPr>
        <w:t xml:space="preserve">ave no or little other income. </w:t>
      </w:r>
      <w:r w:rsidRPr="004B2E1B">
        <w:rPr>
          <w:noProof/>
          <w:lang w:eastAsia="en-AU"/>
        </w:rPr>
        <w:t xml:space="preserve">Parenting Payment can only be paid to one member of a couple. </w:t>
      </w:r>
    </w:p>
    <w:p w:rsidR="00065C55" w:rsidRDefault="00065C55" w:rsidP="00C019E8">
      <w:pPr>
        <w:spacing w:after="120"/>
        <w:rPr>
          <w:noProof/>
          <w:lang w:eastAsia="en-AU"/>
        </w:rPr>
      </w:pPr>
      <w:r w:rsidRPr="004B2E1B">
        <w:rPr>
          <w:noProof/>
          <w:lang w:eastAsia="en-AU"/>
        </w:rPr>
        <w:t>To be eligible for Parenting Payment, an indi</w:t>
      </w:r>
      <w:r w:rsidR="00C019E8">
        <w:rPr>
          <w:noProof/>
          <w:lang w:eastAsia="en-AU"/>
        </w:rPr>
        <w:t>vidual must have a child under eight</w:t>
      </w:r>
      <w:r w:rsidRPr="004B2E1B">
        <w:rPr>
          <w:noProof/>
          <w:lang w:eastAsia="en-AU"/>
        </w:rPr>
        <w:t xml:space="preserve"> years </w:t>
      </w:r>
      <w:r w:rsidR="00C019E8">
        <w:rPr>
          <w:noProof/>
          <w:lang w:eastAsia="en-AU"/>
        </w:rPr>
        <w:t>of age</w:t>
      </w:r>
      <w:r w:rsidRPr="004B2E1B">
        <w:rPr>
          <w:noProof/>
          <w:lang w:eastAsia="en-AU"/>
        </w:rPr>
        <w:t xml:space="preserve"> if single an</w:t>
      </w:r>
      <w:r w:rsidR="00C019E8">
        <w:rPr>
          <w:noProof/>
          <w:lang w:eastAsia="en-AU"/>
        </w:rPr>
        <w:t>d under six</w:t>
      </w:r>
      <w:r w:rsidRPr="004B2E1B">
        <w:rPr>
          <w:noProof/>
          <w:lang w:eastAsia="en-AU"/>
        </w:rPr>
        <w:t xml:space="preserve"> years </w:t>
      </w:r>
      <w:r w:rsidR="00C019E8">
        <w:rPr>
          <w:noProof/>
          <w:lang w:eastAsia="en-AU"/>
        </w:rPr>
        <w:t>of age</w:t>
      </w:r>
      <w:r w:rsidR="00507D47">
        <w:rPr>
          <w:noProof/>
          <w:lang w:eastAsia="en-AU"/>
        </w:rPr>
        <w:t xml:space="preserve"> if partnered. </w:t>
      </w:r>
      <w:r w:rsidRPr="004B2E1B">
        <w:rPr>
          <w:noProof/>
          <w:lang w:eastAsia="en-AU"/>
        </w:rPr>
        <w:t xml:space="preserve">Income, assets and residency tests apply to the payment. Some Parenting Payment recipients </w:t>
      </w:r>
      <w:r w:rsidR="00C019E8">
        <w:rPr>
          <w:noProof/>
          <w:lang w:eastAsia="en-AU"/>
        </w:rPr>
        <w:t>are subject to mutual obligation</w:t>
      </w:r>
      <w:r w:rsidR="00D317BB">
        <w:rPr>
          <w:noProof/>
          <w:lang w:eastAsia="en-AU"/>
        </w:rPr>
        <w:t xml:space="preserve"> requirements,</w:t>
      </w:r>
      <w:r w:rsidR="00C019E8">
        <w:rPr>
          <w:noProof/>
          <w:lang w:eastAsia="en-AU"/>
        </w:rPr>
        <w:t xml:space="preserve"> including </w:t>
      </w:r>
      <w:r w:rsidRPr="004B2E1B">
        <w:rPr>
          <w:noProof/>
          <w:lang w:eastAsia="en-AU"/>
        </w:rPr>
        <w:t xml:space="preserve">single parents whose youngest child is aged </w:t>
      </w:r>
      <w:r w:rsidR="00C019E8">
        <w:rPr>
          <w:noProof/>
          <w:lang w:eastAsia="en-AU"/>
        </w:rPr>
        <w:t>six or seven,</w:t>
      </w:r>
      <w:r w:rsidRPr="004B2E1B">
        <w:rPr>
          <w:noProof/>
          <w:lang w:eastAsia="en-AU"/>
        </w:rPr>
        <w:t xml:space="preserve"> and parents participating in the </w:t>
      </w:r>
      <w:r>
        <w:rPr>
          <w:noProof/>
          <w:lang w:eastAsia="en-AU"/>
        </w:rPr>
        <w:t>ParentsNext program.</w:t>
      </w:r>
    </w:p>
    <w:p w:rsidR="00BB4C67" w:rsidRPr="00433516" w:rsidRDefault="00BB4C67" w:rsidP="00433516">
      <w:pPr>
        <w:pStyle w:val="Heading2"/>
        <w:spacing w:before="120" w:after="120"/>
        <w:rPr>
          <w:noProof/>
          <w:sz w:val="24"/>
          <w:szCs w:val="24"/>
          <w:lang w:eastAsia="en-AU"/>
        </w:rPr>
      </w:pPr>
      <w:bookmarkStart w:id="8" w:name="_Toc468958397"/>
      <w:r w:rsidRPr="00433516">
        <w:rPr>
          <w:noProof/>
          <w:sz w:val="24"/>
          <w:szCs w:val="24"/>
          <w:lang w:eastAsia="en-AU"/>
        </w:rPr>
        <w:t>How much is Parenting Payment?</w:t>
      </w:r>
      <w:bookmarkEnd w:id="8"/>
    </w:p>
    <w:p w:rsidR="00BB4C67" w:rsidRPr="00BB4C67" w:rsidRDefault="00BB4C67" w:rsidP="000459A6">
      <w:pPr>
        <w:pStyle w:val="ListParagraph"/>
        <w:numPr>
          <w:ilvl w:val="0"/>
          <w:numId w:val="7"/>
        </w:numPr>
        <w:spacing w:after="120"/>
        <w:rPr>
          <w:noProof/>
          <w:lang w:eastAsia="en-AU"/>
        </w:rPr>
      </w:pPr>
      <w:r w:rsidRPr="00BB4C67">
        <w:rPr>
          <w:noProof/>
          <w:lang w:eastAsia="en-AU"/>
        </w:rPr>
        <w:lastRenderedPageBreak/>
        <w:t>Single parents: $738.50 maximum per fortnight</w:t>
      </w:r>
    </w:p>
    <w:p w:rsidR="00BB4C67" w:rsidRPr="00BB4C67" w:rsidRDefault="00BB4C67" w:rsidP="000459A6">
      <w:pPr>
        <w:pStyle w:val="ListParagraph"/>
        <w:numPr>
          <w:ilvl w:val="0"/>
          <w:numId w:val="7"/>
        </w:numPr>
        <w:spacing w:after="120"/>
        <w:rPr>
          <w:noProof/>
          <w:lang w:eastAsia="en-AU"/>
        </w:rPr>
      </w:pPr>
      <w:r w:rsidRPr="00BB4C67">
        <w:rPr>
          <w:noProof/>
          <w:lang w:eastAsia="en-AU"/>
        </w:rPr>
        <w:t>Partnered parents: $477.40 per fortnight</w:t>
      </w:r>
    </w:p>
    <w:p w:rsidR="00BB4C67" w:rsidRDefault="00BB4C67" w:rsidP="00C019E8">
      <w:pPr>
        <w:spacing w:after="120"/>
        <w:rPr>
          <w:noProof/>
          <w:lang w:eastAsia="en-AU"/>
        </w:rPr>
      </w:pPr>
      <w:r w:rsidRPr="00BB4C67">
        <w:rPr>
          <w:noProof/>
          <w:lang w:eastAsia="en-AU"/>
        </w:rPr>
        <w:t xml:space="preserve">Families may also receive </w:t>
      </w:r>
      <w:r w:rsidR="00C019E8">
        <w:rPr>
          <w:noProof/>
          <w:lang w:eastAsia="en-AU"/>
        </w:rPr>
        <w:t xml:space="preserve">income support supplements such as the Energy Supplement, </w:t>
      </w:r>
      <w:r w:rsidRPr="00BB4C67">
        <w:rPr>
          <w:noProof/>
          <w:lang w:eastAsia="en-AU"/>
        </w:rPr>
        <w:t xml:space="preserve">Family Tax Benefit, Rent Assistance and child care </w:t>
      </w:r>
      <w:r w:rsidR="00C019E8">
        <w:rPr>
          <w:noProof/>
          <w:lang w:eastAsia="en-AU"/>
        </w:rPr>
        <w:t xml:space="preserve">fee </w:t>
      </w:r>
      <w:r w:rsidRPr="00BB4C67">
        <w:rPr>
          <w:noProof/>
          <w:lang w:eastAsia="en-AU"/>
        </w:rPr>
        <w:t>assistance – these payments are also paid to low and middle income working families.</w:t>
      </w:r>
    </w:p>
    <w:p w:rsidR="005E70EC" w:rsidRDefault="005E70EC" w:rsidP="005E70EC">
      <w:pPr>
        <w:rPr>
          <w:noProof/>
          <w:lang w:eastAsia="en-AU"/>
        </w:rPr>
      </w:pPr>
    </w:p>
    <w:p w:rsidR="005E70EC" w:rsidRDefault="005E70EC" w:rsidP="005E70EC">
      <w:r>
        <w:t>Further data on the young parent cohort is under development and will be posted on the website in the near future.</w:t>
      </w:r>
    </w:p>
    <w:p w:rsidR="005E70EC" w:rsidRPr="001742C2" w:rsidRDefault="005E70EC" w:rsidP="005E70EC">
      <w:pPr>
        <w:rPr>
          <w:noProof/>
          <w:lang w:eastAsia="en-AU"/>
        </w:rPr>
      </w:pPr>
    </w:p>
    <w:sectPr w:rsidR="005E70EC" w:rsidRPr="001742C2" w:rsidSect="00F85C9E">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16" w:rsidRDefault="00433516" w:rsidP="00433516">
      <w:pPr>
        <w:spacing w:after="0" w:line="240" w:lineRule="auto"/>
      </w:pPr>
      <w:r>
        <w:separator/>
      </w:r>
    </w:p>
  </w:endnote>
  <w:endnote w:type="continuationSeparator" w:id="0">
    <w:p w:rsidR="00433516" w:rsidRDefault="00433516" w:rsidP="0043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42" w:rsidRDefault="00B13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136926"/>
      <w:docPartObj>
        <w:docPartGallery w:val="Page Numbers (Bottom of Page)"/>
        <w:docPartUnique/>
      </w:docPartObj>
    </w:sdtPr>
    <w:sdtEndPr>
      <w:rPr>
        <w:noProof/>
      </w:rPr>
    </w:sdtEndPr>
    <w:sdtContent>
      <w:p w:rsidR="00433516" w:rsidRDefault="00433516">
        <w:pPr>
          <w:pStyle w:val="Footer"/>
          <w:jc w:val="right"/>
        </w:pPr>
        <w:r>
          <w:fldChar w:fldCharType="begin"/>
        </w:r>
        <w:r>
          <w:instrText xml:space="preserve"> PAGE   \* MERGEFORMAT </w:instrText>
        </w:r>
        <w:r>
          <w:fldChar w:fldCharType="separate"/>
        </w:r>
        <w:r w:rsidR="00B13742">
          <w:rPr>
            <w:noProof/>
          </w:rPr>
          <w:t>2</w:t>
        </w:r>
        <w:r>
          <w:rPr>
            <w:noProof/>
          </w:rPr>
          <w:fldChar w:fldCharType="end"/>
        </w:r>
      </w:p>
    </w:sdtContent>
  </w:sdt>
  <w:p w:rsidR="00433516" w:rsidRDefault="00433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42" w:rsidRDefault="00B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16" w:rsidRDefault="00433516" w:rsidP="00433516">
      <w:pPr>
        <w:spacing w:after="0" w:line="240" w:lineRule="auto"/>
      </w:pPr>
      <w:r>
        <w:separator/>
      </w:r>
    </w:p>
  </w:footnote>
  <w:footnote w:type="continuationSeparator" w:id="0">
    <w:p w:rsidR="00433516" w:rsidRDefault="00433516" w:rsidP="00433516">
      <w:pPr>
        <w:spacing w:after="0" w:line="240" w:lineRule="auto"/>
      </w:pPr>
      <w:r>
        <w:continuationSeparator/>
      </w:r>
    </w:p>
  </w:footnote>
  <w:footnote w:id="1">
    <w:p w:rsidR="009903C4" w:rsidRDefault="009903C4">
      <w:pPr>
        <w:pStyle w:val="FootnoteText"/>
      </w:pPr>
      <w:r>
        <w:rPr>
          <w:rStyle w:val="FootnoteReference"/>
        </w:rPr>
        <w:footnoteRef/>
      </w:r>
      <w:r>
        <w:t xml:space="preserve"> 3301.0 – </w:t>
      </w:r>
      <w:r w:rsidRPr="009903C4">
        <w:rPr>
          <w:i/>
        </w:rPr>
        <w:t>Australian Bureau of Statistics</w:t>
      </w:r>
      <w:r>
        <w:t>, Births, Australia, 2015</w:t>
      </w:r>
    </w:p>
  </w:footnote>
  <w:footnote w:id="2">
    <w:p w:rsidR="000459A6" w:rsidRDefault="000459A6">
      <w:pPr>
        <w:pStyle w:val="FootnoteText"/>
      </w:pPr>
      <w:r>
        <w:rPr>
          <w:rStyle w:val="FootnoteReference"/>
        </w:rPr>
        <w:footnoteRef/>
      </w:r>
      <w:r>
        <w:t xml:space="preserve"> Parenting Payment information is publically available at </w:t>
      </w:r>
      <w:hyperlink r:id="rId1" w:history="1">
        <w:r w:rsidR="00334FE0">
          <w:rPr>
            <w:rStyle w:val="Hyperlink"/>
          </w:rPr>
          <w:t>Department of Human Services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42" w:rsidRDefault="00B13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42" w:rsidRDefault="00B137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42" w:rsidRDefault="00B13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F49"/>
    <w:multiLevelType w:val="multilevel"/>
    <w:tmpl w:val="4306AE04"/>
    <w:lvl w:ilvl="0">
      <w:start w:val="1"/>
      <w:numFmt w:val="bullet"/>
      <w:pStyle w:val="Bullet"/>
      <w:lvlText w:val="•"/>
      <w:lvlJc w:val="left"/>
      <w:pPr>
        <w:tabs>
          <w:tab w:val="num" w:pos="567"/>
        </w:tabs>
        <w:ind w:left="567" w:hanging="567"/>
      </w:pPr>
      <w:rPr>
        <w:rFonts w:asciiTheme="minorHAnsi" w:hAnsiTheme="minorHAnsi" w:cs="Times New Roman" w:hint="default"/>
        <w:color w:val="auto"/>
        <w:sz w:val="28"/>
        <w:szCs w:val="28"/>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B2F217D"/>
    <w:multiLevelType w:val="hybridMultilevel"/>
    <w:tmpl w:val="F8545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902C28"/>
    <w:multiLevelType w:val="hybridMultilevel"/>
    <w:tmpl w:val="854E75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4B2A90"/>
    <w:multiLevelType w:val="hybridMultilevel"/>
    <w:tmpl w:val="22F8D6D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4B0CC7"/>
    <w:multiLevelType w:val="hybridMultilevel"/>
    <w:tmpl w:val="BEDC9E9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7D3B7A"/>
    <w:multiLevelType w:val="hybridMultilevel"/>
    <w:tmpl w:val="F936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0A0F33"/>
    <w:multiLevelType w:val="hybridMultilevel"/>
    <w:tmpl w:val="9E50F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A041B6"/>
    <w:multiLevelType w:val="hybridMultilevel"/>
    <w:tmpl w:val="2A2E6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3E0E19"/>
    <w:multiLevelType w:val="hybridMultilevel"/>
    <w:tmpl w:val="5F7EDB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6C0097C"/>
    <w:multiLevelType w:val="hybridMultilevel"/>
    <w:tmpl w:val="1D0C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CA5A93"/>
    <w:multiLevelType w:val="hybridMultilevel"/>
    <w:tmpl w:val="CABE5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F1D1613"/>
    <w:multiLevelType w:val="hybridMultilevel"/>
    <w:tmpl w:val="0576C7F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E386B5A"/>
    <w:multiLevelType w:val="hybridMultilevel"/>
    <w:tmpl w:val="55F03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
  </w:num>
  <w:num w:numId="6">
    <w:abstractNumId w:val="9"/>
  </w:num>
  <w:num w:numId="7">
    <w:abstractNumId w:val="10"/>
  </w:num>
  <w:num w:numId="8">
    <w:abstractNumId w:val="8"/>
  </w:num>
  <w:num w:numId="9">
    <w:abstractNumId w:val="11"/>
  </w:num>
  <w:num w:numId="10">
    <w:abstractNumId w:val="2"/>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55"/>
    <w:rsid w:val="000459A6"/>
    <w:rsid w:val="00053D27"/>
    <w:rsid w:val="00065C55"/>
    <w:rsid w:val="000E38B3"/>
    <w:rsid w:val="000F4A5A"/>
    <w:rsid w:val="001742C2"/>
    <w:rsid w:val="001C2861"/>
    <w:rsid w:val="001C4096"/>
    <w:rsid w:val="001E630D"/>
    <w:rsid w:val="001F2A55"/>
    <w:rsid w:val="002071B3"/>
    <w:rsid w:val="00322E9A"/>
    <w:rsid w:val="00334FE0"/>
    <w:rsid w:val="00345A63"/>
    <w:rsid w:val="00365DAA"/>
    <w:rsid w:val="003B2BB8"/>
    <w:rsid w:val="003D34FF"/>
    <w:rsid w:val="003D457C"/>
    <w:rsid w:val="00433516"/>
    <w:rsid w:val="004671BC"/>
    <w:rsid w:val="00497761"/>
    <w:rsid w:val="004B54CA"/>
    <w:rsid w:val="004C0713"/>
    <w:rsid w:val="004E5CBF"/>
    <w:rsid w:val="00507D47"/>
    <w:rsid w:val="00545267"/>
    <w:rsid w:val="00593E2D"/>
    <w:rsid w:val="005B13EB"/>
    <w:rsid w:val="005C3AA9"/>
    <w:rsid w:val="005C60BF"/>
    <w:rsid w:val="005C6AF2"/>
    <w:rsid w:val="005E6274"/>
    <w:rsid w:val="005E70EC"/>
    <w:rsid w:val="006501D4"/>
    <w:rsid w:val="0065326A"/>
    <w:rsid w:val="00673163"/>
    <w:rsid w:val="006A4CE7"/>
    <w:rsid w:val="00723902"/>
    <w:rsid w:val="007316E4"/>
    <w:rsid w:val="00785261"/>
    <w:rsid w:val="007B0256"/>
    <w:rsid w:val="00835233"/>
    <w:rsid w:val="008C33C8"/>
    <w:rsid w:val="008D7D2D"/>
    <w:rsid w:val="008E6B29"/>
    <w:rsid w:val="009225F0"/>
    <w:rsid w:val="009903C4"/>
    <w:rsid w:val="00A10D29"/>
    <w:rsid w:val="00A749FC"/>
    <w:rsid w:val="00B106ED"/>
    <w:rsid w:val="00B13742"/>
    <w:rsid w:val="00B32066"/>
    <w:rsid w:val="00BA2DB9"/>
    <w:rsid w:val="00BB4C67"/>
    <w:rsid w:val="00BE7148"/>
    <w:rsid w:val="00BF2362"/>
    <w:rsid w:val="00C019E8"/>
    <w:rsid w:val="00C15BDA"/>
    <w:rsid w:val="00C5376D"/>
    <w:rsid w:val="00C63741"/>
    <w:rsid w:val="00C978BF"/>
    <w:rsid w:val="00D317BB"/>
    <w:rsid w:val="00D34AEE"/>
    <w:rsid w:val="00DD669C"/>
    <w:rsid w:val="00E00F68"/>
    <w:rsid w:val="00EC2EDF"/>
    <w:rsid w:val="00F1545F"/>
    <w:rsid w:val="00F8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5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06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55"/>
    <w:rPr>
      <w:rFonts w:ascii="Tahoma" w:hAnsi="Tahoma" w:cs="Tahoma"/>
      <w:sz w:val="16"/>
      <w:szCs w:val="16"/>
    </w:rPr>
  </w:style>
  <w:style w:type="table" w:styleId="LightShading-Accent4">
    <w:name w:val="Light Shading Accent 4"/>
    <w:basedOn w:val="TableNormal"/>
    <w:uiPriority w:val="60"/>
    <w:rsid w:val="00BB4C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C15BDA"/>
    <w:rPr>
      <w:color w:val="0000FF" w:themeColor="hyperlink"/>
      <w:u w:val="single"/>
    </w:rPr>
  </w:style>
  <w:style w:type="paragraph" w:styleId="TOC1">
    <w:name w:val="toc 1"/>
    <w:basedOn w:val="Normal"/>
    <w:next w:val="Normal"/>
    <w:autoRedefine/>
    <w:uiPriority w:val="39"/>
    <w:unhideWhenUsed/>
    <w:rsid w:val="00C15BDA"/>
    <w:pPr>
      <w:spacing w:after="100"/>
    </w:pPr>
  </w:style>
  <w:style w:type="paragraph" w:styleId="TOC2">
    <w:name w:val="toc 2"/>
    <w:basedOn w:val="Normal"/>
    <w:next w:val="Normal"/>
    <w:autoRedefine/>
    <w:uiPriority w:val="39"/>
    <w:unhideWhenUsed/>
    <w:rsid w:val="00C15BDA"/>
    <w:pPr>
      <w:spacing w:after="100"/>
      <w:ind w:left="220"/>
    </w:pPr>
  </w:style>
  <w:style w:type="table" w:styleId="TableGrid">
    <w:name w:val="Table Grid"/>
    <w:basedOn w:val="TableNormal"/>
    <w:uiPriority w:val="59"/>
    <w:rsid w:val="00C0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516"/>
    <w:rPr>
      <w:rFonts w:ascii="Arial" w:hAnsi="Arial"/>
    </w:rPr>
  </w:style>
  <w:style w:type="paragraph" w:styleId="Footer">
    <w:name w:val="footer"/>
    <w:basedOn w:val="Normal"/>
    <w:link w:val="FooterChar"/>
    <w:uiPriority w:val="99"/>
    <w:unhideWhenUsed/>
    <w:rsid w:val="0043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516"/>
    <w:rPr>
      <w:rFonts w:ascii="Arial" w:hAnsi="Arial"/>
    </w:rPr>
  </w:style>
  <w:style w:type="paragraph" w:styleId="FootnoteText">
    <w:name w:val="footnote text"/>
    <w:basedOn w:val="Normal"/>
    <w:link w:val="FootnoteTextChar"/>
    <w:uiPriority w:val="99"/>
    <w:semiHidden/>
    <w:unhideWhenUsed/>
    <w:rsid w:val="00045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9A6"/>
    <w:rPr>
      <w:rFonts w:ascii="Arial" w:hAnsi="Arial"/>
      <w:sz w:val="20"/>
      <w:szCs w:val="20"/>
    </w:rPr>
  </w:style>
  <w:style w:type="character" w:styleId="FootnoteReference">
    <w:name w:val="footnote reference"/>
    <w:basedOn w:val="DefaultParagraphFont"/>
    <w:uiPriority w:val="99"/>
    <w:semiHidden/>
    <w:unhideWhenUsed/>
    <w:rsid w:val="000459A6"/>
    <w:rPr>
      <w:vertAlign w:val="superscript"/>
    </w:rPr>
  </w:style>
  <w:style w:type="paragraph" w:customStyle="1" w:styleId="Bullet">
    <w:name w:val="Bullet"/>
    <w:basedOn w:val="Normal"/>
    <w:qFormat/>
    <w:rsid w:val="00EC2EDF"/>
    <w:pPr>
      <w:numPr>
        <w:numId w:val="12"/>
      </w:numPr>
      <w:spacing w:after="240" w:line="240" w:lineRule="auto"/>
    </w:pPr>
    <w:rPr>
      <w:rFonts w:asciiTheme="majorHAnsi" w:eastAsia="Times New Roman" w:hAnsiTheme="majorHAnsi" w:cs="Times New Roman"/>
      <w:b/>
      <w:iCs/>
      <w:sz w:val="28"/>
      <w:szCs w:val="28"/>
    </w:rPr>
  </w:style>
  <w:style w:type="paragraph" w:customStyle="1" w:styleId="Dash">
    <w:name w:val="Dash"/>
    <w:basedOn w:val="Normal"/>
    <w:rsid w:val="00EC2EDF"/>
    <w:pPr>
      <w:numPr>
        <w:ilvl w:val="1"/>
        <w:numId w:val="12"/>
      </w:numPr>
      <w:spacing w:after="240" w:line="240" w:lineRule="auto"/>
    </w:pPr>
    <w:rPr>
      <w:rFonts w:asciiTheme="majorHAnsi" w:eastAsia="Times New Roman" w:hAnsiTheme="majorHAnsi" w:cs="Times New Roman"/>
      <w:b/>
      <w:iCs/>
      <w:sz w:val="28"/>
      <w:szCs w:val="28"/>
    </w:rPr>
  </w:style>
  <w:style w:type="paragraph" w:customStyle="1" w:styleId="DoubleDot">
    <w:name w:val="Double Dot"/>
    <w:basedOn w:val="Normal"/>
    <w:rsid w:val="00EC2EDF"/>
    <w:pPr>
      <w:numPr>
        <w:ilvl w:val="2"/>
        <w:numId w:val="12"/>
      </w:numPr>
      <w:spacing w:after="240" w:line="240" w:lineRule="auto"/>
    </w:pPr>
    <w:rPr>
      <w:rFonts w:asciiTheme="majorHAnsi" w:eastAsia="Times New Roman" w:hAnsiTheme="majorHAnsi" w:cs="Times New Roman"/>
      <w:b/>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5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06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55"/>
    <w:rPr>
      <w:rFonts w:ascii="Tahoma" w:hAnsi="Tahoma" w:cs="Tahoma"/>
      <w:sz w:val="16"/>
      <w:szCs w:val="16"/>
    </w:rPr>
  </w:style>
  <w:style w:type="table" w:styleId="LightShading-Accent4">
    <w:name w:val="Light Shading Accent 4"/>
    <w:basedOn w:val="TableNormal"/>
    <w:uiPriority w:val="60"/>
    <w:rsid w:val="00BB4C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C15BDA"/>
    <w:rPr>
      <w:color w:val="0000FF" w:themeColor="hyperlink"/>
      <w:u w:val="single"/>
    </w:rPr>
  </w:style>
  <w:style w:type="paragraph" w:styleId="TOC1">
    <w:name w:val="toc 1"/>
    <w:basedOn w:val="Normal"/>
    <w:next w:val="Normal"/>
    <w:autoRedefine/>
    <w:uiPriority w:val="39"/>
    <w:unhideWhenUsed/>
    <w:rsid w:val="00C15BDA"/>
    <w:pPr>
      <w:spacing w:after="100"/>
    </w:pPr>
  </w:style>
  <w:style w:type="paragraph" w:styleId="TOC2">
    <w:name w:val="toc 2"/>
    <w:basedOn w:val="Normal"/>
    <w:next w:val="Normal"/>
    <w:autoRedefine/>
    <w:uiPriority w:val="39"/>
    <w:unhideWhenUsed/>
    <w:rsid w:val="00C15BDA"/>
    <w:pPr>
      <w:spacing w:after="100"/>
      <w:ind w:left="220"/>
    </w:pPr>
  </w:style>
  <w:style w:type="table" w:styleId="TableGrid">
    <w:name w:val="Table Grid"/>
    <w:basedOn w:val="TableNormal"/>
    <w:uiPriority w:val="59"/>
    <w:rsid w:val="00C0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516"/>
    <w:rPr>
      <w:rFonts w:ascii="Arial" w:hAnsi="Arial"/>
    </w:rPr>
  </w:style>
  <w:style w:type="paragraph" w:styleId="Footer">
    <w:name w:val="footer"/>
    <w:basedOn w:val="Normal"/>
    <w:link w:val="FooterChar"/>
    <w:uiPriority w:val="99"/>
    <w:unhideWhenUsed/>
    <w:rsid w:val="0043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516"/>
    <w:rPr>
      <w:rFonts w:ascii="Arial" w:hAnsi="Arial"/>
    </w:rPr>
  </w:style>
  <w:style w:type="paragraph" w:styleId="FootnoteText">
    <w:name w:val="footnote text"/>
    <w:basedOn w:val="Normal"/>
    <w:link w:val="FootnoteTextChar"/>
    <w:uiPriority w:val="99"/>
    <w:semiHidden/>
    <w:unhideWhenUsed/>
    <w:rsid w:val="00045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9A6"/>
    <w:rPr>
      <w:rFonts w:ascii="Arial" w:hAnsi="Arial"/>
      <w:sz w:val="20"/>
      <w:szCs w:val="20"/>
    </w:rPr>
  </w:style>
  <w:style w:type="character" w:styleId="FootnoteReference">
    <w:name w:val="footnote reference"/>
    <w:basedOn w:val="DefaultParagraphFont"/>
    <w:uiPriority w:val="99"/>
    <w:semiHidden/>
    <w:unhideWhenUsed/>
    <w:rsid w:val="000459A6"/>
    <w:rPr>
      <w:vertAlign w:val="superscript"/>
    </w:rPr>
  </w:style>
  <w:style w:type="paragraph" w:customStyle="1" w:styleId="Bullet">
    <w:name w:val="Bullet"/>
    <w:basedOn w:val="Normal"/>
    <w:qFormat/>
    <w:rsid w:val="00EC2EDF"/>
    <w:pPr>
      <w:numPr>
        <w:numId w:val="12"/>
      </w:numPr>
      <w:spacing w:after="240" w:line="240" w:lineRule="auto"/>
    </w:pPr>
    <w:rPr>
      <w:rFonts w:asciiTheme="majorHAnsi" w:eastAsia="Times New Roman" w:hAnsiTheme="majorHAnsi" w:cs="Times New Roman"/>
      <w:b/>
      <w:iCs/>
      <w:sz w:val="28"/>
      <w:szCs w:val="28"/>
    </w:rPr>
  </w:style>
  <w:style w:type="paragraph" w:customStyle="1" w:styleId="Dash">
    <w:name w:val="Dash"/>
    <w:basedOn w:val="Normal"/>
    <w:rsid w:val="00EC2EDF"/>
    <w:pPr>
      <w:numPr>
        <w:ilvl w:val="1"/>
        <w:numId w:val="12"/>
      </w:numPr>
      <w:spacing w:after="240" w:line="240" w:lineRule="auto"/>
    </w:pPr>
    <w:rPr>
      <w:rFonts w:asciiTheme="majorHAnsi" w:eastAsia="Times New Roman" w:hAnsiTheme="majorHAnsi" w:cs="Times New Roman"/>
      <w:b/>
      <w:iCs/>
      <w:sz w:val="28"/>
      <w:szCs w:val="28"/>
    </w:rPr>
  </w:style>
  <w:style w:type="paragraph" w:customStyle="1" w:styleId="DoubleDot">
    <w:name w:val="Double Dot"/>
    <w:basedOn w:val="Normal"/>
    <w:rsid w:val="00EC2EDF"/>
    <w:pPr>
      <w:numPr>
        <w:ilvl w:val="2"/>
        <w:numId w:val="12"/>
      </w:numPr>
      <w:spacing w:after="240" w:line="240" w:lineRule="auto"/>
    </w:pPr>
    <w:rPr>
      <w:rFonts w:asciiTheme="majorHAnsi" w:eastAsia="Times New Roman" w:hAnsiTheme="majorHAnsi" w:cs="Times New Roman"/>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humanservices.gov.a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Births by age and Indigeneity of mother 2015 </a:t>
            </a:r>
          </a:p>
        </c:rich>
      </c:tx>
      <c:layout>
        <c:manualLayout>
          <c:xMode val="edge"/>
          <c:yMode val="edge"/>
          <c:x val="0.23191378781500677"/>
          <c:y val="1.6217134707872498E-2"/>
        </c:manualLayout>
      </c:layout>
      <c:overlay val="1"/>
    </c:title>
    <c:autoTitleDeleted val="0"/>
    <c:plotArea>
      <c:layout>
        <c:manualLayout>
          <c:layoutTarget val="inner"/>
          <c:xMode val="edge"/>
          <c:yMode val="edge"/>
          <c:x val="0.1192445783946115"/>
          <c:y val="0.2627569675177886"/>
          <c:w val="0.76099901127575664"/>
          <c:h val="0.62569249324444631"/>
        </c:manualLayout>
      </c:layout>
      <c:barChart>
        <c:barDir val="col"/>
        <c:grouping val="stacked"/>
        <c:varyColors val="0"/>
        <c:ser>
          <c:idx val="0"/>
          <c:order val="0"/>
          <c:tx>
            <c:strRef>
              <c:f>Sheet1!$F$2</c:f>
              <c:strCache>
                <c:ptCount val="1"/>
                <c:pt idx="0">
                  <c:v>Non-Indigenous mothers</c:v>
                </c:pt>
              </c:strCache>
            </c:strRef>
          </c:tx>
          <c:invertIfNegative val="0"/>
          <c:cat>
            <c:strRef>
              <c:f>Sheet1!$C$3:$C$9</c:f>
              <c:strCache>
                <c:ptCount val="7"/>
                <c:pt idx="0">
                  <c:v>15-19</c:v>
                </c:pt>
                <c:pt idx="1">
                  <c:v>20-24</c:v>
                </c:pt>
                <c:pt idx="2">
                  <c:v>25-29</c:v>
                </c:pt>
                <c:pt idx="3">
                  <c:v>30-34</c:v>
                </c:pt>
                <c:pt idx="4">
                  <c:v>35-39</c:v>
                </c:pt>
                <c:pt idx="5">
                  <c:v>40-44</c:v>
                </c:pt>
                <c:pt idx="6">
                  <c:v>45-49</c:v>
                </c:pt>
              </c:strCache>
            </c:strRef>
          </c:cat>
          <c:val>
            <c:numRef>
              <c:f>Sheet1!$D$3:$D$9</c:f>
              <c:numCache>
                <c:formatCode>General</c:formatCode>
                <c:ptCount val="7"/>
                <c:pt idx="0">
                  <c:v>8574</c:v>
                </c:pt>
                <c:pt idx="1">
                  <c:v>38733</c:v>
                </c:pt>
                <c:pt idx="2">
                  <c:v>83125</c:v>
                </c:pt>
                <c:pt idx="3">
                  <c:v>106734</c:v>
                </c:pt>
                <c:pt idx="4">
                  <c:v>54957</c:v>
                </c:pt>
                <c:pt idx="5">
                  <c:v>12217</c:v>
                </c:pt>
                <c:pt idx="6">
                  <c:v>910</c:v>
                </c:pt>
              </c:numCache>
            </c:numRef>
          </c:val>
        </c:ser>
        <c:ser>
          <c:idx val="1"/>
          <c:order val="1"/>
          <c:tx>
            <c:strRef>
              <c:f>Sheet1!$E$2</c:f>
              <c:strCache>
                <c:ptCount val="1"/>
                <c:pt idx="0">
                  <c:v>Indigenous mothers</c:v>
                </c:pt>
              </c:strCache>
            </c:strRef>
          </c:tx>
          <c:invertIfNegative val="0"/>
          <c:cat>
            <c:strRef>
              <c:f>Sheet1!$C$3:$C$9</c:f>
              <c:strCache>
                <c:ptCount val="7"/>
                <c:pt idx="0">
                  <c:v>15-19</c:v>
                </c:pt>
                <c:pt idx="1">
                  <c:v>20-24</c:v>
                </c:pt>
                <c:pt idx="2">
                  <c:v>25-29</c:v>
                </c:pt>
                <c:pt idx="3">
                  <c:v>30-34</c:v>
                </c:pt>
                <c:pt idx="4">
                  <c:v>35-39</c:v>
                </c:pt>
                <c:pt idx="5">
                  <c:v>40-44</c:v>
                </c:pt>
                <c:pt idx="6">
                  <c:v>45-49</c:v>
                </c:pt>
              </c:strCache>
            </c:strRef>
          </c:cat>
          <c:val>
            <c:numRef>
              <c:f>Sheet1!$E$3:$E$9</c:f>
              <c:numCache>
                <c:formatCode>General</c:formatCode>
                <c:ptCount val="7"/>
                <c:pt idx="0">
                  <c:v>2203</c:v>
                </c:pt>
                <c:pt idx="1">
                  <c:v>4352</c:v>
                </c:pt>
                <c:pt idx="2">
                  <c:v>3536</c:v>
                </c:pt>
                <c:pt idx="3">
                  <c:v>2169</c:v>
                </c:pt>
                <c:pt idx="4">
                  <c:v>892</c:v>
                </c:pt>
                <c:pt idx="5">
                  <c:v>234</c:v>
                </c:pt>
                <c:pt idx="6">
                  <c:v>10</c:v>
                </c:pt>
              </c:numCache>
            </c:numRef>
          </c:val>
        </c:ser>
        <c:dLbls>
          <c:showLegendKey val="0"/>
          <c:showVal val="0"/>
          <c:showCatName val="0"/>
          <c:showSerName val="0"/>
          <c:showPercent val="0"/>
          <c:showBubbleSize val="0"/>
        </c:dLbls>
        <c:gapWidth val="150"/>
        <c:overlap val="100"/>
        <c:axId val="167418496"/>
        <c:axId val="167432960"/>
      </c:barChart>
      <c:lineChart>
        <c:grouping val="standard"/>
        <c:varyColors val="0"/>
        <c:ser>
          <c:idx val="2"/>
          <c:order val="2"/>
          <c:tx>
            <c:strRef>
              <c:f>Sheet1!$G$2</c:f>
              <c:strCache>
                <c:ptCount val="1"/>
                <c:pt idx="0">
                  <c:v>% Indigenous</c:v>
                </c:pt>
              </c:strCache>
            </c:strRef>
          </c:tx>
          <c:marker>
            <c:symbol val="none"/>
          </c:marker>
          <c:val>
            <c:numRef>
              <c:f>Sheet1!$G$3:$G$10</c:f>
              <c:numCache>
                <c:formatCode>0%</c:formatCode>
                <c:ptCount val="8"/>
                <c:pt idx="0">
                  <c:v>0.2569395847912293</c:v>
                </c:pt>
                <c:pt idx="1">
                  <c:v>0.1123589703870085</c:v>
                </c:pt>
                <c:pt idx="2">
                  <c:v>4.2538345864661653E-2</c:v>
                </c:pt>
                <c:pt idx="3">
                  <c:v>2.0321547023441452E-2</c:v>
                </c:pt>
                <c:pt idx="4">
                  <c:v>1.623087140855578E-2</c:v>
                </c:pt>
                <c:pt idx="5">
                  <c:v>1.9153638372759269E-2</c:v>
                </c:pt>
                <c:pt idx="6">
                  <c:v>1.098901098901099E-2</c:v>
                </c:pt>
                <c:pt idx="7">
                  <c:v>4.3885339885339887E-2</c:v>
                </c:pt>
              </c:numCache>
            </c:numRef>
          </c:val>
          <c:smooth val="0"/>
        </c:ser>
        <c:ser>
          <c:idx val="3"/>
          <c:order val="3"/>
          <c:tx>
            <c:strRef>
              <c:f>Sheet1!$H$2</c:f>
              <c:strCache>
                <c:ptCount val="1"/>
                <c:pt idx="0">
                  <c:v>% Not Indigenous</c:v>
                </c:pt>
              </c:strCache>
            </c:strRef>
          </c:tx>
          <c:marker>
            <c:symbol val="none"/>
          </c:marker>
          <c:val>
            <c:numRef>
              <c:f>Sheet1!$H$3:$H$10</c:f>
              <c:numCache>
                <c:formatCode>0%</c:formatCode>
                <c:ptCount val="8"/>
                <c:pt idx="0">
                  <c:v>0.74306041520877075</c:v>
                </c:pt>
                <c:pt idx="1">
                  <c:v>0.88764102961299152</c:v>
                </c:pt>
                <c:pt idx="2">
                  <c:v>0.95746165413533835</c:v>
                </c:pt>
                <c:pt idx="3">
                  <c:v>0.97967845297655853</c:v>
                </c:pt>
                <c:pt idx="4">
                  <c:v>0.98376912859144428</c:v>
                </c:pt>
                <c:pt idx="5">
                  <c:v>0.9808463616272407</c:v>
                </c:pt>
                <c:pt idx="6">
                  <c:v>0.98901098901098905</c:v>
                </c:pt>
                <c:pt idx="7">
                  <c:v>0.95611466011466006</c:v>
                </c:pt>
              </c:numCache>
            </c:numRef>
          </c:val>
          <c:smooth val="0"/>
        </c:ser>
        <c:dLbls>
          <c:showLegendKey val="0"/>
          <c:showVal val="0"/>
          <c:showCatName val="0"/>
          <c:showSerName val="0"/>
          <c:showPercent val="0"/>
          <c:showBubbleSize val="0"/>
        </c:dLbls>
        <c:marker val="1"/>
        <c:smooth val="0"/>
        <c:axId val="167440768"/>
        <c:axId val="167434880"/>
      </c:lineChart>
      <c:catAx>
        <c:axId val="167418496"/>
        <c:scaling>
          <c:orientation val="minMax"/>
        </c:scaling>
        <c:delete val="0"/>
        <c:axPos val="b"/>
        <c:title>
          <c:tx>
            <c:rich>
              <a:bodyPr/>
              <a:lstStyle/>
              <a:p>
                <a:pPr>
                  <a:defRPr/>
                </a:pPr>
                <a:r>
                  <a:rPr lang="en-US"/>
                  <a:t>Age of mother</a:t>
                </a:r>
              </a:p>
            </c:rich>
          </c:tx>
          <c:layout/>
          <c:overlay val="0"/>
        </c:title>
        <c:majorTickMark val="out"/>
        <c:minorTickMark val="none"/>
        <c:tickLblPos val="nextTo"/>
        <c:crossAx val="167432960"/>
        <c:crosses val="autoZero"/>
        <c:auto val="1"/>
        <c:lblAlgn val="ctr"/>
        <c:lblOffset val="100"/>
        <c:noMultiLvlLbl val="0"/>
      </c:catAx>
      <c:valAx>
        <c:axId val="167432960"/>
        <c:scaling>
          <c:orientation val="minMax"/>
        </c:scaling>
        <c:delete val="0"/>
        <c:axPos val="l"/>
        <c:majorGridlines>
          <c:spPr>
            <a:ln>
              <a:noFill/>
            </a:ln>
          </c:spPr>
        </c:majorGridlines>
        <c:title>
          <c:tx>
            <c:rich>
              <a:bodyPr rot="-5400000" vert="horz"/>
              <a:lstStyle/>
              <a:p>
                <a:pPr>
                  <a:defRPr/>
                </a:pPr>
                <a:r>
                  <a:rPr lang="en-AU"/>
                  <a:t>Number</a:t>
                </a:r>
                <a:r>
                  <a:rPr lang="en-AU" baseline="0"/>
                  <a:t> of births</a:t>
                </a:r>
                <a:endParaRPr lang="en-AU"/>
              </a:p>
            </c:rich>
          </c:tx>
          <c:layout/>
          <c:overlay val="0"/>
        </c:title>
        <c:numFmt formatCode="#,##0" sourceLinked="0"/>
        <c:majorTickMark val="out"/>
        <c:minorTickMark val="none"/>
        <c:tickLblPos val="nextTo"/>
        <c:crossAx val="167418496"/>
        <c:crosses val="autoZero"/>
        <c:crossBetween val="between"/>
      </c:valAx>
      <c:valAx>
        <c:axId val="167434880"/>
        <c:scaling>
          <c:orientation val="minMax"/>
          <c:max val="1"/>
        </c:scaling>
        <c:delete val="0"/>
        <c:axPos val="r"/>
        <c:numFmt formatCode="0%" sourceLinked="1"/>
        <c:majorTickMark val="out"/>
        <c:minorTickMark val="none"/>
        <c:tickLblPos val="nextTo"/>
        <c:crossAx val="167440768"/>
        <c:crosses val="max"/>
        <c:crossBetween val="between"/>
      </c:valAx>
      <c:catAx>
        <c:axId val="167440768"/>
        <c:scaling>
          <c:orientation val="minMax"/>
        </c:scaling>
        <c:delete val="1"/>
        <c:axPos val="b"/>
        <c:majorTickMark val="out"/>
        <c:minorTickMark val="none"/>
        <c:tickLblPos val="nextTo"/>
        <c:crossAx val="167434880"/>
        <c:crosses val="autoZero"/>
        <c:auto val="1"/>
        <c:lblAlgn val="ctr"/>
        <c:lblOffset val="100"/>
        <c:noMultiLvlLbl val="0"/>
      </c:catAx>
    </c:plotArea>
    <c:legend>
      <c:legendPos val="t"/>
      <c:layout>
        <c:manualLayout>
          <c:xMode val="edge"/>
          <c:yMode val="edge"/>
          <c:x val="4.7866616631329489E-2"/>
          <c:y val="0.1233140655105973"/>
          <c:w val="0.89999993280841029"/>
          <c:h val="6.9683673933821855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2016-12-08T04:13:00Z</dcterms:created>
  <dcterms:modified xsi:type="dcterms:W3CDTF">2016-12-08T04:13:00Z</dcterms:modified>
</cp:coreProperties>
</file>