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B5" w:rsidRPr="005E2C33" w:rsidRDefault="006B2FB5" w:rsidP="00A1448D">
      <w:pPr>
        <w:pStyle w:val="Title"/>
        <w:jc w:val="center"/>
        <w:rPr>
          <w:rFonts w:ascii="Calibri" w:hAnsi="Calibri"/>
          <w:b/>
          <w:sz w:val="48"/>
          <w:lang w:val="en-US" w:eastAsia="ja-JP"/>
        </w:rPr>
      </w:pPr>
      <w:r w:rsidRPr="005E2C33">
        <w:rPr>
          <w:rFonts w:ascii="Calibri" w:hAnsi="Calibri"/>
          <w:b/>
          <w:sz w:val="48"/>
          <w:lang w:val="en-US" w:eastAsia="ja-JP"/>
        </w:rPr>
        <w:t>Submission Template</w:t>
      </w:r>
    </w:p>
    <w:p w:rsidR="005C3FFE" w:rsidRPr="005E2C33" w:rsidRDefault="00D14551" w:rsidP="00D14551">
      <w:pPr>
        <w:pStyle w:val="Title"/>
        <w:jc w:val="center"/>
        <w:rPr>
          <w:rFonts w:ascii="Calibri" w:hAnsi="Calibri"/>
          <w:sz w:val="48"/>
          <w:lang w:val="en-US" w:eastAsia="ja-JP"/>
        </w:rPr>
      </w:pPr>
      <w:r w:rsidRPr="005E2C33">
        <w:rPr>
          <w:rFonts w:ascii="Calibri" w:hAnsi="Calibri"/>
          <w:sz w:val="48"/>
          <w:lang w:val="en-US" w:eastAsia="ja-JP"/>
        </w:rPr>
        <w:t>Improving the National Rental Affordability Scheme</w:t>
      </w:r>
      <w:r w:rsidR="00BE56C2" w:rsidRPr="005E2C33">
        <w:rPr>
          <w:rFonts w:ascii="Calibri" w:hAnsi="Calibri"/>
          <w:sz w:val="48"/>
          <w:lang w:val="en-US" w:eastAsia="ja-JP"/>
        </w:rPr>
        <w:t xml:space="preserve"> – </w:t>
      </w:r>
      <w:r w:rsidRPr="005E2C33">
        <w:rPr>
          <w:rFonts w:ascii="Calibri" w:hAnsi="Calibri"/>
          <w:sz w:val="48"/>
          <w:lang w:val="en-US" w:eastAsia="ja-JP"/>
        </w:rPr>
        <w:t>Consultation Paper</w:t>
      </w:r>
    </w:p>
    <w:p w:rsidR="005C3FFE" w:rsidRPr="005E2C33" w:rsidRDefault="005C3FFE" w:rsidP="005C3FFE">
      <w:pPr>
        <w:jc w:val="center"/>
        <w:rPr>
          <w:rFonts w:ascii="Calibri" w:hAnsi="Calibri"/>
          <w:b/>
          <w:sz w:val="32"/>
          <w:szCs w:val="32"/>
          <w:lang w:val="en-US" w:eastAsia="ja-JP"/>
        </w:rPr>
      </w:pPr>
    </w:p>
    <w:p w:rsidR="006B2FB5" w:rsidRPr="005E2C33" w:rsidRDefault="006B2FB5" w:rsidP="00826F0B">
      <w:pPr>
        <w:pBdr>
          <w:top w:val="single" w:sz="4" w:space="1" w:color="auto"/>
          <w:left w:val="single" w:sz="4" w:space="4" w:color="auto"/>
          <w:bottom w:val="single" w:sz="4" w:space="1" w:color="auto"/>
          <w:right w:val="single" w:sz="4" w:space="4" w:color="auto"/>
        </w:pBdr>
        <w:jc w:val="center"/>
        <w:rPr>
          <w:rFonts w:ascii="Calibri" w:hAnsi="Calibri"/>
          <w:sz w:val="28"/>
          <w:szCs w:val="26"/>
          <w:lang w:val="en-US" w:eastAsia="ja-JP"/>
        </w:rPr>
      </w:pPr>
      <w:r w:rsidRPr="005E2C33">
        <w:rPr>
          <w:rFonts w:ascii="Calibri" w:hAnsi="Calibri"/>
          <w:sz w:val="28"/>
          <w:szCs w:val="26"/>
          <w:lang w:val="en-US" w:eastAsia="ja-JP"/>
        </w:rPr>
        <w:t>Please upload c</w:t>
      </w:r>
      <w:r w:rsidR="006C05D2" w:rsidRPr="005E2C33">
        <w:rPr>
          <w:rFonts w:ascii="Calibri" w:hAnsi="Calibri"/>
          <w:sz w:val="28"/>
          <w:szCs w:val="26"/>
          <w:lang w:val="en-US" w:eastAsia="ja-JP"/>
        </w:rPr>
        <w:t xml:space="preserve">ompleted submissions by </w:t>
      </w:r>
      <w:r w:rsidRPr="005E2C33">
        <w:rPr>
          <w:rFonts w:ascii="Calibri" w:hAnsi="Calibri"/>
          <w:b/>
          <w:sz w:val="28"/>
          <w:szCs w:val="26"/>
          <w:lang w:val="en-US" w:eastAsia="ja-JP"/>
        </w:rPr>
        <w:t>5pm</w:t>
      </w:r>
      <w:r w:rsidR="00163FD9">
        <w:rPr>
          <w:rFonts w:ascii="Calibri" w:hAnsi="Calibri"/>
          <w:b/>
          <w:sz w:val="28"/>
          <w:szCs w:val="26"/>
          <w:lang w:val="en-US" w:eastAsia="ja-JP"/>
        </w:rPr>
        <w:t xml:space="preserve"> AEST</w:t>
      </w:r>
      <w:r w:rsidRPr="005E2C33">
        <w:rPr>
          <w:rFonts w:ascii="Calibri" w:hAnsi="Calibri"/>
          <w:b/>
          <w:sz w:val="28"/>
          <w:szCs w:val="26"/>
          <w:lang w:val="en-US" w:eastAsia="ja-JP"/>
        </w:rPr>
        <w:t>,</w:t>
      </w:r>
      <w:r w:rsidRPr="005E2C33">
        <w:rPr>
          <w:rFonts w:ascii="Calibri" w:hAnsi="Calibri"/>
          <w:sz w:val="28"/>
          <w:szCs w:val="26"/>
          <w:lang w:val="en-US" w:eastAsia="ja-JP"/>
        </w:rPr>
        <w:t xml:space="preserve"> </w:t>
      </w:r>
      <w:r w:rsidR="00163FD9">
        <w:rPr>
          <w:rFonts w:ascii="Calibri" w:hAnsi="Calibri"/>
          <w:b/>
          <w:sz w:val="28"/>
          <w:szCs w:val="26"/>
          <w:lang w:val="en-US" w:eastAsia="ja-JP"/>
        </w:rPr>
        <w:t>21</w:t>
      </w:r>
      <w:r w:rsidRPr="005E2C33">
        <w:rPr>
          <w:rFonts w:ascii="Calibri" w:hAnsi="Calibri"/>
          <w:b/>
          <w:sz w:val="28"/>
          <w:szCs w:val="26"/>
          <w:lang w:val="en-US" w:eastAsia="ja-JP"/>
        </w:rPr>
        <w:t xml:space="preserve"> </w:t>
      </w:r>
      <w:r w:rsidR="00795AE1">
        <w:rPr>
          <w:rFonts w:ascii="Calibri" w:hAnsi="Calibri"/>
          <w:b/>
          <w:sz w:val="28"/>
          <w:szCs w:val="26"/>
          <w:lang w:val="en-US" w:eastAsia="ja-JP"/>
        </w:rPr>
        <w:t>December</w:t>
      </w:r>
      <w:r w:rsidR="00DA61E8">
        <w:rPr>
          <w:rFonts w:ascii="Calibri" w:hAnsi="Calibri"/>
          <w:b/>
          <w:sz w:val="28"/>
          <w:szCs w:val="26"/>
          <w:lang w:val="en-US" w:eastAsia="ja-JP"/>
        </w:rPr>
        <w:t xml:space="preserve"> 2016</w:t>
      </w:r>
      <w:r w:rsidRPr="005E2C33">
        <w:rPr>
          <w:rFonts w:ascii="Calibri" w:hAnsi="Calibri"/>
          <w:b/>
          <w:sz w:val="28"/>
          <w:szCs w:val="26"/>
          <w:lang w:val="en-US" w:eastAsia="ja-JP"/>
        </w:rPr>
        <w:t xml:space="preserve"> </w:t>
      </w:r>
      <w:r w:rsidR="006C05D2" w:rsidRPr="005E2C33">
        <w:rPr>
          <w:rFonts w:ascii="Calibri" w:hAnsi="Calibri"/>
          <w:sz w:val="28"/>
          <w:szCs w:val="26"/>
          <w:lang w:val="en-US" w:eastAsia="ja-JP"/>
        </w:rPr>
        <w:t xml:space="preserve">to </w:t>
      </w:r>
      <w:hyperlink r:id="rId7" w:history="1">
        <w:r w:rsidRPr="005E2C33">
          <w:rPr>
            <w:rStyle w:val="Hyperlink"/>
            <w:rFonts w:ascii="Calibri" w:hAnsi="Calibri"/>
            <w:sz w:val="28"/>
            <w:szCs w:val="26"/>
            <w:lang w:val="en-US" w:eastAsia="ja-JP"/>
          </w:rPr>
          <w:t>engage.dss.gov.au</w:t>
        </w:r>
      </w:hyperlink>
    </w:p>
    <w:p w:rsidR="00536C5C" w:rsidRPr="005E2C33" w:rsidRDefault="00536C5C" w:rsidP="00536C5C">
      <w:pPr>
        <w:rPr>
          <w:rFonts w:ascii="Calibri" w:hAnsi="Calibri"/>
          <w:b/>
          <w:sz w:val="26"/>
          <w:szCs w:val="26"/>
          <w:lang w:val="en-US" w:eastAsia="ja-JP"/>
        </w:rPr>
      </w:pPr>
    </w:p>
    <w:p w:rsidR="00536C5C" w:rsidRPr="005E2C33" w:rsidRDefault="00536C5C" w:rsidP="006B2FB5">
      <w:pPr>
        <w:shd w:val="clear" w:color="auto" w:fill="92CDDC" w:themeFill="accent5" w:themeFillTint="99"/>
        <w:jc w:val="center"/>
        <w:rPr>
          <w:rFonts w:ascii="Calibri" w:hAnsi="Calibri"/>
          <w:b/>
          <w:sz w:val="28"/>
        </w:rPr>
      </w:pPr>
      <w:r w:rsidRPr="005E2C33">
        <w:rPr>
          <w:rFonts w:ascii="Calibri" w:hAnsi="Calibri"/>
          <w:b/>
          <w:sz w:val="28"/>
        </w:rPr>
        <w:t>Instructions for com</w:t>
      </w:r>
      <w:r w:rsidR="00671355" w:rsidRPr="005E2C33">
        <w:rPr>
          <w:rFonts w:ascii="Calibri" w:hAnsi="Calibri"/>
          <w:b/>
          <w:sz w:val="28"/>
        </w:rPr>
        <w:t>pleting the Submission Template</w:t>
      </w:r>
    </w:p>
    <w:p w:rsidR="00536C5C" w:rsidRPr="005E2C33" w:rsidRDefault="00536C5C" w:rsidP="006B2FB5">
      <w:pPr>
        <w:pStyle w:val="ListParagraph"/>
        <w:numPr>
          <w:ilvl w:val="0"/>
          <w:numId w:val="9"/>
        </w:numPr>
        <w:shd w:val="clear" w:color="auto" w:fill="DAEEF3" w:themeFill="accent5" w:themeFillTint="33"/>
        <w:rPr>
          <w:rFonts w:ascii="Calibri" w:hAnsi="Calibri"/>
          <w:sz w:val="28"/>
          <w:szCs w:val="26"/>
          <w:lang w:val="en-US" w:eastAsia="ja-JP"/>
        </w:rPr>
      </w:pPr>
      <w:r w:rsidRPr="005E2C33">
        <w:rPr>
          <w:rFonts w:ascii="Calibri" w:hAnsi="Calibri"/>
          <w:sz w:val="28"/>
          <w:szCs w:val="26"/>
          <w:lang w:val="en-US" w:eastAsia="ja-JP"/>
        </w:rPr>
        <w:t xml:space="preserve">Download and save a copy of the template to your computer. </w:t>
      </w:r>
    </w:p>
    <w:p w:rsidR="00536C5C" w:rsidRPr="005E2C33" w:rsidRDefault="00536C5C" w:rsidP="006B2FB5">
      <w:pPr>
        <w:pStyle w:val="ListParagraph"/>
        <w:numPr>
          <w:ilvl w:val="0"/>
          <w:numId w:val="9"/>
        </w:numPr>
        <w:shd w:val="clear" w:color="auto" w:fill="DAEEF3" w:themeFill="accent5" w:themeFillTint="33"/>
        <w:rPr>
          <w:rFonts w:ascii="Calibri" w:hAnsi="Calibri"/>
          <w:sz w:val="28"/>
          <w:szCs w:val="26"/>
          <w:lang w:val="en-US" w:eastAsia="ja-JP"/>
        </w:rPr>
      </w:pPr>
      <w:r w:rsidRPr="005E2C33">
        <w:rPr>
          <w:rFonts w:ascii="Calibri" w:hAnsi="Calibri"/>
          <w:sz w:val="28"/>
          <w:szCs w:val="26"/>
          <w:lang w:val="en-US" w:eastAsia="ja-JP"/>
        </w:rPr>
        <w:t xml:space="preserve">You </w:t>
      </w:r>
      <w:r w:rsidRPr="005E2C33">
        <w:rPr>
          <w:rFonts w:ascii="Calibri" w:hAnsi="Calibri"/>
          <w:b/>
          <w:sz w:val="28"/>
          <w:szCs w:val="26"/>
          <w:lang w:val="en-US" w:eastAsia="ja-JP"/>
        </w:rPr>
        <w:t>do not</w:t>
      </w:r>
      <w:r w:rsidRPr="005E2C33">
        <w:rPr>
          <w:rFonts w:ascii="Calibri" w:hAnsi="Calibri"/>
          <w:sz w:val="28"/>
          <w:szCs w:val="26"/>
          <w:lang w:val="en-US" w:eastAsia="ja-JP"/>
        </w:rPr>
        <w:t xml:space="preserve"> need to respond to all of the questions.</w:t>
      </w:r>
    </w:p>
    <w:p w:rsidR="006B2FB5" w:rsidRPr="005E2C33" w:rsidRDefault="00536C5C" w:rsidP="006B2FB5">
      <w:pPr>
        <w:pStyle w:val="ListParagraph"/>
        <w:numPr>
          <w:ilvl w:val="0"/>
          <w:numId w:val="9"/>
        </w:numPr>
        <w:shd w:val="clear" w:color="auto" w:fill="DAEEF3" w:themeFill="accent5" w:themeFillTint="33"/>
        <w:rPr>
          <w:rFonts w:ascii="Calibri" w:hAnsi="Calibri"/>
          <w:sz w:val="28"/>
          <w:szCs w:val="26"/>
          <w:lang w:val="en-US" w:eastAsia="ja-JP"/>
        </w:rPr>
      </w:pPr>
      <w:r w:rsidRPr="005E2C33">
        <w:rPr>
          <w:rFonts w:ascii="Calibri" w:hAnsi="Calibri"/>
          <w:sz w:val="28"/>
          <w:szCs w:val="26"/>
          <w:lang w:val="en-US" w:eastAsia="ja-JP"/>
        </w:rPr>
        <w:t>Please keep your answers concise and relevant to the topic being addressed.</w:t>
      </w:r>
    </w:p>
    <w:p w:rsidR="00DD7CC0" w:rsidRPr="005E2C33" w:rsidRDefault="00DD7CC0" w:rsidP="00DD7CC0">
      <w:pPr>
        <w:spacing w:before="1080"/>
        <w:rPr>
          <w:rFonts w:ascii="Calibri" w:hAnsi="Calibri"/>
          <w:snapToGrid w:val="0"/>
        </w:rPr>
      </w:pPr>
      <w:r w:rsidRPr="005E2C33">
        <w:rPr>
          <w:rStyle w:val="BookTitle"/>
          <w:rFonts w:ascii="Calibri" w:hAnsi="Calibri"/>
          <w:b/>
          <w:i w:val="0"/>
          <w:iCs w:val="0"/>
          <w:smallCaps w:val="0"/>
          <w:spacing w:val="0"/>
        </w:rPr>
        <w:t xml:space="preserve">Name (first name and surname): </w:t>
      </w:r>
      <w:r w:rsidR="009518B1">
        <w:rPr>
          <w:rFonts w:ascii="Calibri" w:hAnsi="Calibri"/>
          <w:snapToGrid w:val="0"/>
        </w:rPr>
        <w:t>Kieran Larkins</w:t>
      </w:r>
    </w:p>
    <w:p w:rsidR="00DD7CC0" w:rsidRPr="005E2C33" w:rsidRDefault="00DD7CC0" w:rsidP="00DD7CC0">
      <w:pPr>
        <w:rPr>
          <w:rFonts w:ascii="Calibri" w:hAnsi="Calibri"/>
          <w:snapToGrid w:val="0"/>
        </w:rPr>
      </w:pPr>
      <w:r w:rsidRPr="005E2C33">
        <w:rPr>
          <w:rStyle w:val="BookTitle"/>
          <w:rFonts w:ascii="Calibri" w:hAnsi="Calibri"/>
          <w:b/>
          <w:i w:val="0"/>
          <w:iCs w:val="0"/>
          <w:smallCaps w:val="0"/>
          <w:spacing w:val="0"/>
        </w:rPr>
        <w:t xml:space="preserve">Name of organisation: </w:t>
      </w:r>
      <w:r w:rsidR="009518B1">
        <w:rPr>
          <w:rFonts w:ascii="Calibri" w:hAnsi="Calibri"/>
          <w:snapToGrid w:val="0"/>
        </w:rPr>
        <w:t>Community Housing Ltd</w:t>
      </w:r>
    </w:p>
    <w:p w:rsidR="00DD7CC0" w:rsidRPr="005E2C33" w:rsidRDefault="00DD7CC0" w:rsidP="00DD7CC0">
      <w:pPr>
        <w:rPr>
          <w:rFonts w:ascii="Calibri" w:hAnsi="Calibri"/>
          <w:b/>
          <w:snapToGrid w:val="0"/>
        </w:rPr>
      </w:pPr>
      <w:r w:rsidRPr="005E2C33">
        <w:rPr>
          <w:rStyle w:val="BookTitle"/>
          <w:rFonts w:ascii="Calibri" w:hAnsi="Calibri"/>
          <w:b/>
          <w:i w:val="0"/>
          <w:iCs w:val="0"/>
          <w:smallCaps w:val="0"/>
          <w:spacing w:val="0"/>
        </w:rPr>
        <w:t xml:space="preserve">Stakeholder Category: </w:t>
      </w:r>
      <w:r w:rsidR="009518B1">
        <w:rPr>
          <w:rFonts w:ascii="Calibri" w:hAnsi="Calibri"/>
          <w:snapToGrid w:val="0"/>
        </w:rPr>
        <w:t>Approved Participant</w:t>
      </w:r>
    </w:p>
    <w:p w:rsidR="00DD7CC0" w:rsidRPr="005E2C33" w:rsidRDefault="00DD7CC0" w:rsidP="00DD7CC0">
      <w:pPr>
        <w:rPr>
          <w:rFonts w:ascii="Calibri" w:hAnsi="Calibri"/>
          <w:b/>
          <w:snapToGrid w:val="0"/>
        </w:rPr>
      </w:pPr>
      <w:r w:rsidRPr="005E2C33">
        <w:rPr>
          <w:rFonts w:ascii="Calibri" w:hAnsi="Calibri"/>
          <w:b/>
          <w:snapToGrid w:val="0"/>
        </w:rPr>
        <w:t xml:space="preserve">State/Territory: </w:t>
      </w:r>
      <w:r w:rsidR="009518B1">
        <w:rPr>
          <w:rFonts w:ascii="Calibri" w:hAnsi="Calibri"/>
          <w:b/>
          <w:snapToGrid w:val="0"/>
        </w:rPr>
        <w:t>Vic</w:t>
      </w:r>
    </w:p>
    <w:p w:rsidR="00DD7CC0" w:rsidRPr="005E2C33" w:rsidRDefault="00DD7CC0" w:rsidP="00DD7CC0">
      <w:pPr>
        <w:rPr>
          <w:rFonts w:ascii="Calibri" w:hAnsi="Calibri"/>
          <w:snapToGrid w:val="0"/>
        </w:rPr>
      </w:pPr>
      <w:r w:rsidRPr="005E2C33">
        <w:rPr>
          <w:rFonts w:ascii="Calibri" w:hAnsi="Calibri"/>
          <w:b/>
          <w:snapToGrid w:val="0"/>
        </w:rPr>
        <w:t xml:space="preserve">Contact email address: </w:t>
      </w:r>
      <w:r w:rsidR="009518B1">
        <w:rPr>
          <w:rFonts w:ascii="Calibri" w:hAnsi="Calibri"/>
          <w:snapToGrid w:val="0"/>
        </w:rPr>
        <w:t>keiran.larkins@chl.org.au</w:t>
      </w:r>
    </w:p>
    <w:p w:rsidR="005C3FFE" w:rsidRPr="005E2C33" w:rsidRDefault="005C3FFE" w:rsidP="005C3FFE">
      <w:pPr>
        <w:jc w:val="center"/>
        <w:rPr>
          <w:rStyle w:val="BookTitle"/>
          <w:rFonts w:ascii="Calibri" w:hAnsi="Calibri"/>
          <w:i w:val="0"/>
          <w:iCs w:val="0"/>
          <w:smallCaps w:val="0"/>
          <w:spacing w:val="0"/>
        </w:rPr>
        <w:sectPr w:rsidR="005C3FFE" w:rsidRPr="005E2C33" w:rsidSect="0080631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5E2C33" w:rsidRPr="005E2C33" w:rsidRDefault="005E2C33" w:rsidP="00A2151C">
      <w:pPr>
        <w:keepNext/>
        <w:tabs>
          <w:tab w:val="left" w:pos="567"/>
        </w:tabs>
        <w:spacing w:after="120"/>
        <w:rPr>
          <w:rFonts w:ascii="Calibri" w:hAnsi="Calibri"/>
          <w:sz w:val="36"/>
          <w:szCs w:val="36"/>
        </w:rPr>
      </w:pPr>
      <w:bookmarkStart w:id="0" w:name="_Toc462127443"/>
      <w:r w:rsidRPr="005E2C33">
        <w:rPr>
          <w:rFonts w:ascii="Calibri" w:hAnsi="Calibri"/>
          <w:spacing w:val="4"/>
          <w:sz w:val="36"/>
          <w:szCs w:val="36"/>
          <w:lang w:eastAsia="en-AU"/>
        </w:rPr>
        <w:lastRenderedPageBreak/>
        <w:t>Possible areas of improvement</w:t>
      </w:r>
      <w:bookmarkEnd w:id="0"/>
    </w:p>
    <w:p w:rsidR="00A2151C" w:rsidRPr="005E2C33" w:rsidRDefault="00A2151C" w:rsidP="00A2151C">
      <w:pPr>
        <w:keepNext/>
        <w:tabs>
          <w:tab w:val="left" w:pos="567"/>
        </w:tabs>
        <w:spacing w:after="120"/>
        <w:rPr>
          <w:rFonts w:ascii="Calibri" w:hAnsi="Calibri"/>
          <w:sz w:val="26"/>
          <w:szCs w:val="26"/>
        </w:rPr>
      </w:pPr>
      <w:r w:rsidRPr="005E2C33">
        <w:rPr>
          <w:rFonts w:ascii="Calibri" w:hAnsi="Calibri"/>
          <w:sz w:val="26"/>
          <w:szCs w:val="26"/>
        </w:rPr>
        <w:t xml:space="preserve">Refer to section 4 of the Consultation Paper for further </w:t>
      </w:r>
      <w:r w:rsidR="00EF3841" w:rsidRPr="005E2C33">
        <w:rPr>
          <w:rFonts w:ascii="Calibri" w:hAnsi="Calibri"/>
          <w:sz w:val="26"/>
          <w:szCs w:val="26"/>
        </w:rPr>
        <w:t xml:space="preserve">background information in relation to the questions below. </w:t>
      </w:r>
      <w:r w:rsidRPr="005E2C33">
        <w:rPr>
          <w:rFonts w:ascii="Calibri" w:hAnsi="Calibri"/>
          <w:sz w:val="26"/>
          <w:szCs w:val="26"/>
        </w:rPr>
        <w:t xml:space="preserve"> </w:t>
      </w:r>
    </w:p>
    <w:p w:rsidR="0041694D" w:rsidRPr="005E2C33" w:rsidRDefault="00D14551" w:rsidP="00420D37">
      <w:pPr>
        <w:keepNext/>
        <w:tabs>
          <w:tab w:val="left" w:pos="567"/>
        </w:tabs>
        <w:spacing w:after="120"/>
        <w:jc w:val="center"/>
        <w:rPr>
          <w:rFonts w:ascii="Calibri" w:hAnsi="Calibri"/>
          <w:b/>
          <w:sz w:val="26"/>
          <w:szCs w:val="26"/>
        </w:rPr>
      </w:pPr>
      <w:r w:rsidRPr="005E2C33">
        <w:rPr>
          <w:rFonts w:ascii="Calibri" w:hAnsi="Calibri"/>
          <w:b/>
          <w:sz w:val="26"/>
          <w:szCs w:val="26"/>
        </w:rPr>
        <w:t xml:space="preserve">General reforms to the NRAS process </w:t>
      </w:r>
    </w:p>
    <w:p w:rsidR="00E53F79" w:rsidRPr="005E2C33" w:rsidRDefault="00D14551" w:rsidP="00E53F79">
      <w:pPr>
        <w:widowControl w:val="0"/>
        <w:pBdr>
          <w:top w:val="single" w:sz="4" w:space="1" w:color="auto"/>
          <w:left w:val="single" w:sz="4" w:space="4" w:color="auto"/>
          <w:bottom w:val="single" w:sz="4" w:space="1" w:color="auto"/>
          <w:right w:val="single" w:sz="4" w:space="4" w:color="auto"/>
        </w:pBdr>
        <w:suppressAutoHyphens/>
        <w:spacing w:after="120" w:line="220" w:lineRule="atLeast"/>
        <w:textAlignment w:val="center"/>
        <w:rPr>
          <w:rFonts w:ascii="Calibri" w:eastAsia="Cambria" w:hAnsi="Calibri"/>
        </w:rPr>
      </w:pPr>
      <w:r w:rsidRPr="005E2C33">
        <w:rPr>
          <w:rFonts w:ascii="Calibri" w:eastAsia="Cambria" w:hAnsi="Calibri"/>
          <w:b/>
          <w:color w:val="000000"/>
          <w:position w:val="-2"/>
          <w:szCs w:val="24"/>
          <w:lang w:val="en-GB"/>
        </w:rPr>
        <w:t xml:space="preserve">Discussion </w:t>
      </w:r>
      <w:r w:rsidR="00997918" w:rsidRPr="005E2C33">
        <w:rPr>
          <w:rFonts w:ascii="Calibri" w:eastAsia="Cambria" w:hAnsi="Calibri"/>
          <w:b/>
          <w:color w:val="000000"/>
          <w:position w:val="-2"/>
          <w:szCs w:val="24"/>
          <w:lang w:val="en-GB"/>
        </w:rPr>
        <w:t xml:space="preserve">Question </w:t>
      </w:r>
      <w:r w:rsidRPr="005E2C33">
        <w:rPr>
          <w:rFonts w:ascii="Calibri" w:eastAsia="Cambria" w:hAnsi="Calibri"/>
          <w:b/>
          <w:color w:val="000000"/>
          <w:position w:val="-2"/>
          <w:szCs w:val="24"/>
          <w:lang w:val="en-GB"/>
        </w:rPr>
        <w:t>1</w:t>
      </w:r>
      <w:r w:rsidR="00DB6809" w:rsidRPr="005E2C33">
        <w:rPr>
          <w:rFonts w:ascii="Calibri" w:eastAsia="Cambria" w:hAnsi="Calibri"/>
          <w:b/>
          <w:color w:val="000000"/>
          <w:position w:val="-2"/>
          <w:szCs w:val="24"/>
          <w:lang w:val="en-GB"/>
        </w:rPr>
        <w:t>)</w:t>
      </w:r>
      <w:r w:rsidR="00997918" w:rsidRPr="005E2C33">
        <w:rPr>
          <w:rFonts w:ascii="Calibri" w:eastAsia="Cambria" w:hAnsi="Calibri"/>
          <w:color w:val="000000"/>
          <w:position w:val="-2"/>
          <w:szCs w:val="24"/>
          <w:lang w:val="en-GB"/>
        </w:rPr>
        <w:t xml:space="preserve"> </w:t>
      </w:r>
      <w:proofErr w:type="gramStart"/>
      <w:r w:rsidR="00610B29" w:rsidRPr="00610B29">
        <w:rPr>
          <w:rFonts w:ascii="Calibri" w:hAnsi="Calibri"/>
          <w:szCs w:val="24"/>
        </w:rPr>
        <w:t>What</w:t>
      </w:r>
      <w:proofErr w:type="gramEnd"/>
      <w:r w:rsidR="00610B29" w:rsidRPr="00610B29">
        <w:rPr>
          <w:rFonts w:ascii="Calibri" w:hAnsi="Calibri"/>
          <w:szCs w:val="24"/>
        </w:rPr>
        <w:t xml:space="preserve"> provisions in the NRAS Regulations could be changed/simplified in order to provide further clarity, reduce red tape and improve the overall efficiency of the Scheme?</w:t>
      </w:r>
    </w:p>
    <w:p w:rsidR="00D14551" w:rsidRPr="00C81E0F" w:rsidRDefault="00C81E0F" w:rsidP="00C81E0F">
      <w:pPr>
        <w:pStyle w:val="ListParagraph"/>
        <w:widowControl w:val="0"/>
        <w:numPr>
          <w:ilvl w:val="0"/>
          <w:numId w:val="16"/>
        </w:numPr>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lang w:val="en-GB"/>
        </w:rPr>
      </w:pPr>
      <w:r w:rsidRPr="00C81E0F">
        <w:rPr>
          <w:rFonts w:ascii="Calibri" w:eastAsia="Cambria" w:hAnsi="Calibri"/>
          <w:color w:val="000000"/>
          <w:position w:val="-2"/>
          <w:szCs w:val="24"/>
          <w:lang w:val="en-US"/>
        </w:rPr>
        <w:t>Under the Residential Tenancy Act of the States of Australia we can’t enforce the supplying of household income documents yearly. It is accepted though that this is part of the NRAS Regulations. Given this</w:t>
      </w:r>
      <w:r w:rsidR="006C6D49">
        <w:rPr>
          <w:rFonts w:ascii="Calibri" w:eastAsia="Cambria" w:hAnsi="Calibri"/>
          <w:color w:val="000000"/>
          <w:position w:val="-2"/>
          <w:szCs w:val="24"/>
          <w:lang w:val="en-US"/>
        </w:rPr>
        <w:t>,</w:t>
      </w:r>
      <w:r w:rsidRPr="00C81E0F">
        <w:rPr>
          <w:rFonts w:ascii="Calibri" w:eastAsia="Cambria" w:hAnsi="Calibri"/>
          <w:color w:val="000000"/>
          <w:position w:val="-2"/>
          <w:szCs w:val="24"/>
          <w:lang w:val="en-US"/>
        </w:rPr>
        <w:t xml:space="preserve"> if Household Income is not provided then this should be considered as the Household being income ineligible immediately. Incentive should only be not payable after 2 consecutive years w</w:t>
      </w:r>
      <w:r w:rsidR="006C6D49">
        <w:rPr>
          <w:rFonts w:ascii="Calibri" w:eastAsia="Cambria" w:hAnsi="Calibri"/>
          <w:color w:val="000000"/>
          <w:position w:val="-2"/>
          <w:szCs w:val="24"/>
          <w:lang w:val="en-US"/>
        </w:rPr>
        <w:t>h</w:t>
      </w:r>
      <w:r w:rsidRPr="00C81E0F">
        <w:rPr>
          <w:rFonts w:ascii="Calibri" w:eastAsia="Cambria" w:hAnsi="Calibri"/>
          <w:color w:val="000000"/>
          <w:position w:val="-2"/>
          <w:szCs w:val="24"/>
          <w:lang w:val="en-US"/>
        </w:rPr>
        <w:t>ere the household was either over the income limits or failed to supply sufficient evidence that they were within limits. Regulation 19 (3) (b). Further to this the ability to record ‘income not provided’ in the TDA would be required.</w:t>
      </w:r>
    </w:p>
    <w:p w:rsidR="00C81E0F" w:rsidRPr="00C81E0F" w:rsidRDefault="00C81E0F" w:rsidP="00C81E0F">
      <w:pPr>
        <w:pStyle w:val="ListParagraph"/>
        <w:widowControl w:val="0"/>
        <w:numPr>
          <w:ilvl w:val="0"/>
          <w:numId w:val="16"/>
        </w:numPr>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lang w:val="en-GB"/>
        </w:rPr>
      </w:pPr>
      <w:r w:rsidRPr="00C81E0F">
        <w:rPr>
          <w:rFonts w:ascii="Calibri" w:eastAsia="Cambria" w:hAnsi="Calibri"/>
          <w:color w:val="000000"/>
          <w:position w:val="-2"/>
          <w:szCs w:val="24"/>
          <w:lang w:val="en-US"/>
        </w:rPr>
        <w:t>As a not-for-profit organization rents for a significant number of our NRAS dwellings are based on Rent Adjusted to Income (RAI) calculation. This means that we may charge less than 80% of the MR w</w:t>
      </w:r>
      <w:r w:rsidR="007E58D3">
        <w:rPr>
          <w:rFonts w:ascii="Calibri" w:eastAsia="Cambria" w:hAnsi="Calibri"/>
          <w:color w:val="000000"/>
          <w:position w:val="-2"/>
          <w:szCs w:val="24"/>
          <w:lang w:val="en-US"/>
        </w:rPr>
        <w:t>h</w:t>
      </w:r>
      <w:r w:rsidRPr="00C81E0F">
        <w:rPr>
          <w:rFonts w:ascii="Calibri" w:eastAsia="Cambria" w:hAnsi="Calibri"/>
          <w:color w:val="000000"/>
          <w:position w:val="-2"/>
          <w:szCs w:val="24"/>
          <w:lang w:val="en-US"/>
        </w:rPr>
        <w:t>ere 80% is above 25% of the gross household income. As a result of this</w:t>
      </w:r>
      <w:r w:rsidR="007E58D3">
        <w:rPr>
          <w:rFonts w:ascii="Calibri" w:eastAsia="Cambria" w:hAnsi="Calibri"/>
          <w:color w:val="000000"/>
          <w:position w:val="-2"/>
          <w:szCs w:val="24"/>
          <w:lang w:val="en-US"/>
        </w:rPr>
        <w:t>,</w:t>
      </w:r>
      <w:r w:rsidRPr="00C81E0F">
        <w:rPr>
          <w:rFonts w:ascii="Calibri" w:eastAsia="Cambria" w:hAnsi="Calibri"/>
          <w:color w:val="000000"/>
          <w:position w:val="-2"/>
          <w:szCs w:val="24"/>
          <w:lang w:val="en-US"/>
        </w:rPr>
        <w:t xml:space="preserve"> changes to rent can happen multiple times within a NRAS year associated to change of household members or change to Household Income. Currently the only way to record rent changes is through the TDA leading to multiple TDA’s being lodged for 1 dwelling during 1 NRAS year. This in turn creates confusion as to what gross annual household income to submit when a TDA is submitted due to rent change prior to the actual tenancy anniversary. It would be far simpler to take the rent charged amount and date range of this out of the TDA and into its own section of the Portal. The outcome would be a much simpler and clearer record of rent charged and less administrative work as the TDA’s would only need to be lodged upon commencement of the new ten</w:t>
      </w:r>
      <w:r w:rsidR="007E58D3">
        <w:rPr>
          <w:rFonts w:ascii="Calibri" w:eastAsia="Cambria" w:hAnsi="Calibri"/>
          <w:color w:val="000000"/>
          <w:position w:val="-2"/>
          <w:szCs w:val="24"/>
          <w:lang w:val="en-US"/>
        </w:rPr>
        <w:t>ancy and 12mth anniversary, as we</w:t>
      </w:r>
      <w:r w:rsidRPr="00C81E0F">
        <w:rPr>
          <w:rFonts w:ascii="Calibri" w:eastAsia="Cambria" w:hAnsi="Calibri"/>
          <w:color w:val="000000"/>
          <w:position w:val="-2"/>
          <w:szCs w:val="24"/>
          <w:lang w:val="en-US"/>
        </w:rPr>
        <w:t xml:space="preserve"> believe was the original intention of the TDA.</w:t>
      </w:r>
    </w:p>
    <w:p w:rsidR="00DB6809" w:rsidRPr="005E2C33" w:rsidRDefault="00610B29" w:rsidP="00420D37">
      <w:pPr>
        <w:keepNext/>
        <w:tabs>
          <w:tab w:val="left" w:pos="567"/>
        </w:tabs>
        <w:spacing w:after="120"/>
        <w:jc w:val="center"/>
        <w:rPr>
          <w:rFonts w:ascii="Calibri" w:hAnsi="Calibri"/>
          <w:b/>
          <w:sz w:val="26"/>
          <w:szCs w:val="26"/>
        </w:rPr>
      </w:pPr>
      <w:r>
        <w:rPr>
          <w:rFonts w:ascii="Calibri" w:hAnsi="Calibri"/>
          <w:b/>
          <w:sz w:val="26"/>
          <w:szCs w:val="26"/>
        </w:rPr>
        <w:t>Strengthening documentary requirements</w:t>
      </w:r>
    </w:p>
    <w:p w:rsidR="00A61014" w:rsidRPr="00A61014" w:rsidRDefault="00D14551" w:rsidP="00A61014">
      <w:pPr>
        <w:widowControl w:val="0"/>
        <w:pBdr>
          <w:top w:val="single" w:sz="4" w:space="1" w:color="auto"/>
          <w:left w:val="single" w:sz="4" w:space="4" w:color="auto"/>
          <w:bottom w:val="single" w:sz="4" w:space="1" w:color="auto"/>
          <w:right w:val="single" w:sz="4" w:space="4" w:color="auto"/>
        </w:pBdr>
        <w:suppressAutoHyphens/>
        <w:spacing w:after="120" w:line="220" w:lineRule="atLeast"/>
        <w:textAlignment w:val="center"/>
        <w:rPr>
          <w:rFonts w:ascii="Calibri" w:eastAsia="Cambria" w:hAnsi="Calibri"/>
          <w:color w:val="000000"/>
          <w:position w:val="-2"/>
          <w:szCs w:val="24"/>
          <w:lang w:val="en-GB"/>
        </w:rPr>
      </w:pPr>
      <w:r w:rsidRPr="005E2C33">
        <w:rPr>
          <w:rFonts w:ascii="Calibri" w:eastAsia="Cambria" w:hAnsi="Calibri"/>
          <w:b/>
          <w:color w:val="000000"/>
          <w:position w:val="-2"/>
          <w:szCs w:val="24"/>
          <w:lang w:val="en-GB"/>
        </w:rPr>
        <w:t>Discussion Question 2)</w:t>
      </w:r>
      <w:r w:rsidRPr="005E2C33">
        <w:rPr>
          <w:rFonts w:ascii="Calibri" w:eastAsia="Cambria" w:hAnsi="Calibri"/>
          <w:color w:val="000000"/>
          <w:position w:val="-2"/>
          <w:szCs w:val="24"/>
          <w:lang w:val="en-GB"/>
        </w:rPr>
        <w:t xml:space="preserve"> </w:t>
      </w:r>
      <w:proofErr w:type="gramStart"/>
      <w:r w:rsidR="00A61014" w:rsidRPr="00A61014">
        <w:rPr>
          <w:rFonts w:ascii="Calibri" w:eastAsia="Cambria" w:hAnsi="Calibri"/>
          <w:color w:val="000000"/>
          <w:position w:val="-2"/>
          <w:szCs w:val="24"/>
          <w:lang w:val="en-GB"/>
        </w:rPr>
        <w:t>What</w:t>
      </w:r>
      <w:proofErr w:type="gramEnd"/>
      <w:r w:rsidR="00A61014" w:rsidRPr="00A61014">
        <w:rPr>
          <w:rFonts w:ascii="Calibri" w:eastAsia="Cambria" w:hAnsi="Calibri"/>
          <w:color w:val="000000"/>
          <w:position w:val="-2"/>
          <w:szCs w:val="24"/>
          <w:lang w:val="en-GB"/>
        </w:rPr>
        <w:t xml:space="preserve"> documentation should approved participants be required to provide to the Department to support the information obtained in relation to:</w:t>
      </w:r>
    </w:p>
    <w:p w:rsidR="00A61014" w:rsidRPr="00A61014" w:rsidRDefault="00A61014" w:rsidP="00A61014">
      <w:pPr>
        <w:widowControl w:val="0"/>
        <w:pBdr>
          <w:top w:val="single" w:sz="4" w:space="1" w:color="auto"/>
          <w:left w:val="single" w:sz="4" w:space="4" w:color="auto"/>
          <w:bottom w:val="single" w:sz="4" w:space="1" w:color="auto"/>
          <w:right w:val="single" w:sz="4" w:space="4" w:color="auto"/>
        </w:pBdr>
        <w:suppressAutoHyphens/>
        <w:spacing w:before="0" w:line="220" w:lineRule="atLeast"/>
        <w:textAlignment w:val="center"/>
        <w:rPr>
          <w:rFonts w:ascii="Calibri" w:eastAsia="Cambria" w:hAnsi="Calibri"/>
          <w:color w:val="000000"/>
          <w:position w:val="-2"/>
          <w:szCs w:val="24"/>
          <w:lang w:val="en-GB"/>
        </w:rPr>
      </w:pPr>
      <w:r w:rsidRPr="00A61014">
        <w:rPr>
          <w:rFonts w:ascii="Calibri" w:eastAsia="Cambria" w:hAnsi="Calibri"/>
          <w:color w:val="000000"/>
          <w:position w:val="-2"/>
          <w:szCs w:val="24"/>
          <w:lang w:val="en-GB"/>
        </w:rPr>
        <w:t>•</w:t>
      </w:r>
      <w:r>
        <w:rPr>
          <w:rFonts w:ascii="Calibri" w:eastAsia="Cambria" w:hAnsi="Calibri"/>
          <w:color w:val="000000"/>
          <w:position w:val="-2"/>
          <w:szCs w:val="24"/>
          <w:lang w:val="en-GB"/>
        </w:rPr>
        <w:t xml:space="preserve"> </w:t>
      </w:r>
      <w:proofErr w:type="gramStart"/>
      <w:r w:rsidRPr="00A61014">
        <w:rPr>
          <w:rFonts w:ascii="Calibri" w:eastAsia="Cambria" w:hAnsi="Calibri"/>
          <w:color w:val="000000"/>
          <w:position w:val="-2"/>
          <w:szCs w:val="24"/>
          <w:lang w:val="en-GB"/>
        </w:rPr>
        <w:t>an</w:t>
      </w:r>
      <w:proofErr w:type="gramEnd"/>
      <w:r w:rsidRPr="00A61014">
        <w:rPr>
          <w:rFonts w:ascii="Calibri" w:eastAsia="Cambria" w:hAnsi="Calibri"/>
          <w:color w:val="000000"/>
          <w:position w:val="-2"/>
          <w:szCs w:val="24"/>
          <w:lang w:val="en-GB"/>
        </w:rPr>
        <w:t xml:space="preserve"> allocation (such as market rent valuations); and </w:t>
      </w:r>
    </w:p>
    <w:p w:rsidR="00610B29" w:rsidRDefault="00A61014" w:rsidP="00A61014">
      <w:pPr>
        <w:widowControl w:val="0"/>
        <w:pBdr>
          <w:top w:val="single" w:sz="4" w:space="1" w:color="auto"/>
          <w:left w:val="single" w:sz="4" w:space="4" w:color="auto"/>
          <w:bottom w:val="single" w:sz="4" w:space="1" w:color="auto"/>
          <w:right w:val="single" w:sz="4" w:space="4" w:color="auto"/>
        </w:pBdr>
        <w:suppressAutoHyphens/>
        <w:spacing w:before="0" w:line="220" w:lineRule="atLeast"/>
        <w:textAlignment w:val="center"/>
        <w:rPr>
          <w:rFonts w:ascii="Calibri" w:eastAsia="Cambria" w:hAnsi="Calibri"/>
          <w:color w:val="000000"/>
          <w:position w:val="-2"/>
          <w:szCs w:val="24"/>
          <w:lang w:val="en-GB"/>
        </w:rPr>
      </w:pPr>
      <w:r w:rsidRPr="00A61014">
        <w:rPr>
          <w:rFonts w:ascii="Calibri" w:eastAsia="Cambria" w:hAnsi="Calibri"/>
          <w:color w:val="000000"/>
          <w:position w:val="-2"/>
          <w:szCs w:val="24"/>
          <w:lang w:val="en-GB"/>
        </w:rPr>
        <w:t>•</w:t>
      </w:r>
      <w:r>
        <w:rPr>
          <w:rFonts w:ascii="Calibri" w:eastAsia="Cambria" w:hAnsi="Calibri"/>
          <w:color w:val="000000"/>
          <w:position w:val="-2"/>
          <w:szCs w:val="24"/>
          <w:lang w:val="en-GB"/>
        </w:rPr>
        <w:t xml:space="preserve"> </w:t>
      </w:r>
      <w:proofErr w:type="gramStart"/>
      <w:r w:rsidRPr="00A61014">
        <w:rPr>
          <w:rFonts w:ascii="Calibri" w:eastAsia="Cambria" w:hAnsi="Calibri"/>
          <w:color w:val="000000"/>
          <w:position w:val="-2"/>
          <w:szCs w:val="24"/>
          <w:lang w:val="en-GB"/>
        </w:rPr>
        <w:t>lodgement</w:t>
      </w:r>
      <w:proofErr w:type="gramEnd"/>
      <w:r w:rsidRPr="00A61014">
        <w:rPr>
          <w:rFonts w:ascii="Calibri" w:eastAsia="Cambria" w:hAnsi="Calibri"/>
          <w:color w:val="000000"/>
          <w:position w:val="-2"/>
          <w:szCs w:val="24"/>
          <w:lang w:val="en-GB"/>
        </w:rPr>
        <w:t xml:space="preserve"> of the annual Statement of Compliance (such as rents charged, household income and occupancy records)?</w:t>
      </w:r>
    </w:p>
    <w:p w:rsidR="00DB6809" w:rsidRPr="005E2C33" w:rsidRDefault="00DB6809" w:rsidP="00166904">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lang w:val="en-GB"/>
        </w:rPr>
      </w:pPr>
      <w:r w:rsidRPr="005E2C33">
        <w:rPr>
          <w:rFonts w:ascii="Calibri" w:eastAsia="Cambria" w:hAnsi="Calibri"/>
          <w:color w:val="000000"/>
          <w:position w:val="-2"/>
          <w:szCs w:val="24"/>
          <w:lang w:val="en-GB"/>
        </w:rPr>
        <w:fldChar w:fldCharType="begin">
          <w:ffData>
            <w:name w:val=""/>
            <w:enabled/>
            <w:calcOnExit w:val="0"/>
            <w:statusText w:type="text" w:val="Enter your answer to question 3"/>
            <w:textInput/>
          </w:ffData>
        </w:fldChar>
      </w:r>
      <w:r w:rsidRPr="005E2C33">
        <w:rPr>
          <w:rFonts w:ascii="Calibri" w:eastAsia="Cambria" w:hAnsi="Calibri"/>
          <w:color w:val="000000"/>
          <w:position w:val="-2"/>
          <w:szCs w:val="24"/>
          <w:lang w:val="en-GB"/>
        </w:rPr>
        <w:instrText xml:space="preserve"> FORMTEXT </w:instrText>
      </w:r>
      <w:r w:rsidRPr="005E2C33">
        <w:rPr>
          <w:rFonts w:ascii="Calibri" w:eastAsia="Cambria" w:hAnsi="Calibri"/>
          <w:color w:val="000000"/>
          <w:position w:val="-2"/>
          <w:szCs w:val="24"/>
          <w:lang w:val="en-GB"/>
        </w:rPr>
      </w:r>
      <w:r w:rsidRPr="005E2C33">
        <w:rPr>
          <w:rFonts w:ascii="Calibri" w:eastAsia="Cambria" w:hAnsi="Calibri"/>
          <w:color w:val="000000"/>
          <w:position w:val="-2"/>
          <w:szCs w:val="24"/>
          <w:lang w:val="en-GB"/>
        </w:rPr>
        <w:fldChar w:fldCharType="separate"/>
      </w:r>
      <w:r w:rsidRPr="005E2C33">
        <w:rPr>
          <w:rFonts w:ascii="Calibri" w:eastAsia="Cambria" w:hAnsi="Calibri"/>
          <w:noProof/>
          <w:color w:val="000000"/>
          <w:position w:val="-2"/>
          <w:szCs w:val="24"/>
          <w:lang w:val="en-GB"/>
        </w:rPr>
        <w:t> </w:t>
      </w:r>
      <w:r w:rsidRPr="005E2C33">
        <w:rPr>
          <w:rFonts w:ascii="Calibri" w:eastAsia="Cambria" w:hAnsi="Calibri"/>
          <w:noProof/>
          <w:color w:val="000000"/>
          <w:position w:val="-2"/>
          <w:szCs w:val="24"/>
          <w:lang w:val="en-GB"/>
        </w:rPr>
        <w:t> </w:t>
      </w:r>
      <w:r w:rsidRPr="005E2C33">
        <w:rPr>
          <w:rFonts w:ascii="Calibri" w:eastAsia="Cambria" w:hAnsi="Calibri"/>
          <w:noProof/>
          <w:color w:val="000000"/>
          <w:position w:val="-2"/>
          <w:szCs w:val="24"/>
          <w:lang w:val="en-GB"/>
        </w:rPr>
        <w:t> </w:t>
      </w:r>
      <w:r w:rsidRPr="005E2C33">
        <w:rPr>
          <w:rFonts w:ascii="Calibri" w:eastAsia="Cambria" w:hAnsi="Calibri"/>
          <w:noProof/>
          <w:color w:val="000000"/>
          <w:position w:val="-2"/>
          <w:szCs w:val="24"/>
          <w:lang w:val="en-GB"/>
        </w:rPr>
        <w:t> </w:t>
      </w:r>
      <w:r w:rsidRPr="005E2C33">
        <w:rPr>
          <w:rFonts w:ascii="Calibri" w:eastAsia="Cambria" w:hAnsi="Calibri"/>
          <w:noProof/>
          <w:color w:val="000000"/>
          <w:position w:val="-2"/>
          <w:szCs w:val="24"/>
          <w:lang w:val="en-GB"/>
        </w:rPr>
        <w:t> </w:t>
      </w:r>
      <w:r w:rsidRPr="005E2C33">
        <w:rPr>
          <w:rFonts w:ascii="Calibri" w:eastAsia="Cambria" w:hAnsi="Calibri"/>
          <w:color w:val="000000"/>
          <w:position w:val="-2"/>
          <w:szCs w:val="24"/>
          <w:lang w:val="en-GB"/>
        </w:rPr>
        <w:fldChar w:fldCharType="end"/>
      </w:r>
    </w:p>
    <w:p w:rsidR="00A61014" w:rsidRPr="005E2C33" w:rsidRDefault="00A61014" w:rsidP="00A61014">
      <w:pPr>
        <w:keepNext/>
        <w:tabs>
          <w:tab w:val="left" w:pos="567"/>
        </w:tabs>
        <w:spacing w:after="120"/>
        <w:jc w:val="center"/>
        <w:rPr>
          <w:rFonts w:ascii="Calibri" w:hAnsi="Calibri"/>
          <w:b/>
          <w:sz w:val="26"/>
          <w:szCs w:val="26"/>
        </w:rPr>
      </w:pPr>
      <w:r>
        <w:rPr>
          <w:rFonts w:ascii="Calibri" w:hAnsi="Calibri"/>
          <w:b/>
          <w:sz w:val="26"/>
          <w:szCs w:val="26"/>
        </w:rPr>
        <w:lastRenderedPageBreak/>
        <w:t>Introducing discretion to correct errors</w:t>
      </w:r>
    </w:p>
    <w:p w:rsidR="00A61014" w:rsidRDefault="00A61014" w:rsidP="00A61014">
      <w:pPr>
        <w:widowControl w:val="0"/>
        <w:pBdr>
          <w:top w:val="single" w:sz="4" w:space="1" w:color="auto"/>
          <w:left w:val="single" w:sz="4" w:space="4" w:color="auto"/>
          <w:bottom w:val="single" w:sz="4" w:space="1" w:color="auto"/>
          <w:right w:val="single" w:sz="4" w:space="4" w:color="auto"/>
        </w:pBdr>
        <w:suppressAutoHyphens/>
        <w:spacing w:after="120" w:line="220" w:lineRule="atLeast"/>
        <w:textAlignment w:val="center"/>
        <w:rPr>
          <w:rFonts w:ascii="Calibri" w:eastAsia="Cambria" w:hAnsi="Calibri"/>
          <w:color w:val="000000"/>
          <w:position w:val="-2"/>
          <w:szCs w:val="24"/>
          <w:lang w:val="en-GB"/>
        </w:rPr>
      </w:pPr>
      <w:r w:rsidRPr="005E2C33">
        <w:rPr>
          <w:rFonts w:ascii="Calibri" w:eastAsia="Cambria" w:hAnsi="Calibri"/>
          <w:b/>
          <w:color w:val="000000"/>
          <w:position w:val="-2"/>
          <w:szCs w:val="24"/>
          <w:lang w:val="en-GB"/>
        </w:rPr>
        <w:t xml:space="preserve">Discussion Question </w:t>
      </w:r>
      <w:r>
        <w:rPr>
          <w:rFonts w:ascii="Calibri" w:eastAsia="Cambria" w:hAnsi="Calibri"/>
          <w:b/>
          <w:color w:val="000000"/>
          <w:position w:val="-2"/>
          <w:szCs w:val="24"/>
          <w:lang w:val="en-GB"/>
        </w:rPr>
        <w:t>3</w:t>
      </w:r>
      <w:r w:rsidRPr="005E2C33">
        <w:rPr>
          <w:rFonts w:ascii="Calibri" w:eastAsia="Cambria" w:hAnsi="Calibri"/>
          <w:b/>
          <w:color w:val="000000"/>
          <w:position w:val="-2"/>
          <w:szCs w:val="24"/>
          <w:lang w:val="en-GB"/>
        </w:rPr>
        <w:t>)</w:t>
      </w:r>
      <w:r w:rsidRPr="005E2C33">
        <w:rPr>
          <w:rFonts w:ascii="Calibri" w:eastAsia="Cambria" w:hAnsi="Calibri"/>
          <w:color w:val="000000"/>
          <w:position w:val="-2"/>
          <w:szCs w:val="24"/>
          <w:lang w:val="en-GB"/>
        </w:rPr>
        <w:t xml:space="preserve"> </w:t>
      </w:r>
      <w:r>
        <w:rPr>
          <w:rFonts w:ascii="Calibri" w:hAnsi="Calibri" w:cs="Arial"/>
          <w:color w:val="000000"/>
        </w:rPr>
        <w:t>A</w:t>
      </w:r>
      <w:r w:rsidRPr="00FD6F49">
        <w:rPr>
          <w:rFonts w:ascii="Calibri" w:hAnsi="Calibri" w:cs="Arial"/>
          <w:color w:val="000000"/>
        </w:rPr>
        <w:t>re the</w:t>
      </w:r>
      <w:r>
        <w:rPr>
          <w:rFonts w:ascii="Calibri" w:hAnsi="Calibri" w:cs="Arial"/>
          <w:color w:val="000000"/>
        </w:rPr>
        <w:t>re</w:t>
      </w:r>
      <w:r w:rsidRPr="00FD6F49">
        <w:rPr>
          <w:rFonts w:ascii="Calibri" w:hAnsi="Calibri" w:cs="Arial"/>
          <w:color w:val="000000"/>
        </w:rPr>
        <w:t xml:space="preserve"> circumstances under which the Department should consider allocating a dwelling even when the applicant has not met all of the conditions of reservation?</w:t>
      </w:r>
      <w:r>
        <w:rPr>
          <w:rFonts w:ascii="Calibri" w:hAnsi="Calibri" w:cs="Arial"/>
          <w:b/>
          <w:color w:val="000000"/>
        </w:rPr>
        <w:t xml:space="preserve">  </w:t>
      </w:r>
    </w:p>
    <w:p w:rsidR="00A61014" w:rsidRPr="005E2C33" w:rsidRDefault="00C81E0F" w:rsidP="00A61014">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lang w:val="en-GB"/>
        </w:rPr>
      </w:pPr>
      <w:r>
        <w:rPr>
          <w:rFonts w:ascii="Calibri" w:eastAsia="Cambria" w:hAnsi="Calibri"/>
          <w:color w:val="000000"/>
          <w:position w:val="-2"/>
          <w:szCs w:val="24"/>
          <w:lang w:val="en-GB"/>
        </w:rPr>
        <w:t>Predominantly, delivery delays on the part of developers (which may include council issues) may cause target dates to be not met.  Some flexibility would need to be applied in such cases.</w:t>
      </w:r>
      <w:r w:rsidR="006C6D49">
        <w:rPr>
          <w:rFonts w:ascii="Calibri" w:eastAsia="Cambria" w:hAnsi="Calibri"/>
          <w:color w:val="000000"/>
          <w:position w:val="-2"/>
          <w:szCs w:val="24"/>
          <w:lang w:val="en-GB"/>
        </w:rPr>
        <w:t xml:space="preserve">  Further, there are sometimes minor changes to address or bedroom size which we believe should not cause a withholding of allocation.</w:t>
      </w:r>
    </w:p>
    <w:p w:rsidR="00A61014" w:rsidRDefault="00A61014" w:rsidP="00420D37">
      <w:pPr>
        <w:pStyle w:val="BodyNormal"/>
        <w:numPr>
          <w:ilvl w:val="0"/>
          <w:numId w:val="0"/>
        </w:numPr>
        <w:spacing w:after="0"/>
        <w:jc w:val="center"/>
        <w:rPr>
          <w:rFonts w:ascii="Calibri" w:hAnsi="Calibri" w:cs="Times New Roman"/>
          <w:b/>
          <w:snapToGrid/>
          <w:sz w:val="26"/>
          <w:szCs w:val="26"/>
        </w:rPr>
      </w:pPr>
    </w:p>
    <w:p w:rsidR="00A61014" w:rsidRDefault="00A61014" w:rsidP="00A61014">
      <w:pPr>
        <w:widowControl w:val="0"/>
        <w:pBdr>
          <w:top w:val="single" w:sz="4" w:space="1" w:color="auto"/>
          <w:left w:val="single" w:sz="4" w:space="4" w:color="auto"/>
          <w:bottom w:val="single" w:sz="4" w:space="1" w:color="auto"/>
          <w:right w:val="single" w:sz="4" w:space="4" w:color="auto"/>
        </w:pBdr>
        <w:suppressAutoHyphens/>
        <w:spacing w:after="120" w:line="220" w:lineRule="atLeast"/>
        <w:textAlignment w:val="center"/>
        <w:rPr>
          <w:rFonts w:ascii="Calibri" w:eastAsia="Cambria" w:hAnsi="Calibri"/>
          <w:color w:val="000000"/>
          <w:position w:val="-2"/>
          <w:szCs w:val="24"/>
          <w:lang w:val="en-GB"/>
        </w:rPr>
      </w:pPr>
      <w:r w:rsidRPr="005E2C33">
        <w:rPr>
          <w:rFonts w:ascii="Calibri" w:eastAsia="Cambria" w:hAnsi="Calibri"/>
          <w:b/>
          <w:color w:val="000000"/>
          <w:position w:val="-2"/>
          <w:szCs w:val="24"/>
          <w:lang w:val="en-GB"/>
        </w:rPr>
        <w:t xml:space="preserve">Discussion Question </w:t>
      </w:r>
      <w:r>
        <w:rPr>
          <w:rFonts w:ascii="Calibri" w:eastAsia="Cambria" w:hAnsi="Calibri"/>
          <w:b/>
          <w:color w:val="000000"/>
          <w:position w:val="-2"/>
          <w:szCs w:val="24"/>
          <w:lang w:val="en-GB"/>
        </w:rPr>
        <w:t>4</w:t>
      </w:r>
      <w:r w:rsidRPr="005E2C33">
        <w:rPr>
          <w:rFonts w:ascii="Calibri" w:eastAsia="Cambria" w:hAnsi="Calibri"/>
          <w:b/>
          <w:color w:val="000000"/>
          <w:position w:val="-2"/>
          <w:szCs w:val="24"/>
          <w:lang w:val="en-GB"/>
        </w:rPr>
        <w:t>)</w:t>
      </w:r>
      <w:r w:rsidRPr="005E2C33">
        <w:rPr>
          <w:rFonts w:ascii="Calibri" w:eastAsia="Cambria" w:hAnsi="Calibri"/>
          <w:color w:val="000000"/>
          <w:position w:val="-2"/>
          <w:szCs w:val="24"/>
          <w:lang w:val="en-GB"/>
        </w:rPr>
        <w:t xml:space="preserve"> </w:t>
      </w:r>
      <w:r w:rsidRPr="00356C8A">
        <w:rPr>
          <w:rFonts w:ascii="Calibri" w:hAnsi="Calibri" w:cs="Arial"/>
          <w:color w:val="000000"/>
        </w:rPr>
        <w:t xml:space="preserve">Under which </w:t>
      </w:r>
      <w:r w:rsidRPr="00AD1330">
        <w:rPr>
          <w:rFonts w:ascii="Calibri" w:hAnsi="Calibri" w:cs="Arial"/>
          <w:color w:val="000000"/>
        </w:rPr>
        <w:t xml:space="preserve">circumstances </w:t>
      </w:r>
      <w:r>
        <w:rPr>
          <w:rFonts w:ascii="Calibri" w:hAnsi="Calibri" w:cs="Arial"/>
          <w:color w:val="000000"/>
        </w:rPr>
        <w:t xml:space="preserve">should </w:t>
      </w:r>
      <w:r w:rsidRPr="00AD1330">
        <w:rPr>
          <w:rFonts w:ascii="Calibri" w:hAnsi="Calibri" w:cs="Arial"/>
          <w:color w:val="000000"/>
        </w:rPr>
        <w:t xml:space="preserve">the Department consider issuing an incentive </w:t>
      </w:r>
      <w:r>
        <w:rPr>
          <w:rFonts w:ascii="Calibri" w:hAnsi="Calibri" w:cs="Arial"/>
          <w:color w:val="000000"/>
        </w:rPr>
        <w:t>even when the approved participant has not met all of the conditions of allocation</w:t>
      </w:r>
      <w:r w:rsidRPr="00AD1330">
        <w:rPr>
          <w:rFonts w:ascii="Calibri" w:hAnsi="Calibri" w:cs="Arial"/>
          <w:color w:val="000000"/>
        </w:rPr>
        <w:t xml:space="preserve"> </w:t>
      </w:r>
      <w:r>
        <w:rPr>
          <w:rFonts w:ascii="Calibri" w:hAnsi="Calibri" w:cs="Arial"/>
          <w:color w:val="000000"/>
        </w:rPr>
        <w:t xml:space="preserve">but issuing an incentive is still </w:t>
      </w:r>
      <w:r w:rsidRPr="00AD1330">
        <w:rPr>
          <w:rFonts w:ascii="Calibri" w:hAnsi="Calibri" w:cs="Arial"/>
          <w:color w:val="000000"/>
        </w:rPr>
        <w:t>in the best interests of the Scheme?</w:t>
      </w:r>
    </w:p>
    <w:p w:rsidR="00C81E0F" w:rsidRPr="000D42A5" w:rsidRDefault="00A61014"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noProof/>
          <w:color w:val="000000"/>
          <w:position w:val="-2"/>
          <w:szCs w:val="24"/>
          <w:lang w:val="en-US"/>
        </w:rPr>
      </w:pPr>
      <w:r w:rsidRPr="000D42A5">
        <w:rPr>
          <w:rFonts w:ascii="Calibri" w:eastAsia="Cambria" w:hAnsi="Calibri"/>
          <w:color w:val="000000"/>
          <w:position w:val="-2"/>
          <w:szCs w:val="24"/>
          <w:lang w:val="en-GB"/>
        </w:rPr>
        <w:fldChar w:fldCharType="begin">
          <w:ffData>
            <w:name w:val=""/>
            <w:enabled/>
            <w:calcOnExit w:val="0"/>
            <w:statusText w:type="text" w:val="Enter your answer to question 3"/>
            <w:textInput/>
          </w:ffData>
        </w:fldChar>
      </w:r>
      <w:r w:rsidRPr="000D42A5">
        <w:rPr>
          <w:rFonts w:ascii="Calibri" w:eastAsia="Cambria" w:hAnsi="Calibri"/>
          <w:color w:val="000000"/>
          <w:position w:val="-2"/>
          <w:szCs w:val="24"/>
          <w:lang w:val="en-GB"/>
        </w:rPr>
        <w:instrText xml:space="preserve"> FORMTEXT </w:instrText>
      </w:r>
      <w:r w:rsidRPr="000D42A5">
        <w:rPr>
          <w:rFonts w:ascii="Calibri" w:eastAsia="Cambria" w:hAnsi="Calibri"/>
          <w:color w:val="000000"/>
          <w:position w:val="-2"/>
          <w:szCs w:val="24"/>
          <w:lang w:val="en-GB"/>
        </w:rPr>
      </w:r>
      <w:r w:rsidRPr="000D42A5">
        <w:rPr>
          <w:rFonts w:ascii="Calibri" w:eastAsia="Cambria" w:hAnsi="Calibri"/>
          <w:color w:val="000000"/>
          <w:position w:val="-2"/>
          <w:szCs w:val="24"/>
          <w:lang w:val="en-GB"/>
        </w:rPr>
        <w:fldChar w:fldCharType="separate"/>
      </w:r>
      <w:r w:rsidRPr="000D42A5">
        <w:rPr>
          <w:rFonts w:ascii="Calibri" w:eastAsia="Cambria" w:hAnsi="Calibri"/>
          <w:noProof/>
          <w:color w:val="000000"/>
          <w:position w:val="-2"/>
          <w:szCs w:val="24"/>
          <w:lang w:val="en-GB"/>
        </w:rPr>
        <w:t> </w:t>
      </w:r>
      <w:r w:rsidR="00C81E0F" w:rsidRPr="000D42A5">
        <w:rPr>
          <w:rFonts w:asciiTheme="minorHAnsi" w:eastAsiaTheme="minorHAnsi" w:hAnsiTheme="minorHAnsi" w:cstheme="minorBidi"/>
          <w:sz w:val="22"/>
          <w:szCs w:val="22"/>
          <w:lang w:val="en-US"/>
        </w:rPr>
        <w:t xml:space="preserve"> </w:t>
      </w:r>
      <w:r w:rsidR="00C81E0F" w:rsidRPr="000D42A5">
        <w:rPr>
          <w:rFonts w:ascii="Calibri" w:eastAsia="Cambria" w:hAnsi="Calibri"/>
          <w:noProof/>
          <w:color w:val="000000"/>
          <w:position w:val="-2"/>
          <w:szCs w:val="24"/>
          <w:lang w:val="en-US"/>
        </w:rPr>
        <w:t xml:space="preserve">Errors in overcharging – ability to rectify by backdating rent given the objective is to “b) reduce rental costs for low and moderate income households.” </w:t>
      </w:r>
      <w:r w:rsidR="00C81E0F" w:rsidRPr="000D42A5">
        <w:rPr>
          <w:rFonts w:ascii="Calibri" w:eastAsia="Cambria" w:hAnsi="Calibri"/>
          <w:i/>
          <w:noProof/>
          <w:color w:val="000000"/>
          <w:position w:val="-2"/>
          <w:szCs w:val="24"/>
          <w:lang w:val="en-US"/>
        </w:rPr>
        <w:t>(Improving the National Rental Affordability Scheme Nov 2016 Consultation Paper pg ii)</w:t>
      </w:r>
      <w:r w:rsidR="00C81E0F" w:rsidRPr="000D42A5">
        <w:rPr>
          <w:rFonts w:ascii="Calibri" w:eastAsia="Cambria" w:hAnsi="Calibri"/>
          <w:noProof/>
          <w:color w:val="000000"/>
          <w:position w:val="-2"/>
          <w:szCs w:val="24"/>
          <w:lang w:val="en-US"/>
        </w:rPr>
        <w:t>. Should an error be made in the amount charged, generally a human error rather than an intent to overcharge, backdating is not accepted as a means of rectifying this error. The outcome of this is in direct contrast of the objective of NRAS as stated above as it disincentifies refunding of overcharge periods to tenants.</w:t>
      </w:r>
    </w:p>
    <w:p w:rsidR="00A61014" w:rsidRPr="005E2C33"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lang w:val="en-GB"/>
        </w:rPr>
      </w:pPr>
      <w:r w:rsidRPr="000D42A5">
        <w:rPr>
          <w:rFonts w:ascii="Calibri" w:eastAsia="Cambria" w:hAnsi="Calibri"/>
          <w:noProof/>
          <w:color w:val="000000"/>
          <w:position w:val="-2"/>
          <w:szCs w:val="24"/>
          <w:lang w:val="en-US"/>
        </w:rPr>
        <w:t>Further to this the regulations state (Regulation (5A) for subregulation (5)) that the MRV must be supplied within a period of 13 weeks either side of the actual due date. Outcome is that if the valuation is a reduced amount and received within the regulations timelines but after the dwelling anniversary in not allowing backdating could lead to a period of non-compliance for charging over 80% of MRV.</w:t>
      </w:r>
      <w:r w:rsidR="00A61014" w:rsidRPr="000D42A5">
        <w:rPr>
          <w:rFonts w:ascii="Calibri" w:eastAsia="Cambria" w:hAnsi="Calibri"/>
          <w:noProof/>
          <w:color w:val="000000"/>
          <w:position w:val="-2"/>
          <w:szCs w:val="24"/>
          <w:lang w:val="en-GB"/>
        </w:rPr>
        <w:t> </w:t>
      </w:r>
      <w:r w:rsidR="00A61014" w:rsidRPr="000D42A5">
        <w:rPr>
          <w:rFonts w:ascii="Calibri" w:eastAsia="Cambria" w:hAnsi="Calibri"/>
          <w:noProof/>
          <w:color w:val="000000"/>
          <w:position w:val="-2"/>
          <w:szCs w:val="24"/>
          <w:lang w:val="en-GB"/>
        </w:rPr>
        <w:t> </w:t>
      </w:r>
      <w:r w:rsidR="00A61014" w:rsidRPr="000D42A5">
        <w:rPr>
          <w:rFonts w:ascii="Calibri" w:eastAsia="Cambria" w:hAnsi="Calibri"/>
          <w:noProof/>
          <w:color w:val="000000"/>
          <w:position w:val="-2"/>
          <w:szCs w:val="24"/>
          <w:lang w:val="en-GB"/>
        </w:rPr>
        <w:t> </w:t>
      </w:r>
      <w:r w:rsidR="00A61014" w:rsidRPr="000D42A5">
        <w:rPr>
          <w:rFonts w:ascii="Calibri" w:eastAsia="Cambria" w:hAnsi="Calibri"/>
          <w:noProof/>
          <w:color w:val="000000"/>
          <w:position w:val="-2"/>
          <w:szCs w:val="24"/>
          <w:lang w:val="en-GB"/>
        </w:rPr>
        <w:t> </w:t>
      </w:r>
      <w:r w:rsidR="00A61014" w:rsidRPr="000D42A5">
        <w:rPr>
          <w:rFonts w:ascii="Calibri" w:eastAsia="Cambria" w:hAnsi="Calibri"/>
          <w:color w:val="000000"/>
          <w:position w:val="-2"/>
          <w:szCs w:val="24"/>
          <w:lang w:val="en-GB"/>
        </w:rPr>
        <w:fldChar w:fldCharType="end"/>
      </w:r>
      <w:bookmarkStart w:id="1" w:name="_GoBack"/>
      <w:bookmarkEnd w:id="1"/>
    </w:p>
    <w:p w:rsidR="00A61014" w:rsidRDefault="00A61014" w:rsidP="00420D37">
      <w:pPr>
        <w:pStyle w:val="BodyNormal"/>
        <w:numPr>
          <w:ilvl w:val="0"/>
          <w:numId w:val="0"/>
        </w:numPr>
        <w:spacing w:after="0"/>
        <w:jc w:val="center"/>
        <w:rPr>
          <w:rFonts w:ascii="Calibri" w:hAnsi="Calibri" w:cs="Times New Roman"/>
          <w:b/>
          <w:snapToGrid/>
          <w:sz w:val="26"/>
          <w:szCs w:val="26"/>
        </w:rPr>
      </w:pPr>
    </w:p>
    <w:p w:rsidR="00A61014" w:rsidRDefault="00A61014">
      <w:pPr>
        <w:spacing w:before="0" w:after="200" w:line="276" w:lineRule="auto"/>
        <w:rPr>
          <w:rFonts w:ascii="Calibri" w:hAnsi="Calibri"/>
          <w:b/>
          <w:sz w:val="26"/>
          <w:szCs w:val="26"/>
        </w:rPr>
      </w:pPr>
      <w:r>
        <w:rPr>
          <w:rFonts w:ascii="Calibri" w:hAnsi="Calibri"/>
          <w:b/>
          <w:sz w:val="26"/>
          <w:szCs w:val="26"/>
        </w:rPr>
        <w:br w:type="page"/>
      </w:r>
    </w:p>
    <w:p w:rsidR="000554C2" w:rsidRDefault="000554C2" w:rsidP="00420D37">
      <w:pPr>
        <w:pStyle w:val="BodyNormal"/>
        <w:numPr>
          <w:ilvl w:val="0"/>
          <w:numId w:val="0"/>
        </w:numPr>
        <w:spacing w:after="0"/>
        <w:jc w:val="center"/>
        <w:rPr>
          <w:rFonts w:ascii="Calibri" w:hAnsi="Calibri" w:cs="Times New Roman"/>
          <w:b/>
          <w:snapToGrid/>
          <w:sz w:val="26"/>
          <w:szCs w:val="26"/>
        </w:rPr>
      </w:pPr>
    </w:p>
    <w:p w:rsidR="00420D37" w:rsidRPr="005E2C33" w:rsidRDefault="00A61014" w:rsidP="00420D37">
      <w:pPr>
        <w:pStyle w:val="BodyNormal"/>
        <w:numPr>
          <w:ilvl w:val="0"/>
          <w:numId w:val="0"/>
        </w:numPr>
        <w:spacing w:after="0"/>
        <w:jc w:val="center"/>
        <w:rPr>
          <w:rFonts w:ascii="Calibri" w:eastAsia="Cambria" w:hAnsi="Calibri" w:cs="Times New Roman"/>
          <w:highlight w:val="yellow"/>
        </w:rPr>
      </w:pPr>
      <w:r>
        <w:rPr>
          <w:rFonts w:ascii="Calibri" w:hAnsi="Calibri" w:cs="Times New Roman"/>
          <w:b/>
          <w:snapToGrid/>
          <w:sz w:val="26"/>
          <w:szCs w:val="26"/>
        </w:rPr>
        <w:t>Improved transparency for investors</w:t>
      </w:r>
    </w:p>
    <w:p w:rsidR="00420D37" w:rsidRPr="005E2C33" w:rsidRDefault="00420D37" w:rsidP="00611AA5">
      <w:pPr>
        <w:pStyle w:val="BodyNormal"/>
        <w:numPr>
          <w:ilvl w:val="0"/>
          <w:numId w:val="0"/>
        </w:numPr>
        <w:spacing w:after="0"/>
        <w:rPr>
          <w:rFonts w:ascii="Calibri" w:eastAsia="Cambria" w:hAnsi="Calibri" w:cs="Times New Roman"/>
          <w:highlight w:val="yellow"/>
        </w:rPr>
      </w:pPr>
    </w:p>
    <w:p w:rsidR="00610B29" w:rsidRDefault="00420D37" w:rsidP="00610B29">
      <w:pPr>
        <w:widowControl w:val="0"/>
        <w:pBdr>
          <w:top w:val="single" w:sz="4" w:space="1" w:color="auto"/>
          <w:left w:val="single" w:sz="4" w:space="4" w:color="auto"/>
          <w:bottom w:val="single" w:sz="4" w:space="1" w:color="auto"/>
          <w:right w:val="single" w:sz="4" w:space="4" w:color="auto"/>
        </w:pBdr>
        <w:suppressAutoHyphens/>
        <w:spacing w:before="0" w:line="220" w:lineRule="atLeast"/>
        <w:textAlignment w:val="center"/>
        <w:rPr>
          <w:rFonts w:ascii="Calibri" w:eastAsia="Cambria" w:hAnsi="Calibri"/>
          <w:color w:val="000000"/>
          <w:position w:val="-2"/>
          <w:szCs w:val="24"/>
          <w:lang w:val="en-GB"/>
        </w:rPr>
      </w:pPr>
      <w:r w:rsidRPr="005E2C33">
        <w:rPr>
          <w:rFonts w:ascii="Calibri" w:eastAsia="Cambria" w:hAnsi="Calibri"/>
          <w:b/>
          <w:color w:val="000000"/>
          <w:position w:val="-2"/>
          <w:szCs w:val="24"/>
          <w:lang w:val="en-GB"/>
        </w:rPr>
        <w:t>Discussion Question 5)</w:t>
      </w:r>
      <w:r w:rsidRPr="005E2C33">
        <w:rPr>
          <w:rFonts w:ascii="Calibri" w:eastAsia="Cambria" w:hAnsi="Calibri"/>
          <w:color w:val="000000"/>
          <w:position w:val="-2"/>
          <w:szCs w:val="24"/>
          <w:lang w:val="en-GB"/>
        </w:rPr>
        <w:t xml:space="preserve"> </w:t>
      </w:r>
      <w:r w:rsidR="00A61014" w:rsidRPr="00A61014">
        <w:rPr>
          <w:rFonts w:ascii="Calibri" w:hAnsi="Calibri"/>
          <w:spacing w:val="4"/>
          <w:szCs w:val="24"/>
          <w:lang w:eastAsia="en-AU"/>
        </w:rPr>
        <w:t>While there is no legal relationship between the Department and NRAS investors, how might the Department keep investors informed of the status of their dwelling and related incentive?</w:t>
      </w:r>
      <w:r w:rsidRPr="005E2C33">
        <w:rPr>
          <w:rFonts w:ascii="Calibri" w:hAnsi="Calibri"/>
        </w:rPr>
        <w:br/>
      </w:r>
    </w:p>
    <w:p w:rsidR="0030274C" w:rsidRPr="005E2C33" w:rsidRDefault="0030274C" w:rsidP="00610B29">
      <w:pPr>
        <w:widowControl w:val="0"/>
        <w:pBdr>
          <w:top w:val="single" w:sz="4" w:space="1" w:color="auto"/>
          <w:left w:val="single" w:sz="4" w:space="4" w:color="auto"/>
          <w:bottom w:val="single" w:sz="4" w:space="1" w:color="auto"/>
          <w:right w:val="single" w:sz="4" w:space="4" w:color="auto"/>
        </w:pBdr>
        <w:suppressAutoHyphens/>
        <w:spacing w:before="0" w:line="220" w:lineRule="atLeast"/>
        <w:textAlignment w:val="center"/>
        <w:rPr>
          <w:rFonts w:ascii="Calibri" w:eastAsia="Cambria" w:hAnsi="Calibri"/>
          <w:color w:val="000000"/>
          <w:position w:val="-2"/>
          <w:szCs w:val="24"/>
          <w:lang w:val="en-GB"/>
        </w:rPr>
      </w:pPr>
      <w:r w:rsidRPr="005E2C33">
        <w:rPr>
          <w:rFonts w:ascii="Calibri" w:eastAsia="Cambria" w:hAnsi="Calibri"/>
          <w:color w:val="000000"/>
          <w:position w:val="-2"/>
          <w:szCs w:val="24"/>
          <w:lang w:val="en-GB"/>
        </w:rPr>
        <w:t xml:space="preserve"> </w:t>
      </w:r>
      <w:r w:rsidR="00C81E0F">
        <w:rPr>
          <w:rFonts w:ascii="Calibri" w:eastAsia="Cambria" w:hAnsi="Calibri"/>
          <w:color w:val="000000"/>
          <w:position w:val="-2"/>
          <w:szCs w:val="24"/>
          <w:lang w:val="en-GB"/>
        </w:rPr>
        <w:t>An on-line inquiry facility where investors could place a request and gain a response via email.</w:t>
      </w:r>
    </w:p>
    <w:p w:rsidR="00682C25" w:rsidRPr="005E2C33" w:rsidRDefault="00682C25" w:rsidP="0092069F">
      <w:pPr>
        <w:pStyle w:val="BodyNormal"/>
        <w:numPr>
          <w:ilvl w:val="0"/>
          <w:numId w:val="0"/>
        </w:numPr>
        <w:spacing w:after="0"/>
        <w:jc w:val="center"/>
        <w:rPr>
          <w:rFonts w:ascii="Calibri" w:eastAsia="Cambria" w:hAnsi="Calibri" w:cs="Times New Roman"/>
          <w:highlight w:val="yellow"/>
        </w:rPr>
      </w:pPr>
    </w:p>
    <w:p w:rsidR="00420D37" w:rsidRPr="005E2C33" w:rsidRDefault="00A61014" w:rsidP="00A61014">
      <w:pPr>
        <w:spacing w:before="0" w:after="200" w:line="276" w:lineRule="auto"/>
        <w:jc w:val="center"/>
        <w:rPr>
          <w:rFonts w:ascii="Calibri" w:hAnsi="Calibri"/>
          <w:b/>
          <w:sz w:val="26"/>
          <w:szCs w:val="26"/>
        </w:rPr>
      </w:pPr>
      <w:r>
        <w:rPr>
          <w:rFonts w:ascii="Calibri" w:hAnsi="Calibri"/>
          <w:b/>
          <w:sz w:val="26"/>
          <w:szCs w:val="26"/>
        </w:rPr>
        <w:t>Major non-compliance</w:t>
      </w:r>
    </w:p>
    <w:p w:rsidR="00A61014" w:rsidRDefault="00A61014" w:rsidP="00A61014">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hAnsi="Calibri" w:cs="Arial"/>
          <w:color w:val="000000"/>
        </w:rPr>
      </w:pPr>
      <w:r w:rsidRPr="00A61014">
        <w:rPr>
          <w:rFonts w:ascii="Calibri" w:hAnsi="Calibri" w:cs="Arial"/>
          <w:b/>
          <w:color w:val="000000"/>
        </w:rPr>
        <w:t>Discussion Question 6)</w:t>
      </w:r>
      <w:r w:rsidR="001803C8">
        <w:rPr>
          <w:rFonts w:ascii="Calibri" w:hAnsi="Calibri" w:cs="Arial"/>
          <w:color w:val="000000"/>
        </w:rPr>
        <w:t xml:space="preserve"> </w:t>
      </w:r>
      <w:proofErr w:type="gramStart"/>
      <w:r w:rsidRPr="00A61014">
        <w:rPr>
          <w:rFonts w:ascii="Calibri" w:hAnsi="Calibri" w:cs="Arial"/>
          <w:color w:val="000000"/>
        </w:rPr>
        <w:t>Under</w:t>
      </w:r>
      <w:proofErr w:type="gramEnd"/>
      <w:r w:rsidRPr="00A61014">
        <w:rPr>
          <w:rFonts w:ascii="Calibri" w:hAnsi="Calibri" w:cs="Arial"/>
          <w:color w:val="000000"/>
        </w:rPr>
        <w:t xml:space="preserve"> what circumstances should the Secretary consider revoking an NRAS allocation?</w:t>
      </w:r>
    </w:p>
    <w:p w:rsidR="00A61014" w:rsidRPr="005E2C33" w:rsidRDefault="00A61014" w:rsidP="00A61014">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lang w:val="en-GB"/>
        </w:rPr>
      </w:pPr>
      <w:r w:rsidRPr="005E2C33">
        <w:rPr>
          <w:rFonts w:ascii="Calibri" w:eastAsia="Cambria" w:hAnsi="Calibri"/>
          <w:color w:val="000000"/>
          <w:position w:val="-2"/>
          <w:szCs w:val="24"/>
          <w:lang w:val="en-GB"/>
        </w:rPr>
        <w:fldChar w:fldCharType="begin">
          <w:ffData>
            <w:name w:val=""/>
            <w:enabled/>
            <w:calcOnExit w:val="0"/>
            <w:statusText w:type="text" w:val="Enter your answer to question 3"/>
            <w:textInput/>
          </w:ffData>
        </w:fldChar>
      </w:r>
      <w:r w:rsidRPr="005E2C33">
        <w:rPr>
          <w:rFonts w:ascii="Calibri" w:eastAsia="Cambria" w:hAnsi="Calibri"/>
          <w:color w:val="000000"/>
          <w:position w:val="-2"/>
          <w:szCs w:val="24"/>
          <w:lang w:val="en-GB"/>
        </w:rPr>
        <w:instrText xml:space="preserve"> FORMTEXT </w:instrText>
      </w:r>
      <w:r w:rsidRPr="005E2C33">
        <w:rPr>
          <w:rFonts w:ascii="Calibri" w:eastAsia="Cambria" w:hAnsi="Calibri"/>
          <w:color w:val="000000"/>
          <w:position w:val="-2"/>
          <w:szCs w:val="24"/>
          <w:lang w:val="en-GB"/>
        </w:rPr>
      </w:r>
      <w:r w:rsidRPr="005E2C33">
        <w:rPr>
          <w:rFonts w:ascii="Calibri" w:eastAsia="Cambria" w:hAnsi="Calibri"/>
          <w:color w:val="000000"/>
          <w:position w:val="-2"/>
          <w:szCs w:val="24"/>
          <w:lang w:val="en-GB"/>
        </w:rPr>
        <w:fldChar w:fldCharType="separate"/>
      </w:r>
      <w:r w:rsidRPr="005E2C33">
        <w:rPr>
          <w:rFonts w:ascii="Calibri" w:eastAsia="Cambria" w:hAnsi="Calibri"/>
          <w:noProof/>
          <w:color w:val="000000"/>
          <w:position w:val="-2"/>
          <w:szCs w:val="24"/>
          <w:lang w:val="en-GB"/>
        </w:rPr>
        <w:t> </w:t>
      </w:r>
      <w:r w:rsidRPr="005E2C33">
        <w:rPr>
          <w:rFonts w:ascii="Calibri" w:eastAsia="Cambria" w:hAnsi="Calibri"/>
          <w:noProof/>
          <w:color w:val="000000"/>
          <w:position w:val="-2"/>
          <w:szCs w:val="24"/>
          <w:lang w:val="en-GB"/>
        </w:rPr>
        <w:t> </w:t>
      </w:r>
      <w:r w:rsidRPr="005E2C33">
        <w:rPr>
          <w:rFonts w:ascii="Calibri" w:eastAsia="Cambria" w:hAnsi="Calibri"/>
          <w:noProof/>
          <w:color w:val="000000"/>
          <w:position w:val="-2"/>
          <w:szCs w:val="24"/>
          <w:lang w:val="en-GB"/>
        </w:rPr>
        <w:t> </w:t>
      </w:r>
      <w:r w:rsidRPr="005E2C33">
        <w:rPr>
          <w:rFonts w:ascii="Calibri" w:eastAsia="Cambria" w:hAnsi="Calibri"/>
          <w:noProof/>
          <w:color w:val="000000"/>
          <w:position w:val="-2"/>
          <w:szCs w:val="24"/>
          <w:lang w:val="en-GB"/>
        </w:rPr>
        <w:t> </w:t>
      </w:r>
      <w:r w:rsidRPr="005E2C33">
        <w:rPr>
          <w:rFonts w:ascii="Calibri" w:eastAsia="Cambria" w:hAnsi="Calibri"/>
          <w:noProof/>
          <w:color w:val="000000"/>
          <w:position w:val="-2"/>
          <w:szCs w:val="24"/>
          <w:lang w:val="en-GB"/>
        </w:rPr>
        <w:t> </w:t>
      </w:r>
      <w:r w:rsidRPr="005E2C33">
        <w:rPr>
          <w:rFonts w:ascii="Calibri" w:eastAsia="Cambria" w:hAnsi="Calibri"/>
          <w:color w:val="000000"/>
          <w:position w:val="-2"/>
          <w:szCs w:val="24"/>
          <w:lang w:val="en-GB"/>
        </w:rPr>
        <w:fldChar w:fldCharType="end"/>
      </w:r>
    </w:p>
    <w:p w:rsidR="00A61014" w:rsidRDefault="00A61014" w:rsidP="00A61014">
      <w:pPr>
        <w:pStyle w:val="BodyNormal"/>
        <w:numPr>
          <w:ilvl w:val="0"/>
          <w:numId w:val="0"/>
        </w:numPr>
        <w:spacing w:after="0"/>
        <w:jc w:val="center"/>
        <w:rPr>
          <w:rFonts w:ascii="Calibri" w:hAnsi="Calibri" w:cs="Times New Roman"/>
          <w:b/>
          <w:snapToGrid/>
          <w:sz w:val="26"/>
          <w:szCs w:val="26"/>
        </w:rPr>
      </w:pPr>
    </w:p>
    <w:p w:rsidR="00A61014" w:rsidRDefault="001803C8" w:rsidP="00A61014">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b/>
          <w:color w:val="000000"/>
          <w:position w:val="-2"/>
          <w:szCs w:val="24"/>
          <w:lang w:val="en-GB"/>
        </w:rPr>
      </w:pPr>
      <w:r>
        <w:rPr>
          <w:rFonts w:ascii="Calibri" w:eastAsia="Cambria" w:hAnsi="Calibri"/>
          <w:b/>
          <w:color w:val="000000"/>
          <w:position w:val="-2"/>
          <w:szCs w:val="24"/>
          <w:lang w:val="en-GB"/>
        </w:rPr>
        <w:t xml:space="preserve">Discussion Question 7) </w:t>
      </w:r>
      <w:proofErr w:type="gramStart"/>
      <w:r w:rsidR="00A61014" w:rsidRPr="00A61014">
        <w:rPr>
          <w:rFonts w:ascii="Calibri" w:eastAsia="Cambria" w:hAnsi="Calibri"/>
          <w:color w:val="000000"/>
          <w:position w:val="-2"/>
          <w:szCs w:val="24"/>
          <w:lang w:val="en-GB"/>
        </w:rPr>
        <w:t>Under</w:t>
      </w:r>
      <w:proofErr w:type="gramEnd"/>
      <w:r w:rsidR="00A61014" w:rsidRPr="00A61014">
        <w:rPr>
          <w:rFonts w:ascii="Calibri" w:eastAsia="Cambria" w:hAnsi="Calibri"/>
          <w:color w:val="000000"/>
          <w:position w:val="-2"/>
          <w:szCs w:val="24"/>
          <w:lang w:val="en-GB"/>
        </w:rPr>
        <w:t xml:space="preserve"> what circumstances should the Secretary consider offering withdrawn/revoked allocations to other existing approved participants?</w:t>
      </w:r>
    </w:p>
    <w:p w:rsidR="00A61014" w:rsidRPr="005E2C33" w:rsidRDefault="00C81E0F" w:rsidP="00A61014">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lang w:val="en-GB"/>
        </w:rPr>
      </w:pPr>
      <w:r>
        <w:rPr>
          <w:rFonts w:ascii="Calibri" w:eastAsia="Cambria" w:hAnsi="Calibri"/>
          <w:color w:val="000000"/>
          <w:position w:val="-2"/>
          <w:szCs w:val="24"/>
          <w:lang w:val="en-GB"/>
        </w:rPr>
        <w:t xml:space="preserve">Where an investor sells the allocated property to a person not wishing to participate in the </w:t>
      </w:r>
      <w:proofErr w:type="gramStart"/>
      <w:r>
        <w:rPr>
          <w:rFonts w:ascii="Calibri" w:eastAsia="Cambria" w:hAnsi="Calibri"/>
          <w:color w:val="000000"/>
          <w:position w:val="-2"/>
          <w:szCs w:val="24"/>
          <w:lang w:val="en-GB"/>
        </w:rPr>
        <w:t>scheme, that</w:t>
      </w:r>
      <w:proofErr w:type="gramEnd"/>
      <w:r>
        <w:rPr>
          <w:rFonts w:ascii="Calibri" w:eastAsia="Cambria" w:hAnsi="Calibri"/>
          <w:color w:val="000000"/>
          <w:position w:val="-2"/>
          <w:szCs w:val="24"/>
          <w:lang w:val="en-GB"/>
        </w:rPr>
        <w:t xml:space="preserve"> allocation should be made available to another participant.</w:t>
      </w:r>
    </w:p>
    <w:p w:rsidR="00A61014" w:rsidRDefault="00A61014" w:rsidP="00A61014">
      <w:pPr>
        <w:pStyle w:val="BodyNormal"/>
        <w:numPr>
          <w:ilvl w:val="0"/>
          <w:numId w:val="0"/>
        </w:numPr>
        <w:spacing w:after="0"/>
        <w:jc w:val="center"/>
        <w:rPr>
          <w:rFonts w:ascii="Calibri" w:hAnsi="Calibri" w:cs="Times New Roman"/>
          <w:b/>
          <w:snapToGrid/>
          <w:sz w:val="26"/>
          <w:szCs w:val="26"/>
        </w:rPr>
      </w:pPr>
    </w:p>
    <w:p w:rsidR="00A61014" w:rsidRDefault="00A61014" w:rsidP="00A61014">
      <w:pPr>
        <w:spacing w:before="0" w:after="200" w:line="276" w:lineRule="auto"/>
        <w:jc w:val="center"/>
        <w:rPr>
          <w:rFonts w:ascii="Calibri" w:hAnsi="Calibri"/>
          <w:b/>
          <w:sz w:val="26"/>
          <w:szCs w:val="26"/>
        </w:rPr>
      </w:pPr>
      <w:r w:rsidRPr="00A61014">
        <w:rPr>
          <w:rFonts w:ascii="Calibri" w:hAnsi="Calibri"/>
          <w:b/>
          <w:snapToGrid w:val="0"/>
          <w:sz w:val="26"/>
          <w:szCs w:val="26"/>
        </w:rPr>
        <w:t>Role of substituted dwellings</w:t>
      </w:r>
    </w:p>
    <w:p w:rsidR="00A61014" w:rsidRPr="005E2C33" w:rsidRDefault="00A61014" w:rsidP="00A61014">
      <w:pPr>
        <w:widowControl w:val="0"/>
        <w:pBdr>
          <w:top w:val="single" w:sz="4" w:space="1" w:color="auto"/>
          <w:left w:val="single" w:sz="4" w:space="4" w:color="auto"/>
          <w:bottom w:val="single" w:sz="4" w:space="1" w:color="auto"/>
          <w:right w:val="single" w:sz="4" w:space="4" w:color="auto"/>
        </w:pBdr>
        <w:suppressAutoHyphens/>
        <w:spacing w:before="0" w:after="120"/>
        <w:textAlignment w:val="center"/>
        <w:rPr>
          <w:rFonts w:ascii="Calibri" w:eastAsia="Cambria" w:hAnsi="Calibri"/>
          <w:b/>
          <w:color w:val="000000"/>
          <w:position w:val="-2"/>
          <w:szCs w:val="24"/>
          <w:lang w:val="en-GB"/>
        </w:rPr>
      </w:pPr>
      <w:r>
        <w:rPr>
          <w:rFonts w:ascii="Calibri" w:eastAsia="Cambria" w:hAnsi="Calibri"/>
          <w:b/>
          <w:color w:val="000000"/>
          <w:position w:val="-2"/>
          <w:szCs w:val="24"/>
          <w:lang w:val="en-GB"/>
        </w:rPr>
        <w:t>Discussion Question 8</w:t>
      </w:r>
      <w:r w:rsidRPr="005E2C33">
        <w:rPr>
          <w:rFonts w:ascii="Calibri" w:eastAsia="Cambria" w:hAnsi="Calibri"/>
          <w:b/>
          <w:color w:val="000000"/>
          <w:position w:val="-2"/>
          <w:szCs w:val="24"/>
          <w:lang w:val="en-GB"/>
        </w:rPr>
        <w:t xml:space="preserve">) </w:t>
      </w:r>
      <w:proofErr w:type="gramStart"/>
      <w:r w:rsidRPr="00A61014">
        <w:rPr>
          <w:rFonts w:ascii="Calibri" w:hAnsi="Calibri"/>
          <w:spacing w:val="4"/>
          <w:szCs w:val="24"/>
          <w:lang w:eastAsia="en-AU"/>
        </w:rPr>
        <w:t>What</w:t>
      </w:r>
      <w:proofErr w:type="gramEnd"/>
      <w:r w:rsidRPr="00A61014">
        <w:rPr>
          <w:rFonts w:ascii="Calibri" w:hAnsi="Calibri"/>
          <w:spacing w:val="4"/>
          <w:szCs w:val="24"/>
          <w:lang w:eastAsia="en-AU"/>
        </w:rPr>
        <w:t xml:space="preserve"> are the issues the Department should consider when determining if one dwelling can be substituted for another?</w:t>
      </w:r>
    </w:p>
    <w:p w:rsidR="00A61014" w:rsidRPr="005E2C33" w:rsidRDefault="00A61014" w:rsidP="00A61014">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lang w:val="en-GB"/>
        </w:rPr>
      </w:pPr>
      <w:r w:rsidRPr="005E2C33">
        <w:rPr>
          <w:rFonts w:ascii="Calibri" w:eastAsia="Cambria" w:hAnsi="Calibri"/>
        </w:rPr>
        <w:t xml:space="preserve"> </w:t>
      </w:r>
      <w:r w:rsidR="00C81E0F">
        <w:rPr>
          <w:rFonts w:ascii="Calibri" w:eastAsia="Cambria" w:hAnsi="Calibri"/>
          <w:color w:val="000000"/>
          <w:position w:val="-2"/>
          <w:szCs w:val="24"/>
          <w:lang w:val="en-GB"/>
        </w:rPr>
        <w:t>Situations similar to the above response in Q7.</w:t>
      </w:r>
    </w:p>
    <w:p w:rsidR="0092069F" w:rsidRDefault="0092069F" w:rsidP="0092069F">
      <w:pPr>
        <w:pStyle w:val="BodyNormal"/>
        <w:numPr>
          <w:ilvl w:val="0"/>
          <w:numId w:val="0"/>
        </w:numPr>
        <w:spacing w:after="0"/>
        <w:jc w:val="center"/>
        <w:rPr>
          <w:rFonts w:ascii="Calibri" w:hAnsi="Calibri"/>
          <w:b/>
          <w:sz w:val="26"/>
          <w:szCs w:val="26"/>
        </w:rPr>
      </w:pPr>
    </w:p>
    <w:p w:rsidR="0092069F" w:rsidRDefault="00DD7CC0" w:rsidP="0092069F">
      <w:pPr>
        <w:pStyle w:val="BodyNormal"/>
        <w:numPr>
          <w:ilvl w:val="0"/>
          <w:numId w:val="0"/>
        </w:numPr>
        <w:spacing w:after="0"/>
        <w:jc w:val="center"/>
        <w:rPr>
          <w:rFonts w:ascii="Calibri" w:hAnsi="Calibri" w:cs="Times New Roman"/>
          <w:b/>
          <w:snapToGrid/>
          <w:sz w:val="26"/>
          <w:szCs w:val="26"/>
        </w:rPr>
      </w:pPr>
      <w:r w:rsidRPr="005E2C33">
        <w:rPr>
          <w:rFonts w:ascii="Calibri" w:hAnsi="Calibri"/>
          <w:b/>
          <w:sz w:val="26"/>
          <w:szCs w:val="26"/>
        </w:rPr>
        <w:t xml:space="preserve">Other </w:t>
      </w:r>
      <w:r w:rsidRPr="0092069F">
        <w:rPr>
          <w:rFonts w:ascii="Calibri" w:hAnsi="Calibri" w:cs="Times New Roman"/>
          <w:b/>
          <w:snapToGrid/>
          <w:sz w:val="26"/>
          <w:szCs w:val="26"/>
        </w:rPr>
        <w:t>comments</w:t>
      </w:r>
    </w:p>
    <w:p w:rsidR="00E53F79" w:rsidRDefault="00E53F79" w:rsidP="0092069F">
      <w:pPr>
        <w:pStyle w:val="BodyNormal"/>
        <w:numPr>
          <w:ilvl w:val="0"/>
          <w:numId w:val="0"/>
        </w:numPr>
        <w:spacing w:after="0"/>
        <w:jc w:val="center"/>
        <w:rPr>
          <w:rFonts w:ascii="Calibri" w:hAnsi="Calibri" w:cs="Times New Roman"/>
          <w:b/>
          <w:snapToGrid/>
          <w:sz w:val="26"/>
          <w:szCs w:val="26"/>
        </w:rPr>
      </w:pPr>
    </w:p>
    <w:p w:rsidR="0092069F" w:rsidRDefault="0092069F" w:rsidP="0092069F">
      <w:pPr>
        <w:widowControl w:val="0"/>
        <w:pBdr>
          <w:top w:val="single" w:sz="4" w:space="1" w:color="auto"/>
          <w:left w:val="single" w:sz="4" w:space="4" w:color="auto"/>
          <w:bottom w:val="single" w:sz="4" w:space="1" w:color="auto"/>
          <w:right w:val="single" w:sz="4" w:space="4" w:color="auto"/>
        </w:pBdr>
        <w:suppressAutoHyphens/>
        <w:spacing w:before="0" w:after="120"/>
        <w:textAlignment w:val="center"/>
        <w:rPr>
          <w:rFonts w:ascii="Calibri" w:eastAsia="Cambria" w:hAnsi="Calibri"/>
          <w:b/>
          <w:color w:val="000000"/>
          <w:position w:val="-2"/>
          <w:szCs w:val="24"/>
          <w:lang w:val="en-GB"/>
        </w:rPr>
      </w:pPr>
      <w:r>
        <w:rPr>
          <w:rFonts w:ascii="Calibri" w:eastAsia="Cambria" w:hAnsi="Calibri"/>
          <w:b/>
          <w:color w:val="000000"/>
          <w:position w:val="-2"/>
          <w:szCs w:val="24"/>
          <w:lang w:val="en-GB"/>
        </w:rPr>
        <w:t>General comments or feedback on other issues</w:t>
      </w:r>
    </w:p>
    <w:p w:rsidR="0092069F" w:rsidRPr="0092069F" w:rsidRDefault="0092069F" w:rsidP="0092069F">
      <w:pPr>
        <w:widowControl w:val="0"/>
        <w:pBdr>
          <w:top w:val="single" w:sz="4" w:space="1" w:color="auto"/>
          <w:left w:val="single" w:sz="4" w:space="4" w:color="auto"/>
          <w:bottom w:val="single" w:sz="4" w:space="1" w:color="auto"/>
          <w:right w:val="single" w:sz="4" w:space="4" w:color="auto"/>
        </w:pBdr>
        <w:suppressAutoHyphens/>
        <w:spacing w:before="0" w:after="120"/>
        <w:textAlignment w:val="center"/>
        <w:rPr>
          <w:rFonts w:ascii="Calibri" w:eastAsia="Cambria" w:hAnsi="Calibri"/>
          <w:b/>
          <w:color w:val="000000"/>
          <w:position w:val="-2"/>
          <w:szCs w:val="24"/>
          <w:lang w:val="en-GB"/>
        </w:rPr>
      </w:pPr>
    </w:p>
    <w:p w:rsidR="00C81E0F" w:rsidRPr="00C81E0F" w:rsidRDefault="0092069F" w:rsidP="00C81E0F">
      <w:pPr>
        <w:widowControl w:val="0"/>
        <w:numPr>
          <w:ilvl w:val="0"/>
          <w:numId w:val="17"/>
        </w:numPr>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b/>
          <w:color w:val="000000"/>
          <w:position w:val="-2"/>
          <w:szCs w:val="24"/>
        </w:rPr>
      </w:pPr>
      <w:r w:rsidRPr="005E2C33">
        <w:rPr>
          <w:rFonts w:ascii="Calibri" w:eastAsia="Cambria" w:hAnsi="Calibri"/>
        </w:rPr>
        <w:t xml:space="preserve"> </w:t>
      </w:r>
      <w:r w:rsidR="00C81E0F" w:rsidRPr="00C81E0F">
        <w:rPr>
          <w:rFonts w:ascii="Calibri" w:eastAsia="Cambria" w:hAnsi="Calibri"/>
          <w:b/>
          <w:color w:val="000000"/>
          <w:position w:val="-2"/>
          <w:szCs w:val="24"/>
        </w:rPr>
        <w:t>Submission of TDA’s – Allowing for amendment of ‘TDA End Date’.</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 xml:space="preserve">With regards </w:t>
      </w:r>
      <w:r w:rsidR="00F93E92">
        <w:rPr>
          <w:rFonts w:ascii="Calibri" w:eastAsia="Cambria" w:hAnsi="Calibri"/>
          <w:color w:val="000000"/>
          <w:position w:val="-2"/>
          <w:szCs w:val="24"/>
        </w:rPr>
        <w:t>to the use of the NRAS Portal, we</w:t>
      </w:r>
      <w:r w:rsidRPr="00C81E0F">
        <w:rPr>
          <w:rFonts w:ascii="Calibri" w:eastAsia="Cambria" w:hAnsi="Calibri"/>
          <w:color w:val="000000"/>
          <w:position w:val="-2"/>
          <w:szCs w:val="24"/>
        </w:rPr>
        <w:t xml:space="preserve"> believe that the current design of the rules within the Portal are preventing Approved Participants from meeting the compliance obligations in the most efficient means possible.  Specifically, with relation to the inability to amend the ‘TDA End Date’ of a currently submitted TDA.</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lastRenderedPageBreak/>
        <w:t>The NRAS Portal, currently, requires Approved Participants to lodge TDA’s with a ‘TDA End Date’.  This is problematic as TDA’s are not all lodged retrospectively, they are uploaded throughout the NRAS Year – meaning that if any changes occur to the tenancy or tenants of a dwelling, the previously submitted TDA needs to be fully withdrawn and re-submitted in order to submit the new TDA.</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u w:val="single"/>
        </w:rPr>
      </w:pPr>
      <w:r w:rsidRPr="00C81E0F">
        <w:rPr>
          <w:rFonts w:ascii="Calibri" w:eastAsia="Cambria" w:hAnsi="Calibri"/>
          <w:color w:val="000000"/>
          <w:position w:val="-2"/>
          <w:szCs w:val="24"/>
          <w:u w:val="single"/>
        </w:rPr>
        <w:t>Example:</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TDA submitted in October from 09/09/2016 (start of lease) to 30/04/2017 (end of NRAS Year).</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 xml:space="preserve">In November the Approved Participant changes the rent charged to that tenant, due to a change in income, which requires a new TDA.  Rather than being able to submit a </w:t>
      </w:r>
      <w:proofErr w:type="gramStart"/>
      <w:r w:rsidRPr="00C81E0F">
        <w:rPr>
          <w:rFonts w:ascii="Calibri" w:eastAsia="Cambria" w:hAnsi="Calibri"/>
          <w:i/>
          <w:color w:val="000000"/>
          <w:position w:val="-2"/>
          <w:szCs w:val="24"/>
        </w:rPr>
        <w:t>New</w:t>
      </w:r>
      <w:proofErr w:type="gramEnd"/>
      <w:r w:rsidRPr="00C81E0F">
        <w:rPr>
          <w:rFonts w:ascii="Calibri" w:eastAsia="Cambria" w:hAnsi="Calibri"/>
          <w:i/>
          <w:color w:val="000000"/>
          <w:position w:val="-2"/>
          <w:szCs w:val="24"/>
        </w:rPr>
        <w:t xml:space="preserve"> lease with same tenants</w:t>
      </w:r>
      <w:r w:rsidRPr="00C81E0F">
        <w:rPr>
          <w:rFonts w:ascii="Calibri" w:eastAsia="Cambria" w:hAnsi="Calibri"/>
          <w:color w:val="000000"/>
          <w:position w:val="-2"/>
          <w:szCs w:val="24"/>
        </w:rPr>
        <w:t>, advising of the actual end date of the previous lease, and lodging the new TDA from then onwards – the Participant is required to withdraw the entire TDA, re-enter all details, re-submit the same TDA with the new TDA End Date and then submit the new TDA.</w:t>
      </w:r>
      <w:r w:rsidRPr="00C81E0F">
        <w:rPr>
          <w:rFonts w:ascii="Calibri" w:eastAsia="Cambria" w:hAnsi="Calibri"/>
          <w:color w:val="000000"/>
          <w:position w:val="-2"/>
          <w:szCs w:val="24"/>
        </w:rPr>
        <w:br/>
        <w:t>This limitation is not suited to the Social Housing market.</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u w:val="single"/>
        </w:rPr>
      </w:pPr>
      <w:r w:rsidRPr="00C81E0F">
        <w:rPr>
          <w:rFonts w:ascii="Calibri" w:eastAsia="Cambria" w:hAnsi="Calibri"/>
          <w:color w:val="000000"/>
          <w:position w:val="-2"/>
          <w:szCs w:val="24"/>
          <w:u w:val="single"/>
        </w:rPr>
        <w:t>Solution:</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 xml:space="preserve">Improved logic on the NRAS Portal.  If a </w:t>
      </w:r>
      <w:r w:rsidRPr="00C81E0F">
        <w:rPr>
          <w:rFonts w:ascii="Calibri" w:eastAsia="Cambria" w:hAnsi="Calibri"/>
          <w:i/>
          <w:color w:val="000000"/>
          <w:position w:val="-2"/>
          <w:szCs w:val="24"/>
        </w:rPr>
        <w:t>New Lease with Same Tenants</w:t>
      </w:r>
      <w:r w:rsidRPr="00C81E0F">
        <w:rPr>
          <w:rFonts w:ascii="Calibri" w:eastAsia="Cambria" w:hAnsi="Calibri"/>
          <w:color w:val="000000"/>
          <w:position w:val="-2"/>
          <w:szCs w:val="24"/>
        </w:rPr>
        <w:t xml:space="preserve"> is submitted, and a lease end date </w:t>
      </w:r>
      <w:r w:rsidRPr="00C81E0F">
        <w:rPr>
          <w:rFonts w:ascii="Calibri" w:eastAsia="Cambria" w:hAnsi="Calibri"/>
          <w:color w:val="000000"/>
          <w:position w:val="-2"/>
          <w:szCs w:val="24"/>
          <w:u w:val="single"/>
        </w:rPr>
        <w:t>earlier</w:t>
      </w:r>
      <w:r w:rsidRPr="00C81E0F">
        <w:rPr>
          <w:rFonts w:ascii="Calibri" w:eastAsia="Cambria" w:hAnsi="Calibri"/>
          <w:color w:val="000000"/>
          <w:position w:val="-2"/>
          <w:szCs w:val="24"/>
        </w:rPr>
        <w:t xml:space="preserve"> than the current TDA End Date is provided, that should override the current TDA End Date to be the same– as Approved Participants are not currently able to submit a TDA with a TDA End Date later than the Lease End Date anyway.</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This would allow the Approved Participant to then submit the new TDA details, from the correct effective date, without being required to withdraw all information previously submitted.</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 xml:space="preserve">In addition to this, if a </w:t>
      </w:r>
      <w:r w:rsidRPr="00C81E0F">
        <w:rPr>
          <w:rFonts w:ascii="Calibri" w:eastAsia="Cambria" w:hAnsi="Calibri"/>
          <w:i/>
          <w:color w:val="000000"/>
          <w:position w:val="-2"/>
          <w:szCs w:val="24"/>
        </w:rPr>
        <w:t>New Lease with Same Tenants</w:t>
      </w:r>
      <w:r w:rsidRPr="00C81E0F">
        <w:rPr>
          <w:rFonts w:ascii="Calibri" w:eastAsia="Cambria" w:hAnsi="Calibri"/>
          <w:color w:val="000000"/>
          <w:position w:val="-2"/>
          <w:szCs w:val="24"/>
        </w:rPr>
        <w:t xml:space="preserve"> is submitted with a lease End Date </w:t>
      </w:r>
      <w:r w:rsidRPr="00C81E0F">
        <w:rPr>
          <w:rFonts w:ascii="Calibri" w:eastAsia="Cambria" w:hAnsi="Calibri"/>
          <w:color w:val="000000"/>
          <w:position w:val="-2"/>
          <w:szCs w:val="24"/>
          <w:u w:val="single"/>
        </w:rPr>
        <w:t>greater</w:t>
      </w:r>
      <w:r w:rsidRPr="00C81E0F">
        <w:rPr>
          <w:rFonts w:ascii="Calibri" w:eastAsia="Cambria" w:hAnsi="Calibri"/>
          <w:color w:val="000000"/>
          <w:position w:val="-2"/>
          <w:szCs w:val="24"/>
        </w:rPr>
        <w:t xml:space="preserve"> than that of the previous TDA, the TDA End Date of the previous TDA should automatically be updated to reflect the same – rather than the Approved Participant being required to lodge a </w:t>
      </w:r>
      <w:r w:rsidRPr="00C81E0F">
        <w:rPr>
          <w:rFonts w:ascii="Calibri" w:eastAsia="Cambria" w:hAnsi="Calibri"/>
          <w:i/>
          <w:color w:val="000000"/>
          <w:position w:val="-2"/>
          <w:szCs w:val="24"/>
        </w:rPr>
        <w:t>Same Lease with Same Tenants</w:t>
      </w:r>
      <w:r w:rsidRPr="00C81E0F">
        <w:rPr>
          <w:rFonts w:ascii="Calibri" w:eastAsia="Cambria" w:hAnsi="Calibri"/>
          <w:color w:val="000000"/>
          <w:position w:val="-2"/>
          <w:szCs w:val="24"/>
        </w:rPr>
        <w:t xml:space="preserve"> in order to extend the previously submitted to the start of the new lease.</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p>
    <w:p w:rsidR="00C81E0F" w:rsidRPr="00C81E0F" w:rsidRDefault="00C81E0F" w:rsidP="00C81E0F">
      <w:pPr>
        <w:widowControl w:val="0"/>
        <w:numPr>
          <w:ilvl w:val="0"/>
          <w:numId w:val="17"/>
        </w:numPr>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b/>
          <w:color w:val="000000"/>
          <w:position w:val="-2"/>
          <w:szCs w:val="24"/>
        </w:rPr>
      </w:pPr>
      <w:r w:rsidRPr="00C81E0F">
        <w:rPr>
          <w:rFonts w:ascii="Calibri" w:eastAsia="Cambria" w:hAnsi="Calibri"/>
          <w:b/>
          <w:color w:val="000000"/>
          <w:position w:val="-2"/>
          <w:szCs w:val="24"/>
        </w:rPr>
        <w:t>Submission of TDA’s – Clarity on use of NRAS Portal.</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u w:val="single"/>
        </w:rPr>
      </w:pPr>
      <w:r w:rsidRPr="00C81E0F">
        <w:rPr>
          <w:rFonts w:ascii="Calibri" w:eastAsia="Cambria" w:hAnsi="Calibri"/>
          <w:color w:val="000000"/>
          <w:position w:val="-2"/>
          <w:szCs w:val="24"/>
          <w:u w:val="single"/>
        </w:rPr>
        <w:t>Using the Portal:</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 xml:space="preserve">Currently, there are some instructions available on the NRAS Portal in relation to how to action simple processes – these are appreciated, however they do not meet all requirements.  Currently, there are no guidelines in relation to how to submit TDA’s from year-to-year.  An example of this is that there is no confirmation if a </w:t>
      </w:r>
      <w:r w:rsidRPr="00C81E0F">
        <w:rPr>
          <w:rFonts w:ascii="Calibri" w:eastAsia="Cambria" w:hAnsi="Calibri"/>
          <w:i/>
          <w:color w:val="000000"/>
          <w:position w:val="-2"/>
          <w:szCs w:val="24"/>
        </w:rPr>
        <w:t>Same Lease with Same Tenants</w:t>
      </w:r>
      <w:r w:rsidRPr="00C81E0F">
        <w:rPr>
          <w:rFonts w:ascii="Calibri" w:eastAsia="Cambria" w:hAnsi="Calibri"/>
          <w:color w:val="000000"/>
          <w:position w:val="-2"/>
          <w:szCs w:val="24"/>
        </w:rPr>
        <w:t xml:space="preserve"> is required to be submitted up to the Tenant’s Anniversary or next rent review, prior to being able to submit the </w:t>
      </w:r>
      <w:r w:rsidRPr="00C81E0F">
        <w:rPr>
          <w:rFonts w:ascii="Calibri" w:eastAsia="Cambria" w:hAnsi="Calibri"/>
          <w:i/>
          <w:color w:val="000000"/>
          <w:position w:val="-2"/>
          <w:szCs w:val="24"/>
        </w:rPr>
        <w:t>New Lease with Same Tenants</w:t>
      </w:r>
      <w:r w:rsidRPr="00C81E0F">
        <w:rPr>
          <w:rFonts w:ascii="Calibri" w:eastAsia="Cambria" w:hAnsi="Calibri"/>
          <w:color w:val="000000"/>
          <w:position w:val="-2"/>
          <w:szCs w:val="24"/>
        </w:rPr>
        <w:t xml:space="preserve"> TDA.</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lastRenderedPageBreak/>
        <w:t>Further instructions should also be required in how to:</w:t>
      </w:r>
    </w:p>
    <w:p w:rsidR="00C81E0F" w:rsidRPr="00C81E0F" w:rsidRDefault="00C81E0F" w:rsidP="00C81E0F">
      <w:pPr>
        <w:widowControl w:val="0"/>
        <w:numPr>
          <w:ilvl w:val="0"/>
          <w:numId w:val="18"/>
        </w:numPr>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Advise the department that a tenant has not provided their income documentations for the TDA being submitted.</w:t>
      </w:r>
    </w:p>
    <w:p w:rsidR="00C81E0F" w:rsidRPr="00C81E0F" w:rsidRDefault="00C81E0F" w:rsidP="00C81E0F">
      <w:pPr>
        <w:widowControl w:val="0"/>
        <w:numPr>
          <w:ilvl w:val="0"/>
          <w:numId w:val="18"/>
        </w:numPr>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 xml:space="preserve">Leave notes for the Compliance Officers who will be reviewing the TDAs. </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u w:val="single"/>
        </w:rPr>
      </w:pPr>
      <w:r w:rsidRPr="00C81E0F">
        <w:rPr>
          <w:rFonts w:ascii="Calibri" w:eastAsia="Cambria" w:hAnsi="Calibri"/>
          <w:color w:val="000000"/>
          <w:position w:val="-2"/>
          <w:szCs w:val="24"/>
          <w:u w:val="single"/>
        </w:rPr>
        <w:t>Income Assessments:</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 xml:space="preserve">Further information needs to be provided on the expected methodology to be used by Approved Participants on how to calculate the ‘annual gross income’ of each household both at entry and anniversary.  Based on discussions with our Liaison Officer and the NRAS Compliance Manager, the expectation to assess tenants on their previous 12 months income has come into question – as the only explanation provided in the NRAS Guidelines and Explanatory Guide are to follow this methodology (assess based on prior 12 months), rather than estimating the tenants annual income based on their </w:t>
      </w:r>
      <w:r w:rsidRPr="00C81E0F">
        <w:rPr>
          <w:rFonts w:ascii="Calibri" w:eastAsia="Cambria" w:hAnsi="Calibri"/>
          <w:color w:val="000000"/>
          <w:position w:val="-2"/>
          <w:szCs w:val="24"/>
          <w:u w:val="single"/>
        </w:rPr>
        <w:t>current</w:t>
      </w:r>
      <w:r w:rsidRPr="00C81E0F">
        <w:rPr>
          <w:rFonts w:ascii="Calibri" w:eastAsia="Cambria" w:hAnsi="Calibri"/>
          <w:color w:val="000000"/>
          <w:position w:val="-2"/>
          <w:szCs w:val="24"/>
        </w:rPr>
        <w:t xml:space="preserve"> earnings.</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p>
    <w:p w:rsidR="00C81E0F" w:rsidRPr="00C81E0F" w:rsidRDefault="00C81E0F" w:rsidP="00C81E0F">
      <w:pPr>
        <w:widowControl w:val="0"/>
        <w:numPr>
          <w:ilvl w:val="0"/>
          <w:numId w:val="17"/>
        </w:numPr>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b/>
          <w:color w:val="000000"/>
          <w:position w:val="-2"/>
          <w:szCs w:val="24"/>
        </w:rPr>
      </w:pPr>
      <w:r w:rsidRPr="00C81E0F">
        <w:rPr>
          <w:rFonts w:ascii="Calibri" w:eastAsia="Cambria" w:hAnsi="Calibri"/>
          <w:b/>
          <w:color w:val="000000"/>
          <w:position w:val="-2"/>
          <w:szCs w:val="24"/>
        </w:rPr>
        <w:t>Useability of the NRAS Portal – Generating Reports</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Currently the only reports available to Approved Participants are very basic and can serve only a limited use.</w:t>
      </w:r>
      <w:r w:rsidRPr="00C81E0F">
        <w:rPr>
          <w:rFonts w:ascii="Calibri" w:eastAsia="Cambria" w:hAnsi="Calibri"/>
          <w:color w:val="000000"/>
          <w:position w:val="-2"/>
          <w:szCs w:val="24"/>
        </w:rPr>
        <w:br/>
        <w:t>The following reports are requested:</w:t>
      </w:r>
    </w:p>
    <w:p w:rsidR="00C81E0F" w:rsidRPr="00C81E0F" w:rsidRDefault="00C81E0F" w:rsidP="00C81E0F">
      <w:pPr>
        <w:widowControl w:val="0"/>
        <w:numPr>
          <w:ilvl w:val="0"/>
          <w:numId w:val="18"/>
        </w:numPr>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 xml:space="preserve">Summary of TDA’s submitted information to be expanded.  (Currently achieved via ‘Submit a TDA’ and exporting results of ‘Find Submitted TDA’).  This would be utilized by Approved Participants to review already submitted TDA’s for those which have </w:t>
      </w:r>
      <w:proofErr w:type="gramStart"/>
      <w:r w:rsidRPr="00C81E0F">
        <w:rPr>
          <w:rFonts w:ascii="Calibri" w:eastAsia="Cambria" w:hAnsi="Calibri"/>
          <w:color w:val="000000"/>
          <w:position w:val="-2"/>
          <w:szCs w:val="24"/>
        </w:rPr>
        <w:t>Failed</w:t>
      </w:r>
      <w:proofErr w:type="gramEnd"/>
      <w:r w:rsidRPr="00C81E0F">
        <w:rPr>
          <w:rFonts w:ascii="Calibri" w:eastAsia="Cambria" w:hAnsi="Calibri"/>
          <w:color w:val="000000"/>
          <w:position w:val="-2"/>
          <w:szCs w:val="24"/>
        </w:rPr>
        <w:t xml:space="preserve"> or are Pending Review and to better determine the reason for this.  Inclusion of submitted Annual Income, Household Composition, Income Limit Applicable.</w:t>
      </w:r>
      <w:r w:rsidRPr="00C81E0F">
        <w:rPr>
          <w:rFonts w:ascii="Calibri" w:eastAsia="Cambria" w:hAnsi="Calibri"/>
          <w:color w:val="000000"/>
          <w:position w:val="-2"/>
          <w:szCs w:val="24"/>
        </w:rPr>
        <w:br/>
        <w:t>This would enable Approved Participants to result discrepancies with their TDA’s prior to the end of the NRAS Year, as there would be less of a need to waiting for the NRAS Queries after review by Compliance Officers.</w:t>
      </w:r>
    </w:p>
    <w:p w:rsidR="00C81E0F" w:rsidRPr="00C81E0F" w:rsidRDefault="00C81E0F" w:rsidP="00C81E0F">
      <w:pPr>
        <w:widowControl w:val="0"/>
        <w:numPr>
          <w:ilvl w:val="0"/>
          <w:numId w:val="18"/>
        </w:numPr>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Summary of periods of NRAS Year covered, per Dwelling, available throughout the NRAS Year – rather than at the end of the NRAS Year.  This would allow for Approved Participants to seek action to make Dwellings compliant prior to the end of the NRAS Year.</w:t>
      </w:r>
    </w:p>
    <w:p w:rsidR="00C81E0F" w:rsidRPr="00C81E0F" w:rsidRDefault="00C81E0F" w:rsidP="00C81E0F">
      <w:pPr>
        <w:widowControl w:val="0"/>
        <w:numPr>
          <w:ilvl w:val="0"/>
          <w:numId w:val="17"/>
        </w:numPr>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b/>
          <w:color w:val="000000"/>
          <w:position w:val="-2"/>
          <w:szCs w:val="24"/>
        </w:rPr>
      </w:pPr>
      <w:r w:rsidRPr="00C81E0F">
        <w:rPr>
          <w:rFonts w:ascii="Calibri" w:eastAsia="Cambria" w:hAnsi="Calibri"/>
          <w:b/>
          <w:color w:val="000000"/>
          <w:position w:val="-2"/>
          <w:szCs w:val="24"/>
        </w:rPr>
        <w:t>Confirmation of details requested on the Tenant Demographic Assessment form.</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Section 11 – “What are the tenants main occupation?”</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lastRenderedPageBreak/>
        <w:t xml:space="preserve">With relation to Section 11, is there a requirement by Approved Participants to track the occupational status of tenants who are not in the workforce?  That is, should non-work eligible tenants (children, </w:t>
      </w:r>
      <w:proofErr w:type="spellStart"/>
      <w:r w:rsidRPr="00C81E0F">
        <w:rPr>
          <w:rFonts w:ascii="Calibri" w:eastAsia="Cambria" w:hAnsi="Calibri"/>
          <w:color w:val="000000"/>
          <w:position w:val="-2"/>
          <w:szCs w:val="24"/>
        </w:rPr>
        <w:t>etc</w:t>
      </w:r>
      <w:proofErr w:type="spellEnd"/>
      <w:r w:rsidRPr="00C81E0F">
        <w:rPr>
          <w:rFonts w:ascii="Calibri" w:eastAsia="Cambria" w:hAnsi="Calibri"/>
          <w:color w:val="000000"/>
          <w:position w:val="-2"/>
          <w:szCs w:val="24"/>
        </w:rPr>
        <w:t>) be tracked on this section of the form as ‘Unemployed’ or ‘</w:t>
      </w:r>
      <w:proofErr w:type="gramStart"/>
      <w:r w:rsidRPr="00C81E0F">
        <w:rPr>
          <w:rFonts w:ascii="Calibri" w:eastAsia="Cambria" w:hAnsi="Calibri"/>
          <w:color w:val="000000"/>
          <w:position w:val="-2"/>
          <w:szCs w:val="24"/>
        </w:rPr>
        <w:t>Other</w:t>
      </w:r>
      <w:proofErr w:type="gramEnd"/>
      <w:r w:rsidRPr="00C81E0F">
        <w:rPr>
          <w:rFonts w:ascii="Calibri" w:eastAsia="Cambria" w:hAnsi="Calibri"/>
          <w:color w:val="000000"/>
          <w:position w:val="-2"/>
          <w:szCs w:val="24"/>
        </w:rPr>
        <w:t>’.  The current belief is that this section is only applicable to tenants who earn a form of income – confirmation or clarification is required.</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Section 13 – “How many independent minors are in the household?”</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Please confirm the Departments definition of an independent minor, currently the definition supplied by Centrelink for eligibility is being utilized.</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Section 17 – “Prior to this lease, what were the living arrangements of all household tenants?”</w:t>
      </w:r>
    </w:p>
    <w:p w:rsidR="00C81E0F" w:rsidRPr="00C81E0F"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rPr>
      </w:pPr>
      <w:r w:rsidRPr="00C81E0F">
        <w:rPr>
          <w:rFonts w:ascii="Calibri" w:eastAsia="Cambria" w:hAnsi="Calibri"/>
          <w:color w:val="000000"/>
          <w:position w:val="-2"/>
          <w:szCs w:val="24"/>
        </w:rPr>
        <w:t xml:space="preserve">Please confirm if this section is referencing the current </w:t>
      </w:r>
      <w:r w:rsidRPr="00C81E0F">
        <w:rPr>
          <w:rFonts w:ascii="Calibri" w:eastAsia="Cambria" w:hAnsi="Calibri"/>
          <w:color w:val="000000"/>
          <w:position w:val="-2"/>
          <w:szCs w:val="24"/>
          <w:u w:val="single"/>
        </w:rPr>
        <w:t>lease</w:t>
      </w:r>
      <w:r w:rsidRPr="00C81E0F">
        <w:rPr>
          <w:rFonts w:ascii="Calibri" w:eastAsia="Cambria" w:hAnsi="Calibri"/>
          <w:color w:val="000000"/>
          <w:position w:val="-2"/>
          <w:szCs w:val="24"/>
        </w:rPr>
        <w:t xml:space="preserve"> the tenants are on, or if this is referring to their living situation prior to moving into their current dwelling.  The current wording of this section of the TDA has encouraged most tenants in their second year or greater to identify their previous living arrangements as ‘Rental – State &amp; Territory Housing Authority’ as they were in the dwelling on their prior lease.</w:t>
      </w:r>
    </w:p>
    <w:p w:rsidR="0092069F" w:rsidRPr="005E2C33" w:rsidRDefault="00C81E0F" w:rsidP="00C81E0F">
      <w:pPr>
        <w:widowControl w:val="0"/>
        <w:pBdr>
          <w:top w:val="single" w:sz="4" w:space="1" w:color="auto"/>
          <w:left w:val="single" w:sz="4" w:space="4" w:color="auto"/>
          <w:bottom w:val="single" w:sz="4" w:space="1" w:color="auto"/>
          <w:right w:val="single" w:sz="4" w:space="4" w:color="auto"/>
        </w:pBdr>
        <w:suppressAutoHyphens/>
        <w:spacing w:line="220" w:lineRule="atLeast"/>
        <w:textAlignment w:val="center"/>
        <w:rPr>
          <w:rFonts w:ascii="Calibri" w:eastAsia="Cambria" w:hAnsi="Calibri"/>
          <w:color w:val="000000"/>
          <w:position w:val="-2"/>
          <w:szCs w:val="24"/>
          <w:lang w:val="en-GB"/>
        </w:rPr>
      </w:pPr>
      <w:r w:rsidRPr="00C81E0F">
        <w:rPr>
          <w:rFonts w:ascii="Calibri" w:eastAsia="Cambria" w:hAnsi="Calibri"/>
          <w:color w:val="000000"/>
          <w:position w:val="-2"/>
          <w:szCs w:val="24"/>
        </w:rPr>
        <w:t>Note: the current options available on Version 7 of the TDA have limited most tenants to identifying as ‘Other’ – this should be expanded back to the previous versions.</w:t>
      </w:r>
    </w:p>
    <w:sectPr w:rsidR="0092069F" w:rsidRPr="005E2C33" w:rsidSect="00DD7CC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FE" w:rsidRDefault="005C3FFE" w:rsidP="005C3FFE">
      <w:pPr>
        <w:spacing w:before="0"/>
      </w:pPr>
      <w:r>
        <w:separator/>
      </w:r>
    </w:p>
  </w:endnote>
  <w:endnote w:type="continuationSeparator" w:id="0">
    <w:p w:rsidR="005C3FFE" w:rsidRDefault="005C3FFE" w:rsidP="005C3F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55" w:rsidRDefault="00236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44779"/>
      <w:docPartObj>
        <w:docPartGallery w:val="Page Numbers (Bottom of Page)"/>
        <w:docPartUnique/>
      </w:docPartObj>
    </w:sdtPr>
    <w:sdtEndPr/>
    <w:sdtContent>
      <w:sdt>
        <w:sdtPr>
          <w:id w:val="-247275010"/>
          <w:docPartObj>
            <w:docPartGallery w:val="Page Numbers (Top of Page)"/>
            <w:docPartUnique/>
          </w:docPartObj>
        </w:sdtPr>
        <w:sdtEndPr/>
        <w:sdtContent>
          <w:p w:rsidR="00806316" w:rsidRPr="00671355" w:rsidRDefault="00806316" w:rsidP="00671355">
            <w:pPr>
              <w:pStyle w:val="Footer"/>
              <w:jc w:val="right"/>
              <w:rPr>
                <w:bCs/>
                <w:sz w:val="20"/>
              </w:rPr>
            </w:pPr>
            <w:r w:rsidRPr="00A03748">
              <w:rPr>
                <w:rFonts w:ascii="Times New Roman" w:hAnsi="Times New Roman"/>
                <w:sz w:val="20"/>
              </w:rPr>
              <w:t xml:space="preserve">Page </w:t>
            </w:r>
            <w:r w:rsidRPr="00A03748">
              <w:rPr>
                <w:rFonts w:ascii="Times New Roman" w:hAnsi="Times New Roman"/>
                <w:bCs/>
                <w:sz w:val="20"/>
              </w:rPr>
              <w:fldChar w:fldCharType="begin"/>
            </w:r>
            <w:r w:rsidRPr="00A03748">
              <w:rPr>
                <w:rFonts w:ascii="Times New Roman" w:hAnsi="Times New Roman"/>
                <w:bCs/>
                <w:sz w:val="20"/>
              </w:rPr>
              <w:instrText xml:space="preserve"> PAGE </w:instrText>
            </w:r>
            <w:r w:rsidRPr="00A03748">
              <w:rPr>
                <w:rFonts w:ascii="Times New Roman" w:hAnsi="Times New Roman"/>
                <w:bCs/>
                <w:sz w:val="20"/>
              </w:rPr>
              <w:fldChar w:fldCharType="separate"/>
            </w:r>
            <w:r w:rsidR="000D42A5">
              <w:rPr>
                <w:rFonts w:ascii="Times New Roman" w:hAnsi="Times New Roman"/>
                <w:bCs/>
                <w:noProof/>
                <w:sz w:val="20"/>
              </w:rPr>
              <w:t>7</w:t>
            </w:r>
            <w:r w:rsidRPr="00A03748">
              <w:rPr>
                <w:rFonts w:ascii="Times New Roman" w:hAnsi="Times New Roman"/>
                <w:bCs/>
                <w:sz w:val="20"/>
              </w:rPr>
              <w:fldChar w:fldCharType="end"/>
            </w:r>
            <w:r w:rsidRPr="00A03748">
              <w:rPr>
                <w:rFonts w:ascii="Times New Roman" w:hAnsi="Times New Roman"/>
                <w:sz w:val="20"/>
              </w:rPr>
              <w:t xml:space="preserve"> of </w:t>
            </w:r>
            <w:r w:rsidRPr="00A03748">
              <w:rPr>
                <w:rFonts w:ascii="Times New Roman" w:hAnsi="Times New Roman"/>
                <w:bCs/>
                <w:sz w:val="20"/>
              </w:rPr>
              <w:fldChar w:fldCharType="begin"/>
            </w:r>
            <w:r w:rsidRPr="00A03748">
              <w:rPr>
                <w:rFonts w:ascii="Times New Roman" w:hAnsi="Times New Roman"/>
                <w:bCs/>
                <w:sz w:val="20"/>
              </w:rPr>
              <w:instrText xml:space="preserve"> NUMPAGES  </w:instrText>
            </w:r>
            <w:r w:rsidRPr="00A03748">
              <w:rPr>
                <w:rFonts w:ascii="Times New Roman" w:hAnsi="Times New Roman"/>
                <w:bCs/>
                <w:sz w:val="20"/>
              </w:rPr>
              <w:fldChar w:fldCharType="separate"/>
            </w:r>
            <w:r w:rsidR="000D42A5">
              <w:rPr>
                <w:rFonts w:ascii="Times New Roman" w:hAnsi="Times New Roman"/>
                <w:bCs/>
                <w:noProof/>
                <w:sz w:val="20"/>
              </w:rPr>
              <w:t>7</w:t>
            </w:r>
            <w:r w:rsidRPr="00A03748">
              <w:rPr>
                <w:rFonts w:ascii="Times New Roman" w:hAnsi="Times New Roman"/>
                <w:bCs/>
                <w:sz w:val="20"/>
              </w:rPr>
              <w:fldChar w:fldCharType="end"/>
            </w:r>
          </w:p>
        </w:sdtContent>
      </w:sdt>
    </w:sdtContent>
  </w:sdt>
  <w:p w:rsidR="00806316" w:rsidRDefault="008063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55" w:rsidRDefault="00236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FE" w:rsidRDefault="005C3FFE" w:rsidP="005C3FFE">
      <w:pPr>
        <w:spacing w:before="0"/>
      </w:pPr>
      <w:r>
        <w:separator/>
      </w:r>
    </w:p>
  </w:footnote>
  <w:footnote w:type="continuationSeparator" w:id="0">
    <w:p w:rsidR="005C3FFE" w:rsidRDefault="005C3FFE" w:rsidP="005C3FF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55" w:rsidRDefault="00236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FE" w:rsidRDefault="005C3FFE" w:rsidP="00E07D21">
    <w:pPr>
      <w:pStyle w:val="Header"/>
    </w:pPr>
    <w:r>
      <w:rPr>
        <w:noProof/>
        <w:lang w:val="en-US"/>
      </w:rPr>
      <w:drawing>
        <wp:inline distT="0" distB="0" distL="0" distR="0" wp14:anchorId="257C6529" wp14:editId="3041A23F">
          <wp:extent cx="6249487" cy="1282535"/>
          <wp:effectExtent l="0" t="0" r="0" b="0"/>
          <wp:docPr id="3" name="Picture 3"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rotWithShape="1">
                  <a:blip r:embed="rId1" cstate="print">
                    <a:extLst>
                      <a:ext uri="{28A0092B-C50C-407E-A947-70E740481C1C}">
                        <a14:useLocalDpi xmlns:a14="http://schemas.microsoft.com/office/drawing/2010/main" val="0"/>
                      </a:ext>
                    </a:extLst>
                  </a:blip>
                  <a:srcRect l="6236"/>
                  <a:stretch/>
                </pic:blipFill>
                <pic:spPr bwMode="auto">
                  <a:xfrm>
                    <a:off x="0" y="0"/>
                    <a:ext cx="6256479" cy="128397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16" w:rsidRDefault="00806316">
    <w:pPr>
      <w:pStyle w:val="Header"/>
    </w:pPr>
    <w:r>
      <w:rPr>
        <w:noProof/>
        <w:lang w:val="en-US"/>
      </w:rPr>
      <w:drawing>
        <wp:inline distT="0" distB="0" distL="0" distR="0" wp14:anchorId="60FA283F" wp14:editId="77E6DF29">
          <wp:extent cx="5731510" cy="1175888"/>
          <wp:effectExtent l="0" t="0" r="2540" b="5715"/>
          <wp:docPr id="4" name="Picture 4"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rotWithShape="1">
                  <a:blip r:embed="rId1" cstate="print">
                    <a:extLst>
                      <a:ext uri="{28A0092B-C50C-407E-A947-70E740481C1C}">
                        <a14:useLocalDpi xmlns:a14="http://schemas.microsoft.com/office/drawing/2010/main" val="0"/>
                      </a:ext>
                    </a:extLst>
                  </a:blip>
                  <a:srcRect l="6236"/>
                  <a:stretch/>
                </pic:blipFill>
                <pic:spPr bwMode="auto">
                  <a:xfrm>
                    <a:off x="0" y="0"/>
                    <a:ext cx="5731510" cy="11758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5283"/>
    <w:multiLevelType w:val="hybridMultilevel"/>
    <w:tmpl w:val="5D804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D37364"/>
    <w:multiLevelType w:val="hybridMultilevel"/>
    <w:tmpl w:val="39A49D46"/>
    <w:lvl w:ilvl="0" w:tplc="2BEA124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F1E79"/>
    <w:multiLevelType w:val="hybridMultilevel"/>
    <w:tmpl w:val="585E9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8776DE"/>
    <w:multiLevelType w:val="hybridMultilevel"/>
    <w:tmpl w:val="6290A640"/>
    <w:lvl w:ilvl="0" w:tplc="6DB40A24">
      <w:start w:val="1"/>
      <w:numFmt w:val="lowerLetter"/>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71E7FED"/>
    <w:multiLevelType w:val="hybridMultilevel"/>
    <w:tmpl w:val="08502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D3042F"/>
    <w:multiLevelType w:val="hybridMultilevel"/>
    <w:tmpl w:val="5F30180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3605FD"/>
    <w:multiLevelType w:val="hybridMultilevel"/>
    <w:tmpl w:val="E682B670"/>
    <w:lvl w:ilvl="0" w:tplc="AEB4D7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5D434B"/>
    <w:multiLevelType w:val="hybridMultilevel"/>
    <w:tmpl w:val="B70E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DF70FE"/>
    <w:multiLevelType w:val="hybridMultilevel"/>
    <w:tmpl w:val="464EA8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C8641A"/>
    <w:multiLevelType w:val="hybridMultilevel"/>
    <w:tmpl w:val="0F78E62E"/>
    <w:lvl w:ilvl="0" w:tplc="8DA6BB4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AD42DE"/>
    <w:multiLevelType w:val="hybridMultilevel"/>
    <w:tmpl w:val="27B6DA3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DD50F4C"/>
    <w:multiLevelType w:val="hybridMultilevel"/>
    <w:tmpl w:val="374E0D90"/>
    <w:lvl w:ilvl="0" w:tplc="AEB4D744">
      <w:numFmt w:val="bullet"/>
      <w:lvlText w:val=""/>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917BB9"/>
    <w:multiLevelType w:val="multilevel"/>
    <w:tmpl w:val="4E5C847A"/>
    <w:lvl w:ilvl="0">
      <w:start w:val="1"/>
      <w:numFmt w:val="none"/>
      <w:pStyle w:val="BodyNormal"/>
      <w:suff w:val="nothing"/>
      <w:lvlText w:val=""/>
      <w:lvlJc w:val="left"/>
      <w:pPr>
        <w:ind w:left="0" w:firstLine="0"/>
      </w:pPr>
      <w:rPr>
        <w:rFonts w:hint="default"/>
        <w:color w:val="auto"/>
      </w:rPr>
    </w:lvl>
    <w:lvl w:ilvl="1">
      <w:start w:val="1"/>
      <w:numFmt w:val="none"/>
      <w:pStyle w:val="Indent1"/>
      <w:suff w:val="nothing"/>
      <w:lvlText w:val=""/>
      <w:lvlJc w:val="left"/>
      <w:pPr>
        <w:ind w:left="567" w:firstLine="0"/>
      </w:pPr>
      <w:rPr>
        <w:rFonts w:hint="default"/>
      </w:rPr>
    </w:lvl>
    <w:lvl w:ilvl="2">
      <w:start w:val="1"/>
      <w:numFmt w:val="none"/>
      <w:pStyle w:val="Indent2"/>
      <w:suff w:val="nothing"/>
      <w:lvlText w:val=""/>
      <w:lvlJc w:val="left"/>
      <w:pPr>
        <w:ind w:left="1134" w:firstLine="0"/>
      </w:pPr>
      <w:rPr>
        <w:rFonts w:hint="default"/>
      </w:rPr>
    </w:lvl>
    <w:lvl w:ilvl="3">
      <w:start w:val="1"/>
      <w:numFmt w:val="none"/>
      <w:pStyle w:val="Indent3"/>
      <w:suff w:val="nothing"/>
      <w:lvlText w:val=""/>
      <w:lvlJc w:val="left"/>
      <w:pPr>
        <w:ind w:left="1701" w:firstLine="0"/>
      </w:pPr>
      <w:rPr>
        <w:rFonts w:hint="default"/>
      </w:rPr>
    </w:lvl>
    <w:lvl w:ilvl="4">
      <w:start w:val="1"/>
      <w:numFmt w:val="none"/>
      <w:pStyle w:val="Indent4"/>
      <w:suff w:val="nothing"/>
      <w:lvlText w:val=""/>
      <w:lvlJc w:val="left"/>
      <w:pPr>
        <w:ind w:left="2268" w:firstLine="0"/>
      </w:pPr>
      <w:rPr>
        <w:rFonts w:hint="default"/>
      </w:rPr>
    </w:lvl>
    <w:lvl w:ilvl="5">
      <w:start w:val="1"/>
      <w:numFmt w:val="none"/>
      <w:pStyle w:val="Indent5"/>
      <w:suff w:val="nothing"/>
      <w:lvlText w:val=""/>
      <w:lvlJc w:val="left"/>
      <w:pPr>
        <w:ind w:left="2835" w:firstLine="0"/>
      </w:pPr>
      <w:rPr>
        <w:rFonts w:hint="default"/>
      </w:rPr>
    </w:lvl>
    <w:lvl w:ilvl="6">
      <w:start w:val="1"/>
      <w:numFmt w:val="none"/>
      <w:pStyle w:val="Indent6"/>
      <w:suff w:val="nothing"/>
      <w:lvlText w:val=""/>
      <w:lvlJc w:val="left"/>
      <w:pPr>
        <w:ind w:left="3402" w:firstLine="0"/>
      </w:pPr>
      <w:rPr>
        <w:rFonts w:hint="default"/>
      </w:rPr>
    </w:lvl>
    <w:lvl w:ilvl="7">
      <w:start w:val="1"/>
      <w:numFmt w:val="none"/>
      <w:pStyle w:val="Indent7"/>
      <w:suff w:val="nothing"/>
      <w:lvlText w:val=""/>
      <w:lvlJc w:val="left"/>
      <w:pPr>
        <w:ind w:left="3969" w:firstLine="0"/>
      </w:pPr>
      <w:rPr>
        <w:rFonts w:hint="default"/>
      </w:rPr>
    </w:lvl>
    <w:lvl w:ilvl="8">
      <w:start w:val="1"/>
      <w:numFmt w:val="none"/>
      <w:pStyle w:val="Indent8"/>
      <w:suff w:val="nothing"/>
      <w:lvlText w:val=""/>
      <w:lvlJc w:val="left"/>
      <w:pPr>
        <w:ind w:left="4536" w:firstLine="0"/>
      </w:pPr>
      <w:rPr>
        <w:rFonts w:hint="default"/>
      </w:rPr>
    </w:lvl>
  </w:abstractNum>
  <w:abstractNum w:abstractNumId="13" w15:restartNumberingAfterBreak="0">
    <w:nsid w:val="758D7430"/>
    <w:multiLevelType w:val="hybridMultilevel"/>
    <w:tmpl w:val="2AAC8E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776B2719"/>
    <w:multiLevelType w:val="hybridMultilevel"/>
    <w:tmpl w:val="4D529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2"/>
  </w:num>
  <w:num w:numId="5">
    <w:abstractNumId w:val="2"/>
  </w:num>
  <w:num w:numId="6">
    <w:abstractNumId w:val="6"/>
  </w:num>
  <w:num w:numId="7">
    <w:abstractNumId w:val="0"/>
  </w:num>
  <w:num w:numId="8">
    <w:abstractNumId w:val="11"/>
  </w:num>
  <w:num w:numId="9">
    <w:abstractNumId w:val="5"/>
  </w:num>
  <w:num w:numId="10">
    <w:abstractNumId w:val="12"/>
  </w:num>
  <w:num w:numId="11">
    <w:abstractNumId w:val="12"/>
  </w:num>
  <w:num w:numId="12">
    <w:abstractNumId w:val="13"/>
  </w:num>
  <w:num w:numId="13">
    <w:abstractNumId w:val="4"/>
  </w:num>
  <w:num w:numId="14">
    <w:abstractNumId w:val="7"/>
  </w:num>
  <w:num w:numId="15">
    <w:abstractNumId w:val="12"/>
  </w:num>
  <w:num w:numId="16">
    <w:abstractNumId w:val="3"/>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44"/>
    <w:rsid w:val="00041115"/>
    <w:rsid w:val="000554C2"/>
    <w:rsid w:val="00084D7E"/>
    <w:rsid w:val="000B60ED"/>
    <w:rsid w:val="000D42A5"/>
    <w:rsid w:val="000F1B29"/>
    <w:rsid w:val="00163FD9"/>
    <w:rsid w:val="00166904"/>
    <w:rsid w:val="001803C8"/>
    <w:rsid w:val="00181962"/>
    <w:rsid w:val="001E630D"/>
    <w:rsid w:val="00236F55"/>
    <w:rsid w:val="00237FB0"/>
    <w:rsid w:val="0030274C"/>
    <w:rsid w:val="0034124D"/>
    <w:rsid w:val="0037217E"/>
    <w:rsid w:val="003B2BB8"/>
    <w:rsid w:val="003B42D3"/>
    <w:rsid w:val="003D34FF"/>
    <w:rsid w:val="003F25F0"/>
    <w:rsid w:val="0041694D"/>
    <w:rsid w:val="00420D37"/>
    <w:rsid w:val="00432A74"/>
    <w:rsid w:val="00465666"/>
    <w:rsid w:val="00481809"/>
    <w:rsid w:val="004B54CA"/>
    <w:rsid w:val="004E5CBF"/>
    <w:rsid w:val="00514FDB"/>
    <w:rsid w:val="00522319"/>
    <w:rsid w:val="00536C5C"/>
    <w:rsid w:val="00561581"/>
    <w:rsid w:val="005C3AA9"/>
    <w:rsid w:val="005C3FFE"/>
    <w:rsid w:val="005E2C33"/>
    <w:rsid w:val="00610B29"/>
    <w:rsid w:val="00611AA5"/>
    <w:rsid w:val="00626DCD"/>
    <w:rsid w:val="00655E23"/>
    <w:rsid w:val="00671355"/>
    <w:rsid w:val="00682C25"/>
    <w:rsid w:val="006A4CE7"/>
    <w:rsid w:val="006B2FB5"/>
    <w:rsid w:val="006C05D2"/>
    <w:rsid w:val="006C5868"/>
    <w:rsid w:val="006C6D49"/>
    <w:rsid w:val="006E54B4"/>
    <w:rsid w:val="007338E6"/>
    <w:rsid w:val="007473A2"/>
    <w:rsid w:val="007737D0"/>
    <w:rsid w:val="00785261"/>
    <w:rsid w:val="00795AE1"/>
    <w:rsid w:val="007A67B2"/>
    <w:rsid w:val="007A7E0E"/>
    <w:rsid w:val="007B0256"/>
    <w:rsid w:val="007E58D3"/>
    <w:rsid w:val="00806316"/>
    <w:rsid w:val="00806833"/>
    <w:rsid w:val="00826F0B"/>
    <w:rsid w:val="00850B0A"/>
    <w:rsid w:val="008943E2"/>
    <w:rsid w:val="008A36D4"/>
    <w:rsid w:val="0092069F"/>
    <w:rsid w:val="009225F0"/>
    <w:rsid w:val="009518B1"/>
    <w:rsid w:val="00987E5E"/>
    <w:rsid w:val="00997918"/>
    <w:rsid w:val="009D0020"/>
    <w:rsid w:val="00A03748"/>
    <w:rsid w:val="00A1448D"/>
    <w:rsid w:val="00A2151C"/>
    <w:rsid w:val="00A61014"/>
    <w:rsid w:val="00AA1581"/>
    <w:rsid w:val="00AD596A"/>
    <w:rsid w:val="00B532AB"/>
    <w:rsid w:val="00B67144"/>
    <w:rsid w:val="00B900D0"/>
    <w:rsid w:val="00BA2DB9"/>
    <w:rsid w:val="00BC20FE"/>
    <w:rsid w:val="00BE56C2"/>
    <w:rsid w:val="00BE7148"/>
    <w:rsid w:val="00C81E0F"/>
    <w:rsid w:val="00CB2598"/>
    <w:rsid w:val="00CE6190"/>
    <w:rsid w:val="00D14551"/>
    <w:rsid w:val="00DA61E8"/>
    <w:rsid w:val="00DB6809"/>
    <w:rsid w:val="00DD7CC0"/>
    <w:rsid w:val="00E07D21"/>
    <w:rsid w:val="00E53F79"/>
    <w:rsid w:val="00EE57FE"/>
    <w:rsid w:val="00EF3841"/>
    <w:rsid w:val="00F71E41"/>
    <w:rsid w:val="00F81CD8"/>
    <w:rsid w:val="00F93E92"/>
    <w:rsid w:val="00FD4CD2"/>
    <w:rsid w:val="00FD5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44"/>
    <w:pPr>
      <w:spacing w:before="240"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5C3FFE"/>
    <w:pPr>
      <w:tabs>
        <w:tab w:val="center" w:pos="4513"/>
        <w:tab w:val="right" w:pos="9026"/>
      </w:tabs>
      <w:spacing w:before="0"/>
    </w:pPr>
  </w:style>
  <w:style w:type="character" w:customStyle="1" w:styleId="HeaderChar">
    <w:name w:val="Header Char"/>
    <w:basedOn w:val="DefaultParagraphFont"/>
    <w:link w:val="Header"/>
    <w:uiPriority w:val="99"/>
    <w:rsid w:val="005C3FFE"/>
    <w:rPr>
      <w:rFonts w:ascii="Arial" w:eastAsia="Times New Roman" w:hAnsi="Arial" w:cs="Times New Roman"/>
      <w:sz w:val="24"/>
      <w:szCs w:val="20"/>
    </w:rPr>
  </w:style>
  <w:style w:type="paragraph" w:styleId="Footer">
    <w:name w:val="footer"/>
    <w:basedOn w:val="Normal"/>
    <w:link w:val="FooterChar"/>
    <w:uiPriority w:val="99"/>
    <w:unhideWhenUsed/>
    <w:rsid w:val="005C3FFE"/>
    <w:pPr>
      <w:tabs>
        <w:tab w:val="center" w:pos="4513"/>
        <w:tab w:val="right" w:pos="9026"/>
      </w:tabs>
      <w:spacing w:before="0"/>
    </w:pPr>
  </w:style>
  <w:style w:type="character" w:customStyle="1" w:styleId="FooterChar">
    <w:name w:val="Footer Char"/>
    <w:basedOn w:val="DefaultParagraphFont"/>
    <w:link w:val="Footer"/>
    <w:uiPriority w:val="99"/>
    <w:rsid w:val="005C3FFE"/>
    <w:rPr>
      <w:rFonts w:ascii="Arial" w:eastAsia="Times New Roman" w:hAnsi="Arial" w:cs="Times New Roman"/>
      <w:sz w:val="24"/>
      <w:szCs w:val="20"/>
    </w:rPr>
  </w:style>
  <w:style w:type="character" w:styleId="Hyperlink">
    <w:name w:val="Hyperlink"/>
    <w:basedOn w:val="DefaultParagraphFont"/>
    <w:uiPriority w:val="99"/>
    <w:unhideWhenUsed/>
    <w:rsid w:val="006C05D2"/>
    <w:rPr>
      <w:color w:val="0000FF" w:themeColor="hyperlink"/>
      <w:u w:val="single"/>
    </w:rPr>
  </w:style>
  <w:style w:type="paragraph" w:styleId="BalloonText">
    <w:name w:val="Balloon Text"/>
    <w:basedOn w:val="Normal"/>
    <w:link w:val="BalloonTextChar"/>
    <w:uiPriority w:val="99"/>
    <w:semiHidden/>
    <w:unhideWhenUsed/>
    <w:rsid w:val="00536C5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5C"/>
    <w:rPr>
      <w:rFonts w:ascii="Tahoma" w:eastAsia="Times New Roman" w:hAnsi="Tahoma" w:cs="Tahoma"/>
      <w:sz w:val="16"/>
      <w:szCs w:val="16"/>
    </w:rPr>
  </w:style>
  <w:style w:type="paragraph" w:customStyle="1" w:styleId="Indent1">
    <w:name w:val="Indent 1"/>
    <w:basedOn w:val="Normal"/>
    <w:rsid w:val="00997918"/>
    <w:pPr>
      <w:numPr>
        <w:ilvl w:val="1"/>
        <w:numId w:val="4"/>
      </w:numPr>
      <w:kinsoku w:val="0"/>
      <w:overflowPunct w:val="0"/>
      <w:autoSpaceDE w:val="0"/>
      <w:autoSpaceDN w:val="0"/>
      <w:adjustRightInd w:val="0"/>
      <w:snapToGrid w:val="0"/>
      <w:spacing w:before="100" w:after="100"/>
    </w:pPr>
    <w:rPr>
      <w:snapToGrid w:val="0"/>
      <w:sz w:val="20"/>
    </w:rPr>
  </w:style>
  <w:style w:type="paragraph" w:customStyle="1" w:styleId="Indent2">
    <w:name w:val="Indent 2"/>
    <w:basedOn w:val="Indent1"/>
    <w:rsid w:val="00997918"/>
    <w:pPr>
      <w:numPr>
        <w:ilvl w:val="2"/>
      </w:numPr>
    </w:pPr>
  </w:style>
  <w:style w:type="paragraph" w:customStyle="1" w:styleId="Indent3">
    <w:name w:val="Indent 3"/>
    <w:basedOn w:val="Indent2"/>
    <w:rsid w:val="00997918"/>
    <w:pPr>
      <w:numPr>
        <w:ilvl w:val="3"/>
      </w:numPr>
    </w:pPr>
  </w:style>
  <w:style w:type="paragraph" w:customStyle="1" w:styleId="Indent5">
    <w:name w:val="Indent 5"/>
    <w:basedOn w:val="Indent4"/>
    <w:rsid w:val="00997918"/>
    <w:pPr>
      <w:numPr>
        <w:ilvl w:val="5"/>
      </w:numPr>
    </w:pPr>
  </w:style>
  <w:style w:type="paragraph" w:customStyle="1" w:styleId="Indent6">
    <w:name w:val="Indent 6"/>
    <w:basedOn w:val="Indent5"/>
    <w:rsid w:val="00997918"/>
    <w:pPr>
      <w:numPr>
        <w:ilvl w:val="6"/>
      </w:numPr>
    </w:pPr>
  </w:style>
  <w:style w:type="paragraph" w:customStyle="1" w:styleId="Indent7">
    <w:name w:val="Indent 7"/>
    <w:basedOn w:val="Indent6"/>
    <w:rsid w:val="00997918"/>
    <w:pPr>
      <w:numPr>
        <w:ilvl w:val="7"/>
      </w:numPr>
    </w:pPr>
  </w:style>
  <w:style w:type="paragraph" w:customStyle="1" w:styleId="Indent4">
    <w:name w:val="Indent 4"/>
    <w:basedOn w:val="Indent3"/>
    <w:rsid w:val="00997918"/>
    <w:pPr>
      <w:numPr>
        <w:ilvl w:val="4"/>
      </w:numPr>
    </w:pPr>
  </w:style>
  <w:style w:type="paragraph" w:customStyle="1" w:styleId="BodyNormal">
    <w:name w:val="Body Normal"/>
    <w:basedOn w:val="Normal"/>
    <w:link w:val="BodyNormalChar"/>
    <w:rsid w:val="00997918"/>
    <w:pPr>
      <w:numPr>
        <w:numId w:val="4"/>
      </w:numPr>
      <w:kinsoku w:val="0"/>
      <w:overflowPunct w:val="0"/>
      <w:autoSpaceDE w:val="0"/>
      <w:autoSpaceDN w:val="0"/>
      <w:adjustRightInd w:val="0"/>
      <w:snapToGrid w:val="0"/>
      <w:spacing w:before="0" w:after="120"/>
    </w:pPr>
    <w:rPr>
      <w:rFonts w:asciiTheme="minorHAnsi" w:hAnsiTheme="minorHAnsi" w:cs="Arial"/>
      <w:snapToGrid w:val="0"/>
    </w:rPr>
  </w:style>
  <w:style w:type="character" w:customStyle="1" w:styleId="BodyNormalChar">
    <w:name w:val="Body Normal Char"/>
    <w:basedOn w:val="DefaultParagraphFont"/>
    <w:link w:val="BodyNormal"/>
    <w:rsid w:val="00997918"/>
    <w:rPr>
      <w:rFonts w:eastAsia="Times New Roman" w:cs="Arial"/>
      <w:snapToGrid w:val="0"/>
      <w:sz w:val="24"/>
      <w:szCs w:val="20"/>
    </w:rPr>
  </w:style>
  <w:style w:type="paragraph" w:customStyle="1" w:styleId="Indent8">
    <w:name w:val="Indent 8"/>
    <w:basedOn w:val="Indent7"/>
    <w:rsid w:val="00997918"/>
    <w:pPr>
      <w:numPr>
        <w:ilvl w:val="8"/>
      </w:numPr>
    </w:pPr>
  </w:style>
  <w:style w:type="character" w:styleId="CommentReference">
    <w:name w:val="annotation reference"/>
    <w:basedOn w:val="DefaultParagraphFont"/>
    <w:uiPriority w:val="99"/>
    <w:semiHidden/>
    <w:unhideWhenUsed/>
    <w:rsid w:val="007473A2"/>
    <w:rPr>
      <w:sz w:val="16"/>
      <w:szCs w:val="16"/>
    </w:rPr>
  </w:style>
  <w:style w:type="paragraph" w:styleId="CommentText">
    <w:name w:val="annotation text"/>
    <w:basedOn w:val="Normal"/>
    <w:link w:val="CommentTextChar"/>
    <w:uiPriority w:val="99"/>
    <w:semiHidden/>
    <w:unhideWhenUsed/>
    <w:rsid w:val="007473A2"/>
    <w:rPr>
      <w:sz w:val="20"/>
    </w:rPr>
  </w:style>
  <w:style w:type="character" w:customStyle="1" w:styleId="CommentTextChar">
    <w:name w:val="Comment Text Char"/>
    <w:basedOn w:val="DefaultParagraphFont"/>
    <w:link w:val="CommentText"/>
    <w:uiPriority w:val="99"/>
    <w:semiHidden/>
    <w:rsid w:val="007473A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73A2"/>
    <w:rPr>
      <w:b/>
      <w:bCs/>
    </w:rPr>
  </w:style>
  <w:style w:type="character" w:customStyle="1" w:styleId="CommentSubjectChar">
    <w:name w:val="Comment Subject Char"/>
    <w:basedOn w:val="CommentTextChar"/>
    <w:link w:val="CommentSubject"/>
    <w:uiPriority w:val="99"/>
    <w:semiHidden/>
    <w:rsid w:val="007473A2"/>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B2FB5"/>
    <w:rPr>
      <w:color w:val="800080" w:themeColor="followedHyperlink"/>
      <w:u w:val="single"/>
    </w:rPr>
  </w:style>
  <w:style w:type="character" w:styleId="PlaceholderText">
    <w:name w:val="Placeholder Text"/>
    <w:basedOn w:val="DefaultParagraphFont"/>
    <w:uiPriority w:val="99"/>
    <w:semiHidden/>
    <w:rsid w:val="00432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2775">
      <w:bodyDiv w:val="1"/>
      <w:marLeft w:val="0"/>
      <w:marRight w:val="0"/>
      <w:marTop w:val="0"/>
      <w:marBottom w:val="0"/>
      <w:divBdr>
        <w:top w:val="none" w:sz="0" w:space="0" w:color="auto"/>
        <w:left w:val="none" w:sz="0" w:space="0" w:color="auto"/>
        <w:bottom w:val="none" w:sz="0" w:space="0" w:color="auto"/>
        <w:right w:val="none" w:sz="0" w:space="0" w:color="auto"/>
      </w:divBdr>
    </w:div>
    <w:div w:id="16881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ngage.dss.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1845</Words>
  <Characters>10519</Characters>
  <Application>Microsoft Office Word</Application>
  <DocSecurity>0</DocSecurity>
  <Lines>87</Lines>
  <Paragraphs>24</Paragraphs>
  <ScaleCrop>false</ScaleCrop>
  <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2016-11-22T22:15:00Z</dcterms:created>
  <dcterms:modified xsi:type="dcterms:W3CDTF">2016-12-21T03:26:00Z</dcterms:modified>
</cp:coreProperties>
</file>