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B5" w:rsidRPr="005E2C33" w:rsidRDefault="006B2FB5" w:rsidP="00A1448D">
      <w:pPr>
        <w:pStyle w:val="Title"/>
        <w:jc w:val="center"/>
        <w:rPr>
          <w:rFonts w:ascii="Calibri" w:hAnsi="Calibri"/>
          <w:b/>
          <w:sz w:val="48"/>
          <w:lang w:val="en-US" w:eastAsia="ja-JP"/>
        </w:rPr>
      </w:pPr>
      <w:r w:rsidRPr="005E2C33">
        <w:rPr>
          <w:rFonts w:ascii="Calibri" w:hAnsi="Calibri"/>
          <w:b/>
          <w:sz w:val="48"/>
          <w:lang w:val="en-US" w:eastAsia="ja-JP"/>
        </w:rPr>
        <w:t>Submission Template</w:t>
      </w:r>
    </w:p>
    <w:p w:rsidR="005C3FFE" w:rsidRPr="005E2C33" w:rsidRDefault="00D14551" w:rsidP="00D14551">
      <w:pPr>
        <w:pStyle w:val="Title"/>
        <w:jc w:val="center"/>
        <w:rPr>
          <w:rFonts w:ascii="Calibri" w:hAnsi="Calibri"/>
          <w:sz w:val="48"/>
          <w:lang w:val="en-US" w:eastAsia="ja-JP"/>
        </w:rPr>
      </w:pPr>
      <w:r w:rsidRPr="005E2C33">
        <w:rPr>
          <w:rFonts w:ascii="Calibri" w:hAnsi="Calibri"/>
          <w:sz w:val="48"/>
          <w:lang w:val="en-US" w:eastAsia="ja-JP"/>
        </w:rPr>
        <w:t>Improving the National Rental Affordability Scheme</w:t>
      </w:r>
      <w:r w:rsidR="00BE56C2" w:rsidRPr="005E2C33">
        <w:rPr>
          <w:rFonts w:ascii="Calibri" w:hAnsi="Calibri"/>
          <w:sz w:val="48"/>
          <w:lang w:val="en-US" w:eastAsia="ja-JP"/>
        </w:rPr>
        <w:t xml:space="preserve"> – </w:t>
      </w:r>
      <w:r w:rsidRPr="005E2C33">
        <w:rPr>
          <w:rFonts w:ascii="Calibri" w:hAnsi="Calibri"/>
          <w:sz w:val="48"/>
          <w:lang w:val="en-US" w:eastAsia="ja-JP"/>
        </w:rPr>
        <w:t>Consultation Paper</w:t>
      </w:r>
    </w:p>
    <w:p w:rsidR="005C3FFE" w:rsidRPr="005E2C33" w:rsidRDefault="005C3FFE" w:rsidP="005C3FFE">
      <w:pPr>
        <w:jc w:val="center"/>
        <w:rPr>
          <w:rFonts w:ascii="Calibri" w:hAnsi="Calibri"/>
          <w:b/>
          <w:sz w:val="32"/>
          <w:szCs w:val="32"/>
          <w:lang w:val="en-US" w:eastAsia="ja-JP"/>
        </w:rPr>
      </w:pPr>
      <w:bookmarkStart w:id="0" w:name="_GoBack"/>
      <w:bookmarkEnd w:id="0"/>
    </w:p>
    <w:p w:rsidR="006B2FB5" w:rsidRPr="005E2C33" w:rsidRDefault="006B2FB5" w:rsidP="00826F0B">
      <w:pPr>
        <w:pBdr>
          <w:top w:val="single" w:sz="4" w:space="1" w:color="auto"/>
          <w:left w:val="single" w:sz="4" w:space="4" w:color="auto"/>
          <w:bottom w:val="single" w:sz="4" w:space="1" w:color="auto"/>
          <w:right w:val="single" w:sz="4" w:space="4" w:color="auto"/>
        </w:pBdr>
        <w:jc w:val="center"/>
        <w:rPr>
          <w:rFonts w:ascii="Calibri" w:hAnsi="Calibri"/>
          <w:sz w:val="28"/>
          <w:szCs w:val="26"/>
          <w:lang w:val="en-US" w:eastAsia="ja-JP"/>
        </w:rPr>
      </w:pPr>
      <w:r w:rsidRPr="005E2C33">
        <w:rPr>
          <w:rFonts w:ascii="Calibri" w:hAnsi="Calibri"/>
          <w:sz w:val="28"/>
          <w:szCs w:val="26"/>
          <w:lang w:val="en-US" w:eastAsia="ja-JP"/>
        </w:rPr>
        <w:t>Please upload c</w:t>
      </w:r>
      <w:r w:rsidR="006C05D2" w:rsidRPr="005E2C33">
        <w:rPr>
          <w:rFonts w:ascii="Calibri" w:hAnsi="Calibri"/>
          <w:sz w:val="28"/>
          <w:szCs w:val="26"/>
          <w:lang w:val="en-US" w:eastAsia="ja-JP"/>
        </w:rPr>
        <w:t xml:space="preserve">ompleted submissions by </w:t>
      </w:r>
      <w:r w:rsidRPr="005E2C33">
        <w:rPr>
          <w:rFonts w:ascii="Calibri" w:hAnsi="Calibri"/>
          <w:b/>
          <w:sz w:val="28"/>
          <w:szCs w:val="26"/>
          <w:lang w:val="en-US" w:eastAsia="ja-JP"/>
        </w:rPr>
        <w:t>5pm</w:t>
      </w:r>
      <w:r w:rsidR="00163FD9">
        <w:rPr>
          <w:rFonts w:ascii="Calibri" w:hAnsi="Calibri"/>
          <w:b/>
          <w:sz w:val="28"/>
          <w:szCs w:val="26"/>
          <w:lang w:val="en-US" w:eastAsia="ja-JP"/>
        </w:rPr>
        <w:t xml:space="preserve"> AEST</w:t>
      </w:r>
      <w:r w:rsidRPr="005E2C33">
        <w:rPr>
          <w:rFonts w:ascii="Calibri" w:hAnsi="Calibri"/>
          <w:b/>
          <w:sz w:val="28"/>
          <w:szCs w:val="26"/>
          <w:lang w:val="en-US" w:eastAsia="ja-JP"/>
        </w:rPr>
        <w:t>,</w:t>
      </w:r>
      <w:r w:rsidRPr="005E2C33">
        <w:rPr>
          <w:rFonts w:ascii="Calibri" w:hAnsi="Calibri"/>
          <w:sz w:val="28"/>
          <w:szCs w:val="26"/>
          <w:lang w:val="en-US" w:eastAsia="ja-JP"/>
        </w:rPr>
        <w:t xml:space="preserve"> </w:t>
      </w:r>
      <w:r w:rsidR="00163FD9">
        <w:rPr>
          <w:rFonts w:ascii="Calibri" w:hAnsi="Calibri"/>
          <w:b/>
          <w:sz w:val="28"/>
          <w:szCs w:val="26"/>
          <w:lang w:val="en-US" w:eastAsia="ja-JP"/>
        </w:rPr>
        <w:t>21</w:t>
      </w:r>
      <w:r w:rsidRPr="005E2C33">
        <w:rPr>
          <w:rFonts w:ascii="Calibri" w:hAnsi="Calibri"/>
          <w:b/>
          <w:sz w:val="28"/>
          <w:szCs w:val="26"/>
          <w:lang w:val="en-US" w:eastAsia="ja-JP"/>
        </w:rPr>
        <w:t xml:space="preserve"> </w:t>
      </w:r>
      <w:r w:rsidR="00795AE1">
        <w:rPr>
          <w:rFonts w:ascii="Calibri" w:hAnsi="Calibri"/>
          <w:b/>
          <w:sz w:val="28"/>
          <w:szCs w:val="26"/>
          <w:lang w:val="en-US" w:eastAsia="ja-JP"/>
        </w:rPr>
        <w:t>December</w:t>
      </w:r>
      <w:r w:rsidR="00DA61E8">
        <w:rPr>
          <w:rFonts w:ascii="Calibri" w:hAnsi="Calibri"/>
          <w:b/>
          <w:sz w:val="28"/>
          <w:szCs w:val="26"/>
          <w:lang w:val="en-US" w:eastAsia="ja-JP"/>
        </w:rPr>
        <w:t xml:space="preserve"> 2016</w:t>
      </w:r>
      <w:r w:rsidRPr="005E2C33">
        <w:rPr>
          <w:rFonts w:ascii="Calibri" w:hAnsi="Calibri"/>
          <w:b/>
          <w:sz w:val="28"/>
          <w:szCs w:val="26"/>
          <w:lang w:val="en-US" w:eastAsia="ja-JP"/>
        </w:rPr>
        <w:t xml:space="preserve"> </w:t>
      </w:r>
      <w:r w:rsidR="006C05D2" w:rsidRPr="005E2C33">
        <w:rPr>
          <w:rFonts w:ascii="Calibri" w:hAnsi="Calibri"/>
          <w:sz w:val="28"/>
          <w:szCs w:val="26"/>
          <w:lang w:val="en-US" w:eastAsia="ja-JP"/>
        </w:rPr>
        <w:t xml:space="preserve">to </w:t>
      </w:r>
      <w:hyperlink r:id="rId8" w:history="1">
        <w:r w:rsidRPr="005E2C33">
          <w:rPr>
            <w:rStyle w:val="Hyperlink"/>
            <w:rFonts w:ascii="Calibri" w:hAnsi="Calibri"/>
            <w:sz w:val="28"/>
            <w:szCs w:val="26"/>
            <w:lang w:val="en-US" w:eastAsia="ja-JP"/>
          </w:rPr>
          <w:t>engage.dss.gov.au</w:t>
        </w:r>
      </w:hyperlink>
    </w:p>
    <w:p w:rsidR="00536C5C" w:rsidRPr="005E2C33" w:rsidRDefault="00536C5C" w:rsidP="00536C5C">
      <w:pPr>
        <w:rPr>
          <w:rFonts w:ascii="Calibri" w:hAnsi="Calibri"/>
          <w:b/>
          <w:sz w:val="26"/>
          <w:szCs w:val="26"/>
          <w:lang w:val="en-US" w:eastAsia="ja-JP"/>
        </w:rPr>
      </w:pPr>
    </w:p>
    <w:p w:rsidR="00536C5C" w:rsidRPr="005E2C33" w:rsidRDefault="00536C5C" w:rsidP="006B2FB5">
      <w:pPr>
        <w:shd w:val="clear" w:color="auto" w:fill="92CDDC" w:themeFill="accent5" w:themeFillTint="99"/>
        <w:jc w:val="center"/>
        <w:rPr>
          <w:rFonts w:ascii="Calibri" w:hAnsi="Calibri"/>
          <w:b/>
          <w:sz w:val="28"/>
        </w:rPr>
      </w:pPr>
      <w:r w:rsidRPr="005E2C33">
        <w:rPr>
          <w:rFonts w:ascii="Calibri" w:hAnsi="Calibri"/>
          <w:b/>
          <w:sz w:val="28"/>
        </w:rPr>
        <w:t>Instructions for com</w:t>
      </w:r>
      <w:r w:rsidR="00671355" w:rsidRPr="005E2C33">
        <w:rPr>
          <w:rFonts w:ascii="Calibri" w:hAnsi="Calibri"/>
          <w:b/>
          <w:sz w:val="28"/>
        </w:rPr>
        <w:t>pleting the Submission Template</w:t>
      </w:r>
    </w:p>
    <w:p w:rsidR="00536C5C" w:rsidRPr="005E2C33" w:rsidRDefault="00536C5C" w:rsidP="006B2FB5">
      <w:pPr>
        <w:pStyle w:val="ListParagraph"/>
        <w:numPr>
          <w:ilvl w:val="0"/>
          <w:numId w:val="9"/>
        </w:numPr>
        <w:shd w:val="clear" w:color="auto" w:fill="DAEEF3" w:themeFill="accent5" w:themeFillTint="33"/>
        <w:rPr>
          <w:rFonts w:ascii="Calibri" w:hAnsi="Calibri"/>
          <w:sz w:val="28"/>
          <w:szCs w:val="26"/>
          <w:lang w:val="en-US" w:eastAsia="ja-JP"/>
        </w:rPr>
      </w:pPr>
      <w:r w:rsidRPr="005E2C33">
        <w:rPr>
          <w:rFonts w:ascii="Calibri" w:hAnsi="Calibri"/>
          <w:sz w:val="28"/>
          <w:szCs w:val="26"/>
          <w:lang w:val="en-US" w:eastAsia="ja-JP"/>
        </w:rPr>
        <w:t xml:space="preserve">Download and save a copy of the template to your computer. </w:t>
      </w:r>
    </w:p>
    <w:p w:rsidR="00536C5C" w:rsidRPr="005E2C33" w:rsidRDefault="00536C5C" w:rsidP="006B2FB5">
      <w:pPr>
        <w:pStyle w:val="ListParagraph"/>
        <w:numPr>
          <w:ilvl w:val="0"/>
          <w:numId w:val="9"/>
        </w:numPr>
        <w:shd w:val="clear" w:color="auto" w:fill="DAEEF3" w:themeFill="accent5" w:themeFillTint="33"/>
        <w:rPr>
          <w:rFonts w:ascii="Calibri" w:hAnsi="Calibri"/>
          <w:sz w:val="28"/>
          <w:szCs w:val="26"/>
          <w:lang w:val="en-US" w:eastAsia="ja-JP"/>
        </w:rPr>
      </w:pPr>
      <w:r w:rsidRPr="005E2C33">
        <w:rPr>
          <w:rFonts w:ascii="Calibri" w:hAnsi="Calibri"/>
          <w:sz w:val="28"/>
          <w:szCs w:val="26"/>
          <w:lang w:val="en-US" w:eastAsia="ja-JP"/>
        </w:rPr>
        <w:t xml:space="preserve">You </w:t>
      </w:r>
      <w:r w:rsidRPr="005E2C33">
        <w:rPr>
          <w:rFonts w:ascii="Calibri" w:hAnsi="Calibri"/>
          <w:b/>
          <w:sz w:val="28"/>
          <w:szCs w:val="26"/>
          <w:lang w:val="en-US" w:eastAsia="ja-JP"/>
        </w:rPr>
        <w:t>do not</w:t>
      </w:r>
      <w:r w:rsidRPr="005E2C33">
        <w:rPr>
          <w:rFonts w:ascii="Calibri" w:hAnsi="Calibri"/>
          <w:sz w:val="28"/>
          <w:szCs w:val="26"/>
          <w:lang w:val="en-US" w:eastAsia="ja-JP"/>
        </w:rPr>
        <w:t xml:space="preserve"> need to respond to all of the questions.</w:t>
      </w:r>
    </w:p>
    <w:p w:rsidR="006B2FB5" w:rsidRPr="005E2C33" w:rsidRDefault="00536C5C" w:rsidP="006B2FB5">
      <w:pPr>
        <w:pStyle w:val="ListParagraph"/>
        <w:numPr>
          <w:ilvl w:val="0"/>
          <w:numId w:val="9"/>
        </w:numPr>
        <w:shd w:val="clear" w:color="auto" w:fill="DAEEF3" w:themeFill="accent5" w:themeFillTint="33"/>
        <w:rPr>
          <w:rFonts w:ascii="Calibri" w:hAnsi="Calibri"/>
          <w:sz w:val="28"/>
          <w:szCs w:val="26"/>
          <w:lang w:val="en-US" w:eastAsia="ja-JP"/>
        </w:rPr>
      </w:pPr>
      <w:r w:rsidRPr="005E2C33">
        <w:rPr>
          <w:rFonts w:ascii="Calibri" w:hAnsi="Calibri"/>
          <w:sz w:val="28"/>
          <w:szCs w:val="26"/>
          <w:lang w:val="en-US" w:eastAsia="ja-JP"/>
        </w:rPr>
        <w:t>Please keep your answers concise and relevant to the topic being addressed.</w:t>
      </w:r>
    </w:p>
    <w:p w:rsidR="00DD7CC0" w:rsidRPr="005E2C33" w:rsidRDefault="00DD7CC0" w:rsidP="00DD7CC0">
      <w:pPr>
        <w:spacing w:before="1080"/>
        <w:rPr>
          <w:rFonts w:ascii="Calibri" w:hAnsi="Calibri"/>
          <w:snapToGrid w:val="0"/>
        </w:rPr>
      </w:pPr>
      <w:r w:rsidRPr="005E2C33">
        <w:rPr>
          <w:rStyle w:val="BookTitle"/>
          <w:rFonts w:ascii="Calibri" w:hAnsi="Calibri"/>
          <w:b/>
          <w:i w:val="0"/>
          <w:iCs w:val="0"/>
          <w:smallCaps w:val="0"/>
          <w:spacing w:val="0"/>
        </w:rPr>
        <w:t xml:space="preserve">Name (first name and surname): </w:t>
      </w:r>
      <w:r w:rsidR="0053527C">
        <w:rPr>
          <w:rFonts w:ascii="Calibri" w:hAnsi="Calibri"/>
          <w:snapToGrid w:val="0"/>
        </w:rPr>
        <w:fldChar w:fldCharType="begin">
          <w:ffData>
            <w:name w:val="Text1"/>
            <w:enabled/>
            <w:calcOnExit w:val="0"/>
            <w:statusText w:type="text" w:val="Type in your first name and surname"/>
            <w:textInput>
              <w:default w:val="Christabel Seneque"/>
              <w:maxLength w:val="200"/>
            </w:textInput>
          </w:ffData>
        </w:fldChar>
      </w:r>
      <w:bookmarkStart w:id="1" w:name="Text1"/>
      <w:r w:rsidR="0053527C">
        <w:rPr>
          <w:rFonts w:ascii="Calibri" w:hAnsi="Calibri"/>
          <w:snapToGrid w:val="0"/>
        </w:rPr>
        <w:instrText xml:space="preserve"> FORMTEXT </w:instrText>
      </w:r>
      <w:r w:rsidR="0053527C">
        <w:rPr>
          <w:rFonts w:ascii="Calibri" w:hAnsi="Calibri"/>
          <w:snapToGrid w:val="0"/>
        </w:rPr>
      </w:r>
      <w:r w:rsidR="0053527C">
        <w:rPr>
          <w:rFonts w:ascii="Calibri" w:hAnsi="Calibri"/>
          <w:snapToGrid w:val="0"/>
        </w:rPr>
        <w:fldChar w:fldCharType="separate"/>
      </w:r>
      <w:r w:rsidR="0053527C">
        <w:rPr>
          <w:rFonts w:ascii="Calibri" w:hAnsi="Calibri"/>
          <w:noProof/>
          <w:snapToGrid w:val="0"/>
        </w:rPr>
        <w:t>Christabel Seneque</w:t>
      </w:r>
      <w:r w:rsidR="0053527C">
        <w:rPr>
          <w:rFonts w:ascii="Calibri" w:hAnsi="Calibri"/>
          <w:snapToGrid w:val="0"/>
        </w:rPr>
        <w:fldChar w:fldCharType="end"/>
      </w:r>
      <w:bookmarkEnd w:id="1"/>
    </w:p>
    <w:p w:rsidR="00DD7CC0" w:rsidRPr="005E2C33" w:rsidRDefault="00DD7CC0" w:rsidP="00DD7CC0">
      <w:pPr>
        <w:rPr>
          <w:rFonts w:ascii="Calibri" w:hAnsi="Calibri"/>
          <w:snapToGrid w:val="0"/>
        </w:rPr>
      </w:pPr>
      <w:r w:rsidRPr="005E2C33">
        <w:rPr>
          <w:rStyle w:val="BookTitle"/>
          <w:rFonts w:ascii="Calibri" w:hAnsi="Calibri"/>
          <w:b/>
          <w:i w:val="0"/>
          <w:iCs w:val="0"/>
          <w:smallCaps w:val="0"/>
          <w:spacing w:val="0"/>
        </w:rPr>
        <w:t xml:space="preserve">Name of organisation: </w:t>
      </w:r>
      <w:r w:rsidR="0053527C">
        <w:rPr>
          <w:rFonts w:ascii="Calibri" w:hAnsi="Calibri"/>
          <w:snapToGrid w:val="0"/>
        </w:rPr>
        <w:fldChar w:fldCharType="begin">
          <w:ffData>
            <w:name w:val="org"/>
            <w:enabled/>
            <w:calcOnExit w:val="0"/>
            <w:textInput>
              <w:default w:val="Foundation Housing Ltd"/>
            </w:textInput>
          </w:ffData>
        </w:fldChar>
      </w:r>
      <w:bookmarkStart w:id="2" w:name="org"/>
      <w:r w:rsidR="0053527C">
        <w:rPr>
          <w:rFonts w:ascii="Calibri" w:hAnsi="Calibri"/>
          <w:snapToGrid w:val="0"/>
        </w:rPr>
        <w:instrText xml:space="preserve"> FORMTEXT </w:instrText>
      </w:r>
      <w:r w:rsidR="0053527C">
        <w:rPr>
          <w:rFonts w:ascii="Calibri" w:hAnsi="Calibri"/>
          <w:snapToGrid w:val="0"/>
        </w:rPr>
      </w:r>
      <w:r w:rsidR="0053527C">
        <w:rPr>
          <w:rFonts w:ascii="Calibri" w:hAnsi="Calibri"/>
          <w:snapToGrid w:val="0"/>
        </w:rPr>
        <w:fldChar w:fldCharType="separate"/>
      </w:r>
      <w:r w:rsidR="0053527C">
        <w:rPr>
          <w:rFonts w:ascii="Calibri" w:hAnsi="Calibri"/>
          <w:noProof/>
          <w:snapToGrid w:val="0"/>
        </w:rPr>
        <w:t>Foundation Housing Ltd</w:t>
      </w:r>
      <w:r w:rsidR="0053527C">
        <w:rPr>
          <w:rFonts w:ascii="Calibri" w:hAnsi="Calibri"/>
          <w:snapToGrid w:val="0"/>
        </w:rPr>
        <w:fldChar w:fldCharType="end"/>
      </w:r>
      <w:bookmarkEnd w:id="2"/>
    </w:p>
    <w:p w:rsidR="00DD7CC0" w:rsidRPr="005E2C33" w:rsidRDefault="00DD7CC0" w:rsidP="00DD7CC0">
      <w:pPr>
        <w:rPr>
          <w:rFonts w:ascii="Calibri" w:hAnsi="Calibri"/>
          <w:b/>
          <w:snapToGrid w:val="0"/>
        </w:rPr>
      </w:pPr>
      <w:r w:rsidRPr="005E2C33">
        <w:rPr>
          <w:rStyle w:val="BookTitle"/>
          <w:rFonts w:ascii="Calibri" w:hAnsi="Calibri"/>
          <w:b/>
          <w:i w:val="0"/>
          <w:iCs w:val="0"/>
          <w:smallCaps w:val="0"/>
          <w:spacing w:val="0"/>
        </w:rPr>
        <w:t xml:space="preserve">Stakeholder Category: </w:t>
      </w:r>
      <w:r w:rsidR="0053527C">
        <w:rPr>
          <w:rFonts w:ascii="Calibri" w:hAnsi="Calibri"/>
          <w:snapToGrid w:val="0"/>
        </w:rPr>
        <w:fldChar w:fldCharType="begin">
          <w:ffData>
            <w:name w:val="stakeholder"/>
            <w:enabled/>
            <w:calcOnExit w:val="0"/>
            <w:statusText w:type="text" w:val="Enter the category that best describes the type of stakeholder you are."/>
            <w:textInput>
              <w:default w:val="Approved Participant which retains the stock and holds as social housing investment; we also manage NRAS portfolios for other Approved Participants"/>
            </w:textInput>
          </w:ffData>
        </w:fldChar>
      </w:r>
      <w:bookmarkStart w:id="3" w:name="stakeholder"/>
      <w:r w:rsidR="0053527C">
        <w:rPr>
          <w:rFonts w:ascii="Calibri" w:hAnsi="Calibri"/>
          <w:snapToGrid w:val="0"/>
        </w:rPr>
        <w:instrText xml:space="preserve"> FORMTEXT </w:instrText>
      </w:r>
      <w:r w:rsidR="0053527C">
        <w:rPr>
          <w:rFonts w:ascii="Calibri" w:hAnsi="Calibri"/>
          <w:snapToGrid w:val="0"/>
        </w:rPr>
      </w:r>
      <w:r w:rsidR="0053527C">
        <w:rPr>
          <w:rFonts w:ascii="Calibri" w:hAnsi="Calibri"/>
          <w:snapToGrid w:val="0"/>
        </w:rPr>
        <w:fldChar w:fldCharType="separate"/>
      </w:r>
      <w:r w:rsidR="0053527C">
        <w:rPr>
          <w:rFonts w:ascii="Calibri" w:hAnsi="Calibri"/>
          <w:noProof/>
          <w:snapToGrid w:val="0"/>
        </w:rPr>
        <w:t>Approved Participant which retains the stock and holds as social housing investment; we also manage NRAS portfolios for other Approved Participants</w:t>
      </w:r>
      <w:r w:rsidR="0053527C">
        <w:rPr>
          <w:rFonts w:ascii="Calibri" w:hAnsi="Calibri"/>
          <w:snapToGrid w:val="0"/>
        </w:rPr>
        <w:fldChar w:fldCharType="end"/>
      </w:r>
      <w:bookmarkEnd w:id="3"/>
    </w:p>
    <w:p w:rsidR="00DD7CC0" w:rsidRPr="005E2C33" w:rsidRDefault="00DD7CC0" w:rsidP="00DD7CC0">
      <w:pPr>
        <w:rPr>
          <w:rFonts w:ascii="Calibri" w:hAnsi="Calibri"/>
          <w:b/>
          <w:snapToGrid w:val="0"/>
        </w:rPr>
      </w:pPr>
      <w:r w:rsidRPr="005E2C33">
        <w:rPr>
          <w:rFonts w:ascii="Calibri" w:hAnsi="Calibri"/>
          <w:b/>
          <w:snapToGrid w:val="0"/>
        </w:rPr>
        <w:t xml:space="preserve">State/Territory: </w:t>
      </w:r>
      <w:r w:rsidR="0053527C">
        <w:rPr>
          <w:rFonts w:ascii="Calibri" w:hAnsi="Calibri"/>
          <w:b/>
          <w:snapToGrid w:val="0"/>
        </w:rPr>
        <w:fldChar w:fldCharType="begin">
          <w:ffData>
            <w:name w:val="Text15"/>
            <w:enabled/>
            <w:calcOnExit w:val="0"/>
            <w:statusText w:type="text" w:val="Enter your state or territory details"/>
            <w:textInput>
              <w:default w:val="WA"/>
            </w:textInput>
          </w:ffData>
        </w:fldChar>
      </w:r>
      <w:bookmarkStart w:id="4" w:name="Text15"/>
      <w:r w:rsidR="0053527C">
        <w:rPr>
          <w:rFonts w:ascii="Calibri" w:hAnsi="Calibri"/>
          <w:b/>
          <w:snapToGrid w:val="0"/>
        </w:rPr>
        <w:instrText xml:space="preserve"> FORMTEXT </w:instrText>
      </w:r>
      <w:r w:rsidR="0053527C">
        <w:rPr>
          <w:rFonts w:ascii="Calibri" w:hAnsi="Calibri"/>
          <w:b/>
          <w:snapToGrid w:val="0"/>
        </w:rPr>
      </w:r>
      <w:r w:rsidR="0053527C">
        <w:rPr>
          <w:rFonts w:ascii="Calibri" w:hAnsi="Calibri"/>
          <w:b/>
          <w:snapToGrid w:val="0"/>
        </w:rPr>
        <w:fldChar w:fldCharType="separate"/>
      </w:r>
      <w:r w:rsidR="0053527C">
        <w:rPr>
          <w:rFonts w:ascii="Calibri" w:hAnsi="Calibri"/>
          <w:b/>
          <w:noProof/>
          <w:snapToGrid w:val="0"/>
        </w:rPr>
        <w:t>WA</w:t>
      </w:r>
      <w:r w:rsidR="0053527C">
        <w:rPr>
          <w:rFonts w:ascii="Calibri" w:hAnsi="Calibri"/>
          <w:b/>
          <w:snapToGrid w:val="0"/>
        </w:rPr>
        <w:fldChar w:fldCharType="end"/>
      </w:r>
      <w:bookmarkEnd w:id="4"/>
    </w:p>
    <w:p w:rsidR="00DD7CC0" w:rsidRPr="005E2C33" w:rsidRDefault="00DD7CC0" w:rsidP="00DD7CC0">
      <w:pPr>
        <w:rPr>
          <w:rFonts w:ascii="Calibri" w:hAnsi="Calibri"/>
          <w:snapToGrid w:val="0"/>
        </w:rPr>
      </w:pPr>
      <w:r w:rsidRPr="005E2C33">
        <w:rPr>
          <w:rFonts w:ascii="Calibri" w:hAnsi="Calibri"/>
          <w:b/>
          <w:snapToGrid w:val="0"/>
        </w:rPr>
        <w:t xml:space="preserve">Contact email address: </w:t>
      </w:r>
      <w:r w:rsidR="0053527C">
        <w:rPr>
          <w:rFonts w:ascii="Calibri" w:hAnsi="Calibri"/>
          <w:snapToGrid w:val="0"/>
        </w:rPr>
        <w:fldChar w:fldCharType="begin">
          <w:ffData>
            <w:name w:val="email"/>
            <w:enabled/>
            <w:calcOnExit w:val="0"/>
            <w:statusText w:type="text" w:val="Enter a valid email address for contact"/>
            <w:textInput>
              <w:default w:val="christabel@foundationhousing.org.au"/>
            </w:textInput>
          </w:ffData>
        </w:fldChar>
      </w:r>
      <w:bookmarkStart w:id="5" w:name="email"/>
      <w:r w:rsidR="0053527C">
        <w:rPr>
          <w:rFonts w:ascii="Calibri" w:hAnsi="Calibri"/>
          <w:snapToGrid w:val="0"/>
        </w:rPr>
        <w:instrText xml:space="preserve"> FORMTEXT </w:instrText>
      </w:r>
      <w:r w:rsidR="0053527C">
        <w:rPr>
          <w:rFonts w:ascii="Calibri" w:hAnsi="Calibri"/>
          <w:snapToGrid w:val="0"/>
        </w:rPr>
      </w:r>
      <w:r w:rsidR="0053527C">
        <w:rPr>
          <w:rFonts w:ascii="Calibri" w:hAnsi="Calibri"/>
          <w:snapToGrid w:val="0"/>
        </w:rPr>
        <w:fldChar w:fldCharType="separate"/>
      </w:r>
      <w:r w:rsidR="0053527C">
        <w:rPr>
          <w:rFonts w:ascii="Calibri" w:hAnsi="Calibri"/>
          <w:noProof/>
          <w:snapToGrid w:val="0"/>
        </w:rPr>
        <w:t>christabel@foundationhousing.org.au</w:t>
      </w:r>
      <w:r w:rsidR="0053527C">
        <w:rPr>
          <w:rFonts w:ascii="Calibri" w:hAnsi="Calibri"/>
          <w:snapToGrid w:val="0"/>
        </w:rPr>
        <w:fldChar w:fldCharType="end"/>
      </w:r>
      <w:bookmarkEnd w:id="5"/>
    </w:p>
    <w:p w:rsidR="005C3FFE" w:rsidRPr="005E2C33" w:rsidRDefault="005C3FFE" w:rsidP="005C3FFE">
      <w:pPr>
        <w:jc w:val="center"/>
        <w:rPr>
          <w:rStyle w:val="BookTitle"/>
          <w:rFonts w:ascii="Calibri" w:hAnsi="Calibri"/>
          <w:i w:val="0"/>
          <w:iCs w:val="0"/>
          <w:smallCaps w:val="0"/>
          <w:spacing w:val="0"/>
        </w:rPr>
        <w:sectPr w:rsidR="005C3FFE" w:rsidRPr="005E2C33" w:rsidSect="008063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5E2C33" w:rsidRPr="005E2C33" w:rsidRDefault="005E2C33" w:rsidP="003F76BD">
      <w:pPr>
        <w:keepNext/>
        <w:tabs>
          <w:tab w:val="left" w:pos="567"/>
        </w:tabs>
        <w:spacing w:before="0" w:after="180"/>
        <w:rPr>
          <w:rFonts w:ascii="Calibri" w:hAnsi="Calibri"/>
          <w:sz w:val="36"/>
          <w:szCs w:val="36"/>
        </w:rPr>
      </w:pPr>
      <w:bookmarkStart w:id="6" w:name="_Toc462127443"/>
      <w:r w:rsidRPr="005E2C33">
        <w:rPr>
          <w:rFonts w:ascii="Calibri" w:hAnsi="Calibri"/>
          <w:spacing w:val="4"/>
          <w:sz w:val="36"/>
          <w:szCs w:val="36"/>
          <w:lang w:eastAsia="en-AU"/>
        </w:rPr>
        <w:lastRenderedPageBreak/>
        <w:t>Possible areas of improvement</w:t>
      </w:r>
      <w:bookmarkEnd w:id="6"/>
    </w:p>
    <w:p w:rsidR="00A2151C" w:rsidRPr="005E2C33" w:rsidRDefault="00A2151C" w:rsidP="003F76BD">
      <w:pPr>
        <w:keepNext/>
        <w:tabs>
          <w:tab w:val="left" w:pos="567"/>
        </w:tabs>
        <w:spacing w:before="0" w:after="180"/>
        <w:rPr>
          <w:rFonts w:ascii="Calibri" w:hAnsi="Calibri"/>
          <w:sz w:val="26"/>
          <w:szCs w:val="26"/>
        </w:rPr>
      </w:pPr>
      <w:r w:rsidRPr="005E2C33">
        <w:rPr>
          <w:rFonts w:ascii="Calibri" w:hAnsi="Calibri"/>
          <w:sz w:val="26"/>
          <w:szCs w:val="26"/>
        </w:rPr>
        <w:t xml:space="preserve">Refer to section 4 of the Consultation Paper for further </w:t>
      </w:r>
      <w:r w:rsidR="00EF3841" w:rsidRPr="005E2C33">
        <w:rPr>
          <w:rFonts w:ascii="Calibri" w:hAnsi="Calibri"/>
          <w:sz w:val="26"/>
          <w:szCs w:val="26"/>
        </w:rPr>
        <w:t xml:space="preserve">background information in relation to the questions below. </w:t>
      </w:r>
      <w:r w:rsidRPr="005E2C33">
        <w:rPr>
          <w:rFonts w:ascii="Calibri" w:hAnsi="Calibri"/>
          <w:sz w:val="26"/>
          <w:szCs w:val="26"/>
        </w:rPr>
        <w:t xml:space="preserve"> </w:t>
      </w:r>
    </w:p>
    <w:p w:rsidR="0041694D" w:rsidRPr="005E2C33" w:rsidRDefault="00D14551" w:rsidP="003F76BD">
      <w:pPr>
        <w:keepNext/>
        <w:tabs>
          <w:tab w:val="left" w:pos="567"/>
        </w:tabs>
        <w:spacing w:before="0" w:after="180"/>
        <w:jc w:val="center"/>
        <w:rPr>
          <w:rFonts w:ascii="Calibri" w:hAnsi="Calibri"/>
          <w:b/>
          <w:sz w:val="26"/>
          <w:szCs w:val="26"/>
        </w:rPr>
      </w:pPr>
      <w:r w:rsidRPr="005E2C33">
        <w:rPr>
          <w:rFonts w:ascii="Calibri" w:hAnsi="Calibri"/>
          <w:b/>
          <w:sz w:val="26"/>
          <w:szCs w:val="26"/>
        </w:rPr>
        <w:t xml:space="preserve">General reforms to the NRAS process </w:t>
      </w:r>
    </w:p>
    <w:p w:rsidR="00E53F79" w:rsidRDefault="00D14551"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hAnsi="Calibri"/>
          <w:szCs w:val="24"/>
        </w:rPr>
      </w:pPr>
      <w:r w:rsidRPr="005E2C33">
        <w:rPr>
          <w:rFonts w:ascii="Calibri" w:eastAsia="Cambria" w:hAnsi="Calibri"/>
          <w:b/>
          <w:color w:val="000000"/>
          <w:position w:val="-2"/>
          <w:szCs w:val="24"/>
          <w:lang w:val="en-GB"/>
        </w:rPr>
        <w:t xml:space="preserve">Discussion </w:t>
      </w:r>
      <w:r w:rsidR="00997918" w:rsidRPr="005E2C33">
        <w:rPr>
          <w:rFonts w:ascii="Calibri" w:eastAsia="Cambria" w:hAnsi="Calibri"/>
          <w:b/>
          <w:color w:val="000000"/>
          <w:position w:val="-2"/>
          <w:szCs w:val="24"/>
          <w:lang w:val="en-GB"/>
        </w:rPr>
        <w:t xml:space="preserve">Question </w:t>
      </w:r>
      <w:r w:rsidRPr="005E2C33">
        <w:rPr>
          <w:rFonts w:ascii="Calibri" w:eastAsia="Cambria" w:hAnsi="Calibri"/>
          <w:b/>
          <w:color w:val="000000"/>
          <w:position w:val="-2"/>
          <w:szCs w:val="24"/>
          <w:lang w:val="en-GB"/>
        </w:rPr>
        <w:t>1</w:t>
      </w:r>
      <w:r w:rsidR="00DB6809" w:rsidRPr="005E2C33">
        <w:rPr>
          <w:rFonts w:ascii="Calibri" w:eastAsia="Cambria" w:hAnsi="Calibri"/>
          <w:b/>
          <w:color w:val="000000"/>
          <w:position w:val="-2"/>
          <w:szCs w:val="24"/>
          <w:lang w:val="en-GB"/>
        </w:rPr>
        <w:t>)</w:t>
      </w:r>
      <w:r w:rsidR="00997918" w:rsidRPr="005E2C33">
        <w:rPr>
          <w:rFonts w:ascii="Calibri" w:eastAsia="Cambria" w:hAnsi="Calibri"/>
          <w:color w:val="000000"/>
          <w:position w:val="-2"/>
          <w:szCs w:val="24"/>
          <w:lang w:val="en-GB"/>
        </w:rPr>
        <w:t xml:space="preserve"> </w:t>
      </w:r>
      <w:r w:rsidR="00610B29" w:rsidRPr="00610B29">
        <w:rPr>
          <w:rFonts w:ascii="Calibri" w:hAnsi="Calibri"/>
          <w:szCs w:val="24"/>
        </w:rPr>
        <w:t>What provisions in the NRAS Regulations could be changed/simplified in order to provide further clarity, reduce red tape</w:t>
      </w:r>
      <w:r w:rsidR="000E7E3D">
        <w:rPr>
          <w:rFonts w:ascii="Calibri" w:hAnsi="Calibri"/>
          <w:szCs w:val="24"/>
        </w:rPr>
        <w:t>,</w:t>
      </w:r>
      <w:r w:rsidR="00610B29" w:rsidRPr="00610B29">
        <w:rPr>
          <w:rFonts w:ascii="Calibri" w:hAnsi="Calibri"/>
          <w:szCs w:val="24"/>
        </w:rPr>
        <w:t xml:space="preserve"> and improve the overall efficiency of the Scheme?</w:t>
      </w:r>
    </w:p>
    <w:p w:rsidR="0053527C" w:rsidRPr="0019653C" w:rsidRDefault="0053527C" w:rsidP="003F76BD">
      <w:pPr>
        <w:spacing w:before="0" w:after="180"/>
        <w:rPr>
          <w:rFonts w:eastAsiaTheme="minorHAnsi" w:cstheme="minorBidi"/>
          <w:b/>
          <w:sz w:val="22"/>
          <w:szCs w:val="22"/>
        </w:rPr>
      </w:pPr>
      <w:r w:rsidRPr="0019653C">
        <w:rPr>
          <w:rFonts w:eastAsiaTheme="minorHAnsi" w:cstheme="minorBidi"/>
          <w:b/>
          <w:sz w:val="22"/>
          <w:szCs w:val="22"/>
        </w:rPr>
        <w:t>Issues Raised in Consultation Paper</w:t>
      </w:r>
    </w:p>
    <w:p w:rsidR="0051157C" w:rsidRPr="0019653C" w:rsidRDefault="0051157C" w:rsidP="003F76BD">
      <w:pPr>
        <w:widowControl w:val="0"/>
        <w:spacing w:before="0" w:after="180"/>
        <w:rPr>
          <w:rFonts w:eastAsiaTheme="minorHAnsi" w:cstheme="minorBidi"/>
          <w:sz w:val="22"/>
          <w:szCs w:val="22"/>
        </w:rPr>
      </w:pPr>
      <w:r w:rsidRPr="0019653C">
        <w:rPr>
          <w:rFonts w:eastAsiaTheme="minorHAnsi" w:cstheme="minorBidi"/>
          <w:sz w:val="22"/>
          <w:szCs w:val="22"/>
        </w:rPr>
        <w:t>Foundation Housing Ltd (FHL) supports</w:t>
      </w:r>
      <w:r w:rsidR="0053527C" w:rsidRPr="0019653C">
        <w:rPr>
          <w:rFonts w:eastAsiaTheme="minorHAnsi" w:cstheme="minorBidi"/>
          <w:sz w:val="22"/>
          <w:szCs w:val="22"/>
        </w:rPr>
        <w:t xml:space="preserve"> the suggestions made in the discussion paper</w:t>
      </w:r>
      <w:r w:rsidRPr="0019653C">
        <w:rPr>
          <w:rFonts w:eastAsiaTheme="minorHAnsi" w:cstheme="minorBidi"/>
          <w:sz w:val="22"/>
          <w:szCs w:val="22"/>
        </w:rPr>
        <w:t xml:space="preserve"> as follows:</w:t>
      </w:r>
    </w:p>
    <w:p w:rsidR="003F76BD" w:rsidRPr="0019653C" w:rsidRDefault="0051157C" w:rsidP="003F76BD">
      <w:pPr>
        <w:pStyle w:val="ListParagraph"/>
        <w:widowControl w:val="0"/>
        <w:numPr>
          <w:ilvl w:val="0"/>
          <w:numId w:val="18"/>
        </w:numPr>
        <w:spacing w:before="0" w:after="180"/>
        <w:rPr>
          <w:rFonts w:eastAsiaTheme="minorHAnsi" w:cstheme="minorBidi"/>
          <w:sz w:val="22"/>
          <w:szCs w:val="22"/>
        </w:rPr>
      </w:pPr>
      <w:r w:rsidRPr="0019653C">
        <w:rPr>
          <w:rFonts w:eastAsiaTheme="minorHAnsi" w:cstheme="minorBidi"/>
          <w:sz w:val="22"/>
          <w:szCs w:val="22"/>
        </w:rPr>
        <w:t xml:space="preserve">that </w:t>
      </w:r>
      <w:r w:rsidR="00B06624" w:rsidRPr="0019653C">
        <w:rPr>
          <w:rFonts w:eastAsiaTheme="minorHAnsi" w:cstheme="minorBidi"/>
          <w:sz w:val="22"/>
          <w:szCs w:val="22"/>
        </w:rPr>
        <w:t>the Department of Social Services (DSS)</w:t>
      </w:r>
      <w:r w:rsidRPr="0019653C">
        <w:rPr>
          <w:rFonts w:eastAsiaTheme="minorHAnsi" w:cstheme="minorBidi"/>
          <w:sz w:val="22"/>
          <w:szCs w:val="22"/>
        </w:rPr>
        <w:t xml:space="preserve"> sh</w:t>
      </w:r>
      <w:r w:rsidR="0053527C" w:rsidRPr="0019653C">
        <w:rPr>
          <w:rFonts w:eastAsiaTheme="minorHAnsi" w:cstheme="minorBidi"/>
          <w:sz w:val="22"/>
          <w:szCs w:val="22"/>
        </w:rPr>
        <w:t xml:space="preserve">ould allow NRAS tenants to transfer between NRAS dwellings without having to meet the initial </w:t>
      </w:r>
      <w:r w:rsidRPr="0019653C">
        <w:rPr>
          <w:rFonts w:eastAsiaTheme="minorHAnsi" w:cstheme="minorBidi"/>
          <w:sz w:val="22"/>
          <w:szCs w:val="22"/>
        </w:rPr>
        <w:t>income limit again; and</w:t>
      </w:r>
    </w:p>
    <w:p w:rsidR="0053527C" w:rsidRPr="0019653C" w:rsidRDefault="00AD7E66" w:rsidP="003F76BD">
      <w:pPr>
        <w:pStyle w:val="ListParagraph"/>
        <w:widowControl w:val="0"/>
        <w:numPr>
          <w:ilvl w:val="0"/>
          <w:numId w:val="18"/>
        </w:numPr>
        <w:spacing w:before="0" w:after="180"/>
        <w:rPr>
          <w:rFonts w:eastAsiaTheme="minorHAnsi" w:cstheme="minorBidi"/>
          <w:sz w:val="22"/>
          <w:szCs w:val="22"/>
        </w:rPr>
      </w:pPr>
      <w:r w:rsidRPr="0019653C">
        <w:rPr>
          <w:rFonts w:eastAsiaTheme="minorHAnsi" w:cstheme="minorBidi"/>
          <w:sz w:val="22"/>
          <w:szCs w:val="22"/>
        </w:rPr>
        <w:t xml:space="preserve">that </w:t>
      </w:r>
      <w:r w:rsidR="00B06624" w:rsidRPr="0019653C">
        <w:rPr>
          <w:rFonts w:eastAsiaTheme="minorHAnsi" w:cstheme="minorBidi"/>
          <w:sz w:val="22"/>
          <w:szCs w:val="22"/>
        </w:rPr>
        <w:t xml:space="preserve">the DSS should incorporate </w:t>
      </w:r>
      <w:r w:rsidR="0053527C" w:rsidRPr="0019653C">
        <w:rPr>
          <w:rFonts w:eastAsiaTheme="minorHAnsi" w:cstheme="minorBidi"/>
          <w:sz w:val="22"/>
          <w:szCs w:val="22"/>
        </w:rPr>
        <w:t>definitions in</w:t>
      </w:r>
      <w:r w:rsidR="0019653C" w:rsidRPr="0019653C">
        <w:rPr>
          <w:rFonts w:eastAsiaTheme="minorHAnsi" w:cstheme="minorBidi"/>
          <w:sz w:val="22"/>
          <w:szCs w:val="22"/>
        </w:rPr>
        <w:t>to</w:t>
      </w:r>
      <w:r w:rsidR="0053527C" w:rsidRPr="0019653C">
        <w:rPr>
          <w:rFonts w:eastAsiaTheme="minorHAnsi" w:cstheme="minorBidi"/>
          <w:sz w:val="22"/>
          <w:szCs w:val="22"/>
        </w:rPr>
        <w:t xml:space="preserve"> the NRAS regulations regarding the difference between vacant and unavailable dwellings</w:t>
      </w:r>
      <w:r w:rsidR="0051157C" w:rsidRPr="0019653C">
        <w:rPr>
          <w:rFonts w:eastAsiaTheme="minorHAnsi" w:cstheme="minorBidi"/>
          <w:sz w:val="22"/>
          <w:szCs w:val="22"/>
        </w:rPr>
        <w:t>,</w:t>
      </w:r>
      <w:r w:rsidR="0053527C" w:rsidRPr="0019653C">
        <w:rPr>
          <w:rFonts w:eastAsiaTheme="minorHAnsi" w:cstheme="minorBidi"/>
          <w:sz w:val="22"/>
          <w:szCs w:val="22"/>
        </w:rPr>
        <w:t xml:space="preserve"> and the way they will be treated</w:t>
      </w:r>
      <w:r w:rsidR="00B06624" w:rsidRPr="0019653C">
        <w:rPr>
          <w:rFonts w:eastAsiaTheme="minorHAnsi" w:cstheme="minorBidi"/>
          <w:sz w:val="22"/>
          <w:szCs w:val="22"/>
        </w:rPr>
        <w:t>.</w:t>
      </w: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t>Remote Area Income Limits</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FHL propose</w:t>
      </w:r>
      <w:r w:rsidR="0051157C" w:rsidRPr="0019653C">
        <w:rPr>
          <w:rFonts w:eastAsiaTheme="minorHAnsi" w:cstheme="minorBidi"/>
          <w:sz w:val="22"/>
          <w:szCs w:val="22"/>
        </w:rPr>
        <w:t>s</w:t>
      </w:r>
      <w:r w:rsidRPr="0019653C">
        <w:rPr>
          <w:rFonts w:eastAsiaTheme="minorHAnsi" w:cstheme="minorBidi"/>
          <w:sz w:val="22"/>
          <w:szCs w:val="22"/>
        </w:rPr>
        <w:t xml:space="preserve"> a review of the income eligibility limits in remote areas.</w:t>
      </w:r>
      <w:r w:rsidR="0051157C" w:rsidRPr="0019653C">
        <w:rPr>
          <w:rFonts w:eastAsiaTheme="minorHAnsi" w:cstheme="minorBidi"/>
          <w:sz w:val="22"/>
          <w:szCs w:val="22"/>
        </w:rPr>
        <w:t xml:space="preserve"> </w:t>
      </w:r>
      <w:r w:rsidRPr="0019653C">
        <w:rPr>
          <w:rFonts w:eastAsiaTheme="minorHAnsi" w:cstheme="minorBidi"/>
          <w:sz w:val="22"/>
          <w:szCs w:val="22"/>
        </w:rPr>
        <w:t xml:space="preserve"> In these areas the cost of living is higher and tenants may be compensated for this difference by higher wages</w:t>
      </w:r>
      <w:r w:rsidR="0051157C" w:rsidRPr="0019653C">
        <w:rPr>
          <w:rFonts w:eastAsiaTheme="minorHAnsi" w:cstheme="minorBidi"/>
          <w:sz w:val="22"/>
          <w:szCs w:val="22"/>
        </w:rPr>
        <w:t>,</w:t>
      </w:r>
      <w:r w:rsidRPr="0019653C">
        <w:rPr>
          <w:rFonts w:eastAsiaTheme="minorHAnsi" w:cstheme="minorBidi"/>
          <w:sz w:val="22"/>
          <w:szCs w:val="22"/>
        </w:rPr>
        <w:t xml:space="preserve"> or remote allowances</w:t>
      </w:r>
      <w:r w:rsidR="0051157C" w:rsidRPr="0019653C">
        <w:rPr>
          <w:rFonts w:eastAsiaTheme="minorHAnsi" w:cstheme="minorBidi"/>
          <w:sz w:val="22"/>
          <w:szCs w:val="22"/>
        </w:rPr>
        <w:t>,</w:t>
      </w:r>
      <w:r w:rsidRPr="0019653C">
        <w:rPr>
          <w:rFonts w:eastAsiaTheme="minorHAnsi" w:cstheme="minorBidi"/>
          <w:sz w:val="22"/>
          <w:szCs w:val="22"/>
        </w:rPr>
        <w:t xml:space="preserve"> which </w:t>
      </w:r>
      <w:r w:rsidR="0051157C" w:rsidRPr="0019653C">
        <w:rPr>
          <w:rFonts w:eastAsiaTheme="minorHAnsi" w:cstheme="minorBidi"/>
          <w:sz w:val="22"/>
          <w:szCs w:val="22"/>
        </w:rPr>
        <w:t xml:space="preserve">may </w:t>
      </w:r>
      <w:r w:rsidRPr="0019653C">
        <w:rPr>
          <w:rFonts w:eastAsiaTheme="minorHAnsi" w:cstheme="minorBidi"/>
          <w:sz w:val="22"/>
          <w:szCs w:val="22"/>
        </w:rPr>
        <w:t>put them above the national NRAS income limits.</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The Housing Authority of Western Australia applies 25% loading to the income limits for community housing tenants in specified remote areas “to recognise the additional costs of living in the North West and remote parts of Western Australia” (</w:t>
      </w:r>
      <w:r w:rsidRPr="0019653C">
        <w:rPr>
          <w:rFonts w:eastAsiaTheme="minorHAnsi" w:cstheme="minorBidi"/>
          <w:sz w:val="22"/>
          <w:szCs w:val="22"/>
          <w:u w:val="single"/>
        </w:rPr>
        <w:t>Community Housing Income and Asset Limits Policy 2013</w:t>
      </w:r>
      <w:r w:rsidRPr="0019653C">
        <w:rPr>
          <w:rFonts w:eastAsiaTheme="minorHAnsi" w:cstheme="minorBidi"/>
          <w:sz w:val="22"/>
          <w:szCs w:val="22"/>
        </w:rPr>
        <w:t xml:space="preserve">, Housing Authority of Western Australia) and the DSS may want to consider a similar approach. </w:t>
      </w:r>
      <w:r w:rsidR="00B06624" w:rsidRPr="0019653C">
        <w:rPr>
          <w:rFonts w:eastAsiaTheme="minorHAnsi" w:cstheme="minorBidi"/>
          <w:sz w:val="22"/>
          <w:szCs w:val="22"/>
        </w:rPr>
        <w:t xml:space="preserve"> </w:t>
      </w:r>
      <w:r w:rsidRPr="0019653C">
        <w:rPr>
          <w:rFonts w:eastAsiaTheme="minorHAnsi" w:cstheme="minorBidi"/>
          <w:sz w:val="22"/>
          <w:szCs w:val="22"/>
        </w:rPr>
        <w:t>This would allow Approved Participants to house tenants who are still of low and moderate incomes</w:t>
      </w:r>
      <w:r w:rsidR="0051157C" w:rsidRPr="0019653C">
        <w:rPr>
          <w:rFonts w:eastAsiaTheme="minorHAnsi" w:cstheme="minorBidi"/>
          <w:sz w:val="22"/>
          <w:szCs w:val="22"/>
        </w:rPr>
        <w:t>,</w:t>
      </w:r>
      <w:r w:rsidRPr="0019653C">
        <w:rPr>
          <w:rFonts w:eastAsiaTheme="minorHAnsi" w:cstheme="minorBidi"/>
          <w:sz w:val="22"/>
          <w:szCs w:val="22"/>
        </w:rPr>
        <w:t xml:space="preserve"> given the higher costs associated with living in a remote area.</w:t>
      </w: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t>Statement of Compliance Processing</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The DSS may want to consider alternative ways of assessing Statements of Compliance (</w:t>
      </w:r>
      <w:proofErr w:type="spellStart"/>
      <w:r w:rsidRPr="0019653C">
        <w:rPr>
          <w:rFonts w:eastAsiaTheme="minorHAnsi" w:cstheme="minorBidi"/>
          <w:sz w:val="22"/>
          <w:szCs w:val="22"/>
        </w:rPr>
        <w:t>SoC</w:t>
      </w:r>
      <w:proofErr w:type="spellEnd"/>
      <w:r w:rsidRPr="0019653C">
        <w:rPr>
          <w:rFonts w:eastAsiaTheme="minorHAnsi" w:cstheme="minorBidi"/>
          <w:sz w:val="22"/>
          <w:szCs w:val="22"/>
        </w:rPr>
        <w:t xml:space="preserve">) in order to improve the overall efficiency of the Scheme. </w:t>
      </w:r>
      <w:r w:rsidR="00B06624" w:rsidRPr="0019653C">
        <w:rPr>
          <w:rFonts w:eastAsiaTheme="minorHAnsi" w:cstheme="minorBidi"/>
          <w:sz w:val="22"/>
          <w:szCs w:val="22"/>
        </w:rPr>
        <w:t xml:space="preserve"> </w:t>
      </w:r>
      <w:r w:rsidRPr="0019653C">
        <w:rPr>
          <w:rFonts w:eastAsiaTheme="minorHAnsi" w:cstheme="minorBidi"/>
          <w:sz w:val="22"/>
          <w:szCs w:val="22"/>
        </w:rPr>
        <w:t xml:space="preserve">The current method of individually auditing every </w:t>
      </w:r>
      <w:proofErr w:type="spellStart"/>
      <w:r w:rsidRPr="0019653C">
        <w:rPr>
          <w:rFonts w:eastAsiaTheme="minorHAnsi" w:cstheme="minorBidi"/>
          <w:sz w:val="22"/>
          <w:szCs w:val="22"/>
        </w:rPr>
        <w:t>SoC</w:t>
      </w:r>
      <w:proofErr w:type="spellEnd"/>
      <w:r w:rsidRPr="0019653C">
        <w:rPr>
          <w:rFonts w:eastAsiaTheme="minorHAnsi" w:cstheme="minorBidi"/>
          <w:sz w:val="22"/>
          <w:szCs w:val="22"/>
        </w:rPr>
        <w:t xml:space="preserve"> </w:t>
      </w:r>
      <w:r w:rsidR="00161B1A" w:rsidRPr="0019653C">
        <w:rPr>
          <w:rFonts w:eastAsiaTheme="minorHAnsi" w:cstheme="minorBidi"/>
          <w:sz w:val="22"/>
          <w:szCs w:val="22"/>
        </w:rPr>
        <w:t xml:space="preserve">appears </w:t>
      </w:r>
      <w:r w:rsidRPr="0019653C">
        <w:rPr>
          <w:rFonts w:eastAsiaTheme="minorHAnsi" w:cstheme="minorBidi"/>
          <w:sz w:val="22"/>
          <w:szCs w:val="22"/>
        </w:rPr>
        <w:t>time-consuming and resource-intensive</w:t>
      </w:r>
      <w:r w:rsidR="00161B1A" w:rsidRPr="0019653C">
        <w:rPr>
          <w:rFonts w:eastAsiaTheme="minorHAnsi" w:cstheme="minorBidi"/>
          <w:sz w:val="22"/>
          <w:szCs w:val="22"/>
        </w:rPr>
        <w:t>, and means lengthy gaps between submission and payment of incentives</w:t>
      </w:r>
      <w:r w:rsidRPr="0019653C">
        <w:rPr>
          <w:rFonts w:eastAsiaTheme="minorHAnsi" w:cstheme="minorBidi"/>
          <w:sz w:val="22"/>
          <w:szCs w:val="22"/>
        </w:rPr>
        <w:t xml:space="preserve">. </w:t>
      </w:r>
      <w:r w:rsidR="00B06624" w:rsidRPr="0019653C">
        <w:rPr>
          <w:rFonts w:eastAsiaTheme="minorHAnsi" w:cstheme="minorBidi"/>
          <w:sz w:val="22"/>
          <w:szCs w:val="22"/>
        </w:rPr>
        <w:t xml:space="preserve"> </w:t>
      </w:r>
      <w:r w:rsidRPr="0019653C">
        <w:rPr>
          <w:rFonts w:eastAsiaTheme="minorHAnsi" w:cstheme="minorBidi"/>
          <w:sz w:val="22"/>
          <w:szCs w:val="22"/>
        </w:rPr>
        <w:t xml:space="preserve">The level of information input into the NRAS portal allows DSS to access extensive data about the household composition, income, rent charged, vacancies and market rent </w:t>
      </w:r>
      <w:r w:rsidR="0019653C" w:rsidRPr="0019653C">
        <w:rPr>
          <w:rFonts w:eastAsiaTheme="minorHAnsi" w:cstheme="minorBidi"/>
          <w:sz w:val="22"/>
          <w:szCs w:val="22"/>
        </w:rPr>
        <w:t xml:space="preserve">of each dwelling </w:t>
      </w:r>
      <w:r w:rsidRPr="0019653C">
        <w:rPr>
          <w:rFonts w:eastAsiaTheme="minorHAnsi" w:cstheme="minorBidi"/>
          <w:sz w:val="22"/>
          <w:szCs w:val="22"/>
        </w:rPr>
        <w:t>which could potentially be utilised to alert the DSS to claims where non-compliance is a risk.</w:t>
      </w:r>
    </w:p>
    <w:p w:rsidR="00234E27" w:rsidRPr="0019653C" w:rsidRDefault="00B06624"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The current method of </w:t>
      </w:r>
      <w:r w:rsidR="0019653C" w:rsidRPr="0019653C">
        <w:rPr>
          <w:rFonts w:eastAsiaTheme="minorHAnsi" w:cstheme="minorBidi"/>
          <w:sz w:val="22"/>
          <w:szCs w:val="22"/>
        </w:rPr>
        <w:t>assessing</w:t>
      </w:r>
      <w:r w:rsidRPr="0019653C">
        <w:rPr>
          <w:rFonts w:eastAsiaTheme="minorHAnsi" w:cstheme="minorBidi"/>
          <w:sz w:val="22"/>
          <w:szCs w:val="22"/>
        </w:rPr>
        <w:t xml:space="preserve"> </w:t>
      </w:r>
      <w:proofErr w:type="spellStart"/>
      <w:r w:rsidRPr="0019653C">
        <w:rPr>
          <w:rFonts w:eastAsiaTheme="minorHAnsi" w:cstheme="minorBidi"/>
          <w:sz w:val="22"/>
          <w:szCs w:val="22"/>
        </w:rPr>
        <w:t>SoC</w:t>
      </w:r>
      <w:r w:rsidR="0019653C" w:rsidRPr="0019653C">
        <w:rPr>
          <w:rFonts w:eastAsiaTheme="minorHAnsi" w:cstheme="minorBidi"/>
          <w:sz w:val="22"/>
          <w:szCs w:val="22"/>
        </w:rPr>
        <w:t>s</w:t>
      </w:r>
      <w:proofErr w:type="spellEnd"/>
      <w:r w:rsidRPr="0019653C">
        <w:rPr>
          <w:rFonts w:eastAsiaTheme="minorHAnsi" w:cstheme="minorBidi"/>
          <w:sz w:val="22"/>
          <w:szCs w:val="22"/>
        </w:rPr>
        <w:t xml:space="preserve"> can</w:t>
      </w:r>
      <w:r w:rsidR="0038367E" w:rsidRPr="0019653C">
        <w:rPr>
          <w:rFonts w:eastAsiaTheme="minorHAnsi" w:cstheme="minorBidi"/>
          <w:sz w:val="22"/>
          <w:szCs w:val="22"/>
        </w:rPr>
        <w:t xml:space="preserve"> also result in inconsistencies</w:t>
      </w:r>
      <w:r w:rsidRPr="0019653C">
        <w:rPr>
          <w:rFonts w:eastAsiaTheme="minorHAnsi" w:cstheme="minorBidi"/>
          <w:sz w:val="22"/>
          <w:szCs w:val="22"/>
        </w:rPr>
        <w:t xml:space="preserve">. </w:t>
      </w:r>
      <w:r w:rsidR="0038367E" w:rsidRPr="0019653C">
        <w:rPr>
          <w:rFonts w:eastAsiaTheme="minorHAnsi" w:cstheme="minorBidi"/>
          <w:sz w:val="22"/>
          <w:szCs w:val="22"/>
        </w:rPr>
        <w:t xml:space="preserve"> </w:t>
      </w:r>
      <w:r w:rsidRPr="0019653C">
        <w:rPr>
          <w:rFonts w:eastAsiaTheme="minorHAnsi" w:cstheme="minorBidi"/>
          <w:sz w:val="22"/>
          <w:szCs w:val="22"/>
        </w:rPr>
        <w:t xml:space="preserve">For example, in previous years we have experienced inconsistent treatment of tenancies where the amount </w:t>
      </w:r>
      <w:r w:rsidR="004A5607" w:rsidRPr="0019653C">
        <w:rPr>
          <w:rFonts w:eastAsiaTheme="minorHAnsi" w:cstheme="minorBidi"/>
          <w:sz w:val="22"/>
          <w:szCs w:val="22"/>
        </w:rPr>
        <w:t>on the lease agreement and TDA wa</w:t>
      </w:r>
      <w:r w:rsidRPr="0019653C">
        <w:rPr>
          <w:rFonts w:eastAsiaTheme="minorHAnsi" w:cstheme="minorBidi"/>
          <w:sz w:val="22"/>
          <w:szCs w:val="22"/>
        </w:rPr>
        <w:t>s inclusive of utilities</w:t>
      </w:r>
      <w:r w:rsidR="004A5607" w:rsidRPr="0019653C">
        <w:rPr>
          <w:rFonts w:eastAsiaTheme="minorHAnsi" w:cstheme="minorBidi"/>
          <w:sz w:val="22"/>
          <w:szCs w:val="22"/>
        </w:rPr>
        <w:t>. In these cases</w:t>
      </w:r>
      <w:r w:rsidRPr="0019653C">
        <w:rPr>
          <w:rFonts w:eastAsiaTheme="minorHAnsi" w:cstheme="minorBidi"/>
          <w:sz w:val="22"/>
          <w:szCs w:val="22"/>
        </w:rPr>
        <w:t xml:space="preserve"> the </w:t>
      </w:r>
      <w:r w:rsidR="004A5607" w:rsidRPr="0019653C">
        <w:rPr>
          <w:rFonts w:eastAsiaTheme="minorHAnsi" w:cstheme="minorBidi"/>
          <w:sz w:val="22"/>
          <w:szCs w:val="22"/>
        </w:rPr>
        <w:t xml:space="preserve">rent and </w:t>
      </w:r>
      <w:r w:rsidRPr="0019653C">
        <w:rPr>
          <w:rFonts w:eastAsiaTheme="minorHAnsi" w:cstheme="minorBidi"/>
          <w:sz w:val="22"/>
          <w:szCs w:val="22"/>
        </w:rPr>
        <w:t xml:space="preserve">utilities </w:t>
      </w:r>
      <w:r w:rsidR="004A5607" w:rsidRPr="0019653C">
        <w:rPr>
          <w:rFonts w:eastAsiaTheme="minorHAnsi" w:cstheme="minorBidi"/>
          <w:sz w:val="22"/>
          <w:szCs w:val="22"/>
        </w:rPr>
        <w:t xml:space="preserve">components </w:t>
      </w:r>
      <w:r w:rsidRPr="0019653C">
        <w:rPr>
          <w:rFonts w:eastAsiaTheme="minorHAnsi" w:cstheme="minorBidi"/>
          <w:sz w:val="22"/>
          <w:szCs w:val="22"/>
        </w:rPr>
        <w:t>show</w:t>
      </w:r>
      <w:r w:rsidR="004A5607" w:rsidRPr="0019653C">
        <w:rPr>
          <w:rFonts w:eastAsiaTheme="minorHAnsi" w:cstheme="minorBidi"/>
          <w:sz w:val="22"/>
          <w:szCs w:val="22"/>
        </w:rPr>
        <w:t>ed</w:t>
      </w:r>
      <w:r w:rsidRPr="0019653C">
        <w:rPr>
          <w:rFonts w:eastAsiaTheme="minorHAnsi" w:cstheme="minorBidi"/>
          <w:sz w:val="22"/>
          <w:szCs w:val="22"/>
        </w:rPr>
        <w:t xml:space="preserve"> up as separate charges on t</w:t>
      </w:r>
      <w:r w:rsidR="004A5607" w:rsidRPr="0019653C">
        <w:rPr>
          <w:rFonts w:eastAsiaTheme="minorHAnsi" w:cstheme="minorBidi"/>
          <w:sz w:val="22"/>
          <w:szCs w:val="22"/>
        </w:rPr>
        <w:t xml:space="preserve">he rent statement which was </w:t>
      </w:r>
      <w:r w:rsidRPr="0019653C">
        <w:rPr>
          <w:rFonts w:eastAsiaTheme="minorHAnsi" w:cstheme="minorBidi"/>
          <w:sz w:val="22"/>
          <w:szCs w:val="22"/>
        </w:rPr>
        <w:t xml:space="preserve">submitted </w:t>
      </w:r>
      <w:r w:rsidR="004A5607" w:rsidRPr="0019653C">
        <w:rPr>
          <w:rFonts w:eastAsiaTheme="minorHAnsi" w:cstheme="minorBidi"/>
          <w:sz w:val="22"/>
          <w:szCs w:val="22"/>
        </w:rPr>
        <w:t>as</w:t>
      </w:r>
      <w:r w:rsidRPr="0019653C">
        <w:rPr>
          <w:rFonts w:eastAsiaTheme="minorHAnsi" w:cstheme="minorBidi"/>
          <w:sz w:val="22"/>
          <w:szCs w:val="22"/>
        </w:rPr>
        <w:t xml:space="preserve"> evidence </w:t>
      </w:r>
      <w:r w:rsidR="004A5607" w:rsidRPr="0019653C">
        <w:rPr>
          <w:rFonts w:eastAsiaTheme="minorHAnsi" w:cstheme="minorBidi"/>
          <w:sz w:val="22"/>
          <w:szCs w:val="22"/>
        </w:rPr>
        <w:t>of compliance, however the rent and utilities components combined matched the rental value on the TDA. Most of these dwellings were deemed to be compliant but a few were deemed to be non-compliant, which seemed to indicate differing interpretations of the evidence.</w:t>
      </w:r>
    </w:p>
    <w:p w:rsidR="0019653C" w:rsidRPr="0019653C" w:rsidRDefault="0019653C" w:rsidP="003F76BD">
      <w:pPr>
        <w:widowControl w:val="0"/>
        <w:spacing w:before="0" w:after="180"/>
        <w:rPr>
          <w:rFonts w:eastAsiaTheme="minorHAnsi" w:cstheme="minorBidi"/>
          <w:b/>
          <w:sz w:val="22"/>
          <w:szCs w:val="22"/>
        </w:rPr>
      </w:pP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lastRenderedPageBreak/>
        <w:t>Service Level Agreement</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FHL </w:t>
      </w:r>
      <w:r w:rsidR="009774ED" w:rsidRPr="0019653C">
        <w:rPr>
          <w:rFonts w:eastAsiaTheme="minorHAnsi" w:cstheme="minorBidi"/>
          <w:sz w:val="22"/>
          <w:szCs w:val="22"/>
        </w:rPr>
        <w:t xml:space="preserve">suggests </w:t>
      </w:r>
      <w:r w:rsidRPr="0019653C">
        <w:rPr>
          <w:rFonts w:eastAsiaTheme="minorHAnsi" w:cstheme="minorBidi"/>
          <w:sz w:val="22"/>
          <w:szCs w:val="22"/>
        </w:rPr>
        <w:t>the creation of Service Level Agreements between the DSS and Approved Participants</w:t>
      </w:r>
      <w:r w:rsidR="009774ED" w:rsidRPr="0019653C">
        <w:rPr>
          <w:rFonts w:eastAsiaTheme="minorHAnsi" w:cstheme="minorBidi"/>
          <w:sz w:val="22"/>
          <w:szCs w:val="22"/>
        </w:rPr>
        <w:t>,</w:t>
      </w:r>
      <w:r w:rsidRPr="0019653C">
        <w:rPr>
          <w:rFonts w:eastAsiaTheme="minorHAnsi" w:cstheme="minorBidi"/>
          <w:sz w:val="22"/>
          <w:szCs w:val="22"/>
        </w:rPr>
        <w:t xml:space="preserve"> so that Approved Participants have clarity on what they can expect from the DSS in terms of level of communication, response timeframes, regularity and extent of status updates, and the process for making or escalating a complaint.</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For example, FHL depend</w:t>
      </w:r>
      <w:r w:rsidR="009774ED" w:rsidRPr="0019653C">
        <w:rPr>
          <w:rFonts w:eastAsiaTheme="minorHAnsi" w:cstheme="minorBidi"/>
          <w:sz w:val="22"/>
          <w:szCs w:val="22"/>
        </w:rPr>
        <w:t>s</w:t>
      </w:r>
      <w:r w:rsidRPr="0019653C">
        <w:rPr>
          <w:rFonts w:eastAsiaTheme="minorHAnsi" w:cstheme="minorBidi"/>
          <w:sz w:val="22"/>
          <w:szCs w:val="22"/>
        </w:rPr>
        <w:t xml:space="preserve"> on NRAS incentive payments being processed in a timel</w:t>
      </w:r>
      <w:r w:rsidR="009774ED" w:rsidRPr="0019653C">
        <w:rPr>
          <w:rFonts w:eastAsiaTheme="minorHAnsi" w:cstheme="minorBidi"/>
          <w:sz w:val="22"/>
          <w:szCs w:val="22"/>
        </w:rPr>
        <w:t>y manner and on being updated re</w:t>
      </w:r>
      <w:r w:rsidR="0038367E" w:rsidRPr="0019653C">
        <w:rPr>
          <w:rFonts w:eastAsiaTheme="minorHAnsi" w:cstheme="minorBidi"/>
          <w:sz w:val="22"/>
          <w:szCs w:val="22"/>
        </w:rPr>
        <w:t>garding</w:t>
      </w:r>
      <w:r w:rsidRPr="0019653C">
        <w:rPr>
          <w:rFonts w:eastAsiaTheme="minorHAnsi" w:cstheme="minorBidi"/>
          <w:sz w:val="22"/>
          <w:szCs w:val="22"/>
        </w:rPr>
        <w:t xml:space="preserve"> expect</w:t>
      </w:r>
      <w:r w:rsidR="009774ED" w:rsidRPr="0019653C">
        <w:rPr>
          <w:rFonts w:eastAsiaTheme="minorHAnsi" w:cstheme="minorBidi"/>
          <w:sz w:val="22"/>
          <w:szCs w:val="22"/>
        </w:rPr>
        <w:t>ed timeframes for payment,</w:t>
      </w:r>
      <w:r w:rsidRPr="0019653C">
        <w:rPr>
          <w:rFonts w:eastAsiaTheme="minorHAnsi" w:cstheme="minorBidi"/>
          <w:sz w:val="22"/>
          <w:szCs w:val="22"/>
        </w:rPr>
        <w:t xml:space="preserve"> so we can forecast cash flow for the organisation. </w:t>
      </w:r>
      <w:r w:rsidR="009774ED" w:rsidRPr="0019653C">
        <w:rPr>
          <w:rFonts w:eastAsiaTheme="minorHAnsi" w:cstheme="minorBidi"/>
          <w:sz w:val="22"/>
          <w:szCs w:val="22"/>
        </w:rPr>
        <w:t xml:space="preserve"> </w:t>
      </w:r>
      <w:r w:rsidRPr="0019653C">
        <w:rPr>
          <w:rFonts w:eastAsiaTheme="minorHAnsi" w:cstheme="minorBidi"/>
          <w:sz w:val="22"/>
          <w:szCs w:val="22"/>
        </w:rPr>
        <w:t xml:space="preserve">Having clear guidelines on the estimated time taken to process </w:t>
      </w:r>
      <w:proofErr w:type="spellStart"/>
      <w:r w:rsidR="0019653C" w:rsidRPr="0019653C">
        <w:rPr>
          <w:rFonts w:eastAsiaTheme="minorHAnsi" w:cstheme="minorBidi"/>
          <w:sz w:val="22"/>
          <w:szCs w:val="22"/>
        </w:rPr>
        <w:t>SoCs</w:t>
      </w:r>
      <w:proofErr w:type="spellEnd"/>
      <w:r w:rsidR="009774ED" w:rsidRPr="0019653C">
        <w:rPr>
          <w:rFonts w:eastAsiaTheme="minorHAnsi" w:cstheme="minorBidi"/>
          <w:sz w:val="22"/>
          <w:szCs w:val="22"/>
        </w:rPr>
        <w:t>,</w:t>
      </w:r>
      <w:r w:rsidRPr="0019653C">
        <w:rPr>
          <w:rFonts w:eastAsiaTheme="minorHAnsi" w:cstheme="minorBidi"/>
          <w:sz w:val="22"/>
          <w:szCs w:val="22"/>
        </w:rPr>
        <w:t xml:space="preserve"> and at what stages of processing we can expect status updates</w:t>
      </w:r>
      <w:r w:rsidR="009774ED" w:rsidRPr="0019653C">
        <w:rPr>
          <w:rFonts w:eastAsiaTheme="minorHAnsi" w:cstheme="minorBidi"/>
          <w:sz w:val="22"/>
          <w:szCs w:val="22"/>
        </w:rPr>
        <w:t>,</w:t>
      </w:r>
      <w:r w:rsidRPr="0019653C">
        <w:rPr>
          <w:rFonts w:eastAsiaTheme="minorHAnsi" w:cstheme="minorBidi"/>
          <w:sz w:val="22"/>
          <w:szCs w:val="22"/>
        </w:rPr>
        <w:t xml:space="preserve"> would </w:t>
      </w:r>
      <w:r w:rsidR="009774ED" w:rsidRPr="0019653C">
        <w:rPr>
          <w:rFonts w:eastAsiaTheme="minorHAnsi" w:cstheme="minorBidi"/>
          <w:sz w:val="22"/>
          <w:szCs w:val="22"/>
        </w:rPr>
        <w:t>give us clarity and enable us to plan.</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The creatio</w:t>
      </w:r>
      <w:r w:rsidR="009774ED" w:rsidRPr="0019653C">
        <w:rPr>
          <w:rFonts w:eastAsiaTheme="minorHAnsi" w:cstheme="minorBidi"/>
          <w:sz w:val="22"/>
          <w:szCs w:val="22"/>
        </w:rPr>
        <w:t>n of a Service Level Agreement sh</w:t>
      </w:r>
      <w:r w:rsidRPr="0019653C">
        <w:rPr>
          <w:rFonts w:eastAsiaTheme="minorHAnsi" w:cstheme="minorBidi"/>
          <w:sz w:val="22"/>
          <w:szCs w:val="22"/>
        </w:rPr>
        <w:t xml:space="preserve">ould result in greater clarity </w:t>
      </w:r>
      <w:r w:rsidR="009774ED" w:rsidRPr="0019653C">
        <w:rPr>
          <w:rFonts w:eastAsiaTheme="minorHAnsi" w:cstheme="minorBidi"/>
          <w:sz w:val="22"/>
          <w:szCs w:val="22"/>
        </w:rPr>
        <w:t xml:space="preserve">for </w:t>
      </w:r>
      <w:r w:rsidRPr="0019653C">
        <w:rPr>
          <w:rFonts w:eastAsiaTheme="minorHAnsi" w:cstheme="minorBidi"/>
          <w:sz w:val="22"/>
          <w:szCs w:val="22"/>
        </w:rPr>
        <w:t xml:space="preserve">Approved Participants and fewer queries to the DSS about the status of </w:t>
      </w:r>
      <w:proofErr w:type="spellStart"/>
      <w:r w:rsidR="0019653C" w:rsidRPr="0019653C">
        <w:rPr>
          <w:rFonts w:eastAsiaTheme="minorHAnsi" w:cstheme="minorBidi"/>
          <w:sz w:val="22"/>
          <w:szCs w:val="22"/>
        </w:rPr>
        <w:t>SoC</w:t>
      </w:r>
      <w:proofErr w:type="spellEnd"/>
      <w:r w:rsidRPr="0019653C">
        <w:rPr>
          <w:rFonts w:eastAsiaTheme="minorHAnsi" w:cstheme="minorBidi"/>
          <w:sz w:val="22"/>
          <w:szCs w:val="22"/>
        </w:rPr>
        <w:t xml:space="preserve"> processing and</w:t>
      </w:r>
      <w:r w:rsidR="009774ED" w:rsidRPr="0019653C">
        <w:rPr>
          <w:rFonts w:eastAsiaTheme="minorHAnsi" w:cstheme="minorBidi"/>
          <w:sz w:val="22"/>
          <w:szCs w:val="22"/>
        </w:rPr>
        <w:t xml:space="preserve"> payment of incentives</w:t>
      </w:r>
      <w:r w:rsidRPr="0019653C">
        <w:rPr>
          <w:rFonts w:eastAsiaTheme="minorHAnsi" w:cstheme="minorBidi"/>
          <w:sz w:val="22"/>
          <w:szCs w:val="22"/>
        </w:rPr>
        <w:t>.</w:t>
      </w: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t xml:space="preserve">Status of </w:t>
      </w:r>
      <w:proofErr w:type="spellStart"/>
      <w:r w:rsidR="008D49E0" w:rsidRPr="0019653C">
        <w:rPr>
          <w:rFonts w:eastAsiaTheme="minorHAnsi" w:cstheme="minorBidi"/>
          <w:b/>
          <w:sz w:val="22"/>
          <w:szCs w:val="22"/>
        </w:rPr>
        <w:t>SoC</w:t>
      </w:r>
      <w:proofErr w:type="spellEnd"/>
      <w:r w:rsidR="008D49E0" w:rsidRPr="0019653C">
        <w:rPr>
          <w:rFonts w:eastAsiaTheme="minorHAnsi" w:cstheme="minorBidi"/>
          <w:b/>
          <w:sz w:val="22"/>
          <w:szCs w:val="22"/>
        </w:rPr>
        <w:t xml:space="preserve"> Processing</w:t>
      </w:r>
      <w:r w:rsidRPr="0019653C">
        <w:rPr>
          <w:rFonts w:eastAsiaTheme="minorHAnsi" w:cstheme="minorBidi"/>
          <w:b/>
          <w:sz w:val="22"/>
          <w:szCs w:val="22"/>
        </w:rPr>
        <w:t xml:space="preserve"> and Incentive Payments</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The DSS may want to consider expanding the information available in the NRAS portal to show greater detail on the status of </w:t>
      </w:r>
      <w:proofErr w:type="spellStart"/>
      <w:r w:rsidRPr="0019653C">
        <w:rPr>
          <w:rFonts w:eastAsiaTheme="minorHAnsi" w:cstheme="minorBidi"/>
          <w:sz w:val="22"/>
          <w:szCs w:val="22"/>
        </w:rPr>
        <w:t>SoC</w:t>
      </w:r>
      <w:proofErr w:type="spellEnd"/>
      <w:r w:rsidRPr="0019653C">
        <w:rPr>
          <w:rFonts w:eastAsiaTheme="minorHAnsi" w:cstheme="minorBidi"/>
          <w:sz w:val="22"/>
          <w:szCs w:val="22"/>
        </w:rPr>
        <w:t xml:space="preserve"> processing and the issuing of incentive payments.</w:t>
      </w:r>
      <w:r w:rsidR="00B435BE" w:rsidRPr="0019653C">
        <w:rPr>
          <w:rFonts w:eastAsiaTheme="minorHAnsi" w:cstheme="minorBidi"/>
          <w:sz w:val="22"/>
          <w:szCs w:val="22"/>
        </w:rPr>
        <w:t xml:space="preserve">  </w:t>
      </w:r>
      <w:r w:rsidRPr="0019653C">
        <w:rPr>
          <w:rFonts w:eastAsiaTheme="minorHAnsi" w:cstheme="minorBidi"/>
          <w:sz w:val="22"/>
          <w:szCs w:val="22"/>
        </w:rPr>
        <w:t xml:space="preserve">In combination with a Service Level Agreement </w:t>
      </w:r>
      <w:r w:rsidR="00B435BE" w:rsidRPr="0019653C">
        <w:rPr>
          <w:rFonts w:eastAsiaTheme="minorHAnsi" w:cstheme="minorBidi"/>
          <w:sz w:val="22"/>
          <w:szCs w:val="22"/>
        </w:rPr>
        <w:t>this sh</w:t>
      </w:r>
      <w:r w:rsidRPr="0019653C">
        <w:rPr>
          <w:rFonts w:eastAsiaTheme="minorHAnsi" w:cstheme="minorBidi"/>
          <w:sz w:val="22"/>
          <w:szCs w:val="22"/>
        </w:rPr>
        <w:t>ould help reduce the number of queries from Approved Participants after the end of the NRAS year.</w:t>
      </w:r>
    </w:p>
    <w:p w:rsidR="00DB6809" w:rsidRPr="0019653C" w:rsidRDefault="00610B29" w:rsidP="003F76BD">
      <w:pPr>
        <w:keepNext/>
        <w:tabs>
          <w:tab w:val="left" w:pos="567"/>
        </w:tabs>
        <w:spacing w:before="0" w:after="180"/>
        <w:jc w:val="center"/>
        <w:rPr>
          <w:rFonts w:ascii="Calibri" w:hAnsi="Calibri"/>
          <w:b/>
          <w:sz w:val="26"/>
          <w:szCs w:val="26"/>
        </w:rPr>
      </w:pPr>
      <w:r w:rsidRPr="0019653C">
        <w:rPr>
          <w:rFonts w:ascii="Calibri" w:hAnsi="Calibri"/>
          <w:b/>
          <w:sz w:val="26"/>
          <w:szCs w:val="26"/>
        </w:rPr>
        <w:t>Strengthening documentary requirements</w:t>
      </w:r>
    </w:p>
    <w:p w:rsidR="00A61014" w:rsidRPr="0019653C" w:rsidRDefault="00D14551"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eastAsia="Cambria" w:hAnsi="Calibri"/>
          <w:position w:val="-2"/>
          <w:szCs w:val="24"/>
          <w:lang w:val="en-GB"/>
        </w:rPr>
      </w:pPr>
      <w:r w:rsidRPr="0019653C">
        <w:rPr>
          <w:rFonts w:ascii="Calibri" w:eastAsia="Cambria" w:hAnsi="Calibri"/>
          <w:b/>
          <w:position w:val="-2"/>
          <w:szCs w:val="24"/>
          <w:lang w:val="en-GB"/>
        </w:rPr>
        <w:t>Discussion Question 2)</w:t>
      </w:r>
      <w:r w:rsidRPr="0019653C">
        <w:rPr>
          <w:rFonts w:ascii="Calibri" w:eastAsia="Cambria" w:hAnsi="Calibri"/>
          <w:position w:val="-2"/>
          <w:szCs w:val="24"/>
          <w:lang w:val="en-GB"/>
        </w:rPr>
        <w:t xml:space="preserve"> </w:t>
      </w:r>
      <w:r w:rsidR="00A61014" w:rsidRPr="0019653C">
        <w:rPr>
          <w:rFonts w:ascii="Calibri" w:eastAsia="Cambria" w:hAnsi="Calibri"/>
          <w:position w:val="-2"/>
          <w:szCs w:val="24"/>
          <w:lang w:val="en-GB"/>
        </w:rPr>
        <w:t>What documentation should approved participants be required to provide to the Department to support the information obtained in relation to:</w:t>
      </w:r>
    </w:p>
    <w:p w:rsidR="00A61014" w:rsidRPr="0019653C" w:rsidRDefault="00A61014"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eastAsia="Cambria" w:hAnsi="Calibri"/>
          <w:position w:val="-2"/>
          <w:szCs w:val="24"/>
          <w:lang w:val="en-GB"/>
        </w:rPr>
      </w:pPr>
      <w:r w:rsidRPr="0019653C">
        <w:rPr>
          <w:rFonts w:ascii="Calibri" w:eastAsia="Cambria" w:hAnsi="Calibri"/>
          <w:position w:val="-2"/>
          <w:szCs w:val="24"/>
          <w:lang w:val="en-GB"/>
        </w:rPr>
        <w:t xml:space="preserve">• an allocation (such as market rent valuations); and </w:t>
      </w:r>
    </w:p>
    <w:p w:rsidR="00610B29" w:rsidRPr="0019653C" w:rsidRDefault="00A61014"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eastAsia="Cambria" w:hAnsi="Calibri"/>
          <w:position w:val="-2"/>
          <w:szCs w:val="24"/>
          <w:lang w:val="en-GB"/>
        </w:rPr>
      </w:pPr>
      <w:r w:rsidRPr="0019653C">
        <w:rPr>
          <w:rFonts w:ascii="Calibri" w:eastAsia="Cambria" w:hAnsi="Calibri"/>
          <w:position w:val="-2"/>
          <w:szCs w:val="24"/>
          <w:lang w:val="en-GB"/>
        </w:rPr>
        <w:t>• lodgement of the annual Statement of Compliance (such as rents charged, household income and occupancy records)?</w:t>
      </w: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t>New Tenants</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The DSS may want to consider an amendment to the NRAS regulations to allow time for Approved Participants to process the applications of prospective NRAS tenants. </w:t>
      </w:r>
      <w:r w:rsidR="00F824C6" w:rsidRPr="0019653C">
        <w:rPr>
          <w:rFonts w:eastAsiaTheme="minorHAnsi" w:cstheme="minorBidi"/>
          <w:sz w:val="22"/>
          <w:szCs w:val="22"/>
        </w:rPr>
        <w:t xml:space="preserve"> </w:t>
      </w:r>
      <w:r w:rsidRPr="0019653C">
        <w:rPr>
          <w:rFonts w:eastAsiaTheme="minorHAnsi" w:cstheme="minorBidi"/>
          <w:sz w:val="22"/>
          <w:szCs w:val="22"/>
        </w:rPr>
        <w:t>The NRAS regulations currently state that tenants become eligible if their gross household income “for the 12 months ending on the day before the start date” meets the relevant income limit for their household.</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Once a prospective tenant provides evidence of their income for the previous 12 months the Approved Participant needs to process their application, determine eligibility, make a tenancy offer, and arrange for the applicant to view the property and sign a lease agreement. </w:t>
      </w:r>
      <w:r w:rsidR="009311FC" w:rsidRPr="0019653C">
        <w:rPr>
          <w:rFonts w:eastAsiaTheme="minorHAnsi" w:cstheme="minorBidi"/>
          <w:sz w:val="22"/>
          <w:szCs w:val="22"/>
        </w:rPr>
        <w:t xml:space="preserve"> </w:t>
      </w:r>
      <w:r w:rsidRPr="0019653C">
        <w:rPr>
          <w:rFonts w:eastAsiaTheme="minorHAnsi" w:cstheme="minorBidi"/>
          <w:sz w:val="22"/>
          <w:szCs w:val="22"/>
        </w:rPr>
        <w:t>All of these processes take time and create a gap between the 12 months’ worth of income details provided and the tenancy start date.</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FHL propose</w:t>
      </w:r>
      <w:r w:rsidR="009311FC" w:rsidRPr="0019653C">
        <w:rPr>
          <w:rFonts w:eastAsiaTheme="minorHAnsi" w:cstheme="minorBidi"/>
          <w:sz w:val="22"/>
          <w:szCs w:val="22"/>
        </w:rPr>
        <w:t>s</w:t>
      </w:r>
      <w:r w:rsidRPr="0019653C">
        <w:rPr>
          <w:rFonts w:eastAsiaTheme="minorHAnsi" w:cstheme="minorBidi"/>
          <w:sz w:val="22"/>
          <w:szCs w:val="22"/>
        </w:rPr>
        <w:t xml:space="preserve"> an am</w:t>
      </w:r>
      <w:r w:rsidR="00C73949" w:rsidRPr="0019653C">
        <w:rPr>
          <w:rFonts w:eastAsiaTheme="minorHAnsi" w:cstheme="minorBidi"/>
          <w:sz w:val="22"/>
          <w:szCs w:val="22"/>
        </w:rPr>
        <w:t xml:space="preserve">endment to the NRAS regulations </w:t>
      </w:r>
      <w:r w:rsidRPr="0019653C">
        <w:rPr>
          <w:rFonts w:eastAsiaTheme="minorHAnsi" w:cstheme="minorBidi"/>
          <w:sz w:val="22"/>
          <w:szCs w:val="22"/>
        </w:rPr>
        <w:t>to allow a specified amount of time for processing tenancy applications (for example, 30 days) so that income details provided for the 12 months prior to these 30 days are acceptable evidence of tenant eligibility.</w:t>
      </w: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t>Statements of Compliance</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F</w:t>
      </w:r>
      <w:r w:rsidR="00EE5742" w:rsidRPr="0019653C">
        <w:rPr>
          <w:rFonts w:eastAsiaTheme="minorHAnsi" w:cstheme="minorBidi"/>
          <w:sz w:val="22"/>
          <w:szCs w:val="22"/>
        </w:rPr>
        <w:t>HL welcomes the</w:t>
      </w:r>
      <w:r w:rsidRPr="0019653C">
        <w:rPr>
          <w:rFonts w:eastAsiaTheme="minorHAnsi" w:cstheme="minorBidi"/>
          <w:sz w:val="22"/>
          <w:szCs w:val="22"/>
        </w:rPr>
        <w:t xml:space="preserve"> </w:t>
      </w:r>
      <w:r w:rsidR="00EE5742" w:rsidRPr="0019653C">
        <w:rPr>
          <w:rFonts w:eastAsiaTheme="minorHAnsi" w:cstheme="minorBidi"/>
          <w:sz w:val="22"/>
          <w:szCs w:val="22"/>
        </w:rPr>
        <w:t xml:space="preserve">DSS’s proposal to set out a standard of documentation that </w:t>
      </w:r>
      <w:r w:rsidRPr="0019653C">
        <w:rPr>
          <w:rFonts w:eastAsiaTheme="minorHAnsi" w:cstheme="minorBidi"/>
          <w:sz w:val="22"/>
          <w:szCs w:val="22"/>
        </w:rPr>
        <w:t xml:space="preserve">Approved Participants need to submit </w:t>
      </w:r>
      <w:r w:rsidR="00D93159" w:rsidRPr="0019653C">
        <w:rPr>
          <w:rFonts w:eastAsiaTheme="minorHAnsi" w:cstheme="minorBidi"/>
          <w:sz w:val="22"/>
          <w:szCs w:val="22"/>
        </w:rPr>
        <w:t>annually as</w:t>
      </w:r>
      <w:r w:rsidRPr="0019653C">
        <w:rPr>
          <w:rFonts w:eastAsiaTheme="minorHAnsi" w:cstheme="minorBidi"/>
          <w:sz w:val="22"/>
          <w:szCs w:val="22"/>
        </w:rPr>
        <w:t xml:space="preserve"> evidence </w:t>
      </w:r>
      <w:r w:rsidR="00D93159" w:rsidRPr="0019653C">
        <w:rPr>
          <w:rFonts w:eastAsiaTheme="minorHAnsi" w:cstheme="minorBidi"/>
          <w:sz w:val="22"/>
          <w:szCs w:val="22"/>
        </w:rPr>
        <w:t xml:space="preserve">of </w:t>
      </w:r>
      <w:r w:rsidRPr="0019653C">
        <w:rPr>
          <w:rFonts w:eastAsiaTheme="minorHAnsi" w:cstheme="minorBidi"/>
          <w:sz w:val="22"/>
          <w:szCs w:val="22"/>
        </w:rPr>
        <w:t xml:space="preserve">compliance for an NRAS dwelling. </w:t>
      </w:r>
      <w:r w:rsidR="00F824C6" w:rsidRPr="0019653C">
        <w:rPr>
          <w:rFonts w:eastAsiaTheme="minorHAnsi" w:cstheme="minorBidi"/>
          <w:sz w:val="22"/>
          <w:szCs w:val="22"/>
        </w:rPr>
        <w:t xml:space="preserve"> </w:t>
      </w:r>
      <w:r w:rsidRPr="0019653C">
        <w:rPr>
          <w:rFonts w:eastAsiaTheme="minorHAnsi" w:cstheme="minorBidi"/>
          <w:sz w:val="22"/>
          <w:szCs w:val="22"/>
        </w:rPr>
        <w:t xml:space="preserve">This </w:t>
      </w:r>
      <w:r w:rsidRPr="0019653C">
        <w:rPr>
          <w:rFonts w:eastAsiaTheme="minorHAnsi" w:cstheme="minorBidi"/>
          <w:sz w:val="22"/>
          <w:szCs w:val="22"/>
        </w:rPr>
        <w:lastRenderedPageBreak/>
        <w:t>documentation could include:</w:t>
      </w:r>
    </w:p>
    <w:p w:rsidR="0053527C" w:rsidRPr="0019653C" w:rsidRDefault="0053527C" w:rsidP="003F76BD">
      <w:pPr>
        <w:widowControl w:val="0"/>
        <w:numPr>
          <w:ilvl w:val="0"/>
          <w:numId w:val="16"/>
        </w:numPr>
        <w:spacing w:before="0" w:after="180"/>
        <w:rPr>
          <w:rFonts w:eastAsiaTheme="minorHAnsi" w:cstheme="minorBidi"/>
          <w:sz w:val="22"/>
          <w:szCs w:val="22"/>
        </w:rPr>
      </w:pPr>
      <w:r w:rsidRPr="0019653C">
        <w:rPr>
          <w:rFonts w:eastAsiaTheme="minorHAnsi" w:cstheme="minorBidi"/>
          <w:sz w:val="22"/>
          <w:szCs w:val="22"/>
        </w:rPr>
        <w:t>The tenancy agreement, submitted at the beginning of a tenancy.</w:t>
      </w:r>
      <w:r w:rsidR="00EE5742" w:rsidRPr="0019653C">
        <w:rPr>
          <w:rFonts w:eastAsiaTheme="minorHAnsi" w:cstheme="minorBidi"/>
          <w:sz w:val="22"/>
          <w:szCs w:val="22"/>
        </w:rPr>
        <w:t xml:space="preserve"> </w:t>
      </w:r>
      <w:r w:rsidRPr="0019653C">
        <w:rPr>
          <w:rFonts w:eastAsiaTheme="minorHAnsi" w:cstheme="minorBidi"/>
          <w:sz w:val="22"/>
          <w:szCs w:val="22"/>
        </w:rPr>
        <w:t xml:space="preserve"> For periodic tenancies the DSS may want to consider amending the NRAS portal requirements so that Approved Participants do not have to resubmit the tenancy agreement annually if it has already been submitted and continues to apply;</w:t>
      </w:r>
    </w:p>
    <w:p w:rsidR="0053527C" w:rsidRPr="0019653C" w:rsidRDefault="0053527C" w:rsidP="003F76BD">
      <w:pPr>
        <w:widowControl w:val="0"/>
        <w:numPr>
          <w:ilvl w:val="0"/>
          <w:numId w:val="16"/>
        </w:numPr>
        <w:spacing w:before="0" w:after="180"/>
        <w:rPr>
          <w:rFonts w:eastAsiaTheme="minorHAnsi" w:cstheme="minorBidi"/>
          <w:sz w:val="22"/>
          <w:szCs w:val="22"/>
        </w:rPr>
      </w:pPr>
      <w:r w:rsidRPr="0019653C">
        <w:rPr>
          <w:rFonts w:eastAsiaTheme="minorHAnsi" w:cstheme="minorBidi"/>
          <w:sz w:val="22"/>
          <w:szCs w:val="22"/>
        </w:rPr>
        <w:t>Any letters advising the tenant of a change to their rent;</w:t>
      </w:r>
    </w:p>
    <w:p w:rsidR="0053527C" w:rsidRPr="0019653C" w:rsidRDefault="0053527C" w:rsidP="003F76BD">
      <w:pPr>
        <w:widowControl w:val="0"/>
        <w:numPr>
          <w:ilvl w:val="0"/>
          <w:numId w:val="16"/>
        </w:numPr>
        <w:spacing w:before="0" w:after="180"/>
        <w:rPr>
          <w:rFonts w:eastAsiaTheme="minorHAnsi" w:cstheme="minorBidi"/>
          <w:sz w:val="22"/>
          <w:szCs w:val="22"/>
        </w:rPr>
      </w:pPr>
      <w:r w:rsidRPr="0019653C">
        <w:rPr>
          <w:rFonts w:eastAsiaTheme="minorHAnsi" w:cstheme="minorBidi"/>
          <w:sz w:val="22"/>
          <w:szCs w:val="22"/>
        </w:rPr>
        <w:t xml:space="preserve">An income assessment worksheet submitted annually. </w:t>
      </w:r>
      <w:r w:rsidR="00F824C6" w:rsidRPr="0019653C">
        <w:rPr>
          <w:rFonts w:eastAsiaTheme="minorHAnsi" w:cstheme="minorBidi"/>
          <w:sz w:val="22"/>
          <w:szCs w:val="22"/>
        </w:rPr>
        <w:t xml:space="preserve"> </w:t>
      </w:r>
      <w:r w:rsidRPr="0019653C">
        <w:rPr>
          <w:rFonts w:eastAsiaTheme="minorHAnsi" w:cstheme="minorBidi"/>
          <w:sz w:val="22"/>
          <w:szCs w:val="22"/>
        </w:rPr>
        <w:t>This would be a template created by the DSS to standardise and provide guidance on the types of income evidence required;</w:t>
      </w:r>
    </w:p>
    <w:p w:rsidR="0053527C" w:rsidRPr="0019653C" w:rsidRDefault="0053527C" w:rsidP="003F76BD">
      <w:pPr>
        <w:widowControl w:val="0"/>
        <w:numPr>
          <w:ilvl w:val="0"/>
          <w:numId w:val="16"/>
        </w:numPr>
        <w:spacing w:before="0" w:after="180"/>
        <w:rPr>
          <w:rFonts w:eastAsiaTheme="minorHAnsi" w:cstheme="minorBidi"/>
          <w:sz w:val="22"/>
          <w:szCs w:val="22"/>
        </w:rPr>
      </w:pPr>
      <w:r w:rsidRPr="0019653C">
        <w:rPr>
          <w:rFonts w:eastAsiaTheme="minorHAnsi" w:cstheme="minorBidi"/>
          <w:sz w:val="22"/>
          <w:szCs w:val="22"/>
        </w:rPr>
        <w:t xml:space="preserve">Evidence of tenant income details for the previous 12 months, submitted at the beginning of a tenancy and annually thereafter. </w:t>
      </w:r>
      <w:r w:rsidR="00EE5742" w:rsidRPr="0019653C">
        <w:rPr>
          <w:rFonts w:eastAsiaTheme="minorHAnsi" w:cstheme="minorBidi"/>
          <w:sz w:val="22"/>
          <w:szCs w:val="22"/>
        </w:rPr>
        <w:t xml:space="preserve"> </w:t>
      </w:r>
      <w:r w:rsidRPr="0019653C">
        <w:rPr>
          <w:rFonts w:eastAsiaTheme="minorHAnsi" w:cstheme="minorBidi"/>
          <w:sz w:val="22"/>
          <w:szCs w:val="22"/>
        </w:rPr>
        <w:t>The DSS may want to consider amending the NRAS portal settings to create an option to lodge annual income assessments where no other details have changed; and</w:t>
      </w:r>
    </w:p>
    <w:p w:rsidR="0053527C" w:rsidRPr="0019653C" w:rsidRDefault="0053527C" w:rsidP="003F76BD">
      <w:pPr>
        <w:widowControl w:val="0"/>
        <w:numPr>
          <w:ilvl w:val="0"/>
          <w:numId w:val="16"/>
        </w:numPr>
        <w:spacing w:before="0" w:after="180"/>
        <w:rPr>
          <w:rFonts w:eastAsiaTheme="minorHAnsi" w:cstheme="minorBidi"/>
          <w:sz w:val="22"/>
          <w:szCs w:val="22"/>
        </w:rPr>
      </w:pPr>
      <w:r w:rsidRPr="0019653C">
        <w:rPr>
          <w:rFonts w:eastAsiaTheme="minorHAnsi" w:cstheme="minorBidi"/>
          <w:sz w:val="22"/>
          <w:szCs w:val="22"/>
        </w:rPr>
        <w:t>A rent statement showing the rent charged over the previous 12 months.</w:t>
      </w:r>
    </w:p>
    <w:p w:rsidR="00A61014" w:rsidRPr="0019653C" w:rsidRDefault="00A61014" w:rsidP="003F76BD">
      <w:pPr>
        <w:keepNext/>
        <w:tabs>
          <w:tab w:val="left" w:pos="567"/>
        </w:tabs>
        <w:spacing w:before="0" w:after="180"/>
        <w:jc w:val="center"/>
        <w:rPr>
          <w:rFonts w:ascii="Calibri" w:hAnsi="Calibri"/>
          <w:b/>
          <w:sz w:val="26"/>
          <w:szCs w:val="26"/>
        </w:rPr>
      </w:pPr>
      <w:r w:rsidRPr="0019653C">
        <w:rPr>
          <w:rFonts w:ascii="Calibri" w:hAnsi="Calibri"/>
          <w:b/>
          <w:sz w:val="26"/>
          <w:szCs w:val="26"/>
        </w:rPr>
        <w:t>Introducing discretion to correct errors</w:t>
      </w:r>
    </w:p>
    <w:p w:rsidR="00077A5C" w:rsidRPr="0019653C" w:rsidRDefault="00A61014"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eastAsia="Cambria" w:hAnsi="Calibri"/>
          <w:position w:val="-2"/>
          <w:szCs w:val="24"/>
          <w:lang w:val="en-GB"/>
        </w:rPr>
      </w:pPr>
      <w:r w:rsidRPr="0019653C">
        <w:rPr>
          <w:rFonts w:ascii="Calibri" w:eastAsia="Cambria" w:hAnsi="Calibri"/>
          <w:b/>
          <w:position w:val="-2"/>
          <w:szCs w:val="24"/>
          <w:lang w:val="en-GB"/>
        </w:rPr>
        <w:t>Discussion Question 3)</w:t>
      </w:r>
      <w:r w:rsidRPr="0019653C">
        <w:rPr>
          <w:rFonts w:ascii="Calibri" w:eastAsia="Cambria" w:hAnsi="Calibri"/>
          <w:position w:val="-2"/>
          <w:szCs w:val="24"/>
          <w:lang w:val="en-GB"/>
        </w:rPr>
        <w:t xml:space="preserve"> </w:t>
      </w:r>
      <w:r w:rsidRPr="0019653C">
        <w:rPr>
          <w:rFonts w:ascii="Calibri" w:hAnsi="Calibri" w:cs="Arial"/>
        </w:rPr>
        <w:t>Are there circumstances under which the Department should consider allocating a dwelling even when the applicant has not met all of the conditions of reservation?</w:t>
      </w:r>
      <w:r w:rsidRPr="0019653C">
        <w:rPr>
          <w:rFonts w:ascii="Calibri" w:hAnsi="Calibri" w:cs="Arial"/>
          <w:b/>
        </w:rPr>
        <w:t xml:space="preserve">  </w:t>
      </w:r>
    </w:p>
    <w:p w:rsidR="00A61014" w:rsidRPr="0019653C" w:rsidRDefault="00914263" w:rsidP="003F76BD">
      <w:pPr>
        <w:widowControl w:val="0"/>
        <w:spacing w:before="0" w:after="180"/>
        <w:rPr>
          <w:rFonts w:eastAsiaTheme="minorHAnsi" w:cstheme="minorBidi"/>
          <w:sz w:val="22"/>
          <w:szCs w:val="22"/>
        </w:rPr>
      </w:pPr>
      <w:r w:rsidRPr="0019653C">
        <w:rPr>
          <w:rFonts w:eastAsiaTheme="minorHAnsi" w:cstheme="minorBidi"/>
          <w:sz w:val="22"/>
          <w:szCs w:val="22"/>
        </w:rPr>
        <w:t>FHL supports the suggestion that the DSS could allocate</w:t>
      </w:r>
      <w:r w:rsidR="00077A5C" w:rsidRPr="0019653C">
        <w:rPr>
          <w:rFonts w:eastAsiaTheme="minorHAnsi" w:cstheme="minorBidi"/>
          <w:sz w:val="22"/>
          <w:szCs w:val="22"/>
        </w:rPr>
        <w:t xml:space="preserve"> a dwelling that has not met all of the conditions of reservation if this is due to an administrative error that can be – or has been – rectified by the Approved Participant. </w:t>
      </w:r>
      <w:r w:rsidRPr="0019653C">
        <w:rPr>
          <w:rFonts w:eastAsiaTheme="minorHAnsi" w:cstheme="minorBidi"/>
          <w:sz w:val="22"/>
          <w:szCs w:val="22"/>
        </w:rPr>
        <w:t xml:space="preserve"> </w:t>
      </w:r>
      <w:r w:rsidR="00077A5C" w:rsidRPr="0019653C">
        <w:rPr>
          <w:rFonts w:eastAsiaTheme="minorHAnsi" w:cstheme="minorBidi"/>
          <w:sz w:val="22"/>
          <w:szCs w:val="22"/>
        </w:rPr>
        <w:t>This would allow for greater flexibility in meeting the goals of the Scheme and increasing the supply of affordable rental dwellings.</w:t>
      </w:r>
    </w:p>
    <w:p w:rsidR="00077A5C" w:rsidRPr="0019653C" w:rsidRDefault="00A61014"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eastAsia="Cambria" w:hAnsi="Calibri"/>
          <w:position w:val="-2"/>
          <w:szCs w:val="24"/>
          <w:lang w:val="en-GB"/>
        </w:rPr>
      </w:pPr>
      <w:r w:rsidRPr="0019653C">
        <w:rPr>
          <w:rFonts w:ascii="Calibri" w:eastAsia="Cambria" w:hAnsi="Calibri"/>
          <w:b/>
          <w:position w:val="-2"/>
          <w:szCs w:val="24"/>
          <w:lang w:val="en-GB"/>
        </w:rPr>
        <w:t>Discussion Question 4)</w:t>
      </w:r>
      <w:r w:rsidRPr="0019653C">
        <w:rPr>
          <w:rFonts w:ascii="Calibri" w:eastAsia="Cambria" w:hAnsi="Calibri"/>
          <w:position w:val="-2"/>
          <w:szCs w:val="24"/>
          <w:lang w:val="en-GB"/>
        </w:rPr>
        <w:t xml:space="preserve"> </w:t>
      </w:r>
      <w:r w:rsidRPr="0019653C">
        <w:rPr>
          <w:rFonts w:ascii="Calibri" w:hAnsi="Calibri" w:cs="Arial"/>
        </w:rPr>
        <w:t>Under which circumstances should the Department consider issuing an incentive even when the approved participant has not met all of the conditions of allocation but issuing an incentive is still in the best interests of the Scheme?</w:t>
      </w: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t>Vacancies</w:t>
      </w:r>
      <w:r w:rsidR="0019653C" w:rsidRPr="0019653C">
        <w:rPr>
          <w:rFonts w:eastAsiaTheme="minorHAnsi" w:cstheme="minorBidi"/>
          <w:b/>
          <w:sz w:val="22"/>
          <w:szCs w:val="22"/>
        </w:rPr>
        <w:t xml:space="preserve"> in</w:t>
      </w:r>
      <w:r w:rsidR="00345BCA" w:rsidRPr="0019653C">
        <w:rPr>
          <w:rFonts w:eastAsiaTheme="minorHAnsi" w:cstheme="minorBidi"/>
          <w:b/>
          <w:sz w:val="22"/>
          <w:szCs w:val="22"/>
        </w:rPr>
        <w:t xml:space="preserve"> Areas of Decreased Demand</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The DS</w:t>
      </w:r>
      <w:r w:rsidR="00AD7E66" w:rsidRPr="0019653C">
        <w:rPr>
          <w:rFonts w:eastAsiaTheme="minorHAnsi" w:cstheme="minorBidi"/>
          <w:sz w:val="22"/>
          <w:szCs w:val="22"/>
        </w:rPr>
        <w:t>S may want to consider issuing</w:t>
      </w:r>
      <w:r w:rsidRPr="0019653C">
        <w:rPr>
          <w:rFonts w:eastAsiaTheme="minorHAnsi" w:cstheme="minorBidi"/>
          <w:sz w:val="22"/>
          <w:szCs w:val="22"/>
        </w:rPr>
        <w:t xml:space="preserve"> proportional incentive</w:t>
      </w:r>
      <w:r w:rsidR="00AD7E66" w:rsidRPr="0019653C">
        <w:rPr>
          <w:rFonts w:eastAsiaTheme="minorHAnsi" w:cstheme="minorBidi"/>
          <w:sz w:val="22"/>
          <w:szCs w:val="22"/>
        </w:rPr>
        <w:t>s</w:t>
      </w:r>
      <w:r w:rsidRPr="0019653C">
        <w:rPr>
          <w:rFonts w:eastAsiaTheme="minorHAnsi" w:cstheme="minorBidi"/>
          <w:sz w:val="22"/>
          <w:szCs w:val="22"/>
        </w:rPr>
        <w:t xml:space="preserve"> where Approved Participants have experienced lengthy vacancies </w:t>
      </w:r>
      <w:r w:rsidR="00AD7E66" w:rsidRPr="0019653C">
        <w:rPr>
          <w:rFonts w:eastAsiaTheme="minorHAnsi" w:cstheme="minorBidi"/>
          <w:sz w:val="22"/>
          <w:szCs w:val="22"/>
        </w:rPr>
        <w:t>due to decrease</w:t>
      </w:r>
      <w:r w:rsidR="006605E9" w:rsidRPr="0019653C">
        <w:rPr>
          <w:rFonts w:eastAsiaTheme="minorHAnsi" w:cstheme="minorBidi"/>
          <w:sz w:val="22"/>
          <w:szCs w:val="22"/>
        </w:rPr>
        <w:t>d</w:t>
      </w:r>
      <w:r w:rsidR="00AD7E66" w:rsidRPr="0019653C">
        <w:rPr>
          <w:rFonts w:eastAsiaTheme="minorHAnsi" w:cstheme="minorBidi"/>
          <w:sz w:val="22"/>
          <w:szCs w:val="22"/>
        </w:rPr>
        <w:t xml:space="preserve"> demand for affordable housing in particular </w:t>
      </w:r>
      <w:r w:rsidR="006605E9" w:rsidRPr="0019653C">
        <w:rPr>
          <w:rFonts w:eastAsiaTheme="minorHAnsi" w:cstheme="minorBidi"/>
          <w:sz w:val="22"/>
          <w:szCs w:val="22"/>
        </w:rPr>
        <w:t xml:space="preserve">geographical </w:t>
      </w:r>
      <w:r w:rsidR="00AD7E66" w:rsidRPr="0019653C">
        <w:rPr>
          <w:rFonts w:eastAsiaTheme="minorHAnsi" w:cstheme="minorBidi"/>
          <w:sz w:val="22"/>
          <w:szCs w:val="22"/>
        </w:rPr>
        <w:t>area</w:t>
      </w:r>
      <w:r w:rsidR="006605E9" w:rsidRPr="0019653C">
        <w:rPr>
          <w:rFonts w:eastAsiaTheme="minorHAnsi" w:cstheme="minorBidi"/>
          <w:sz w:val="22"/>
          <w:szCs w:val="22"/>
        </w:rPr>
        <w:t>s</w:t>
      </w:r>
      <w:r w:rsidRPr="0019653C">
        <w:rPr>
          <w:rFonts w:eastAsiaTheme="minorHAnsi" w:cstheme="minorBidi"/>
          <w:sz w:val="22"/>
          <w:szCs w:val="22"/>
        </w:rPr>
        <w:t>.</w:t>
      </w:r>
    </w:p>
    <w:p w:rsidR="0053527C" w:rsidRPr="0019653C" w:rsidRDefault="00A830F2"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For example, in former mining towns where the demand for housing dropped considerably after mine closures, Approved Participants may find that substantially lowering the rental amount is not enough to reduce cumulative vacancies </w:t>
      </w:r>
      <w:r w:rsidR="001510F3" w:rsidRPr="0019653C">
        <w:rPr>
          <w:rFonts w:eastAsiaTheme="minorHAnsi" w:cstheme="minorBidi"/>
          <w:sz w:val="22"/>
          <w:szCs w:val="22"/>
        </w:rPr>
        <w:t xml:space="preserve">to no more than </w:t>
      </w:r>
      <w:r w:rsidRPr="0019653C">
        <w:rPr>
          <w:rFonts w:eastAsiaTheme="minorHAnsi" w:cstheme="minorBidi"/>
          <w:sz w:val="22"/>
          <w:szCs w:val="22"/>
        </w:rPr>
        <w:t xml:space="preserve">26 weeks </w:t>
      </w:r>
      <w:r w:rsidR="001510F3" w:rsidRPr="0019653C">
        <w:rPr>
          <w:rFonts w:eastAsiaTheme="minorHAnsi" w:cstheme="minorBidi"/>
          <w:sz w:val="22"/>
          <w:szCs w:val="22"/>
        </w:rPr>
        <w:t>in a</w:t>
      </w:r>
      <w:r w:rsidRPr="0019653C">
        <w:rPr>
          <w:rFonts w:eastAsiaTheme="minorHAnsi" w:cstheme="minorBidi"/>
          <w:sz w:val="22"/>
          <w:szCs w:val="22"/>
        </w:rPr>
        <w:t xml:space="preserve"> year. Currently the process for substitutin</w:t>
      </w:r>
      <w:r w:rsidR="0019653C" w:rsidRPr="0019653C">
        <w:rPr>
          <w:rFonts w:eastAsiaTheme="minorHAnsi" w:cstheme="minorBidi"/>
          <w:sz w:val="22"/>
          <w:szCs w:val="22"/>
        </w:rPr>
        <w:t>g</w:t>
      </w:r>
      <w:r w:rsidRPr="0019653C">
        <w:rPr>
          <w:rFonts w:eastAsiaTheme="minorHAnsi" w:cstheme="minorBidi"/>
          <w:sz w:val="22"/>
          <w:szCs w:val="22"/>
        </w:rPr>
        <w:t xml:space="preserve"> dwellings is complex, time-consuming and potentially costly. If the substituted dwelling is required to be within the same geographical area as the original dwelling</w:t>
      </w:r>
      <w:r w:rsidR="00AD7E66" w:rsidRPr="0019653C">
        <w:rPr>
          <w:rFonts w:eastAsiaTheme="minorHAnsi" w:cstheme="minorBidi"/>
          <w:sz w:val="22"/>
          <w:szCs w:val="22"/>
        </w:rPr>
        <w:t>,</w:t>
      </w:r>
      <w:r w:rsidRPr="0019653C">
        <w:rPr>
          <w:rFonts w:eastAsiaTheme="minorHAnsi" w:cstheme="minorBidi"/>
          <w:sz w:val="22"/>
          <w:szCs w:val="22"/>
        </w:rPr>
        <w:t xml:space="preserve"> substitution would not resolve the issue.</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The DSS may want to consider issuing a proportional incentive for Approved Participants where dwellings have been vacant for greater than 26 weeks if they can demonstrate they have made concerted and creative efforts to attract tenants and let the NRAS dwellings. This would allow the DSS to be responsive to </w:t>
      </w:r>
      <w:r w:rsidR="00A830F2" w:rsidRPr="0019653C">
        <w:rPr>
          <w:rFonts w:eastAsiaTheme="minorHAnsi" w:cstheme="minorBidi"/>
          <w:sz w:val="22"/>
          <w:szCs w:val="22"/>
        </w:rPr>
        <w:t>dramatic</w:t>
      </w:r>
      <w:r w:rsidR="005131E5" w:rsidRPr="0019653C">
        <w:rPr>
          <w:rFonts w:eastAsiaTheme="minorHAnsi" w:cstheme="minorBidi"/>
          <w:sz w:val="22"/>
          <w:szCs w:val="22"/>
        </w:rPr>
        <w:t>ally</w:t>
      </w:r>
      <w:r w:rsidR="00A830F2" w:rsidRPr="0019653C">
        <w:rPr>
          <w:rFonts w:eastAsiaTheme="minorHAnsi" w:cstheme="minorBidi"/>
          <w:sz w:val="22"/>
          <w:szCs w:val="22"/>
        </w:rPr>
        <w:t xml:space="preserve"> decrease</w:t>
      </w:r>
      <w:r w:rsidR="005131E5" w:rsidRPr="0019653C">
        <w:rPr>
          <w:rFonts w:eastAsiaTheme="minorHAnsi" w:cstheme="minorBidi"/>
          <w:sz w:val="22"/>
          <w:szCs w:val="22"/>
        </w:rPr>
        <w:t>d</w:t>
      </w:r>
      <w:r w:rsidRPr="0019653C">
        <w:rPr>
          <w:rFonts w:eastAsiaTheme="minorHAnsi" w:cstheme="minorBidi"/>
          <w:sz w:val="22"/>
          <w:szCs w:val="22"/>
        </w:rPr>
        <w:t xml:space="preserve"> </w:t>
      </w:r>
      <w:r w:rsidR="00A830F2" w:rsidRPr="0019653C">
        <w:rPr>
          <w:rFonts w:eastAsiaTheme="minorHAnsi" w:cstheme="minorBidi"/>
          <w:sz w:val="22"/>
          <w:szCs w:val="22"/>
        </w:rPr>
        <w:t>demand for affordable rental housing in particular locations</w:t>
      </w:r>
      <w:r w:rsidRPr="0019653C">
        <w:rPr>
          <w:rFonts w:eastAsiaTheme="minorHAnsi" w:cstheme="minorBidi"/>
          <w:sz w:val="22"/>
          <w:szCs w:val="22"/>
        </w:rPr>
        <w:t xml:space="preserve"> and not further penalise Approved Participants who have made every effort possible to </w:t>
      </w:r>
      <w:r w:rsidRPr="0019653C">
        <w:rPr>
          <w:rFonts w:eastAsiaTheme="minorHAnsi" w:cstheme="minorBidi"/>
          <w:sz w:val="22"/>
          <w:szCs w:val="22"/>
        </w:rPr>
        <w:lastRenderedPageBreak/>
        <w:t>tenant the NRAS dwellings.</w:t>
      </w: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t xml:space="preserve">Vacancies </w:t>
      </w:r>
      <w:r w:rsidR="0019653C" w:rsidRPr="0019653C">
        <w:rPr>
          <w:rFonts w:eastAsiaTheme="minorHAnsi" w:cstheme="minorBidi"/>
          <w:b/>
          <w:sz w:val="22"/>
          <w:szCs w:val="22"/>
        </w:rPr>
        <w:t>in</w:t>
      </w:r>
      <w:r w:rsidRPr="0019653C">
        <w:rPr>
          <w:rFonts w:eastAsiaTheme="minorHAnsi" w:cstheme="minorBidi"/>
          <w:b/>
          <w:sz w:val="22"/>
          <w:szCs w:val="22"/>
        </w:rPr>
        <w:t xml:space="preserve"> Programs with a Social Benefit</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FHL is one of the partners in Foyer Oxford, a service which combines affordable housing, support</w:t>
      </w:r>
      <w:r w:rsidR="00CB78EB" w:rsidRPr="0019653C">
        <w:rPr>
          <w:rFonts w:eastAsiaTheme="minorHAnsi" w:cstheme="minorBidi"/>
          <w:sz w:val="22"/>
          <w:szCs w:val="22"/>
        </w:rPr>
        <w:t>,</w:t>
      </w:r>
      <w:r w:rsidRPr="0019653C">
        <w:rPr>
          <w:rFonts w:eastAsiaTheme="minorHAnsi" w:cstheme="minorBidi"/>
          <w:sz w:val="22"/>
          <w:szCs w:val="22"/>
        </w:rPr>
        <w:t xml:space="preserve"> and access to diverse education and work opportunities for young </w:t>
      </w:r>
      <w:r w:rsidR="00F824C6" w:rsidRPr="0019653C">
        <w:rPr>
          <w:rFonts w:eastAsiaTheme="minorHAnsi" w:cstheme="minorBidi"/>
          <w:sz w:val="22"/>
          <w:szCs w:val="22"/>
        </w:rPr>
        <w:t xml:space="preserve">people at risk of homelessness.  </w:t>
      </w:r>
      <w:r w:rsidRPr="0019653C">
        <w:rPr>
          <w:rFonts w:eastAsiaTheme="minorHAnsi" w:cstheme="minorBidi"/>
          <w:sz w:val="22"/>
          <w:szCs w:val="22"/>
        </w:rPr>
        <w:t xml:space="preserve">The site comprises 98 NRAS dwellings offered to eligible tenants who also fit specific criteria in terms of age and motivation to engage in employment and training. </w:t>
      </w:r>
      <w:r w:rsidR="00402DFF" w:rsidRPr="0019653C">
        <w:rPr>
          <w:rFonts w:eastAsiaTheme="minorHAnsi" w:cstheme="minorBidi"/>
          <w:sz w:val="22"/>
          <w:szCs w:val="22"/>
        </w:rPr>
        <w:t xml:space="preserve"> </w:t>
      </w:r>
      <w:r w:rsidRPr="0019653C">
        <w:rPr>
          <w:rFonts w:eastAsiaTheme="minorHAnsi" w:cstheme="minorBidi"/>
          <w:sz w:val="22"/>
          <w:szCs w:val="22"/>
        </w:rPr>
        <w:t>Given this additional criteria, tenanting these dwellings</w:t>
      </w:r>
      <w:r w:rsidR="00CB78EB" w:rsidRPr="0019653C">
        <w:rPr>
          <w:rFonts w:eastAsiaTheme="minorHAnsi" w:cstheme="minorBidi"/>
          <w:sz w:val="22"/>
          <w:szCs w:val="22"/>
        </w:rPr>
        <w:t xml:space="preserve"> can take longer</w:t>
      </w:r>
      <w:r w:rsidRPr="0019653C">
        <w:rPr>
          <w:rFonts w:eastAsiaTheme="minorHAnsi" w:cstheme="minorBidi"/>
          <w:sz w:val="22"/>
          <w:szCs w:val="22"/>
        </w:rPr>
        <w:t>.</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For programs with social benefits such as these, the DSS may want to consider issuing proportional incentive payments</w:t>
      </w:r>
      <w:r w:rsidR="00CB78EB" w:rsidRPr="0019653C">
        <w:rPr>
          <w:rFonts w:eastAsiaTheme="minorHAnsi" w:cstheme="minorBidi"/>
          <w:sz w:val="22"/>
          <w:szCs w:val="22"/>
        </w:rPr>
        <w:t>,</w:t>
      </w:r>
      <w:r w:rsidRPr="0019653C">
        <w:rPr>
          <w:rFonts w:eastAsiaTheme="minorHAnsi" w:cstheme="minorBidi"/>
          <w:sz w:val="22"/>
          <w:szCs w:val="22"/>
        </w:rPr>
        <w:t xml:space="preserve"> despite cumulative vacancy periods exceeding 26 weeks</w:t>
      </w:r>
      <w:r w:rsidR="00CB78EB" w:rsidRPr="0019653C">
        <w:rPr>
          <w:rFonts w:eastAsiaTheme="minorHAnsi" w:cstheme="minorBidi"/>
          <w:sz w:val="22"/>
          <w:szCs w:val="22"/>
        </w:rPr>
        <w:t>,</w:t>
      </w:r>
      <w:r w:rsidRPr="0019653C">
        <w:rPr>
          <w:rFonts w:eastAsiaTheme="minorHAnsi" w:cstheme="minorBidi"/>
          <w:sz w:val="22"/>
          <w:szCs w:val="22"/>
        </w:rPr>
        <w:t xml:space="preserve"> if an Approved Participant can demonstrate wide-ranging, creative, sustained</w:t>
      </w:r>
      <w:r w:rsidR="00CB78EB" w:rsidRPr="0019653C">
        <w:rPr>
          <w:rFonts w:eastAsiaTheme="minorHAnsi" w:cstheme="minorBidi"/>
          <w:sz w:val="22"/>
          <w:szCs w:val="22"/>
        </w:rPr>
        <w:t>,</w:t>
      </w:r>
      <w:r w:rsidRPr="0019653C">
        <w:rPr>
          <w:rFonts w:eastAsiaTheme="minorHAnsi" w:cstheme="minorBidi"/>
          <w:sz w:val="22"/>
          <w:szCs w:val="22"/>
        </w:rPr>
        <w:t xml:space="preserve"> and concerted efforts to let the dwellings.</w:t>
      </w: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t>Vacancy Periods Spanning Two NRAS Years</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The DSS may want to consider issuing a proportional incentive for the second NRAS year of a lengthy vacancy if the vacancy period carries over from one NRAS year to the next.</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For example, if an NRAS dwelling was continuously vacant for more than 26 weeks in one NRAS year and less than 13 weeks in the next, currently the Approved Participant would receive nil incentive for both NRAS years. </w:t>
      </w:r>
      <w:r w:rsidR="00F824C6" w:rsidRPr="0019653C">
        <w:rPr>
          <w:rFonts w:eastAsiaTheme="minorHAnsi" w:cstheme="minorBidi"/>
          <w:sz w:val="22"/>
          <w:szCs w:val="22"/>
        </w:rPr>
        <w:t xml:space="preserve"> </w:t>
      </w:r>
      <w:r w:rsidRPr="0019653C">
        <w:rPr>
          <w:rFonts w:eastAsiaTheme="minorHAnsi" w:cstheme="minorBidi"/>
          <w:sz w:val="22"/>
          <w:szCs w:val="22"/>
        </w:rPr>
        <w:t>If the dwelling was vacant for the same period of time in the middle of one NRAS year, however, the Approved Participant would only receive nil incentive for that year.</w:t>
      </w:r>
    </w:p>
    <w:p w:rsidR="0053527C" w:rsidRPr="0019653C" w:rsidRDefault="005131E5" w:rsidP="003F76BD">
      <w:pPr>
        <w:widowControl w:val="0"/>
        <w:spacing w:before="0" w:after="180"/>
        <w:rPr>
          <w:rFonts w:eastAsiaTheme="minorHAnsi" w:cstheme="minorBidi"/>
          <w:sz w:val="22"/>
          <w:szCs w:val="22"/>
        </w:rPr>
      </w:pPr>
      <w:r w:rsidRPr="0019653C">
        <w:rPr>
          <w:rFonts w:eastAsiaTheme="minorHAnsi" w:cstheme="minorBidi"/>
          <w:sz w:val="22"/>
          <w:szCs w:val="22"/>
        </w:rPr>
        <w:t>FHL suggests that t</w:t>
      </w:r>
      <w:r w:rsidR="0053527C" w:rsidRPr="0019653C">
        <w:rPr>
          <w:rFonts w:eastAsiaTheme="minorHAnsi" w:cstheme="minorBidi"/>
          <w:sz w:val="22"/>
          <w:szCs w:val="22"/>
        </w:rPr>
        <w:t xml:space="preserve">he DSS </w:t>
      </w:r>
      <w:r w:rsidRPr="0019653C">
        <w:rPr>
          <w:rFonts w:eastAsiaTheme="minorHAnsi" w:cstheme="minorBidi"/>
          <w:sz w:val="22"/>
          <w:szCs w:val="22"/>
        </w:rPr>
        <w:t>should</w:t>
      </w:r>
      <w:r w:rsidR="0053527C" w:rsidRPr="0019653C">
        <w:rPr>
          <w:rFonts w:eastAsiaTheme="minorHAnsi" w:cstheme="minorBidi"/>
          <w:sz w:val="22"/>
          <w:szCs w:val="22"/>
        </w:rPr>
        <w:t xml:space="preserve"> issu</w:t>
      </w:r>
      <w:r w:rsidRPr="0019653C">
        <w:rPr>
          <w:rFonts w:eastAsiaTheme="minorHAnsi" w:cstheme="minorBidi"/>
          <w:sz w:val="22"/>
          <w:szCs w:val="22"/>
        </w:rPr>
        <w:t>e</w:t>
      </w:r>
      <w:r w:rsidR="0053527C" w:rsidRPr="0019653C">
        <w:rPr>
          <w:rFonts w:eastAsiaTheme="minorHAnsi" w:cstheme="minorBidi"/>
          <w:sz w:val="22"/>
          <w:szCs w:val="22"/>
        </w:rPr>
        <w:t xml:space="preserve"> incentive</w:t>
      </w:r>
      <w:r w:rsidRPr="0019653C">
        <w:rPr>
          <w:rFonts w:eastAsiaTheme="minorHAnsi" w:cstheme="minorBidi"/>
          <w:sz w:val="22"/>
          <w:szCs w:val="22"/>
        </w:rPr>
        <w:t>s</w:t>
      </w:r>
      <w:r w:rsidR="0053527C" w:rsidRPr="0019653C">
        <w:rPr>
          <w:rFonts w:eastAsiaTheme="minorHAnsi" w:cstheme="minorBidi"/>
          <w:sz w:val="22"/>
          <w:szCs w:val="22"/>
        </w:rPr>
        <w:t xml:space="preserve"> </w:t>
      </w:r>
      <w:r w:rsidRPr="0019653C">
        <w:rPr>
          <w:rFonts w:eastAsiaTheme="minorHAnsi" w:cstheme="minorBidi"/>
          <w:sz w:val="22"/>
          <w:szCs w:val="22"/>
        </w:rPr>
        <w:t>for</w:t>
      </w:r>
      <w:r w:rsidR="0053527C" w:rsidRPr="0019653C">
        <w:rPr>
          <w:rFonts w:eastAsiaTheme="minorHAnsi" w:cstheme="minorBidi"/>
          <w:sz w:val="22"/>
          <w:szCs w:val="22"/>
        </w:rPr>
        <w:t xml:space="preserve"> the second NRAS year in these situations to avoid penalising the Approved Participant for two years.</w:t>
      </w: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t>Overcharged Rent</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The DSS may want to consider issuing an incentive in cases where Approved Participants have issued refunds of unintentionally overcharged rent. </w:t>
      </w:r>
      <w:r w:rsidR="00F824C6" w:rsidRPr="0019653C">
        <w:rPr>
          <w:rFonts w:eastAsiaTheme="minorHAnsi" w:cstheme="minorBidi"/>
          <w:sz w:val="22"/>
          <w:szCs w:val="22"/>
        </w:rPr>
        <w:t xml:space="preserve"> </w:t>
      </w:r>
      <w:r w:rsidRPr="0019653C">
        <w:rPr>
          <w:rFonts w:eastAsiaTheme="minorHAnsi" w:cstheme="minorBidi"/>
          <w:sz w:val="22"/>
          <w:szCs w:val="22"/>
        </w:rPr>
        <w:t>The NRAS Act and Regulations do not state that rent refunds may not be issued, however the NRAS Explanatory Guide released earlier this year specifies that rent refunds are “not able to rectify any rent overcharged”.</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This stance does not allow for situations where, for example, a market rent valuation is conducted within 13 weeks </w:t>
      </w:r>
      <w:r w:rsidR="005131E5" w:rsidRPr="0019653C">
        <w:rPr>
          <w:rFonts w:eastAsiaTheme="minorHAnsi" w:cstheme="minorBidi"/>
          <w:sz w:val="22"/>
          <w:szCs w:val="22"/>
        </w:rPr>
        <w:t>after</w:t>
      </w:r>
      <w:r w:rsidRPr="0019653C">
        <w:rPr>
          <w:rFonts w:eastAsiaTheme="minorHAnsi" w:cstheme="minorBidi"/>
          <w:sz w:val="22"/>
          <w:szCs w:val="22"/>
        </w:rPr>
        <w:t xml:space="preserve"> the anniversary of the ‘actual first available for rent’ (AFAR) date for a dwelling and prompts an immediate decrease in rent. </w:t>
      </w:r>
      <w:r w:rsidR="00B54460" w:rsidRPr="0019653C">
        <w:rPr>
          <w:rFonts w:eastAsiaTheme="minorHAnsi" w:cstheme="minorBidi"/>
          <w:sz w:val="22"/>
          <w:szCs w:val="22"/>
        </w:rPr>
        <w:t xml:space="preserve"> </w:t>
      </w:r>
      <w:r w:rsidRPr="0019653C">
        <w:rPr>
          <w:rFonts w:eastAsiaTheme="minorHAnsi" w:cstheme="minorBidi"/>
          <w:sz w:val="22"/>
          <w:szCs w:val="22"/>
        </w:rPr>
        <w:t>In this situation the Approved Participant would be considered non-compliant for the period of time from the AFAR anniversary date to the decrease in rent</w:t>
      </w:r>
      <w:r w:rsidR="0019653C" w:rsidRPr="0019653C">
        <w:rPr>
          <w:rFonts w:eastAsiaTheme="minorHAnsi" w:cstheme="minorBidi"/>
          <w:sz w:val="22"/>
          <w:szCs w:val="22"/>
        </w:rPr>
        <w:t>, even after issuing a refund for the overcharged rent</w:t>
      </w:r>
      <w:r w:rsidRPr="0019653C">
        <w:rPr>
          <w:rFonts w:eastAsiaTheme="minorHAnsi" w:cstheme="minorBidi"/>
          <w:sz w:val="22"/>
          <w:szCs w:val="22"/>
        </w:rPr>
        <w:t>.</w:t>
      </w:r>
    </w:p>
    <w:p w:rsidR="0053527C" w:rsidRPr="0019653C" w:rsidRDefault="00B54460" w:rsidP="003F76BD">
      <w:pPr>
        <w:widowControl w:val="0"/>
        <w:spacing w:before="0" w:after="180"/>
        <w:rPr>
          <w:rFonts w:eastAsiaTheme="minorHAnsi" w:cstheme="minorBidi"/>
          <w:sz w:val="22"/>
          <w:szCs w:val="22"/>
        </w:rPr>
      </w:pPr>
      <w:r w:rsidRPr="0019653C">
        <w:rPr>
          <w:rFonts w:eastAsiaTheme="minorHAnsi" w:cstheme="minorBidi"/>
          <w:sz w:val="22"/>
          <w:szCs w:val="22"/>
        </w:rPr>
        <w:t>FHL suggests that the DSS should issue</w:t>
      </w:r>
      <w:r w:rsidR="0053527C" w:rsidRPr="0019653C">
        <w:rPr>
          <w:rFonts w:eastAsiaTheme="minorHAnsi" w:cstheme="minorBidi"/>
          <w:sz w:val="22"/>
          <w:szCs w:val="22"/>
        </w:rPr>
        <w:t xml:space="preserve"> incentives in these cases where the tenant was not disadvantaged and, taking into account the refund they received, overall were charged an affordable rent at least 20% below the market rent value for the dwelling throughout the year.</w:t>
      </w:r>
    </w:p>
    <w:p w:rsidR="0053527C" w:rsidRPr="0019653C" w:rsidRDefault="0053527C" w:rsidP="003F76BD">
      <w:pPr>
        <w:widowControl w:val="0"/>
        <w:spacing w:before="0" w:after="180"/>
        <w:rPr>
          <w:rFonts w:eastAsiaTheme="minorHAnsi" w:cstheme="minorBidi"/>
          <w:b/>
          <w:sz w:val="22"/>
          <w:szCs w:val="22"/>
        </w:rPr>
      </w:pPr>
      <w:r w:rsidRPr="0019653C">
        <w:rPr>
          <w:rFonts w:eastAsiaTheme="minorHAnsi" w:cstheme="minorBidi"/>
          <w:b/>
          <w:sz w:val="22"/>
          <w:szCs w:val="22"/>
        </w:rPr>
        <w:t>Over-Income Tenants</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The DSS may want to consider issuing an incentive where a tenant is at least 25% over the NRAS entry income limit for their household in two consecutive years and has been issued notice to vacate the dwelling.</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The Residential Tenancies Act (RTA) of Western Australia requires lessors to give a minimum of 60 days’ notice if a periodic tenancy is to be ended without giving any reason (i.e. if the tenant has not breached the lease agreement and the property is not being sold). </w:t>
      </w:r>
      <w:r w:rsidR="00B54460" w:rsidRPr="0019653C">
        <w:rPr>
          <w:rFonts w:eastAsiaTheme="minorHAnsi" w:cstheme="minorBidi"/>
          <w:sz w:val="22"/>
          <w:szCs w:val="22"/>
        </w:rPr>
        <w:t xml:space="preserve"> </w:t>
      </w:r>
      <w:r w:rsidRPr="0019653C">
        <w:rPr>
          <w:rFonts w:eastAsiaTheme="minorHAnsi" w:cstheme="minorBidi"/>
          <w:sz w:val="22"/>
          <w:szCs w:val="22"/>
        </w:rPr>
        <w:t xml:space="preserve">Under the current interpretation </w:t>
      </w:r>
      <w:r w:rsidRPr="0019653C">
        <w:rPr>
          <w:rFonts w:eastAsiaTheme="minorHAnsi" w:cstheme="minorBidi"/>
          <w:sz w:val="22"/>
          <w:szCs w:val="22"/>
        </w:rPr>
        <w:lastRenderedPageBreak/>
        <w:t>of the NRAS regulations, an Approved Participant in this situation would not receive an incentive payment for the notice period required by the RTA while the ineligible tenant prepares to vacate.</w:t>
      </w:r>
    </w:p>
    <w:p w:rsidR="0053527C" w:rsidRPr="0019653C" w:rsidRDefault="005131E5" w:rsidP="003F76BD">
      <w:pPr>
        <w:widowControl w:val="0"/>
        <w:spacing w:before="0" w:after="180"/>
        <w:rPr>
          <w:rFonts w:eastAsiaTheme="minorHAnsi" w:cstheme="minorBidi"/>
          <w:sz w:val="22"/>
          <w:szCs w:val="22"/>
        </w:rPr>
      </w:pPr>
      <w:r w:rsidRPr="0019653C">
        <w:rPr>
          <w:rFonts w:eastAsiaTheme="minorHAnsi" w:cstheme="minorBidi"/>
          <w:sz w:val="22"/>
          <w:szCs w:val="22"/>
        </w:rPr>
        <w:t>FHL suggests that t</w:t>
      </w:r>
      <w:r w:rsidR="0053527C" w:rsidRPr="0019653C">
        <w:rPr>
          <w:rFonts w:eastAsiaTheme="minorHAnsi" w:cstheme="minorBidi"/>
          <w:sz w:val="22"/>
          <w:szCs w:val="22"/>
        </w:rPr>
        <w:t xml:space="preserve">he DSS </w:t>
      </w:r>
      <w:r w:rsidRPr="0019653C">
        <w:rPr>
          <w:rFonts w:eastAsiaTheme="minorHAnsi" w:cstheme="minorBidi"/>
          <w:sz w:val="22"/>
          <w:szCs w:val="22"/>
        </w:rPr>
        <w:t>should</w:t>
      </w:r>
      <w:r w:rsidR="0053527C" w:rsidRPr="0019653C">
        <w:rPr>
          <w:rFonts w:eastAsiaTheme="minorHAnsi" w:cstheme="minorBidi"/>
          <w:sz w:val="22"/>
          <w:szCs w:val="22"/>
        </w:rPr>
        <w:t xml:space="preserve"> issu</w:t>
      </w:r>
      <w:r w:rsidRPr="0019653C">
        <w:rPr>
          <w:rFonts w:eastAsiaTheme="minorHAnsi" w:cstheme="minorBidi"/>
          <w:sz w:val="22"/>
          <w:szCs w:val="22"/>
        </w:rPr>
        <w:t>e</w:t>
      </w:r>
      <w:r w:rsidR="0053527C" w:rsidRPr="0019653C">
        <w:rPr>
          <w:rFonts w:eastAsiaTheme="minorHAnsi" w:cstheme="minorBidi"/>
          <w:sz w:val="22"/>
          <w:szCs w:val="22"/>
        </w:rPr>
        <w:t xml:space="preserve"> incentive</w:t>
      </w:r>
      <w:r w:rsidRPr="0019653C">
        <w:rPr>
          <w:rFonts w:eastAsiaTheme="minorHAnsi" w:cstheme="minorBidi"/>
          <w:sz w:val="22"/>
          <w:szCs w:val="22"/>
        </w:rPr>
        <w:t>s</w:t>
      </w:r>
      <w:r w:rsidR="0053527C" w:rsidRPr="0019653C">
        <w:rPr>
          <w:rFonts w:eastAsiaTheme="minorHAnsi" w:cstheme="minorBidi"/>
          <w:sz w:val="22"/>
          <w:szCs w:val="22"/>
        </w:rPr>
        <w:t xml:space="preserve"> in these situations in order to </w:t>
      </w:r>
      <w:r w:rsidR="0019653C" w:rsidRPr="0019653C">
        <w:rPr>
          <w:rFonts w:eastAsiaTheme="minorHAnsi" w:cstheme="minorBidi"/>
          <w:sz w:val="22"/>
          <w:szCs w:val="22"/>
        </w:rPr>
        <w:t>avoid</w:t>
      </w:r>
      <w:r w:rsidR="0053527C" w:rsidRPr="0019653C">
        <w:rPr>
          <w:rFonts w:eastAsiaTheme="minorHAnsi" w:cstheme="minorBidi"/>
          <w:sz w:val="22"/>
          <w:szCs w:val="22"/>
        </w:rPr>
        <w:t xml:space="preserve"> penalising Approved Participants for complying with state legislation and regulations designed to protect the rights of tenants.</w:t>
      </w:r>
    </w:p>
    <w:p w:rsidR="00420D37" w:rsidRPr="0019653C" w:rsidRDefault="00A61014" w:rsidP="003F76BD">
      <w:pPr>
        <w:spacing w:before="0" w:after="180"/>
        <w:jc w:val="center"/>
        <w:rPr>
          <w:rFonts w:ascii="Calibri" w:hAnsi="Calibri"/>
          <w:b/>
          <w:sz w:val="26"/>
          <w:szCs w:val="26"/>
        </w:rPr>
      </w:pPr>
      <w:r w:rsidRPr="0019653C">
        <w:rPr>
          <w:rFonts w:ascii="Calibri" w:hAnsi="Calibri"/>
          <w:b/>
          <w:sz w:val="26"/>
          <w:szCs w:val="26"/>
        </w:rPr>
        <w:t>Improved transparency for investors</w:t>
      </w:r>
    </w:p>
    <w:p w:rsidR="00610B29" w:rsidRPr="0019653C" w:rsidRDefault="00420D37"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eastAsia="Cambria" w:hAnsi="Calibri"/>
          <w:position w:val="-2"/>
          <w:szCs w:val="24"/>
          <w:lang w:val="en-GB"/>
        </w:rPr>
      </w:pPr>
      <w:r w:rsidRPr="0019653C">
        <w:rPr>
          <w:rFonts w:ascii="Calibri" w:eastAsia="Cambria" w:hAnsi="Calibri"/>
          <w:b/>
          <w:position w:val="-2"/>
          <w:szCs w:val="24"/>
          <w:lang w:val="en-GB"/>
        </w:rPr>
        <w:t>Discussion Question 5)</w:t>
      </w:r>
      <w:r w:rsidRPr="0019653C">
        <w:rPr>
          <w:rFonts w:ascii="Calibri" w:eastAsia="Cambria" w:hAnsi="Calibri"/>
          <w:position w:val="-2"/>
          <w:szCs w:val="24"/>
          <w:lang w:val="en-GB"/>
        </w:rPr>
        <w:t xml:space="preserve"> </w:t>
      </w:r>
      <w:r w:rsidR="00A61014" w:rsidRPr="0019653C">
        <w:rPr>
          <w:rFonts w:ascii="Calibri" w:hAnsi="Calibri"/>
          <w:spacing w:val="4"/>
          <w:szCs w:val="24"/>
          <w:lang w:eastAsia="en-AU"/>
        </w:rPr>
        <w:t>While there is no legal relationship between the Department and NRAS investors, how might the Department keep investors informed of the status of their dwelling and related incentive?</w:t>
      </w:r>
    </w:p>
    <w:p w:rsidR="0053527C" w:rsidRPr="0019653C" w:rsidRDefault="0053527C" w:rsidP="003F76BD">
      <w:pPr>
        <w:widowControl w:val="0"/>
        <w:spacing w:before="0" w:after="180"/>
        <w:rPr>
          <w:rFonts w:eastAsiaTheme="minorHAnsi" w:cstheme="minorBidi"/>
          <w:sz w:val="22"/>
          <w:szCs w:val="22"/>
        </w:rPr>
      </w:pPr>
      <w:r w:rsidRPr="0019653C">
        <w:rPr>
          <w:rFonts w:eastAsiaTheme="minorHAnsi" w:cstheme="minorBidi"/>
          <w:sz w:val="22"/>
          <w:szCs w:val="22"/>
        </w:rPr>
        <w:t xml:space="preserve">The DSS may want to consider having a contract manager responsible for dealing with investor queries and complaints, so that investors have one point of contact. </w:t>
      </w:r>
      <w:r w:rsidR="00B54460" w:rsidRPr="0019653C">
        <w:rPr>
          <w:rFonts w:eastAsiaTheme="minorHAnsi" w:cstheme="minorBidi"/>
          <w:sz w:val="22"/>
          <w:szCs w:val="22"/>
        </w:rPr>
        <w:t xml:space="preserve"> </w:t>
      </w:r>
      <w:r w:rsidRPr="0019653C">
        <w:rPr>
          <w:rFonts w:eastAsiaTheme="minorHAnsi" w:cstheme="minorBidi"/>
          <w:sz w:val="22"/>
          <w:szCs w:val="22"/>
        </w:rPr>
        <w:t xml:space="preserve">The DSS would need to be advised of the contact details for any private investors with an interest in an NRAS dwelling and only deal with the authorised contact person in order to preserve confidentiality. </w:t>
      </w:r>
      <w:r w:rsidR="00F824C6" w:rsidRPr="0019653C">
        <w:rPr>
          <w:rFonts w:eastAsiaTheme="minorHAnsi" w:cstheme="minorBidi"/>
          <w:sz w:val="22"/>
          <w:szCs w:val="22"/>
        </w:rPr>
        <w:t xml:space="preserve"> </w:t>
      </w:r>
      <w:r w:rsidRPr="0019653C">
        <w:rPr>
          <w:rFonts w:eastAsiaTheme="minorHAnsi" w:cstheme="minorBidi"/>
          <w:sz w:val="22"/>
          <w:szCs w:val="22"/>
        </w:rPr>
        <w:t>The DSS would also need to have a clear process for investors to make and escalate complaints as necessary.</w:t>
      </w:r>
    </w:p>
    <w:p w:rsidR="0030274C" w:rsidRPr="0019653C" w:rsidRDefault="007A4DDC" w:rsidP="003F76BD">
      <w:pPr>
        <w:widowControl w:val="0"/>
        <w:spacing w:before="0" w:after="180"/>
        <w:rPr>
          <w:rFonts w:eastAsiaTheme="minorHAnsi" w:cstheme="minorBidi"/>
          <w:sz w:val="22"/>
          <w:szCs w:val="22"/>
        </w:rPr>
      </w:pPr>
      <w:r w:rsidRPr="0019653C">
        <w:rPr>
          <w:rFonts w:eastAsiaTheme="minorHAnsi" w:cstheme="minorBidi"/>
          <w:sz w:val="22"/>
          <w:szCs w:val="22"/>
        </w:rPr>
        <w:t>FHL suggests that t</w:t>
      </w:r>
      <w:r w:rsidR="0053527C" w:rsidRPr="0019653C">
        <w:rPr>
          <w:rFonts w:eastAsiaTheme="minorHAnsi" w:cstheme="minorBidi"/>
          <w:sz w:val="22"/>
          <w:szCs w:val="22"/>
        </w:rPr>
        <w:t xml:space="preserve">he DSS </w:t>
      </w:r>
      <w:r w:rsidRPr="0019653C">
        <w:rPr>
          <w:rFonts w:eastAsiaTheme="minorHAnsi" w:cstheme="minorBidi"/>
          <w:sz w:val="22"/>
          <w:szCs w:val="22"/>
        </w:rPr>
        <w:t>should</w:t>
      </w:r>
      <w:r w:rsidR="0053527C" w:rsidRPr="0019653C">
        <w:rPr>
          <w:rFonts w:eastAsiaTheme="minorHAnsi" w:cstheme="minorBidi"/>
          <w:sz w:val="22"/>
          <w:szCs w:val="22"/>
        </w:rPr>
        <w:t xml:space="preserve"> establish a Service Level Agreement specific to investors that outlines how and how often investors will be informed as to the status of their NRAS dwellings and incentive payments. </w:t>
      </w:r>
      <w:r w:rsidR="00F824C6" w:rsidRPr="0019653C">
        <w:rPr>
          <w:rFonts w:eastAsiaTheme="minorHAnsi" w:cstheme="minorBidi"/>
          <w:sz w:val="22"/>
          <w:szCs w:val="22"/>
        </w:rPr>
        <w:t xml:space="preserve"> </w:t>
      </w:r>
      <w:r w:rsidR="0053527C" w:rsidRPr="0019653C">
        <w:rPr>
          <w:rFonts w:eastAsiaTheme="minorHAnsi" w:cstheme="minorBidi"/>
          <w:sz w:val="22"/>
          <w:szCs w:val="22"/>
        </w:rPr>
        <w:t>This would help to improve investor confidence in the Scheme.</w:t>
      </w:r>
    </w:p>
    <w:p w:rsidR="00420D37" w:rsidRPr="0019653C" w:rsidRDefault="00A61014" w:rsidP="003F76BD">
      <w:pPr>
        <w:spacing w:before="0" w:after="180"/>
        <w:jc w:val="center"/>
        <w:rPr>
          <w:rFonts w:ascii="Calibri" w:hAnsi="Calibri"/>
          <w:b/>
          <w:sz w:val="26"/>
          <w:szCs w:val="26"/>
        </w:rPr>
      </w:pPr>
      <w:r w:rsidRPr="0019653C">
        <w:rPr>
          <w:rFonts w:ascii="Calibri" w:hAnsi="Calibri"/>
          <w:b/>
          <w:sz w:val="26"/>
          <w:szCs w:val="26"/>
        </w:rPr>
        <w:t>Major non-compliance</w:t>
      </w:r>
    </w:p>
    <w:p w:rsidR="00A61014" w:rsidRPr="0019653C" w:rsidRDefault="00A61014"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hAnsi="Calibri" w:cs="Arial"/>
        </w:rPr>
      </w:pPr>
      <w:r w:rsidRPr="0019653C">
        <w:rPr>
          <w:rFonts w:ascii="Calibri" w:hAnsi="Calibri" w:cs="Arial"/>
          <w:b/>
        </w:rPr>
        <w:t>Discussion Question 6)</w:t>
      </w:r>
      <w:r w:rsidR="001803C8" w:rsidRPr="0019653C">
        <w:rPr>
          <w:rFonts w:ascii="Calibri" w:hAnsi="Calibri" w:cs="Arial"/>
        </w:rPr>
        <w:t xml:space="preserve"> </w:t>
      </w:r>
      <w:r w:rsidRPr="0019653C">
        <w:rPr>
          <w:rFonts w:ascii="Calibri" w:hAnsi="Calibri" w:cs="Arial"/>
        </w:rPr>
        <w:t>Under what circumstances should the Secretary consider revoking an NRAS allocation?</w:t>
      </w:r>
    </w:p>
    <w:p w:rsidR="00A61014" w:rsidRPr="0019653C" w:rsidRDefault="00253192" w:rsidP="003F76BD">
      <w:pPr>
        <w:pStyle w:val="BodyNormal"/>
        <w:numPr>
          <w:ilvl w:val="0"/>
          <w:numId w:val="0"/>
        </w:numPr>
        <w:spacing w:after="180"/>
        <w:rPr>
          <w:rFonts w:ascii="Arial" w:hAnsi="Arial"/>
          <w:snapToGrid/>
          <w:sz w:val="22"/>
          <w:szCs w:val="22"/>
        </w:rPr>
      </w:pPr>
      <w:r w:rsidRPr="0019653C">
        <w:rPr>
          <w:rFonts w:ascii="Arial" w:hAnsi="Arial"/>
          <w:snapToGrid/>
          <w:sz w:val="22"/>
          <w:szCs w:val="22"/>
        </w:rPr>
        <w:t xml:space="preserve">FHL supports the suggestion made in the discussion paper that </w:t>
      </w:r>
      <w:r w:rsidR="0019653C" w:rsidRPr="0019653C">
        <w:rPr>
          <w:rFonts w:ascii="Arial" w:hAnsi="Arial"/>
          <w:snapToGrid/>
          <w:sz w:val="22"/>
          <w:szCs w:val="22"/>
        </w:rPr>
        <w:t xml:space="preserve">the </w:t>
      </w:r>
      <w:r w:rsidRPr="0019653C">
        <w:rPr>
          <w:rFonts w:ascii="Arial" w:hAnsi="Arial"/>
          <w:snapToGrid/>
          <w:sz w:val="22"/>
          <w:szCs w:val="22"/>
        </w:rPr>
        <w:t>DSS should revoke an NRAS allocation in instances of serious misconduct, fraud, and insolvency.</w:t>
      </w:r>
    </w:p>
    <w:p w:rsidR="00A61014" w:rsidRPr="0019653C" w:rsidRDefault="001803C8"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eastAsia="Cambria" w:hAnsi="Calibri"/>
          <w:b/>
          <w:position w:val="-2"/>
          <w:szCs w:val="24"/>
          <w:lang w:val="en-GB"/>
        </w:rPr>
      </w:pPr>
      <w:r w:rsidRPr="0019653C">
        <w:rPr>
          <w:rFonts w:ascii="Calibri" w:eastAsia="Cambria" w:hAnsi="Calibri"/>
          <w:b/>
          <w:position w:val="-2"/>
          <w:szCs w:val="24"/>
          <w:lang w:val="en-GB"/>
        </w:rPr>
        <w:t xml:space="preserve">Discussion Question 7) </w:t>
      </w:r>
      <w:r w:rsidR="00A61014" w:rsidRPr="0019653C">
        <w:rPr>
          <w:rFonts w:ascii="Calibri" w:eastAsia="Cambria" w:hAnsi="Calibri"/>
          <w:position w:val="-2"/>
          <w:szCs w:val="24"/>
          <w:lang w:val="en-GB"/>
        </w:rPr>
        <w:t>Under what circumstances should the Secretary consider offering withdrawn/revoked allocations to other existing approved participants?</w:t>
      </w:r>
    </w:p>
    <w:p w:rsidR="00A61014" w:rsidRPr="0019653C" w:rsidRDefault="00733195" w:rsidP="003F76BD">
      <w:pPr>
        <w:widowControl w:val="0"/>
        <w:spacing w:before="0" w:after="180"/>
        <w:rPr>
          <w:rFonts w:eastAsiaTheme="minorHAnsi" w:cstheme="minorBidi"/>
          <w:sz w:val="22"/>
          <w:szCs w:val="22"/>
        </w:rPr>
      </w:pPr>
      <w:r w:rsidRPr="0019653C">
        <w:rPr>
          <w:rFonts w:eastAsiaTheme="minorHAnsi" w:cstheme="minorBidi"/>
          <w:sz w:val="22"/>
          <w:szCs w:val="22"/>
        </w:rPr>
        <w:t>FHL suggests that the</w:t>
      </w:r>
      <w:r w:rsidR="0053527C" w:rsidRPr="0019653C">
        <w:rPr>
          <w:rFonts w:eastAsiaTheme="minorHAnsi" w:cstheme="minorBidi"/>
          <w:sz w:val="22"/>
          <w:szCs w:val="22"/>
        </w:rPr>
        <w:t xml:space="preserve"> DSS </w:t>
      </w:r>
      <w:r w:rsidRPr="0019653C">
        <w:rPr>
          <w:rFonts w:eastAsiaTheme="minorHAnsi" w:cstheme="minorBidi"/>
          <w:sz w:val="22"/>
          <w:szCs w:val="22"/>
        </w:rPr>
        <w:t xml:space="preserve">should offer </w:t>
      </w:r>
      <w:r w:rsidR="000237D2" w:rsidRPr="0019653C">
        <w:rPr>
          <w:rFonts w:eastAsiaTheme="minorHAnsi" w:cstheme="minorBidi"/>
          <w:sz w:val="22"/>
          <w:szCs w:val="22"/>
        </w:rPr>
        <w:t>allocations that have been</w:t>
      </w:r>
      <w:r w:rsidR="0053527C" w:rsidRPr="0019653C">
        <w:rPr>
          <w:rFonts w:eastAsiaTheme="minorHAnsi" w:cstheme="minorBidi"/>
          <w:sz w:val="22"/>
          <w:szCs w:val="22"/>
        </w:rPr>
        <w:t xml:space="preserve"> </w:t>
      </w:r>
      <w:r w:rsidRPr="0019653C">
        <w:rPr>
          <w:rFonts w:eastAsiaTheme="minorHAnsi" w:cstheme="minorBidi"/>
          <w:sz w:val="22"/>
          <w:szCs w:val="22"/>
        </w:rPr>
        <w:t>withdrawn</w:t>
      </w:r>
      <w:r w:rsidR="0019653C" w:rsidRPr="0019653C">
        <w:rPr>
          <w:rFonts w:eastAsiaTheme="minorHAnsi" w:cstheme="minorBidi"/>
          <w:sz w:val="22"/>
          <w:szCs w:val="22"/>
        </w:rPr>
        <w:t xml:space="preserve"> or </w:t>
      </w:r>
      <w:r w:rsidR="0053527C" w:rsidRPr="0019653C">
        <w:rPr>
          <w:rFonts w:eastAsiaTheme="minorHAnsi" w:cstheme="minorBidi"/>
          <w:sz w:val="22"/>
          <w:szCs w:val="22"/>
        </w:rPr>
        <w:t xml:space="preserve">revoked </w:t>
      </w:r>
      <w:r w:rsidR="0019653C" w:rsidRPr="0019653C">
        <w:rPr>
          <w:rFonts w:eastAsiaTheme="minorHAnsi" w:cstheme="minorBidi"/>
          <w:sz w:val="22"/>
          <w:szCs w:val="22"/>
        </w:rPr>
        <w:t>to other Approved Participants, regardless of the reason they were withdrawn or revoked</w:t>
      </w:r>
      <w:r w:rsidR="000237D2" w:rsidRPr="0019653C">
        <w:rPr>
          <w:rFonts w:eastAsiaTheme="minorHAnsi" w:cstheme="minorBidi"/>
          <w:sz w:val="22"/>
          <w:szCs w:val="22"/>
        </w:rPr>
        <w:t>,</w:t>
      </w:r>
      <w:r w:rsidR="00C05FE7" w:rsidRPr="0019653C">
        <w:rPr>
          <w:rFonts w:eastAsiaTheme="minorHAnsi" w:cstheme="minorBidi"/>
          <w:sz w:val="22"/>
          <w:szCs w:val="22"/>
        </w:rPr>
        <w:t xml:space="preserve"> in order to improve the supply of affordable rental dwellings as per the aims of the Scheme</w:t>
      </w:r>
      <w:r w:rsidRPr="0019653C">
        <w:rPr>
          <w:rFonts w:eastAsiaTheme="minorHAnsi" w:cstheme="minorBidi"/>
          <w:sz w:val="22"/>
          <w:szCs w:val="22"/>
        </w:rPr>
        <w:t>.</w:t>
      </w:r>
    </w:p>
    <w:p w:rsidR="00A61014" w:rsidRPr="0019653C" w:rsidRDefault="00A61014" w:rsidP="003F76BD">
      <w:pPr>
        <w:spacing w:before="0" w:after="180"/>
        <w:jc w:val="center"/>
        <w:rPr>
          <w:rFonts w:ascii="Calibri" w:hAnsi="Calibri"/>
          <w:b/>
          <w:sz w:val="26"/>
          <w:szCs w:val="26"/>
        </w:rPr>
      </w:pPr>
      <w:r w:rsidRPr="0019653C">
        <w:rPr>
          <w:rFonts w:ascii="Calibri" w:hAnsi="Calibri"/>
          <w:b/>
          <w:snapToGrid w:val="0"/>
          <w:sz w:val="26"/>
          <w:szCs w:val="26"/>
        </w:rPr>
        <w:t>Role of substituted dwellings</w:t>
      </w:r>
    </w:p>
    <w:p w:rsidR="00A61014" w:rsidRPr="0019653C" w:rsidRDefault="00A61014"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eastAsia="Cambria" w:hAnsi="Calibri"/>
          <w:b/>
          <w:position w:val="-2"/>
          <w:szCs w:val="24"/>
          <w:lang w:val="en-GB"/>
        </w:rPr>
      </w:pPr>
      <w:r w:rsidRPr="0019653C">
        <w:rPr>
          <w:rFonts w:ascii="Calibri" w:eastAsia="Cambria" w:hAnsi="Calibri"/>
          <w:b/>
          <w:position w:val="-2"/>
          <w:szCs w:val="24"/>
          <w:lang w:val="en-GB"/>
        </w:rPr>
        <w:t xml:space="preserve">Discussion Question 8) </w:t>
      </w:r>
      <w:r w:rsidRPr="0019653C">
        <w:rPr>
          <w:rFonts w:ascii="Calibri" w:hAnsi="Calibri"/>
          <w:spacing w:val="4"/>
          <w:szCs w:val="24"/>
          <w:lang w:eastAsia="en-AU"/>
        </w:rPr>
        <w:t>What are the issues the Department should consider when determining if one dwelling can be substituted for another?</w:t>
      </w:r>
    </w:p>
    <w:p w:rsidR="00467833" w:rsidRPr="0019653C" w:rsidRDefault="00733195" w:rsidP="003F76BD">
      <w:pPr>
        <w:spacing w:before="0" w:after="180"/>
        <w:rPr>
          <w:sz w:val="22"/>
          <w:szCs w:val="22"/>
        </w:rPr>
      </w:pPr>
      <w:r w:rsidRPr="0019653C">
        <w:rPr>
          <w:sz w:val="22"/>
          <w:szCs w:val="22"/>
        </w:rPr>
        <w:t xml:space="preserve">FHL </w:t>
      </w:r>
      <w:r w:rsidR="00C05FE7" w:rsidRPr="0019653C">
        <w:rPr>
          <w:sz w:val="22"/>
          <w:szCs w:val="22"/>
        </w:rPr>
        <w:t xml:space="preserve">supports the DSS proposal to insert substitution rules in the NRAS regulations regarding criteria for substituting NRAS dwellings. FHL </w:t>
      </w:r>
      <w:r w:rsidRPr="0019653C">
        <w:rPr>
          <w:sz w:val="22"/>
          <w:szCs w:val="22"/>
        </w:rPr>
        <w:t xml:space="preserve">suggests </w:t>
      </w:r>
      <w:r w:rsidR="00D51820" w:rsidRPr="0019653C">
        <w:rPr>
          <w:sz w:val="22"/>
          <w:szCs w:val="22"/>
        </w:rPr>
        <w:t xml:space="preserve">that </w:t>
      </w:r>
      <w:r w:rsidRPr="0019653C">
        <w:rPr>
          <w:sz w:val="22"/>
          <w:szCs w:val="22"/>
        </w:rPr>
        <w:t>the</w:t>
      </w:r>
      <w:r w:rsidR="00467833" w:rsidRPr="0019653C">
        <w:rPr>
          <w:sz w:val="22"/>
          <w:szCs w:val="22"/>
        </w:rPr>
        <w:t xml:space="preserve"> DSS </w:t>
      </w:r>
      <w:r w:rsidRPr="0019653C">
        <w:rPr>
          <w:sz w:val="22"/>
          <w:szCs w:val="22"/>
        </w:rPr>
        <w:t xml:space="preserve">should </w:t>
      </w:r>
      <w:r w:rsidR="00467833" w:rsidRPr="0019653C">
        <w:rPr>
          <w:sz w:val="22"/>
          <w:szCs w:val="22"/>
        </w:rPr>
        <w:t>con</w:t>
      </w:r>
      <w:r w:rsidRPr="0019653C">
        <w:rPr>
          <w:sz w:val="22"/>
          <w:szCs w:val="22"/>
        </w:rPr>
        <w:t>sider substitutions based on geographical areas</w:t>
      </w:r>
      <w:r w:rsidR="00467833" w:rsidRPr="0019653C">
        <w:rPr>
          <w:sz w:val="22"/>
          <w:szCs w:val="22"/>
        </w:rPr>
        <w:t xml:space="preserve"> of greatest affordable housing need, as well as the type of housing that is most in demand in these locations. </w:t>
      </w:r>
      <w:r w:rsidR="00C05FE7" w:rsidRPr="0019653C">
        <w:rPr>
          <w:sz w:val="22"/>
          <w:szCs w:val="22"/>
        </w:rPr>
        <w:t xml:space="preserve"> </w:t>
      </w:r>
      <w:r w:rsidR="00467833" w:rsidRPr="0019653C">
        <w:rPr>
          <w:sz w:val="22"/>
          <w:szCs w:val="22"/>
        </w:rPr>
        <w:t>This would mean that the substitution criteria go beyond ‘like for li</w:t>
      </w:r>
      <w:r w:rsidRPr="0019653C">
        <w:rPr>
          <w:sz w:val="22"/>
          <w:szCs w:val="22"/>
        </w:rPr>
        <w:t>ke’ and the DSS sh</w:t>
      </w:r>
      <w:r w:rsidR="00467833" w:rsidRPr="0019653C">
        <w:rPr>
          <w:sz w:val="22"/>
          <w:szCs w:val="22"/>
        </w:rPr>
        <w:t>ould consider changing markets and needs of low to moderate income households.</w:t>
      </w:r>
    </w:p>
    <w:p w:rsidR="00467833" w:rsidRPr="0019653C" w:rsidRDefault="00467833" w:rsidP="003F76BD">
      <w:pPr>
        <w:spacing w:before="0" w:after="180"/>
        <w:rPr>
          <w:sz w:val="22"/>
          <w:szCs w:val="22"/>
        </w:rPr>
      </w:pPr>
      <w:r w:rsidRPr="0019653C">
        <w:rPr>
          <w:sz w:val="22"/>
          <w:szCs w:val="22"/>
        </w:rPr>
        <w:lastRenderedPageBreak/>
        <w:t xml:space="preserve">For example, the rental market has changed considerably in mining towns in Western Australia over the past few years, with high vacancy rates as </w:t>
      </w:r>
      <w:r w:rsidR="0019653C" w:rsidRPr="0019653C">
        <w:rPr>
          <w:sz w:val="22"/>
          <w:szCs w:val="22"/>
        </w:rPr>
        <w:t>mines</w:t>
      </w:r>
      <w:r w:rsidRPr="0019653C">
        <w:rPr>
          <w:sz w:val="22"/>
          <w:szCs w:val="22"/>
        </w:rPr>
        <w:t xml:space="preserve"> close and</w:t>
      </w:r>
      <w:r w:rsidR="00C05FE7" w:rsidRPr="0019653C">
        <w:rPr>
          <w:sz w:val="22"/>
          <w:szCs w:val="22"/>
        </w:rPr>
        <w:t xml:space="preserve"> workers leave the area.  </w:t>
      </w:r>
      <w:r w:rsidRPr="0019653C">
        <w:rPr>
          <w:sz w:val="22"/>
          <w:szCs w:val="22"/>
        </w:rPr>
        <w:t>If an existing NR</w:t>
      </w:r>
      <w:r w:rsidR="00733195" w:rsidRPr="0019653C">
        <w:rPr>
          <w:sz w:val="22"/>
          <w:szCs w:val="22"/>
        </w:rPr>
        <w:t>AS dwelling in South Hedland were</w:t>
      </w:r>
      <w:r w:rsidRPr="0019653C">
        <w:rPr>
          <w:sz w:val="22"/>
          <w:szCs w:val="22"/>
        </w:rPr>
        <w:t xml:space="preserve"> to be substituted with another dwelling</w:t>
      </w:r>
      <w:r w:rsidR="00733195" w:rsidRPr="0019653C">
        <w:rPr>
          <w:sz w:val="22"/>
          <w:szCs w:val="22"/>
        </w:rPr>
        <w:t>,</w:t>
      </w:r>
      <w:r w:rsidRPr="0019653C">
        <w:rPr>
          <w:sz w:val="22"/>
          <w:szCs w:val="22"/>
        </w:rPr>
        <w:t xml:space="preserve"> the DSS </w:t>
      </w:r>
      <w:r w:rsidR="00733195" w:rsidRPr="0019653C">
        <w:rPr>
          <w:sz w:val="22"/>
          <w:szCs w:val="22"/>
        </w:rPr>
        <w:t xml:space="preserve">should </w:t>
      </w:r>
      <w:r w:rsidRPr="0019653C">
        <w:rPr>
          <w:sz w:val="22"/>
          <w:szCs w:val="22"/>
        </w:rPr>
        <w:t>consider whether there was still adequate demand for affordable rental dwellings in South Hedland or whether it would be more beneficial for the overall goals of the Scheme to substitute a dwelling in a different location where there are key workers in need of affordable housing.</w:t>
      </w:r>
    </w:p>
    <w:p w:rsidR="0092069F" w:rsidRPr="0019653C" w:rsidRDefault="00DD7CC0" w:rsidP="003F76BD">
      <w:pPr>
        <w:pStyle w:val="BodyNormal"/>
        <w:numPr>
          <w:ilvl w:val="0"/>
          <w:numId w:val="0"/>
        </w:numPr>
        <w:spacing w:after="180"/>
        <w:jc w:val="center"/>
        <w:rPr>
          <w:rFonts w:ascii="Calibri" w:hAnsi="Calibri" w:cs="Times New Roman"/>
          <w:b/>
          <w:snapToGrid/>
          <w:sz w:val="26"/>
          <w:szCs w:val="26"/>
        </w:rPr>
      </w:pPr>
      <w:r w:rsidRPr="0019653C">
        <w:rPr>
          <w:rFonts w:ascii="Calibri" w:hAnsi="Calibri"/>
          <w:b/>
          <w:sz w:val="26"/>
          <w:szCs w:val="26"/>
        </w:rPr>
        <w:t xml:space="preserve">Other </w:t>
      </w:r>
      <w:r w:rsidRPr="0019653C">
        <w:rPr>
          <w:rFonts w:ascii="Calibri" w:hAnsi="Calibri" w:cs="Times New Roman"/>
          <w:b/>
          <w:snapToGrid/>
          <w:sz w:val="26"/>
          <w:szCs w:val="26"/>
        </w:rPr>
        <w:t>comments</w:t>
      </w:r>
    </w:p>
    <w:p w:rsidR="0092069F" w:rsidRPr="0019653C" w:rsidRDefault="0092069F" w:rsidP="003F76BD">
      <w:pPr>
        <w:widowControl w:val="0"/>
        <w:pBdr>
          <w:top w:val="single" w:sz="4" w:space="1" w:color="auto"/>
          <w:left w:val="single" w:sz="4" w:space="4" w:color="auto"/>
          <w:bottom w:val="single" w:sz="4" w:space="1" w:color="auto"/>
          <w:right w:val="single" w:sz="4" w:space="4" w:color="auto"/>
        </w:pBdr>
        <w:suppressAutoHyphens/>
        <w:spacing w:before="0" w:after="180"/>
        <w:textAlignment w:val="center"/>
        <w:rPr>
          <w:rFonts w:ascii="Calibri" w:eastAsia="Cambria" w:hAnsi="Calibri"/>
          <w:b/>
          <w:position w:val="-2"/>
          <w:szCs w:val="24"/>
          <w:lang w:val="en-GB"/>
        </w:rPr>
      </w:pPr>
      <w:r w:rsidRPr="0019653C">
        <w:rPr>
          <w:rFonts w:ascii="Calibri" w:eastAsia="Cambria" w:hAnsi="Calibri"/>
          <w:b/>
          <w:position w:val="-2"/>
          <w:szCs w:val="24"/>
          <w:lang w:val="en-GB"/>
        </w:rPr>
        <w:t>General comments or feedback on other issues</w:t>
      </w:r>
    </w:p>
    <w:p w:rsidR="0092069F" w:rsidRPr="0019653C" w:rsidRDefault="00345BCA" w:rsidP="003F76BD">
      <w:pPr>
        <w:spacing w:before="0" w:after="180"/>
        <w:rPr>
          <w:rFonts w:eastAsiaTheme="minorHAnsi" w:cstheme="minorBidi"/>
          <w:sz w:val="22"/>
          <w:szCs w:val="22"/>
        </w:rPr>
      </w:pPr>
      <w:r w:rsidRPr="0019653C">
        <w:rPr>
          <w:rFonts w:eastAsiaTheme="minorHAnsi" w:cstheme="minorBidi"/>
          <w:sz w:val="22"/>
          <w:szCs w:val="22"/>
        </w:rPr>
        <w:t>Thank you</w:t>
      </w:r>
      <w:r w:rsidR="0053527C" w:rsidRPr="0019653C">
        <w:rPr>
          <w:rFonts w:eastAsiaTheme="minorHAnsi" w:cstheme="minorBidi"/>
          <w:sz w:val="22"/>
          <w:szCs w:val="22"/>
        </w:rPr>
        <w:t xml:space="preserve"> for </w:t>
      </w:r>
      <w:r w:rsidR="00C05FE7" w:rsidRPr="0019653C">
        <w:rPr>
          <w:rFonts w:eastAsiaTheme="minorHAnsi" w:cstheme="minorBidi"/>
          <w:sz w:val="22"/>
          <w:szCs w:val="22"/>
        </w:rPr>
        <w:t xml:space="preserve">inviting </w:t>
      </w:r>
      <w:r w:rsidRPr="0019653C">
        <w:rPr>
          <w:rFonts w:eastAsiaTheme="minorHAnsi" w:cstheme="minorBidi"/>
          <w:sz w:val="22"/>
          <w:szCs w:val="22"/>
        </w:rPr>
        <w:t>FHL</w:t>
      </w:r>
      <w:r w:rsidR="00C05FE7" w:rsidRPr="0019653C">
        <w:rPr>
          <w:rFonts w:eastAsiaTheme="minorHAnsi" w:cstheme="minorBidi"/>
          <w:sz w:val="22"/>
          <w:szCs w:val="22"/>
        </w:rPr>
        <w:t xml:space="preserve"> to put in a submission </w:t>
      </w:r>
      <w:r w:rsidR="0053527C" w:rsidRPr="0019653C">
        <w:rPr>
          <w:rFonts w:eastAsiaTheme="minorHAnsi" w:cstheme="minorBidi"/>
          <w:sz w:val="22"/>
          <w:szCs w:val="22"/>
        </w:rPr>
        <w:t>on ways to improve the framework and administration of the National Rental Affordability Scheme.</w:t>
      </w:r>
    </w:p>
    <w:sectPr w:rsidR="0092069F" w:rsidRPr="0019653C" w:rsidSect="00DD7CC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FE" w:rsidRDefault="005C3FFE" w:rsidP="005C3FFE">
      <w:pPr>
        <w:spacing w:before="0"/>
      </w:pPr>
      <w:r>
        <w:separator/>
      </w:r>
    </w:p>
  </w:endnote>
  <w:endnote w:type="continuationSeparator" w:id="0">
    <w:p w:rsidR="005C3FFE" w:rsidRDefault="005C3FFE" w:rsidP="005C3F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55" w:rsidRDefault="00236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644779"/>
      <w:docPartObj>
        <w:docPartGallery w:val="Page Numbers (Bottom of Page)"/>
        <w:docPartUnique/>
      </w:docPartObj>
    </w:sdtPr>
    <w:sdtEndPr/>
    <w:sdtContent>
      <w:sdt>
        <w:sdtPr>
          <w:id w:val="-247275010"/>
          <w:docPartObj>
            <w:docPartGallery w:val="Page Numbers (Top of Page)"/>
            <w:docPartUnique/>
          </w:docPartObj>
        </w:sdtPr>
        <w:sdtEndPr/>
        <w:sdtContent>
          <w:p w:rsidR="00806316" w:rsidRPr="00671355" w:rsidRDefault="00806316" w:rsidP="00671355">
            <w:pPr>
              <w:pStyle w:val="Footer"/>
              <w:jc w:val="right"/>
              <w:rPr>
                <w:bCs/>
                <w:sz w:val="20"/>
              </w:rPr>
            </w:pPr>
            <w:r w:rsidRPr="00A03748">
              <w:rPr>
                <w:rFonts w:ascii="Times New Roman" w:hAnsi="Times New Roman"/>
                <w:sz w:val="20"/>
              </w:rPr>
              <w:t xml:space="preserve">Page </w:t>
            </w:r>
            <w:r w:rsidRPr="00A03748">
              <w:rPr>
                <w:rFonts w:ascii="Times New Roman" w:hAnsi="Times New Roman"/>
                <w:bCs/>
                <w:sz w:val="20"/>
              </w:rPr>
              <w:fldChar w:fldCharType="begin"/>
            </w:r>
            <w:r w:rsidRPr="00A03748">
              <w:rPr>
                <w:rFonts w:ascii="Times New Roman" w:hAnsi="Times New Roman"/>
                <w:bCs/>
                <w:sz w:val="20"/>
              </w:rPr>
              <w:instrText xml:space="preserve"> PAGE </w:instrText>
            </w:r>
            <w:r w:rsidRPr="00A03748">
              <w:rPr>
                <w:rFonts w:ascii="Times New Roman" w:hAnsi="Times New Roman"/>
                <w:bCs/>
                <w:sz w:val="20"/>
              </w:rPr>
              <w:fldChar w:fldCharType="separate"/>
            </w:r>
            <w:r w:rsidR="0019653C">
              <w:rPr>
                <w:rFonts w:ascii="Times New Roman" w:hAnsi="Times New Roman"/>
                <w:bCs/>
                <w:noProof/>
                <w:sz w:val="20"/>
              </w:rPr>
              <w:t>2</w:t>
            </w:r>
            <w:r w:rsidRPr="00A03748">
              <w:rPr>
                <w:rFonts w:ascii="Times New Roman" w:hAnsi="Times New Roman"/>
                <w:bCs/>
                <w:sz w:val="20"/>
              </w:rPr>
              <w:fldChar w:fldCharType="end"/>
            </w:r>
            <w:r w:rsidRPr="00A03748">
              <w:rPr>
                <w:rFonts w:ascii="Times New Roman" w:hAnsi="Times New Roman"/>
                <w:sz w:val="20"/>
              </w:rPr>
              <w:t xml:space="preserve"> of </w:t>
            </w:r>
            <w:r w:rsidRPr="00A03748">
              <w:rPr>
                <w:rFonts w:ascii="Times New Roman" w:hAnsi="Times New Roman"/>
                <w:bCs/>
                <w:sz w:val="20"/>
              </w:rPr>
              <w:fldChar w:fldCharType="begin"/>
            </w:r>
            <w:r w:rsidRPr="00A03748">
              <w:rPr>
                <w:rFonts w:ascii="Times New Roman" w:hAnsi="Times New Roman"/>
                <w:bCs/>
                <w:sz w:val="20"/>
              </w:rPr>
              <w:instrText xml:space="preserve"> NUMPAGES  </w:instrText>
            </w:r>
            <w:r w:rsidRPr="00A03748">
              <w:rPr>
                <w:rFonts w:ascii="Times New Roman" w:hAnsi="Times New Roman"/>
                <w:bCs/>
                <w:sz w:val="20"/>
              </w:rPr>
              <w:fldChar w:fldCharType="separate"/>
            </w:r>
            <w:r w:rsidR="0019653C">
              <w:rPr>
                <w:rFonts w:ascii="Times New Roman" w:hAnsi="Times New Roman"/>
                <w:bCs/>
                <w:noProof/>
                <w:sz w:val="20"/>
              </w:rPr>
              <w:t>7</w:t>
            </w:r>
            <w:r w:rsidRPr="00A03748">
              <w:rPr>
                <w:rFonts w:ascii="Times New Roman" w:hAnsi="Times New Roman"/>
                <w:bCs/>
                <w:sz w:val="20"/>
              </w:rPr>
              <w:fldChar w:fldCharType="end"/>
            </w:r>
          </w:p>
        </w:sdtContent>
      </w:sdt>
    </w:sdtContent>
  </w:sdt>
  <w:p w:rsidR="00806316" w:rsidRDefault="00806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55" w:rsidRDefault="00236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FE" w:rsidRDefault="005C3FFE" w:rsidP="005C3FFE">
      <w:pPr>
        <w:spacing w:before="0"/>
      </w:pPr>
      <w:r>
        <w:separator/>
      </w:r>
    </w:p>
  </w:footnote>
  <w:footnote w:type="continuationSeparator" w:id="0">
    <w:p w:rsidR="005C3FFE" w:rsidRDefault="005C3FFE" w:rsidP="005C3FF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55" w:rsidRDefault="00236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FE" w:rsidRDefault="005C3FFE" w:rsidP="00E07D21">
    <w:pPr>
      <w:pStyle w:val="Header"/>
    </w:pPr>
    <w:r>
      <w:rPr>
        <w:noProof/>
        <w:lang w:eastAsia="en-AU"/>
      </w:rPr>
      <w:drawing>
        <wp:inline distT="0" distB="0" distL="0" distR="0" wp14:anchorId="257C6529" wp14:editId="3041A23F">
          <wp:extent cx="6249487" cy="1282535"/>
          <wp:effectExtent l="0" t="0" r="0" b="0"/>
          <wp:docPr id="3" name="Picture 3"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rotWithShape="1">
                  <a:blip r:embed="rId1" cstate="print">
                    <a:extLst>
                      <a:ext uri="{28A0092B-C50C-407E-A947-70E740481C1C}">
                        <a14:useLocalDpi xmlns:a14="http://schemas.microsoft.com/office/drawing/2010/main" val="0"/>
                      </a:ext>
                    </a:extLst>
                  </a:blip>
                  <a:srcRect l="6236"/>
                  <a:stretch/>
                </pic:blipFill>
                <pic:spPr bwMode="auto">
                  <a:xfrm>
                    <a:off x="0" y="0"/>
                    <a:ext cx="6256479" cy="128397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16" w:rsidRDefault="00806316">
    <w:pPr>
      <w:pStyle w:val="Header"/>
    </w:pPr>
    <w:r>
      <w:rPr>
        <w:noProof/>
        <w:lang w:eastAsia="en-AU"/>
      </w:rPr>
      <w:drawing>
        <wp:inline distT="0" distB="0" distL="0" distR="0" wp14:anchorId="60FA283F" wp14:editId="77E6DF29">
          <wp:extent cx="5731510" cy="1175888"/>
          <wp:effectExtent l="0" t="0" r="2540" b="5715"/>
          <wp:docPr id="4" name="Picture 4"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rotWithShape="1">
                  <a:blip r:embed="rId1" cstate="print">
                    <a:extLst>
                      <a:ext uri="{28A0092B-C50C-407E-A947-70E740481C1C}">
                        <a14:useLocalDpi xmlns:a14="http://schemas.microsoft.com/office/drawing/2010/main" val="0"/>
                      </a:ext>
                    </a:extLst>
                  </a:blip>
                  <a:srcRect l="6236"/>
                  <a:stretch/>
                </pic:blipFill>
                <pic:spPr bwMode="auto">
                  <a:xfrm>
                    <a:off x="0" y="0"/>
                    <a:ext cx="5731510" cy="11758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283"/>
    <w:multiLevelType w:val="hybridMultilevel"/>
    <w:tmpl w:val="5D804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20151F"/>
    <w:multiLevelType w:val="hybridMultilevel"/>
    <w:tmpl w:val="14241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F1E79"/>
    <w:multiLevelType w:val="hybridMultilevel"/>
    <w:tmpl w:val="585E9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71E7FED"/>
    <w:multiLevelType w:val="hybridMultilevel"/>
    <w:tmpl w:val="08502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D3042F"/>
    <w:multiLevelType w:val="hybridMultilevel"/>
    <w:tmpl w:val="5F30180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63605FD"/>
    <w:multiLevelType w:val="hybridMultilevel"/>
    <w:tmpl w:val="E682B670"/>
    <w:lvl w:ilvl="0" w:tplc="AEB4D7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461025"/>
    <w:multiLevelType w:val="hybridMultilevel"/>
    <w:tmpl w:val="BB62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5D434B"/>
    <w:multiLevelType w:val="hybridMultilevel"/>
    <w:tmpl w:val="B70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C8641A"/>
    <w:multiLevelType w:val="hybridMultilevel"/>
    <w:tmpl w:val="0F78E62E"/>
    <w:lvl w:ilvl="0" w:tplc="8DA6BB4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AD42DE"/>
    <w:multiLevelType w:val="hybridMultilevel"/>
    <w:tmpl w:val="27B6DA3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5DD50F4C"/>
    <w:multiLevelType w:val="hybridMultilevel"/>
    <w:tmpl w:val="374E0D90"/>
    <w:lvl w:ilvl="0" w:tplc="AEB4D744">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917BB9"/>
    <w:multiLevelType w:val="multilevel"/>
    <w:tmpl w:val="4E5C847A"/>
    <w:lvl w:ilvl="0">
      <w:start w:val="1"/>
      <w:numFmt w:val="none"/>
      <w:pStyle w:val="Body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12">
    <w:nsid w:val="758D7430"/>
    <w:multiLevelType w:val="hybridMultilevel"/>
    <w:tmpl w:val="2AAC8E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776B2719"/>
    <w:multiLevelType w:val="hybridMultilevel"/>
    <w:tmpl w:val="4D529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012346"/>
    <w:multiLevelType w:val="hybridMultilevel"/>
    <w:tmpl w:val="E4B47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1"/>
  </w:num>
  <w:num w:numId="5">
    <w:abstractNumId w:val="2"/>
  </w:num>
  <w:num w:numId="6">
    <w:abstractNumId w:val="5"/>
  </w:num>
  <w:num w:numId="7">
    <w:abstractNumId w:val="0"/>
  </w:num>
  <w:num w:numId="8">
    <w:abstractNumId w:val="10"/>
  </w:num>
  <w:num w:numId="9">
    <w:abstractNumId w:val="4"/>
  </w:num>
  <w:num w:numId="10">
    <w:abstractNumId w:val="11"/>
  </w:num>
  <w:num w:numId="11">
    <w:abstractNumId w:val="11"/>
  </w:num>
  <w:num w:numId="12">
    <w:abstractNumId w:val="12"/>
  </w:num>
  <w:num w:numId="13">
    <w:abstractNumId w:val="3"/>
  </w:num>
  <w:num w:numId="14">
    <w:abstractNumId w:val="7"/>
  </w:num>
  <w:num w:numId="15">
    <w:abstractNumId w:val="11"/>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44"/>
    <w:rsid w:val="000237D2"/>
    <w:rsid w:val="00041115"/>
    <w:rsid w:val="000554C2"/>
    <w:rsid w:val="00077A5C"/>
    <w:rsid w:val="00084D7E"/>
    <w:rsid w:val="000B60ED"/>
    <w:rsid w:val="000E7E3D"/>
    <w:rsid w:val="000F1B29"/>
    <w:rsid w:val="001510F3"/>
    <w:rsid w:val="00161B1A"/>
    <w:rsid w:val="00163FD9"/>
    <w:rsid w:val="00166904"/>
    <w:rsid w:val="001803C8"/>
    <w:rsid w:val="00181962"/>
    <w:rsid w:val="0019653C"/>
    <w:rsid w:val="001E630D"/>
    <w:rsid w:val="00234E27"/>
    <w:rsid w:val="00236F55"/>
    <w:rsid w:val="00237FB0"/>
    <w:rsid w:val="00253192"/>
    <w:rsid w:val="0030274C"/>
    <w:rsid w:val="0034124D"/>
    <w:rsid w:val="00345BCA"/>
    <w:rsid w:val="0035481B"/>
    <w:rsid w:val="0037217E"/>
    <w:rsid w:val="0038367E"/>
    <w:rsid w:val="003B2BB8"/>
    <w:rsid w:val="003B42D3"/>
    <w:rsid w:val="003D34FF"/>
    <w:rsid w:val="003F25F0"/>
    <w:rsid w:val="003F76BD"/>
    <w:rsid w:val="00402DFF"/>
    <w:rsid w:val="0041694D"/>
    <w:rsid w:val="00420D37"/>
    <w:rsid w:val="00432A74"/>
    <w:rsid w:val="00465666"/>
    <w:rsid w:val="00467833"/>
    <w:rsid w:val="00481809"/>
    <w:rsid w:val="004A5607"/>
    <w:rsid w:val="004B54CA"/>
    <w:rsid w:val="004E5CBF"/>
    <w:rsid w:val="0051157C"/>
    <w:rsid w:val="005131E5"/>
    <w:rsid w:val="00514FDB"/>
    <w:rsid w:val="0053527C"/>
    <w:rsid w:val="00536C5C"/>
    <w:rsid w:val="00561581"/>
    <w:rsid w:val="005B6EA2"/>
    <w:rsid w:val="005C3AA9"/>
    <w:rsid w:val="005C3FFE"/>
    <w:rsid w:val="005E2C33"/>
    <w:rsid w:val="0060566A"/>
    <w:rsid w:val="00610B29"/>
    <w:rsid w:val="00611AA5"/>
    <w:rsid w:val="00626DCD"/>
    <w:rsid w:val="00655E23"/>
    <w:rsid w:val="006605E9"/>
    <w:rsid w:val="00671355"/>
    <w:rsid w:val="00682C25"/>
    <w:rsid w:val="006A4CE7"/>
    <w:rsid w:val="006B2FB5"/>
    <w:rsid w:val="006C05D2"/>
    <w:rsid w:val="006C5868"/>
    <w:rsid w:val="006E54B4"/>
    <w:rsid w:val="00733195"/>
    <w:rsid w:val="007338E6"/>
    <w:rsid w:val="007473A2"/>
    <w:rsid w:val="007737D0"/>
    <w:rsid w:val="00785261"/>
    <w:rsid w:val="00795AE1"/>
    <w:rsid w:val="007A4DDC"/>
    <w:rsid w:val="007A67B2"/>
    <w:rsid w:val="007A7E0E"/>
    <w:rsid w:val="007B0256"/>
    <w:rsid w:val="00806316"/>
    <w:rsid w:val="00806833"/>
    <w:rsid w:val="00826F0B"/>
    <w:rsid w:val="00850B0A"/>
    <w:rsid w:val="008943E2"/>
    <w:rsid w:val="008A36D4"/>
    <w:rsid w:val="008D49E0"/>
    <w:rsid w:val="00914263"/>
    <w:rsid w:val="0092069F"/>
    <w:rsid w:val="009225F0"/>
    <w:rsid w:val="009311FC"/>
    <w:rsid w:val="009774ED"/>
    <w:rsid w:val="00987E5E"/>
    <w:rsid w:val="00997918"/>
    <w:rsid w:val="009A4C14"/>
    <w:rsid w:val="009D0020"/>
    <w:rsid w:val="00A03748"/>
    <w:rsid w:val="00A1448D"/>
    <w:rsid w:val="00A2151C"/>
    <w:rsid w:val="00A61014"/>
    <w:rsid w:val="00A830F2"/>
    <w:rsid w:val="00A955F2"/>
    <w:rsid w:val="00AA1581"/>
    <w:rsid w:val="00AD596A"/>
    <w:rsid w:val="00AD7E66"/>
    <w:rsid w:val="00B06624"/>
    <w:rsid w:val="00B435BE"/>
    <w:rsid w:val="00B532AB"/>
    <w:rsid w:val="00B54460"/>
    <w:rsid w:val="00B67144"/>
    <w:rsid w:val="00B900D0"/>
    <w:rsid w:val="00BA2DB9"/>
    <w:rsid w:val="00BC20FE"/>
    <w:rsid w:val="00BE56C2"/>
    <w:rsid w:val="00BE7148"/>
    <w:rsid w:val="00C05FE7"/>
    <w:rsid w:val="00C73949"/>
    <w:rsid w:val="00CB2598"/>
    <w:rsid w:val="00CB78EB"/>
    <w:rsid w:val="00CE6190"/>
    <w:rsid w:val="00D14551"/>
    <w:rsid w:val="00D51820"/>
    <w:rsid w:val="00D93159"/>
    <w:rsid w:val="00D95212"/>
    <w:rsid w:val="00DA61E8"/>
    <w:rsid w:val="00DB6809"/>
    <w:rsid w:val="00DD7CC0"/>
    <w:rsid w:val="00E07D21"/>
    <w:rsid w:val="00E5140F"/>
    <w:rsid w:val="00E53F79"/>
    <w:rsid w:val="00EE5742"/>
    <w:rsid w:val="00EE57FE"/>
    <w:rsid w:val="00EF3841"/>
    <w:rsid w:val="00F71E41"/>
    <w:rsid w:val="00F81CD8"/>
    <w:rsid w:val="00F824C6"/>
    <w:rsid w:val="00FA6812"/>
    <w:rsid w:val="00FD4CD2"/>
    <w:rsid w:val="00FD5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44"/>
    <w:pPr>
      <w:spacing w:before="240"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C3FFE"/>
    <w:pPr>
      <w:tabs>
        <w:tab w:val="center" w:pos="4513"/>
        <w:tab w:val="right" w:pos="9026"/>
      </w:tabs>
      <w:spacing w:before="0"/>
    </w:pPr>
  </w:style>
  <w:style w:type="character" w:customStyle="1" w:styleId="HeaderChar">
    <w:name w:val="Header Char"/>
    <w:basedOn w:val="DefaultParagraphFont"/>
    <w:link w:val="Header"/>
    <w:uiPriority w:val="99"/>
    <w:rsid w:val="005C3FFE"/>
    <w:rPr>
      <w:rFonts w:ascii="Arial" w:eastAsia="Times New Roman" w:hAnsi="Arial" w:cs="Times New Roman"/>
      <w:sz w:val="24"/>
      <w:szCs w:val="20"/>
    </w:rPr>
  </w:style>
  <w:style w:type="paragraph" w:styleId="Footer">
    <w:name w:val="footer"/>
    <w:basedOn w:val="Normal"/>
    <w:link w:val="FooterChar"/>
    <w:uiPriority w:val="99"/>
    <w:unhideWhenUsed/>
    <w:rsid w:val="005C3FFE"/>
    <w:pPr>
      <w:tabs>
        <w:tab w:val="center" w:pos="4513"/>
        <w:tab w:val="right" w:pos="9026"/>
      </w:tabs>
      <w:spacing w:before="0"/>
    </w:pPr>
  </w:style>
  <w:style w:type="character" w:customStyle="1" w:styleId="FooterChar">
    <w:name w:val="Footer Char"/>
    <w:basedOn w:val="DefaultParagraphFont"/>
    <w:link w:val="Footer"/>
    <w:uiPriority w:val="99"/>
    <w:rsid w:val="005C3FFE"/>
    <w:rPr>
      <w:rFonts w:ascii="Arial" w:eastAsia="Times New Roman" w:hAnsi="Arial" w:cs="Times New Roman"/>
      <w:sz w:val="24"/>
      <w:szCs w:val="20"/>
    </w:rPr>
  </w:style>
  <w:style w:type="character" w:styleId="Hyperlink">
    <w:name w:val="Hyperlink"/>
    <w:basedOn w:val="DefaultParagraphFont"/>
    <w:uiPriority w:val="99"/>
    <w:unhideWhenUsed/>
    <w:rsid w:val="006C05D2"/>
    <w:rPr>
      <w:color w:val="0000FF" w:themeColor="hyperlink"/>
      <w:u w:val="single"/>
    </w:rPr>
  </w:style>
  <w:style w:type="paragraph" w:styleId="BalloonText">
    <w:name w:val="Balloon Text"/>
    <w:basedOn w:val="Normal"/>
    <w:link w:val="BalloonTextChar"/>
    <w:uiPriority w:val="99"/>
    <w:semiHidden/>
    <w:unhideWhenUsed/>
    <w:rsid w:val="00536C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5C"/>
    <w:rPr>
      <w:rFonts w:ascii="Tahoma" w:eastAsia="Times New Roman" w:hAnsi="Tahoma" w:cs="Tahoma"/>
      <w:sz w:val="16"/>
      <w:szCs w:val="16"/>
    </w:rPr>
  </w:style>
  <w:style w:type="paragraph" w:customStyle="1" w:styleId="Indent1">
    <w:name w:val="Indent 1"/>
    <w:basedOn w:val="Normal"/>
    <w:rsid w:val="00997918"/>
    <w:pPr>
      <w:numPr>
        <w:ilvl w:val="1"/>
        <w:numId w:val="4"/>
      </w:numPr>
      <w:kinsoku w:val="0"/>
      <w:overflowPunct w:val="0"/>
      <w:autoSpaceDE w:val="0"/>
      <w:autoSpaceDN w:val="0"/>
      <w:adjustRightInd w:val="0"/>
      <w:snapToGrid w:val="0"/>
      <w:spacing w:before="100" w:after="100"/>
    </w:pPr>
    <w:rPr>
      <w:snapToGrid w:val="0"/>
      <w:sz w:val="20"/>
    </w:rPr>
  </w:style>
  <w:style w:type="paragraph" w:customStyle="1" w:styleId="Indent2">
    <w:name w:val="Indent 2"/>
    <w:basedOn w:val="Indent1"/>
    <w:rsid w:val="00997918"/>
    <w:pPr>
      <w:numPr>
        <w:ilvl w:val="2"/>
      </w:numPr>
    </w:pPr>
  </w:style>
  <w:style w:type="paragraph" w:customStyle="1" w:styleId="Indent3">
    <w:name w:val="Indent 3"/>
    <w:basedOn w:val="Indent2"/>
    <w:rsid w:val="00997918"/>
    <w:pPr>
      <w:numPr>
        <w:ilvl w:val="3"/>
      </w:numPr>
    </w:pPr>
  </w:style>
  <w:style w:type="paragraph" w:customStyle="1" w:styleId="Indent5">
    <w:name w:val="Indent 5"/>
    <w:basedOn w:val="Indent4"/>
    <w:rsid w:val="00997918"/>
    <w:pPr>
      <w:numPr>
        <w:ilvl w:val="5"/>
      </w:numPr>
    </w:pPr>
  </w:style>
  <w:style w:type="paragraph" w:customStyle="1" w:styleId="Indent6">
    <w:name w:val="Indent 6"/>
    <w:basedOn w:val="Indent5"/>
    <w:rsid w:val="00997918"/>
    <w:pPr>
      <w:numPr>
        <w:ilvl w:val="6"/>
      </w:numPr>
    </w:pPr>
  </w:style>
  <w:style w:type="paragraph" w:customStyle="1" w:styleId="Indent7">
    <w:name w:val="Indent 7"/>
    <w:basedOn w:val="Indent6"/>
    <w:rsid w:val="00997918"/>
    <w:pPr>
      <w:numPr>
        <w:ilvl w:val="7"/>
      </w:numPr>
    </w:pPr>
  </w:style>
  <w:style w:type="paragraph" w:customStyle="1" w:styleId="Indent4">
    <w:name w:val="Indent 4"/>
    <w:basedOn w:val="Indent3"/>
    <w:rsid w:val="00997918"/>
    <w:pPr>
      <w:numPr>
        <w:ilvl w:val="4"/>
      </w:numPr>
    </w:pPr>
  </w:style>
  <w:style w:type="paragraph" w:customStyle="1" w:styleId="BodyNormal">
    <w:name w:val="Body Normal"/>
    <w:basedOn w:val="Normal"/>
    <w:link w:val="BodyNormalChar"/>
    <w:rsid w:val="00997918"/>
    <w:pPr>
      <w:numPr>
        <w:numId w:val="4"/>
      </w:numPr>
      <w:kinsoku w:val="0"/>
      <w:overflowPunct w:val="0"/>
      <w:autoSpaceDE w:val="0"/>
      <w:autoSpaceDN w:val="0"/>
      <w:adjustRightInd w:val="0"/>
      <w:snapToGrid w:val="0"/>
      <w:spacing w:before="0" w:after="120"/>
    </w:pPr>
    <w:rPr>
      <w:rFonts w:asciiTheme="minorHAnsi" w:hAnsiTheme="minorHAnsi" w:cs="Arial"/>
      <w:snapToGrid w:val="0"/>
    </w:rPr>
  </w:style>
  <w:style w:type="character" w:customStyle="1" w:styleId="BodyNormalChar">
    <w:name w:val="Body Normal Char"/>
    <w:basedOn w:val="DefaultParagraphFont"/>
    <w:link w:val="BodyNormal"/>
    <w:rsid w:val="00997918"/>
    <w:rPr>
      <w:rFonts w:eastAsia="Times New Roman" w:cs="Arial"/>
      <w:snapToGrid w:val="0"/>
      <w:sz w:val="24"/>
      <w:szCs w:val="20"/>
    </w:rPr>
  </w:style>
  <w:style w:type="paragraph" w:customStyle="1" w:styleId="Indent8">
    <w:name w:val="Indent 8"/>
    <w:basedOn w:val="Indent7"/>
    <w:rsid w:val="00997918"/>
    <w:pPr>
      <w:numPr>
        <w:ilvl w:val="8"/>
      </w:numPr>
    </w:pPr>
  </w:style>
  <w:style w:type="character" w:styleId="CommentReference">
    <w:name w:val="annotation reference"/>
    <w:basedOn w:val="DefaultParagraphFont"/>
    <w:uiPriority w:val="99"/>
    <w:semiHidden/>
    <w:unhideWhenUsed/>
    <w:rsid w:val="007473A2"/>
    <w:rPr>
      <w:sz w:val="16"/>
      <w:szCs w:val="16"/>
    </w:rPr>
  </w:style>
  <w:style w:type="paragraph" w:styleId="CommentText">
    <w:name w:val="annotation text"/>
    <w:basedOn w:val="Normal"/>
    <w:link w:val="CommentTextChar"/>
    <w:uiPriority w:val="99"/>
    <w:semiHidden/>
    <w:unhideWhenUsed/>
    <w:rsid w:val="007473A2"/>
    <w:rPr>
      <w:sz w:val="20"/>
    </w:rPr>
  </w:style>
  <w:style w:type="character" w:customStyle="1" w:styleId="CommentTextChar">
    <w:name w:val="Comment Text Char"/>
    <w:basedOn w:val="DefaultParagraphFont"/>
    <w:link w:val="CommentText"/>
    <w:uiPriority w:val="99"/>
    <w:semiHidden/>
    <w:rsid w:val="007473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73A2"/>
    <w:rPr>
      <w:b/>
      <w:bCs/>
    </w:rPr>
  </w:style>
  <w:style w:type="character" w:customStyle="1" w:styleId="CommentSubjectChar">
    <w:name w:val="Comment Subject Char"/>
    <w:basedOn w:val="CommentTextChar"/>
    <w:link w:val="CommentSubject"/>
    <w:uiPriority w:val="99"/>
    <w:semiHidden/>
    <w:rsid w:val="007473A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B2FB5"/>
    <w:rPr>
      <w:color w:val="800080" w:themeColor="followedHyperlink"/>
      <w:u w:val="single"/>
    </w:rPr>
  </w:style>
  <w:style w:type="character" w:styleId="PlaceholderText">
    <w:name w:val="Placeholder Text"/>
    <w:basedOn w:val="DefaultParagraphFont"/>
    <w:uiPriority w:val="99"/>
    <w:semiHidden/>
    <w:rsid w:val="00432A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44"/>
    <w:pPr>
      <w:spacing w:before="240"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C3FFE"/>
    <w:pPr>
      <w:tabs>
        <w:tab w:val="center" w:pos="4513"/>
        <w:tab w:val="right" w:pos="9026"/>
      </w:tabs>
      <w:spacing w:before="0"/>
    </w:pPr>
  </w:style>
  <w:style w:type="character" w:customStyle="1" w:styleId="HeaderChar">
    <w:name w:val="Header Char"/>
    <w:basedOn w:val="DefaultParagraphFont"/>
    <w:link w:val="Header"/>
    <w:uiPriority w:val="99"/>
    <w:rsid w:val="005C3FFE"/>
    <w:rPr>
      <w:rFonts w:ascii="Arial" w:eastAsia="Times New Roman" w:hAnsi="Arial" w:cs="Times New Roman"/>
      <w:sz w:val="24"/>
      <w:szCs w:val="20"/>
    </w:rPr>
  </w:style>
  <w:style w:type="paragraph" w:styleId="Footer">
    <w:name w:val="footer"/>
    <w:basedOn w:val="Normal"/>
    <w:link w:val="FooterChar"/>
    <w:uiPriority w:val="99"/>
    <w:unhideWhenUsed/>
    <w:rsid w:val="005C3FFE"/>
    <w:pPr>
      <w:tabs>
        <w:tab w:val="center" w:pos="4513"/>
        <w:tab w:val="right" w:pos="9026"/>
      </w:tabs>
      <w:spacing w:before="0"/>
    </w:pPr>
  </w:style>
  <w:style w:type="character" w:customStyle="1" w:styleId="FooterChar">
    <w:name w:val="Footer Char"/>
    <w:basedOn w:val="DefaultParagraphFont"/>
    <w:link w:val="Footer"/>
    <w:uiPriority w:val="99"/>
    <w:rsid w:val="005C3FFE"/>
    <w:rPr>
      <w:rFonts w:ascii="Arial" w:eastAsia="Times New Roman" w:hAnsi="Arial" w:cs="Times New Roman"/>
      <w:sz w:val="24"/>
      <w:szCs w:val="20"/>
    </w:rPr>
  </w:style>
  <w:style w:type="character" w:styleId="Hyperlink">
    <w:name w:val="Hyperlink"/>
    <w:basedOn w:val="DefaultParagraphFont"/>
    <w:uiPriority w:val="99"/>
    <w:unhideWhenUsed/>
    <w:rsid w:val="006C05D2"/>
    <w:rPr>
      <w:color w:val="0000FF" w:themeColor="hyperlink"/>
      <w:u w:val="single"/>
    </w:rPr>
  </w:style>
  <w:style w:type="paragraph" w:styleId="BalloonText">
    <w:name w:val="Balloon Text"/>
    <w:basedOn w:val="Normal"/>
    <w:link w:val="BalloonTextChar"/>
    <w:uiPriority w:val="99"/>
    <w:semiHidden/>
    <w:unhideWhenUsed/>
    <w:rsid w:val="00536C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5C"/>
    <w:rPr>
      <w:rFonts w:ascii="Tahoma" w:eastAsia="Times New Roman" w:hAnsi="Tahoma" w:cs="Tahoma"/>
      <w:sz w:val="16"/>
      <w:szCs w:val="16"/>
    </w:rPr>
  </w:style>
  <w:style w:type="paragraph" w:customStyle="1" w:styleId="Indent1">
    <w:name w:val="Indent 1"/>
    <w:basedOn w:val="Normal"/>
    <w:rsid w:val="00997918"/>
    <w:pPr>
      <w:numPr>
        <w:ilvl w:val="1"/>
        <w:numId w:val="4"/>
      </w:numPr>
      <w:kinsoku w:val="0"/>
      <w:overflowPunct w:val="0"/>
      <w:autoSpaceDE w:val="0"/>
      <w:autoSpaceDN w:val="0"/>
      <w:adjustRightInd w:val="0"/>
      <w:snapToGrid w:val="0"/>
      <w:spacing w:before="100" w:after="100"/>
    </w:pPr>
    <w:rPr>
      <w:snapToGrid w:val="0"/>
      <w:sz w:val="20"/>
    </w:rPr>
  </w:style>
  <w:style w:type="paragraph" w:customStyle="1" w:styleId="Indent2">
    <w:name w:val="Indent 2"/>
    <w:basedOn w:val="Indent1"/>
    <w:rsid w:val="00997918"/>
    <w:pPr>
      <w:numPr>
        <w:ilvl w:val="2"/>
      </w:numPr>
    </w:pPr>
  </w:style>
  <w:style w:type="paragraph" w:customStyle="1" w:styleId="Indent3">
    <w:name w:val="Indent 3"/>
    <w:basedOn w:val="Indent2"/>
    <w:rsid w:val="00997918"/>
    <w:pPr>
      <w:numPr>
        <w:ilvl w:val="3"/>
      </w:numPr>
    </w:pPr>
  </w:style>
  <w:style w:type="paragraph" w:customStyle="1" w:styleId="Indent5">
    <w:name w:val="Indent 5"/>
    <w:basedOn w:val="Indent4"/>
    <w:rsid w:val="00997918"/>
    <w:pPr>
      <w:numPr>
        <w:ilvl w:val="5"/>
      </w:numPr>
    </w:pPr>
  </w:style>
  <w:style w:type="paragraph" w:customStyle="1" w:styleId="Indent6">
    <w:name w:val="Indent 6"/>
    <w:basedOn w:val="Indent5"/>
    <w:rsid w:val="00997918"/>
    <w:pPr>
      <w:numPr>
        <w:ilvl w:val="6"/>
      </w:numPr>
    </w:pPr>
  </w:style>
  <w:style w:type="paragraph" w:customStyle="1" w:styleId="Indent7">
    <w:name w:val="Indent 7"/>
    <w:basedOn w:val="Indent6"/>
    <w:rsid w:val="00997918"/>
    <w:pPr>
      <w:numPr>
        <w:ilvl w:val="7"/>
      </w:numPr>
    </w:pPr>
  </w:style>
  <w:style w:type="paragraph" w:customStyle="1" w:styleId="Indent4">
    <w:name w:val="Indent 4"/>
    <w:basedOn w:val="Indent3"/>
    <w:rsid w:val="00997918"/>
    <w:pPr>
      <w:numPr>
        <w:ilvl w:val="4"/>
      </w:numPr>
    </w:pPr>
  </w:style>
  <w:style w:type="paragraph" w:customStyle="1" w:styleId="BodyNormal">
    <w:name w:val="Body Normal"/>
    <w:basedOn w:val="Normal"/>
    <w:link w:val="BodyNormalChar"/>
    <w:rsid w:val="00997918"/>
    <w:pPr>
      <w:numPr>
        <w:numId w:val="4"/>
      </w:numPr>
      <w:kinsoku w:val="0"/>
      <w:overflowPunct w:val="0"/>
      <w:autoSpaceDE w:val="0"/>
      <w:autoSpaceDN w:val="0"/>
      <w:adjustRightInd w:val="0"/>
      <w:snapToGrid w:val="0"/>
      <w:spacing w:before="0" w:after="120"/>
    </w:pPr>
    <w:rPr>
      <w:rFonts w:asciiTheme="minorHAnsi" w:hAnsiTheme="minorHAnsi" w:cs="Arial"/>
      <w:snapToGrid w:val="0"/>
    </w:rPr>
  </w:style>
  <w:style w:type="character" w:customStyle="1" w:styleId="BodyNormalChar">
    <w:name w:val="Body Normal Char"/>
    <w:basedOn w:val="DefaultParagraphFont"/>
    <w:link w:val="BodyNormal"/>
    <w:rsid w:val="00997918"/>
    <w:rPr>
      <w:rFonts w:eastAsia="Times New Roman" w:cs="Arial"/>
      <w:snapToGrid w:val="0"/>
      <w:sz w:val="24"/>
      <w:szCs w:val="20"/>
    </w:rPr>
  </w:style>
  <w:style w:type="paragraph" w:customStyle="1" w:styleId="Indent8">
    <w:name w:val="Indent 8"/>
    <w:basedOn w:val="Indent7"/>
    <w:rsid w:val="00997918"/>
    <w:pPr>
      <w:numPr>
        <w:ilvl w:val="8"/>
      </w:numPr>
    </w:pPr>
  </w:style>
  <w:style w:type="character" w:styleId="CommentReference">
    <w:name w:val="annotation reference"/>
    <w:basedOn w:val="DefaultParagraphFont"/>
    <w:uiPriority w:val="99"/>
    <w:semiHidden/>
    <w:unhideWhenUsed/>
    <w:rsid w:val="007473A2"/>
    <w:rPr>
      <w:sz w:val="16"/>
      <w:szCs w:val="16"/>
    </w:rPr>
  </w:style>
  <w:style w:type="paragraph" w:styleId="CommentText">
    <w:name w:val="annotation text"/>
    <w:basedOn w:val="Normal"/>
    <w:link w:val="CommentTextChar"/>
    <w:uiPriority w:val="99"/>
    <w:semiHidden/>
    <w:unhideWhenUsed/>
    <w:rsid w:val="007473A2"/>
    <w:rPr>
      <w:sz w:val="20"/>
    </w:rPr>
  </w:style>
  <w:style w:type="character" w:customStyle="1" w:styleId="CommentTextChar">
    <w:name w:val="Comment Text Char"/>
    <w:basedOn w:val="DefaultParagraphFont"/>
    <w:link w:val="CommentText"/>
    <w:uiPriority w:val="99"/>
    <w:semiHidden/>
    <w:rsid w:val="007473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73A2"/>
    <w:rPr>
      <w:b/>
      <w:bCs/>
    </w:rPr>
  </w:style>
  <w:style w:type="character" w:customStyle="1" w:styleId="CommentSubjectChar">
    <w:name w:val="Comment Subject Char"/>
    <w:basedOn w:val="CommentTextChar"/>
    <w:link w:val="CommentSubject"/>
    <w:uiPriority w:val="99"/>
    <w:semiHidden/>
    <w:rsid w:val="007473A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B2FB5"/>
    <w:rPr>
      <w:color w:val="800080" w:themeColor="followedHyperlink"/>
      <w:u w:val="single"/>
    </w:rPr>
  </w:style>
  <w:style w:type="character" w:styleId="PlaceholderText">
    <w:name w:val="Placeholder Text"/>
    <w:basedOn w:val="DefaultParagraphFont"/>
    <w:uiPriority w:val="99"/>
    <w:semiHidden/>
    <w:rsid w:val="00432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2775">
      <w:bodyDiv w:val="1"/>
      <w:marLeft w:val="0"/>
      <w:marRight w:val="0"/>
      <w:marTop w:val="0"/>
      <w:marBottom w:val="0"/>
      <w:divBdr>
        <w:top w:val="none" w:sz="0" w:space="0" w:color="auto"/>
        <w:left w:val="none" w:sz="0" w:space="0" w:color="auto"/>
        <w:bottom w:val="none" w:sz="0" w:space="0" w:color="auto"/>
        <w:right w:val="none" w:sz="0" w:space="0" w:color="auto"/>
      </w:divBdr>
    </w:div>
    <w:div w:id="16881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dss.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2016-12-20T01:32:00Z</dcterms:created>
  <dcterms:modified xsi:type="dcterms:W3CDTF">2016-12-21T03:59:00Z</dcterms:modified>
</cp:coreProperties>
</file>