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8F" w:rsidRDefault="0079658F"/>
    <w:p w:rsidR="002C01B0" w:rsidRDefault="0079658F">
      <w:pPr>
        <w:rPr>
          <w:b/>
        </w:rPr>
      </w:pPr>
      <w:r w:rsidRPr="006443A3">
        <w:rPr>
          <w:b/>
        </w:rPr>
        <w:t xml:space="preserve">Discussion Paper Financial Wellbeing and </w:t>
      </w:r>
      <w:r w:rsidR="006443A3" w:rsidRPr="006443A3">
        <w:rPr>
          <w:b/>
        </w:rPr>
        <w:t>Capability</w:t>
      </w:r>
      <w:r w:rsidR="002C01B0">
        <w:rPr>
          <w:b/>
        </w:rPr>
        <w:t xml:space="preserve"> Activity</w:t>
      </w:r>
    </w:p>
    <w:p w:rsidR="0079658F" w:rsidRPr="006443A3" w:rsidRDefault="002C01B0">
      <w:pPr>
        <w:rPr>
          <w:b/>
        </w:rPr>
      </w:pPr>
      <w:r>
        <w:rPr>
          <w:b/>
        </w:rPr>
        <w:t>St Vincent de Paul Society WA</w:t>
      </w:r>
    </w:p>
    <w:p w:rsidR="00EB0D81" w:rsidRDefault="00E11BBA">
      <w:r>
        <w:t xml:space="preserve">The St Vincent de Paul Society WA has been assisting people </w:t>
      </w:r>
      <w:r w:rsidR="007537E8">
        <w:t>in need</w:t>
      </w:r>
      <w:r>
        <w:t xml:space="preserve"> by providing much needed emergency relief since 1865.  This essential assistance is delivered by the Society’s volunteer members who </w:t>
      </w:r>
      <w:r w:rsidR="006443A3">
        <w:t>visit</w:t>
      </w:r>
      <w:r>
        <w:t xml:space="preserve"> those that seek </w:t>
      </w:r>
      <w:r w:rsidR="006443A3">
        <w:t>our</w:t>
      </w:r>
      <w:r w:rsidR="007537E8">
        <w:t xml:space="preserve"> assistance in</w:t>
      </w:r>
      <w:r>
        <w:t xml:space="preserve"> their own homes and are able to witness and experience the hardship that the household endures.</w:t>
      </w:r>
      <w:r w:rsidR="0064117C">
        <w:t xml:space="preserve">  W</w:t>
      </w:r>
      <w:bookmarkStart w:id="0" w:name="_GoBack"/>
      <w:bookmarkEnd w:id="0"/>
      <w:r w:rsidR="0064117C">
        <w:t>e assist people in need a</w:t>
      </w:r>
      <w:r w:rsidR="007537E8">
        <w:t>l</w:t>
      </w:r>
      <w:r w:rsidR="0064117C">
        <w:t>l over WA from some of the very remote communities in the north of the state down to Albany and along the west co</w:t>
      </w:r>
      <w:r w:rsidR="006443A3">
        <w:t>ast back</w:t>
      </w:r>
      <w:r w:rsidR="0064117C">
        <w:t xml:space="preserve"> up</w:t>
      </w:r>
      <w:r w:rsidR="006443A3">
        <w:t xml:space="preserve"> </w:t>
      </w:r>
      <w:r w:rsidR="0064117C">
        <w:t xml:space="preserve">to South Hedland.  In total we have a presence in 78 local </w:t>
      </w:r>
      <w:r w:rsidR="006443A3">
        <w:t>communities</w:t>
      </w:r>
      <w:r w:rsidR="0064117C">
        <w:t xml:space="preserve"> (which the Society calls </w:t>
      </w:r>
      <w:r w:rsidR="009676A4">
        <w:t>C</w:t>
      </w:r>
      <w:r w:rsidR="006443A3">
        <w:t>onferences</w:t>
      </w:r>
      <w:r w:rsidR="0064117C">
        <w:t>).</w:t>
      </w:r>
    </w:p>
    <w:p w:rsidR="00E11BBA" w:rsidRDefault="00E11BBA">
      <w:r>
        <w:t xml:space="preserve">Last year the Society assisted over 48,000 people in 32,000 households.  This assistance was provided by </w:t>
      </w:r>
      <w:r w:rsidR="004404AA">
        <w:t>many of our 1,1</w:t>
      </w:r>
      <w:r w:rsidR="006443A3">
        <w:t>00 volunteer members</w:t>
      </w:r>
      <w:r>
        <w:t xml:space="preserve"> who </w:t>
      </w:r>
      <w:r w:rsidR="009676A4">
        <w:t xml:space="preserve">each on average have had over 10 </w:t>
      </w:r>
      <w:proofErr w:type="spellStart"/>
      <w:r w:rsidR="009676A4">
        <w:t>years experience</w:t>
      </w:r>
      <w:proofErr w:type="spellEnd"/>
      <w:r w:rsidR="009676A4">
        <w:t xml:space="preserve"> in assisting people in need.  </w:t>
      </w:r>
      <w:r>
        <w:t xml:space="preserve">Some members have been servicing the community in this way for over 50 years.  It is through these dedicated volunteers that we draw on their experience to </w:t>
      </w:r>
      <w:r w:rsidR="0064117C">
        <w:t>respond to this discussion paper.</w:t>
      </w:r>
    </w:p>
    <w:p w:rsidR="0064117C" w:rsidRDefault="0064117C"/>
    <w:p w:rsidR="0064117C" w:rsidRDefault="006443A3">
      <w:r>
        <w:t>1 Strategies</w:t>
      </w:r>
      <w:r w:rsidR="0064117C">
        <w:t xml:space="preserve"> to </w:t>
      </w:r>
      <w:proofErr w:type="gramStart"/>
      <w:r>
        <w:t>Improve</w:t>
      </w:r>
      <w:proofErr w:type="gramEnd"/>
      <w:r w:rsidR="0064117C">
        <w:t xml:space="preserve"> targeting of services</w:t>
      </w:r>
    </w:p>
    <w:p w:rsidR="002F1BF5" w:rsidRDefault="0064117C">
      <w:proofErr w:type="spellStart"/>
      <w:r>
        <w:t>Not withstanding</w:t>
      </w:r>
      <w:proofErr w:type="spellEnd"/>
      <w:r>
        <w:t xml:space="preserve"> our large volunteer base, our diversity of funding sources and th</w:t>
      </w:r>
      <w:r w:rsidR="006443A3">
        <w:t>e support of the infrastructure</w:t>
      </w:r>
      <w:r w:rsidR="007537E8">
        <w:t>,</w:t>
      </w:r>
      <w:r>
        <w:t xml:space="preserve"> the Society is unable to meet the needs of all of the people who </w:t>
      </w:r>
      <w:r w:rsidR="009676A4">
        <w:t>seek our help.  Each of our 78 C</w:t>
      </w:r>
      <w:r>
        <w:t xml:space="preserve">onferences have a </w:t>
      </w:r>
      <w:r w:rsidR="006443A3">
        <w:t>finite amount of resources both</w:t>
      </w:r>
      <w:r>
        <w:t xml:space="preserve"> financial and volunteers.  As with any rationing process the Society </w:t>
      </w:r>
      <w:r w:rsidR="009676A4">
        <w:t>encourages the local Conferences</w:t>
      </w:r>
      <w:r>
        <w:t xml:space="preserve"> to decide how best to meet the needs of their community within those constraints</w:t>
      </w:r>
      <w:r w:rsidR="009676A4">
        <w:t xml:space="preserve"> and the Society’s emergency relief framework</w:t>
      </w:r>
      <w:r>
        <w:t>.  Thus they f</w:t>
      </w:r>
      <w:r w:rsidR="006443A3">
        <w:t>orm their own criteria for determ</w:t>
      </w:r>
      <w:r>
        <w:t xml:space="preserve">ining who to assist.  </w:t>
      </w:r>
      <w:r w:rsidR="002F1BF5">
        <w:t>The Society’s h</w:t>
      </w:r>
      <w:r>
        <w:t>ead</w:t>
      </w:r>
      <w:r w:rsidR="002F1BF5">
        <w:t xml:space="preserve"> </w:t>
      </w:r>
      <w:r w:rsidR="006443A3">
        <w:t>office does</w:t>
      </w:r>
      <w:r>
        <w:t xml:space="preserve"> not </w:t>
      </w:r>
      <w:r w:rsidR="006443A3">
        <w:t>believe</w:t>
      </w:r>
      <w:r>
        <w:t xml:space="preserve"> </w:t>
      </w:r>
      <w:r w:rsidR="007537E8">
        <w:t>it is</w:t>
      </w:r>
      <w:r>
        <w:t xml:space="preserve"> in a</w:t>
      </w:r>
      <w:r w:rsidR="006443A3">
        <w:t xml:space="preserve"> </w:t>
      </w:r>
      <w:r>
        <w:t xml:space="preserve">better position to judge who should receive </w:t>
      </w:r>
      <w:r w:rsidR="006443A3">
        <w:t>priority</w:t>
      </w:r>
      <w:r>
        <w:t>.  Head</w:t>
      </w:r>
      <w:r w:rsidR="006443A3">
        <w:t xml:space="preserve"> </w:t>
      </w:r>
      <w:r>
        <w:t xml:space="preserve">office doesn’t </w:t>
      </w:r>
      <w:r w:rsidR="006443A3">
        <w:t>visit</w:t>
      </w:r>
      <w:r>
        <w:t xml:space="preserve"> the client in their own home, doesn’t see how the children in the house are </w:t>
      </w:r>
      <w:r w:rsidR="002F1BF5">
        <w:t xml:space="preserve">going without, doesn’t </w:t>
      </w:r>
      <w:r w:rsidR="006443A3">
        <w:t>feel</w:t>
      </w:r>
      <w:r w:rsidR="002F1BF5">
        <w:t xml:space="preserve"> </w:t>
      </w:r>
      <w:r w:rsidR="006443A3">
        <w:t xml:space="preserve">that lack of </w:t>
      </w:r>
      <w:proofErr w:type="gramStart"/>
      <w:r w:rsidR="006443A3">
        <w:t>a warmth</w:t>
      </w:r>
      <w:proofErr w:type="gramEnd"/>
      <w:r w:rsidR="006443A3">
        <w:t xml:space="preserve"> in the ho</w:t>
      </w:r>
      <w:r w:rsidR="002F1BF5">
        <w:t xml:space="preserve">use on a cold evening nor see that the clothes that the children wear are </w:t>
      </w:r>
      <w:r w:rsidR="006443A3">
        <w:t>ill-fitting</w:t>
      </w:r>
      <w:r w:rsidR="002F1BF5">
        <w:t>, worn and inadequate.  As a whole</w:t>
      </w:r>
      <w:r w:rsidR="00134DD2">
        <w:t>,</w:t>
      </w:r>
      <w:r w:rsidR="002F1BF5">
        <w:t xml:space="preserve"> the Society adopts the principle </w:t>
      </w:r>
      <w:r w:rsidR="00134DD2">
        <w:t xml:space="preserve">of </w:t>
      </w:r>
      <w:proofErr w:type="gramStart"/>
      <w:r w:rsidR="00134DD2">
        <w:t>subsidiarity, that</w:t>
      </w:r>
      <w:proofErr w:type="gramEnd"/>
      <w:r w:rsidR="00134DD2">
        <w:t xml:space="preserve"> is we encourage that </w:t>
      </w:r>
      <w:r w:rsidR="002F1BF5">
        <w:t xml:space="preserve">those </w:t>
      </w:r>
      <w:r w:rsidR="006443A3">
        <w:t>decisions</w:t>
      </w:r>
      <w:r w:rsidR="002F1BF5">
        <w:t xml:space="preserve"> </w:t>
      </w:r>
      <w:r w:rsidR="00134DD2">
        <w:t xml:space="preserve">are made by Society members in that </w:t>
      </w:r>
      <w:r w:rsidR="002F1BF5">
        <w:t>local community.</w:t>
      </w:r>
    </w:p>
    <w:p w:rsidR="002F1BF5" w:rsidRDefault="002F1BF5">
      <w:r>
        <w:t>Similarly</w:t>
      </w:r>
      <w:r w:rsidR="006443A3">
        <w:t>,</w:t>
      </w:r>
      <w:r>
        <w:t xml:space="preserve"> the Society doesn’t believe that a more remote entity such as DSS </w:t>
      </w:r>
      <w:proofErr w:type="gramStart"/>
      <w:r>
        <w:t>are</w:t>
      </w:r>
      <w:proofErr w:type="gramEnd"/>
      <w:r>
        <w:t xml:space="preserve"> in a better position to determine who has the greatest and most immediate need.  Whilst the suggested target group </w:t>
      </w:r>
      <w:r w:rsidR="006443A3">
        <w:t>guidelines</w:t>
      </w:r>
      <w:r>
        <w:t xml:space="preserve"> would cover most of the people who seek our help there are no </w:t>
      </w:r>
      <w:r w:rsidR="006443A3">
        <w:t>doubt</w:t>
      </w:r>
      <w:r>
        <w:t xml:space="preserve"> a large number of people who fall outside these guidelines</w:t>
      </w:r>
      <w:r w:rsidR="00134DD2">
        <w:t xml:space="preserve"> (it would be valuable to know just how many people assisted with DSS funding fall outside of this guideline)</w:t>
      </w:r>
      <w:r>
        <w:t xml:space="preserve">.  The need for assistance </w:t>
      </w:r>
      <w:r w:rsidR="00134DD2">
        <w:t xml:space="preserve">for those outside the guidelines </w:t>
      </w:r>
      <w:r>
        <w:t>is no less</w:t>
      </w:r>
      <w:r w:rsidR="00134DD2">
        <w:t>,</w:t>
      </w:r>
      <w:r>
        <w:t xml:space="preserve"> in</w:t>
      </w:r>
      <w:r w:rsidR="006443A3">
        <w:t xml:space="preserve"> </w:t>
      </w:r>
      <w:r>
        <w:t xml:space="preserve">fact since they are </w:t>
      </w:r>
      <w:proofErr w:type="spellStart"/>
      <w:r>
        <w:t>non welfare</w:t>
      </w:r>
      <w:proofErr w:type="spellEnd"/>
      <w:r>
        <w:t xml:space="preserve"> </w:t>
      </w:r>
      <w:r w:rsidR="006443A3">
        <w:t>recipients</w:t>
      </w:r>
      <w:r>
        <w:t xml:space="preserve"> </w:t>
      </w:r>
      <w:r w:rsidR="00134DD2">
        <w:t>they are</w:t>
      </w:r>
      <w:r>
        <w:t xml:space="preserve"> likely </w:t>
      </w:r>
      <w:r w:rsidR="006443A3">
        <w:t>to be more in need of assistance</w:t>
      </w:r>
      <w:r>
        <w:t xml:space="preserve"> and in fact should receive a greater priority</w:t>
      </w:r>
      <w:r w:rsidR="004404AA">
        <w:t>.</w:t>
      </w:r>
    </w:p>
    <w:p w:rsidR="0079658F" w:rsidRDefault="0079658F"/>
    <w:p w:rsidR="0040224C" w:rsidRDefault="006443A3">
      <w:r>
        <w:t xml:space="preserve">2 </w:t>
      </w:r>
      <w:r w:rsidR="0040224C">
        <w:t>Strategies to Increase Service Integration</w:t>
      </w:r>
    </w:p>
    <w:p w:rsidR="0040224C" w:rsidRDefault="006622E5">
      <w:r>
        <w:t>The Society applauds the discussion paper</w:t>
      </w:r>
      <w:r w:rsidR="006443A3">
        <w:t>’</w:t>
      </w:r>
      <w:r>
        <w:t>s</w:t>
      </w:r>
      <w:r w:rsidR="004D64FB">
        <w:t xml:space="preserve"> (DSS)</w:t>
      </w:r>
      <w:r>
        <w:t xml:space="preserve"> view on service integration, that service </w:t>
      </w:r>
      <w:r w:rsidR="006443A3">
        <w:t>providers</w:t>
      </w:r>
      <w:r>
        <w:t xml:space="preserve"> </w:t>
      </w:r>
      <w:r w:rsidR="006443A3">
        <w:t>take</w:t>
      </w:r>
      <w:r>
        <w:t xml:space="preserve"> </w:t>
      </w:r>
      <w:r w:rsidR="00134DD2">
        <w:t>a</w:t>
      </w:r>
      <w:r>
        <w:t xml:space="preserve"> </w:t>
      </w:r>
      <w:r w:rsidR="006443A3">
        <w:t>holistic</w:t>
      </w:r>
      <w:r>
        <w:t xml:space="preserve"> view of the client as opposed to the issue presented and that DSS w</w:t>
      </w:r>
      <w:r w:rsidR="006443A3">
        <w:t>ill assist providers to work mo</w:t>
      </w:r>
      <w:r>
        <w:t>re collaboratively.</w:t>
      </w:r>
    </w:p>
    <w:p w:rsidR="006622E5" w:rsidRDefault="006443A3">
      <w:r>
        <w:lastRenderedPageBreak/>
        <w:t xml:space="preserve">Not </w:t>
      </w:r>
      <w:r w:rsidR="006622E5">
        <w:t>all people who seek help will be willing</w:t>
      </w:r>
      <w:r w:rsidR="00134DD2">
        <w:t xml:space="preserve"> to</w:t>
      </w:r>
      <w:r w:rsidR="006622E5">
        <w:t xml:space="preserve"> or have capacity to follow through on the referral made.  There will be many who will need a high level of assistance to make </w:t>
      </w:r>
      <w:r>
        <w:t>it to the referral</w:t>
      </w:r>
      <w:r w:rsidR="006622E5">
        <w:t xml:space="preserve"> appointment.  This would require either further </w:t>
      </w:r>
      <w:r w:rsidR="009B0C33">
        <w:t>resources</w:t>
      </w:r>
      <w:r>
        <w:t>,</w:t>
      </w:r>
      <w:r w:rsidR="006622E5">
        <w:t xml:space="preserve"> or the diversion of existing </w:t>
      </w:r>
      <w:r w:rsidR="009B0C33">
        <w:t>resources</w:t>
      </w:r>
      <w:r w:rsidR="006622E5">
        <w:t xml:space="preserve"> which will impact on those that seek help and may not have a need for other services.</w:t>
      </w:r>
    </w:p>
    <w:p w:rsidR="006622E5" w:rsidRDefault="006622E5">
      <w:r>
        <w:t>Where a person who seeks help is refe</w:t>
      </w:r>
      <w:r w:rsidR="006443A3">
        <w:t>rred to a complementary service,</w:t>
      </w:r>
      <w:r>
        <w:t xml:space="preserve"> how will that service be </w:t>
      </w:r>
      <w:r w:rsidR="009B0C33">
        <w:t>resourced</w:t>
      </w:r>
      <w:r>
        <w:t xml:space="preserve"> to deal with the extra </w:t>
      </w:r>
      <w:r w:rsidR="009B0C33">
        <w:t>dem</w:t>
      </w:r>
      <w:r w:rsidR="006443A3">
        <w:t>and?</w:t>
      </w:r>
      <w:r w:rsidR="009B0C33">
        <w:t xml:space="preserve">  Will </w:t>
      </w:r>
      <w:r>
        <w:t xml:space="preserve">the FWC client </w:t>
      </w:r>
      <w:r w:rsidR="009B0C33">
        <w:t>be given some sort of priority, say into social/public housing and will that service p</w:t>
      </w:r>
      <w:r w:rsidR="004D64FB">
        <w:t>rovider be given extra resources</w:t>
      </w:r>
      <w:r w:rsidR="009B0C33">
        <w:t>?</w:t>
      </w:r>
    </w:p>
    <w:p w:rsidR="009B0C33" w:rsidRDefault="009B0C33">
      <w:r>
        <w:t>If the contractual requirements for FWC funding are to stipulate the need for formal relationships and referral pathways</w:t>
      </w:r>
      <w:r w:rsidR="006443A3">
        <w:t>,</w:t>
      </w:r>
      <w:r>
        <w:t xml:space="preserve"> then there will need to be sufficient lead time t</w:t>
      </w:r>
      <w:r w:rsidR="00134DD2">
        <w:t>o</w:t>
      </w:r>
      <w:r w:rsidR="006443A3">
        <w:t xml:space="preserve"> any DSS funding application</w:t>
      </w:r>
      <w:r>
        <w:t xml:space="preserve"> </w:t>
      </w:r>
      <w:r w:rsidR="00134DD2">
        <w:t xml:space="preserve">to </w:t>
      </w:r>
      <w:r>
        <w:t>ensure that these arrangements are entered into which will facilitate better outcomes for the client.</w:t>
      </w:r>
    </w:p>
    <w:p w:rsidR="009B0C33" w:rsidRDefault="009B0C33"/>
    <w:p w:rsidR="00565B0D" w:rsidRDefault="006443A3">
      <w:r>
        <w:t>3 Strategies</w:t>
      </w:r>
      <w:r w:rsidR="00565B0D">
        <w:t xml:space="preserve"> to Support Client Outcomes</w:t>
      </w:r>
    </w:p>
    <w:p w:rsidR="00565B0D" w:rsidRDefault="00565B0D">
      <w:r>
        <w:t xml:space="preserve">This </w:t>
      </w:r>
      <w:r w:rsidR="006443A3">
        <w:t>strategy builds on the first t</w:t>
      </w:r>
      <w:r>
        <w:t xml:space="preserve">wo </w:t>
      </w:r>
      <w:r w:rsidR="006443A3">
        <w:t>strategies,</w:t>
      </w:r>
      <w:r>
        <w:t xml:space="preserve"> in</w:t>
      </w:r>
      <w:r w:rsidR="006443A3">
        <w:t xml:space="preserve"> </w:t>
      </w:r>
      <w:r>
        <w:t xml:space="preserve">particular the second one regarding integration of services for a more </w:t>
      </w:r>
      <w:r w:rsidR="006443A3">
        <w:t>holistic</w:t>
      </w:r>
      <w:r>
        <w:t xml:space="preserve"> approach.  There are the three subheadings under this strategy.</w:t>
      </w:r>
    </w:p>
    <w:p w:rsidR="00565B0D" w:rsidRDefault="00565B0D">
      <w:r>
        <w:t>Employment</w:t>
      </w:r>
    </w:p>
    <w:p w:rsidR="006443A3" w:rsidRDefault="00565B0D">
      <w:r>
        <w:t>This is correctly identified as a key factor to breaking the reliance on FWC services</w:t>
      </w:r>
      <w:r w:rsidR="006443A3">
        <w:t>, in particular</w:t>
      </w:r>
      <w:r w:rsidR="000B5901">
        <w:t xml:space="preserve"> </w:t>
      </w:r>
      <w:r w:rsidR="006443A3">
        <w:t>emergency</w:t>
      </w:r>
      <w:r w:rsidR="000B5901">
        <w:t xml:space="preserve"> relief.  Fundamentally it is in</w:t>
      </w:r>
      <w:r w:rsidR="006443A3">
        <w:t xml:space="preserve"> the best inter</w:t>
      </w:r>
      <w:r w:rsidR="000B5901">
        <w:t>est of the client to continue to see the other FWC services more often than less</w:t>
      </w:r>
      <w:r w:rsidR="006443A3">
        <w:t>,</w:t>
      </w:r>
      <w:r w:rsidR="000B5901">
        <w:t xml:space="preserve"> especially more </w:t>
      </w:r>
      <w:r w:rsidR="006443A3">
        <w:t>financial</w:t>
      </w:r>
      <w:r w:rsidR="000B5901">
        <w:t xml:space="preserve"> literacy skill sessions to improve the </w:t>
      </w:r>
      <w:r w:rsidR="006443A3">
        <w:t>client’s</w:t>
      </w:r>
      <w:r w:rsidR="000B5901">
        <w:t xml:space="preserve"> job </w:t>
      </w:r>
      <w:r w:rsidR="006443A3">
        <w:t>readiness</w:t>
      </w:r>
      <w:r w:rsidR="000B5901">
        <w:t xml:space="preserve">.  This is </w:t>
      </w:r>
      <w:r w:rsidR="006443A3">
        <w:t xml:space="preserve">something that the </w:t>
      </w:r>
      <w:r w:rsidR="004404AA">
        <w:t xml:space="preserve">Society’s </w:t>
      </w:r>
      <w:r w:rsidR="006443A3">
        <w:t>financial co</w:t>
      </w:r>
      <w:r w:rsidR="000B5901">
        <w:t xml:space="preserve">unsellors are already providing to their existing clients.  To </w:t>
      </w:r>
      <w:r w:rsidR="006443A3">
        <w:t>offer this service to more clie</w:t>
      </w:r>
      <w:r w:rsidR="000B5901">
        <w:t>nts</w:t>
      </w:r>
      <w:r w:rsidR="00134DD2">
        <w:t>,</w:t>
      </w:r>
      <w:r w:rsidR="000B5901">
        <w:t xml:space="preserve"> </w:t>
      </w:r>
      <w:r w:rsidR="006443A3">
        <w:t>more resources would be required.</w:t>
      </w:r>
    </w:p>
    <w:p w:rsidR="000B5901" w:rsidRDefault="00134DD2">
      <w:r>
        <w:t>Emphasising the importance of employment</w:t>
      </w:r>
      <w:r w:rsidR="004404AA">
        <w:t>,</w:t>
      </w:r>
      <w:r>
        <w:t xml:space="preserve"> </w:t>
      </w:r>
      <w:r w:rsidR="00F728F9">
        <w:t>referring</w:t>
      </w:r>
      <w:r w:rsidR="000B5901">
        <w:t xml:space="preserve"> </w:t>
      </w:r>
      <w:proofErr w:type="spellStart"/>
      <w:r w:rsidR="000B5901">
        <w:t>Newstart</w:t>
      </w:r>
      <w:proofErr w:type="spellEnd"/>
      <w:r w:rsidR="000B5901">
        <w:t xml:space="preserve"> Allowance </w:t>
      </w:r>
      <w:r w:rsidR="00F728F9">
        <w:t>clients</w:t>
      </w:r>
      <w:r w:rsidR="009676A4">
        <w:t xml:space="preserve"> to </w:t>
      </w:r>
      <w:proofErr w:type="spellStart"/>
      <w:r w:rsidR="009676A4">
        <w:t>Joba</w:t>
      </w:r>
      <w:r w:rsidR="000B5901">
        <w:t>ctive</w:t>
      </w:r>
      <w:proofErr w:type="spellEnd"/>
      <w:r w:rsidR="000B5901">
        <w:t xml:space="preserve"> providers can be easily adopted by providers.  H</w:t>
      </w:r>
      <w:r w:rsidR="00F728F9">
        <w:t>ow effective would this strategy</w:t>
      </w:r>
      <w:r w:rsidR="000B5901">
        <w:t xml:space="preserve"> be in light of the </w:t>
      </w:r>
      <w:r w:rsidR="00F728F9">
        <w:t>current</w:t>
      </w:r>
      <w:r w:rsidR="000B5901">
        <w:t xml:space="preserve"> </w:t>
      </w:r>
      <w:r w:rsidR="00D72B69">
        <w:t>mutual obl</w:t>
      </w:r>
      <w:r w:rsidR="009676A4">
        <w:t>igation</w:t>
      </w:r>
      <w:r w:rsidR="000B5901">
        <w:t xml:space="preserve"> requirements the client must </w:t>
      </w:r>
      <w:r w:rsidR="00F728F9">
        <w:t>already</w:t>
      </w:r>
      <w:r w:rsidR="000B5901">
        <w:t xml:space="preserve"> undertake to </w:t>
      </w:r>
      <w:r w:rsidR="00F728F9">
        <w:t>maintain</w:t>
      </w:r>
      <w:r w:rsidR="000B5901">
        <w:t xml:space="preserve"> the new start allowance?</w:t>
      </w:r>
    </w:p>
    <w:p w:rsidR="0064117C" w:rsidRDefault="00F728F9">
      <w:r>
        <w:t>Enhancing Stability and Resilience through ER</w:t>
      </w:r>
    </w:p>
    <w:p w:rsidR="00F728F9" w:rsidRDefault="00F728F9">
      <w:r>
        <w:t xml:space="preserve">The establishment </w:t>
      </w:r>
      <w:r w:rsidR="006443A3">
        <w:t xml:space="preserve">of a framework on repeat ER clients is one that the </w:t>
      </w:r>
      <w:r>
        <w:t xml:space="preserve">Society already has in place.  Often the Society will be presented with a request where the client may appear to have taken reasonable steps to improve their financial position through budgeting, job hunting </w:t>
      </w:r>
      <w:proofErr w:type="spellStart"/>
      <w:r>
        <w:t>etc</w:t>
      </w:r>
      <w:proofErr w:type="spellEnd"/>
      <w:r>
        <w:t xml:space="preserve"> but the client is still in crisis.  As per the first </w:t>
      </w:r>
      <w:r w:rsidR="006443A3">
        <w:t>strategy</w:t>
      </w:r>
      <w:r>
        <w:t xml:space="preserve"> in the discussion paper, the local Society member will as</w:t>
      </w:r>
      <w:r w:rsidR="002A14D0">
        <w:t>sess the need and make a decision</w:t>
      </w:r>
      <w:r>
        <w:t xml:space="preserve"> on </w:t>
      </w:r>
      <w:r w:rsidR="002A14D0">
        <w:t>whether</w:t>
      </w:r>
      <w:r>
        <w:t xml:space="preserve"> to meet that need.  Similarly a client who clear</w:t>
      </w:r>
      <w:r w:rsidR="002A14D0">
        <w:t>ly has not me</w:t>
      </w:r>
      <w:r>
        <w:t>t the framework</w:t>
      </w:r>
      <w:r w:rsidR="004404AA">
        <w:t>,</w:t>
      </w:r>
      <w:r>
        <w:t xml:space="preserve"> the Society may still assist the client </w:t>
      </w:r>
      <w:r w:rsidR="00134DD2">
        <w:t xml:space="preserve">especially </w:t>
      </w:r>
      <w:r>
        <w:t>where there are children involved.</w:t>
      </w:r>
    </w:p>
    <w:p w:rsidR="00285FFB" w:rsidRDefault="00285FFB">
      <w:proofErr w:type="gramStart"/>
      <w:r>
        <w:t>Prevention and Early Intervention.</w:t>
      </w:r>
      <w:proofErr w:type="gramEnd"/>
    </w:p>
    <w:p w:rsidR="00285FFB" w:rsidRDefault="00285FFB">
      <w:r>
        <w:t>The Society</w:t>
      </w:r>
      <w:r w:rsidR="002A14D0">
        <w:t>, as does numerous</w:t>
      </w:r>
      <w:r>
        <w:t xml:space="preserve"> research</w:t>
      </w:r>
      <w:r w:rsidR="002A14D0">
        <w:t xml:space="preserve"> papers</w:t>
      </w:r>
      <w:r>
        <w:t>, identifies this strategy as one that will deliver effective outcomes.  The Society supports early intervention as demonstrated by our programs to assist children of welfare dependant household</w:t>
      </w:r>
      <w:r w:rsidR="002A14D0">
        <w:t>s through our camp programs</w:t>
      </w:r>
      <w:r>
        <w:t xml:space="preserve"> and teen mentoring program. The Society would welcome a shift in the direction of focus and </w:t>
      </w:r>
      <w:r w:rsidR="002A14D0">
        <w:t xml:space="preserve">increased </w:t>
      </w:r>
      <w:r>
        <w:t>resources towards prevention and early intervention.</w:t>
      </w:r>
    </w:p>
    <w:p w:rsidR="00285FFB" w:rsidRDefault="00285FFB"/>
    <w:p w:rsidR="00285FFB" w:rsidRDefault="002A14D0">
      <w:r>
        <w:lastRenderedPageBreak/>
        <w:t>4 Strategy to bu</w:t>
      </w:r>
      <w:r w:rsidR="00285FFB">
        <w:t>ild a strong workforce</w:t>
      </w:r>
    </w:p>
    <w:p w:rsidR="00285FFB" w:rsidRDefault="00285FFB">
      <w:r>
        <w:t xml:space="preserve">The discussion paper has correctly identified the growing complexities of the </w:t>
      </w:r>
      <w:r w:rsidR="00134DD2">
        <w:t>clients</w:t>
      </w:r>
      <w:r>
        <w:t xml:space="preserve"> who seek FWC services.  The Society has the additional challenge that the majority of the FWC is provided by volunteer members</w:t>
      </w:r>
      <w:r w:rsidR="006916A9">
        <w:t xml:space="preserve">, some of whom reside and volunteer in </w:t>
      </w:r>
      <w:r w:rsidR="002A14D0">
        <w:t>regional</w:t>
      </w:r>
      <w:r w:rsidR="006916A9">
        <w:t xml:space="preserve"> locations</w:t>
      </w:r>
      <w:r>
        <w:t>.  It is important that support for the “Workforce” c</w:t>
      </w:r>
      <w:r w:rsidR="00017018">
        <w:t>onsiders the support required for</w:t>
      </w:r>
      <w:r>
        <w:t xml:space="preserve"> volunteers.  Funding for the delivery of FWC should include a component for providing support</w:t>
      </w:r>
      <w:r w:rsidR="006916A9">
        <w:t xml:space="preserve"> with the </w:t>
      </w:r>
      <w:r w:rsidR="002A14D0">
        <w:t>method</w:t>
      </w:r>
      <w:r w:rsidR="006916A9">
        <w:t xml:space="preserve"> of delivery of support varied to reflect the skills of the volunteers, some of who are not computer literate.</w:t>
      </w:r>
    </w:p>
    <w:p w:rsidR="00285FFB" w:rsidRDefault="002A14D0">
      <w:r>
        <w:t>5 Strategies</w:t>
      </w:r>
      <w:r w:rsidR="006916A9">
        <w:t xml:space="preserve"> to strengthen </w:t>
      </w:r>
      <w:proofErr w:type="gramStart"/>
      <w:r w:rsidR="006916A9">
        <w:t>evi</w:t>
      </w:r>
      <w:r>
        <w:t>dence,</w:t>
      </w:r>
      <w:proofErr w:type="gramEnd"/>
      <w:r>
        <w:t xml:space="preserve"> improve practice and mea</w:t>
      </w:r>
      <w:r w:rsidR="006916A9">
        <w:t>sure outcomes</w:t>
      </w:r>
    </w:p>
    <w:p w:rsidR="006916A9" w:rsidRDefault="006916A9">
      <w:r>
        <w:t xml:space="preserve">The Society supports </w:t>
      </w:r>
      <w:r w:rsidR="002A14D0">
        <w:t>evidence</w:t>
      </w:r>
      <w:r>
        <w:t xml:space="preserve"> based </w:t>
      </w:r>
      <w:r w:rsidR="002A14D0">
        <w:t>practices</w:t>
      </w:r>
      <w:r>
        <w:t xml:space="preserve"> and has been participating in a </w:t>
      </w:r>
      <w:r w:rsidR="002A14D0">
        <w:t>research</w:t>
      </w:r>
      <w:r>
        <w:t xml:space="preserve"> paper on </w:t>
      </w:r>
      <w:r w:rsidR="002A14D0">
        <w:t>intergenerational</w:t>
      </w:r>
      <w:r>
        <w:t xml:space="preserve"> welfare dependency </w:t>
      </w:r>
      <w:r w:rsidR="002A14D0">
        <w:t xml:space="preserve">in </w:t>
      </w:r>
      <w:r>
        <w:t xml:space="preserve">evaluating one of the </w:t>
      </w:r>
      <w:r w:rsidR="002A14D0">
        <w:t xml:space="preserve">programs delivered </w:t>
      </w:r>
      <w:r>
        <w:t xml:space="preserve">by the Society to break this cycle with the families we assist.  </w:t>
      </w:r>
      <w:r w:rsidR="006305A0">
        <w:t xml:space="preserve">As per </w:t>
      </w:r>
      <w:r w:rsidR="002A14D0">
        <w:t>strategy</w:t>
      </w:r>
      <w:r w:rsidR="006305A0">
        <w:t xml:space="preserve"> 2 </w:t>
      </w:r>
      <w:r w:rsidR="002A14D0">
        <w:t>the Society is keen to consider</w:t>
      </w:r>
      <w:r w:rsidR="006305A0">
        <w:t xml:space="preserve"> how to work with the other integrated </w:t>
      </w:r>
      <w:r w:rsidR="002A14D0">
        <w:t>s</w:t>
      </w:r>
      <w:r w:rsidR="006305A0">
        <w:t xml:space="preserve">ervice providers on how to measure outcomes for </w:t>
      </w:r>
      <w:r w:rsidR="002A14D0">
        <w:t>clients</w:t>
      </w:r>
      <w:r w:rsidR="006305A0">
        <w:t>.  It would be fa</w:t>
      </w:r>
      <w:r w:rsidR="002A14D0">
        <w:t>r more effective to measure the</w:t>
      </w:r>
      <w:r w:rsidR="006305A0">
        <w:t xml:space="preserve"> collective impact as opposed to the impact made by a single provider.</w:t>
      </w:r>
    </w:p>
    <w:p w:rsidR="006305A0" w:rsidRDefault="006305A0"/>
    <w:sectPr w:rsidR="00630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6E" w:rsidRDefault="0051086E" w:rsidP="0040224C">
      <w:pPr>
        <w:spacing w:after="0" w:line="240" w:lineRule="auto"/>
      </w:pPr>
      <w:r>
        <w:separator/>
      </w:r>
    </w:p>
  </w:endnote>
  <w:endnote w:type="continuationSeparator" w:id="0">
    <w:p w:rsidR="0051086E" w:rsidRDefault="0051086E" w:rsidP="0040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6E" w:rsidRDefault="0051086E" w:rsidP="0040224C">
      <w:pPr>
        <w:spacing w:after="0" w:line="240" w:lineRule="auto"/>
      </w:pPr>
      <w:r>
        <w:separator/>
      </w:r>
    </w:p>
  </w:footnote>
  <w:footnote w:type="continuationSeparator" w:id="0">
    <w:p w:rsidR="0051086E" w:rsidRDefault="0051086E" w:rsidP="0040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A"/>
    <w:rsid w:val="00017018"/>
    <w:rsid w:val="000B5901"/>
    <w:rsid w:val="00134DD2"/>
    <w:rsid w:val="00285FFB"/>
    <w:rsid w:val="002A14D0"/>
    <w:rsid w:val="002C01B0"/>
    <w:rsid w:val="002F1BF5"/>
    <w:rsid w:val="0040224C"/>
    <w:rsid w:val="004404AA"/>
    <w:rsid w:val="004D64FB"/>
    <w:rsid w:val="0051086E"/>
    <w:rsid w:val="00565B0D"/>
    <w:rsid w:val="006305A0"/>
    <w:rsid w:val="0064117C"/>
    <w:rsid w:val="006443A3"/>
    <w:rsid w:val="006622E5"/>
    <w:rsid w:val="006916A9"/>
    <w:rsid w:val="007537E8"/>
    <w:rsid w:val="00795A27"/>
    <w:rsid w:val="0079658F"/>
    <w:rsid w:val="009676A4"/>
    <w:rsid w:val="009B0C33"/>
    <w:rsid w:val="00D72B69"/>
    <w:rsid w:val="00D77C0B"/>
    <w:rsid w:val="00E11BBA"/>
    <w:rsid w:val="00E80169"/>
    <w:rsid w:val="00EB0D81"/>
    <w:rsid w:val="00F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022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22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22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022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22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22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DF00-E277-4D79-9306-CAA2D85C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de Paul Society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Sweett</dc:creator>
  <cp:lastModifiedBy>Rod Sweett</cp:lastModifiedBy>
  <cp:revision>5</cp:revision>
  <cp:lastPrinted>2017-03-29T00:12:00Z</cp:lastPrinted>
  <dcterms:created xsi:type="dcterms:W3CDTF">2017-03-29T00:32:00Z</dcterms:created>
  <dcterms:modified xsi:type="dcterms:W3CDTF">2017-03-31T01:53:00Z</dcterms:modified>
</cp:coreProperties>
</file>