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AA" w:rsidRDefault="005342B4" w:rsidP="00317937">
      <w:pPr>
        <w:pStyle w:val="Heading1"/>
        <w:spacing w:before="0"/>
      </w:pPr>
      <w:r w:rsidRPr="00317937">
        <w:t>N</w:t>
      </w:r>
      <w:r w:rsidR="00561AF6" w:rsidRPr="00317937">
        <w:t xml:space="preserve">DIS </w:t>
      </w:r>
      <w:r w:rsidR="009F56C3" w:rsidRPr="00317937">
        <w:t>Code of Conduct – Di</w:t>
      </w:r>
      <w:r w:rsidR="002F0DBD" w:rsidRPr="00317937">
        <w:t>scussion Paper</w:t>
      </w:r>
      <w:r w:rsidR="002F0DBD">
        <w:t xml:space="preserve"> </w:t>
      </w:r>
      <w:r w:rsidR="00792D90">
        <w:t>Submission</w:t>
      </w:r>
    </w:p>
    <w:p w:rsidR="000C6D23" w:rsidRPr="000C6D23" w:rsidRDefault="00472E18" w:rsidP="000C6D23">
      <w:pPr>
        <w:pStyle w:val="NoSpacing"/>
        <w:rPr>
          <w:b/>
          <w:sz w:val="24"/>
          <w:szCs w:val="24"/>
        </w:rPr>
      </w:pPr>
      <w:r w:rsidRPr="000C6D23">
        <w:rPr>
          <w:b/>
          <w:sz w:val="24"/>
          <w:szCs w:val="24"/>
        </w:rPr>
        <w:t>Who are we?</w:t>
      </w:r>
    </w:p>
    <w:p w:rsidR="000C6D23" w:rsidRDefault="000C6D23" w:rsidP="000C6D23">
      <w:pPr>
        <w:pStyle w:val="NoSpacing"/>
      </w:pPr>
    </w:p>
    <w:p w:rsidR="00792D90" w:rsidRDefault="00792D90" w:rsidP="000C6D23">
      <w:pPr>
        <w:pStyle w:val="NoSpacing"/>
        <w:rPr>
          <w:color w:val="auto"/>
          <w:szCs w:val="22"/>
        </w:rPr>
      </w:pPr>
      <w:r w:rsidRPr="00472E18">
        <w:rPr>
          <w:color w:val="auto"/>
          <w:szCs w:val="22"/>
        </w:rPr>
        <w:t>Neami National is a community mental health service supporting people living with mental illness to improve their health, live independently and pursue a life based on their own strengths, values and goals.</w:t>
      </w:r>
      <w:r w:rsidR="00472E18" w:rsidRPr="00472E18">
        <w:rPr>
          <w:color w:val="auto"/>
          <w:szCs w:val="22"/>
        </w:rPr>
        <w:t xml:space="preserve"> </w:t>
      </w:r>
      <w:r w:rsidRPr="00472E18">
        <w:rPr>
          <w:color w:val="auto"/>
          <w:szCs w:val="22"/>
        </w:rPr>
        <w:t>We provide services in diverse communities in Western Australia, Queensland, South Australia, Victoria and New South Wales, ranging from the inner-city and suburbs to regional and remote areas.</w:t>
      </w:r>
    </w:p>
    <w:p w:rsidR="009D42AE" w:rsidRDefault="009D42AE" w:rsidP="009F56C3">
      <w:pPr>
        <w:rPr>
          <w:b/>
          <w:sz w:val="24"/>
          <w:szCs w:val="24"/>
        </w:rPr>
      </w:pPr>
    </w:p>
    <w:p w:rsidR="000C6D23" w:rsidRPr="009D42AE" w:rsidRDefault="00472E18" w:rsidP="009F56C3">
      <w:pPr>
        <w:rPr>
          <w:b/>
          <w:sz w:val="24"/>
          <w:szCs w:val="24"/>
        </w:rPr>
      </w:pPr>
      <w:r w:rsidRPr="009D42AE">
        <w:rPr>
          <w:b/>
          <w:sz w:val="24"/>
          <w:szCs w:val="24"/>
        </w:rPr>
        <w:t xml:space="preserve">Our Commitment </w:t>
      </w:r>
    </w:p>
    <w:p w:rsidR="002B4244" w:rsidRDefault="009D42AE" w:rsidP="00D85637">
      <w:r>
        <w:t xml:space="preserve">Neami National NDIS support services are delivered by Me Well (Mental Health and Wellbeing Australia), a division of Neami. Me Well is backed by Neami’s 30 years’ experience as one of Australia’s largest and most innovative mental health providers.  Me Well is dedicated to helping people navigate the NDIS and to get the most out of their NDIS package. </w:t>
      </w:r>
    </w:p>
    <w:p w:rsidR="001C1F6D" w:rsidRDefault="001C1F6D" w:rsidP="002B4244"/>
    <w:p w:rsidR="002B4244" w:rsidRDefault="00D41D4F" w:rsidP="002B4244">
      <w:r w:rsidRPr="00D41D4F">
        <w:t xml:space="preserve">At Neami we value the importance placed on an industry code of conduct by the NDIA, which will further ensure the </w:t>
      </w:r>
      <w:r w:rsidR="00185FB1">
        <w:t xml:space="preserve">protection and safeguarding of people </w:t>
      </w:r>
      <w:r w:rsidRPr="00D41D4F">
        <w:t>receiving NDIS supports</w:t>
      </w:r>
      <w:r w:rsidR="00185FB1">
        <w:t xml:space="preserve">.  </w:t>
      </w:r>
      <w:r>
        <w:t xml:space="preserve"> Understanding that</w:t>
      </w:r>
      <w:r w:rsidRPr="00D41D4F">
        <w:t xml:space="preserve"> </w:t>
      </w:r>
      <w:r>
        <w:t>s</w:t>
      </w:r>
      <w:r w:rsidR="00E04C0A">
        <w:t xml:space="preserve">ervices are </w:t>
      </w:r>
      <w:r w:rsidR="00D85637" w:rsidRPr="0093728B">
        <w:t>designed</w:t>
      </w:r>
      <w:r w:rsidR="00D85637">
        <w:t xml:space="preserve"> </w:t>
      </w:r>
      <w:r w:rsidR="00D85637" w:rsidRPr="0093728B">
        <w:t xml:space="preserve"> to help people exercise choice and control, while minimising the risk of harm to people with</w:t>
      </w:r>
      <w:r w:rsidR="003A5009">
        <w:t xml:space="preserve"> a</w:t>
      </w:r>
      <w:r w:rsidR="00D85637" w:rsidRPr="0093728B">
        <w:t xml:space="preserve"> disability and mak</w:t>
      </w:r>
      <w:r w:rsidR="00D80BB7">
        <w:t>ing</w:t>
      </w:r>
      <w:r w:rsidR="00D85637" w:rsidRPr="0093728B">
        <w:t xml:space="preserve"> sure high quality supports are provide</w:t>
      </w:r>
      <w:r w:rsidR="00D85637">
        <w:t>d</w:t>
      </w:r>
      <w:r>
        <w:t xml:space="preserve"> safely and appropriately.</w:t>
      </w:r>
    </w:p>
    <w:p w:rsidR="000F1C58" w:rsidRDefault="000F1C58" w:rsidP="009F56C3"/>
    <w:p w:rsidR="000F1C58" w:rsidRPr="000F1C58" w:rsidRDefault="000F1C58" w:rsidP="009F56C3">
      <w:pPr>
        <w:rPr>
          <w:b/>
          <w:sz w:val="24"/>
          <w:szCs w:val="24"/>
        </w:rPr>
      </w:pPr>
      <w:r>
        <w:rPr>
          <w:b/>
          <w:sz w:val="24"/>
          <w:szCs w:val="24"/>
        </w:rPr>
        <w:t xml:space="preserve">Gathering </w:t>
      </w:r>
      <w:r w:rsidRPr="000F1C58">
        <w:rPr>
          <w:b/>
          <w:sz w:val="24"/>
          <w:szCs w:val="24"/>
        </w:rPr>
        <w:t>Feedback</w:t>
      </w:r>
    </w:p>
    <w:p w:rsidR="00160E53" w:rsidRDefault="00CB1D2E" w:rsidP="00051EE1">
      <w:r>
        <w:t>Neami</w:t>
      </w:r>
      <w:r w:rsidR="000F1C58">
        <w:t xml:space="preserve"> understand</w:t>
      </w:r>
      <w:r>
        <w:t>s</w:t>
      </w:r>
      <w:r w:rsidR="000F1C58">
        <w:t xml:space="preserve"> the </w:t>
      </w:r>
      <w:r w:rsidR="009F56C3" w:rsidRPr="0093728B">
        <w:t xml:space="preserve">purpose of </w:t>
      </w:r>
      <w:r w:rsidR="00F60505">
        <w:t xml:space="preserve">this code of conduct </w:t>
      </w:r>
      <w:r w:rsidR="009F56C3" w:rsidRPr="0093728B">
        <w:t xml:space="preserve">paper is to consult on the development of the Code of Conduct with people with disability, carers, providers, workers and the broader community. </w:t>
      </w:r>
      <w:r w:rsidR="0077239F" w:rsidRPr="0093728B">
        <w:t xml:space="preserve">To </w:t>
      </w:r>
      <w:r w:rsidR="000605D7" w:rsidRPr="0093728B">
        <w:t>fully comprehend</w:t>
      </w:r>
      <w:r w:rsidR="0077239F" w:rsidRPr="0093728B">
        <w:t xml:space="preserve"> what the </w:t>
      </w:r>
      <w:r w:rsidR="00045C45" w:rsidRPr="0093728B">
        <w:t xml:space="preserve">NDIS </w:t>
      </w:r>
      <w:r w:rsidR="0077239F" w:rsidRPr="0093728B">
        <w:t>Code of Conduct would</w:t>
      </w:r>
      <w:r w:rsidR="000605D7" w:rsidRPr="0093728B">
        <w:t xml:space="preserve"> mean</w:t>
      </w:r>
      <w:r w:rsidR="00045C45" w:rsidRPr="0093728B">
        <w:t xml:space="preserve"> </w:t>
      </w:r>
      <w:r w:rsidR="0077239F" w:rsidRPr="0093728B">
        <w:t xml:space="preserve">to our </w:t>
      </w:r>
      <w:r w:rsidR="00051EE1">
        <w:t xml:space="preserve">Me Well Services </w:t>
      </w:r>
      <w:r w:rsidR="0077239F" w:rsidRPr="0093728B">
        <w:t xml:space="preserve">as a provider, the paper </w:t>
      </w:r>
      <w:r w:rsidR="000605D7" w:rsidRPr="0093728B">
        <w:t xml:space="preserve">was </w:t>
      </w:r>
      <w:r w:rsidR="0077239F" w:rsidRPr="0093728B">
        <w:t xml:space="preserve">circulated throughout the organisation to </w:t>
      </w:r>
      <w:r w:rsidR="0093728B" w:rsidRPr="0093728B">
        <w:t>get valued feedback and comments fr</w:t>
      </w:r>
      <w:r w:rsidR="00537987">
        <w:t>om core group</w:t>
      </w:r>
      <w:r w:rsidR="00051EE1">
        <w:t>s</w:t>
      </w:r>
      <w:r w:rsidR="0093728B" w:rsidRPr="0093728B">
        <w:t xml:space="preserve"> that will be affected and </w:t>
      </w:r>
      <w:r>
        <w:t xml:space="preserve">included </w:t>
      </w:r>
      <w:r w:rsidR="00051EE1">
        <w:t>staff from Executive level to Managers, staff and</w:t>
      </w:r>
      <w:r w:rsidR="00D85637">
        <w:t xml:space="preserve"> more importantly our Customers.</w:t>
      </w:r>
    </w:p>
    <w:p w:rsidR="0024506B" w:rsidRDefault="0024506B" w:rsidP="00317937">
      <w:pPr>
        <w:spacing w:after="0"/>
        <w:rPr>
          <w:b/>
          <w:sz w:val="24"/>
          <w:szCs w:val="24"/>
        </w:rPr>
      </w:pPr>
    </w:p>
    <w:p w:rsidR="00160E53" w:rsidRDefault="00160E53" w:rsidP="00317937">
      <w:pPr>
        <w:spacing w:after="0"/>
        <w:rPr>
          <w:b/>
          <w:sz w:val="24"/>
          <w:szCs w:val="24"/>
        </w:rPr>
      </w:pPr>
      <w:r w:rsidRPr="00160E53">
        <w:rPr>
          <w:b/>
          <w:sz w:val="24"/>
          <w:szCs w:val="24"/>
        </w:rPr>
        <w:t>Key Points</w:t>
      </w:r>
    </w:p>
    <w:p w:rsidR="00D572CD" w:rsidRDefault="00806DAD" w:rsidP="00051EE1">
      <w:r>
        <w:t>Overall</w:t>
      </w:r>
      <w:r w:rsidR="00A0016B">
        <w:t>, it was our assessment that</w:t>
      </w:r>
      <w:r>
        <w:t xml:space="preserve"> the code of conduct </w:t>
      </w:r>
      <w:r w:rsidR="00A0016B">
        <w:t xml:space="preserve">discussion </w:t>
      </w:r>
      <w:r>
        <w:t>paper, its</w:t>
      </w:r>
      <w:r w:rsidR="00D572CD">
        <w:t xml:space="preserve"> approach,</w:t>
      </w:r>
      <w:r>
        <w:t xml:space="preserve"> intent, descriptions and expectations </w:t>
      </w:r>
      <w:r w:rsidR="001F3891">
        <w:t xml:space="preserve">offer a sound foundation for the safeguarding of people accessing the NDIS.  The NDIS is operating in a new and emerging market space and the content in the code details consistent expectations for all providers and enables a degree of confidence for people accessing the system and their families and carers.  </w:t>
      </w:r>
    </w:p>
    <w:p w:rsidR="00D572CD" w:rsidRDefault="00D572CD" w:rsidP="00051EE1"/>
    <w:p w:rsidR="001C1F6D" w:rsidRDefault="001C1F6D" w:rsidP="00051EE1"/>
    <w:p w:rsidR="001C1F6D" w:rsidRDefault="001C1F6D" w:rsidP="00051EE1"/>
    <w:p w:rsidR="00806DAD" w:rsidRDefault="001F3891" w:rsidP="00051EE1">
      <w:r>
        <w:t xml:space="preserve">Feedback from key organisational stakeholders is detailed below for consideration:  </w:t>
      </w:r>
    </w:p>
    <w:p w:rsidR="00414C53" w:rsidRDefault="00AD1086" w:rsidP="00AD1086">
      <w:pPr>
        <w:pStyle w:val="Heading2"/>
      </w:pPr>
      <w:bookmarkStart w:id="0" w:name="_Toc482104019"/>
      <w:r w:rsidRPr="00AD1086">
        <w:t xml:space="preserve">1.3 </w:t>
      </w:r>
      <w:r w:rsidR="00414C53" w:rsidRPr="00AD1086">
        <w:t>Who will be covered by the NDIS Code of Conduct?</w:t>
      </w:r>
      <w:bookmarkEnd w:id="0"/>
    </w:p>
    <w:p w:rsidR="00AD1086" w:rsidRPr="00BA2BA5" w:rsidRDefault="00AD1086" w:rsidP="00185FB1">
      <w:pPr>
        <w:pStyle w:val="Heading3"/>
        <w:ind w:left="0" w:firstLine="0"/>
      </w:pPr>
      <w:bookmarkStart w:id="1" w:name="_Toc482104020"/>
      <w:r>
        <w:t xml:space="preserve">1.3.1 </w:t>
      </w:r>
      <w:r w:rsidRPr="00BA2BA5">
        <w:t>Registered providers</w:t>
      </w:r>
      <w:bookmarkEnd w:id="1"/>
    </w:p>
    <w:p w:rsidR="00414C53" w:rsidRPr="00AD1086" w:rsidRDefault="00AD1086" w:rsidP="00AD1086">
      <w:pPr>
        <w:pStyle w:val="Heading3"/>
      </w:pPr>
      <w:bookmarkStart w:id="2" w:name="_Toc476832129"/>
      <w:bookmarkStart w:id="3" w:name="_Toc476912221"/>
      <w:bookmarkStart w:id="4" w:name="_Toc482104021"/>
      <w:bookmarkEnd w:id="2"/>
      <w:bookmarkEnd w:id="3"/>
      <w:r>
        <w:t xml:space="preserve">1.3.2 </w:t>
      </w:r>
      <w:r w:rsidR="00414C53" w:rsidRPr="00AD1086">
        <w:t>Unregistered providers</w:t>
      </w:r>
      <w:bookmarkEnd w:id="4"/>
    </w:p>
    <w:p w:rsidR="00AD1086" w:rsidRDefault="00AD1086" w:rsidP="00185FB1"/>
    <w:p w:rsidR="00AD1086" w:rsidRDefault="00AD1086" w:rsidP="006926EA">
      <w:pPr>
        <w:pStyle w:val="ListParagraph"/>
        <w:numPr>
          <w:ilvl w:val="0"/>
          <w:numId w:val="2"/>
        </w:numPr>
      </w:pPr>
      <w:r w:rsidRPr="00AD1086">
        <w:lastRenderedPageBreak/>
        <w:t xml:space="preserve">Concern </w:t>
      </w:r>
      <w:r w:rsidR="00A0016B">
        <w:t xml:space="preserve">is noted </w:t>
      </w:r>
      <w:r w:rsidRPr="00AD1086">
        <w:t>with “no obligation for unregistered providers” to read the Code and sign off on it, “Self-managing participants will be strongly encouraged to provide information about the Code of Conduct and its obligations to any unregistered providers they eng</w:t>
      </w:r>
      <w:r w:rsidR="006926EA">
        <w:t>age”</w:t>
      </w:r>
      <w:r w:rsidR="00A0016B">
        <w:t xml:space="preserve">. </w:t>
      </w:r>
      <w:r w:rsidR="006926EA">
        <w:t xml:space="preserve"> U</w:t>
      </w:r>
      <w:r w:rsidRPr="00AD1086">
        <w:t>nderstanding this may be difficult to monitor as the broader sectors/ business community get involved in providing services. Noting that if self-managed customers use unregistered operators, there may be a reduced liability on the NDIA</w:t>
      </w:r>
      <w:r w:rsidR="003010CB">
        <w:t>, there might equally be a heightened level of risk associated with service provided by unregistered providers</w:t>
      </w:r>
      <w:r w:rsidRPr="00AD1086">
        <w:t xml:space="preserve">.  </w:t>
      </w:r>
    </w:p>
    <w:p w:rsidR="005B512C" w:rsidRDefault="00317937" w:rsidP="005B512C">
      <w:pPr>
        <w:pStyle w:val="ListParagraph"/>
        <w:numPr>
          <w:ilvl w:val="0"/>
          <w:numId w:val="2"/>
        </w:numPr>
      </w:pPr>
      <w:r>
        <w:t xml:space="preserve">The code could benefit from further clarification around safeguards for clients who might engage </w:t>
      </w:r>
      <w:r w:rsidR="00AD1086" w:rsidRPr="00AD1086">
        <w:t xml:space="preserve">unregistered providers </w:t>
      </w:r>
      <w:r>
        <w:t xml:space="preserve">who </w:t>
      </w:r>
      <w:r w:rsidR="00AD1086" w:rsidRPr="00AD1086">
        <w:t xml:space="preserve">don’t sign the code and don’t have </w:t>
      </w:r>
      <w:r>
        <w:t xml:space="preserve">appropriate </w:t>
      </w:r>
      <w:r w:rsidR="00AD1086" w:rsidRPr="00AD1086">
        <w:t>insurance</w:t>
      </w:r>
      <w:r>
        <w:t xml:space="preserve"> cover.  </w:t>
      </w:r>
    </w:p>
    <w:p w:rsidR="00AD1086" w:rsidRDefault="006926EA" w:rsidP="00CA5353">
      <w:pPr>
        <w:ind w:left="426" w:hanging="426"/>
        <w:rPr>
          <w:color w:val="000000" w:themeColor="text1"/>
        </w:rPr>
      </w:pPr>
      <w:r>
        <w:rPr>
          <w:color w:val="000000" w:themeColor="text1"/>
        </w:rPr>
        <w:t xml:space="preserve">•      </w:t>
      </w:r>
      <w:r w:rsidRPr="006926EA">
        <w:rPr>
          <w:color w:val="000000" w:themeColor="text1"/>
        </w:rPr>
        <w:t xml:space="preserve">The </w:t>
      </w:r>
      <w:r w:rsidR="00317937">
        <w:rPr>
          <w:color w:val="000000" w:themeColor="text1"/>
        </w:rPr>
        <w:t>Code could benefit from further clarity</w:t>
      </w:r>
      <w:r w:rsidR="00185FB1">
        <w:rPr>
          <w:color w:val="000000" w:themeColor="text1"/>
        </w:rPr>
        <w:t xml:space="preserve"> surrounding</w:t>
      </w:r>
      <w:r w:rsidR="00317937">
        <w:rPr>
          <w:color w:val="000000" w:themeColor="text1"/>
        </w:rPr>
        <w:t xml:space="preserve"> </w:t>
      </w:r>
      <w:r w:rsidRPr="006926EA">
        <w:rPr>
          <w:color w:val="000000" w:themeColor="text1"/>
        </w:rPr>
        <w:t>applicability</w:t>
      </w:r>
      <w:r w:rsidR="00317937">
        <w:rPr>
          <w:color w:val="000000" w:themeColor="text1"/>
        </w:rPr>
        <w:t xml:space="preserve"> for </w:t>
      </w:r>
      <w:r w:rsidRPr="006926EA">
        <w:rPr>
          <w:color w:val="000000" w:themeColor="text1"/>
        </w:rPr>
        <w:t>subcontracted service</w:t>
      </w:r>
      <w:r w:rsidR="00317937">
        <w:rPr>
          <w:color w:val="000000" w:themeColor="text1"/>
        </w:rPr>
        <w:t xml:space="preserve"> providers</w:t>
      </w:r>
      <w:r w:rsidR="00FB35DB">
        <w:rPr>
          <w:color w:val="000000" w:themeColor="text1"/>
        </w:rPr>
        <w:t xml:space="preserve"> and their </w:t>
      </w:r>
      <w:r w:rsidR="00CA5353">
        <w:rPr>
          <w:color w:val="000000" w:themeColor="text1"/>
        </w:rPr>
        <w:t>staff</w:t>
      </w:r>
      <w:r w:rsidR="00185FB1">
        <w:rPr>
          <w:color w:val="000000" w:themeColor="text1"/>
        </w:rPr>
        <w:t xml:space="preserve">.  </w:t>
      </w:r>
      <w:r w:rsidR="000508E8">
        <w:rPr>
          <w:color w:val="000000" w:themeColor="text1"/>
        </w:rPr>
        <w:t xml:space="preserve"> </w:t>
      </w:r>
      <w:r w:rsidR="00CA5353">
        <w:rPr>
          <w:color w:val="000000" w:themeColor="text1"/>
        </w:rPr>
        <w:t xml:space="preserve">To further strengthen safeguards and increase consistency, the code should be explicit about its applicability to subcontractors. </w:t>
      </w:r>
    </w:p>
    <w:p w:rsidR="00553EDB" w:rsidRDefault="00553EDB" w:rsidP="00AD1086">
      <w:pPr>
        <w:rPr>
          <w:color w:val="000000" w:themeColor="text1"/>
        </w:rPr>
      </w:pPr>
    </w:p>
    <w:p w:rsidR="00553EDB" w:rsidRPr="00553EDB" w:rsidRDefault="00DD2F6A" w:rsidP="00553EDB">
      <w:pPr>
        <w:numPr>
          <w:ilvl w:val="1"/>
          <w:numId w:val="0"/>
        </w:numPr>
        <w:spacing w:before="240" w:after="120"/>
        <w:ind w:left="576" w:hanging="576"/>
        <w:outlineLvl w:val="1"/>
        <w:rPr>
          <w:rFonts w:asciiTheme="minorHAnsi" w:eastAsia="MS Gothic" w:hAnsiTheme="minorHAnsi"/>
          <w:b/>
          <w:bCs/>
          <w:i/>
          <w:color w:val="1F497D" w:themeColor="text2"/>
          <w:spacing w:val="4"/>
          <w:sz w:val="18"/>
          <w:szCs w:val="18"/>
          <w:lang w:eastAsia="en-AU"/>
        </w:rPr>
      </w:pPr>
      <w:bookmarkStart w:id="5" w:name="_Toc482104028"/>
      <w:r>
        <w:rPr>
          <w:rFonts w:asciiTheme="minorHAnsi" w:eastAsia="MS Gothic" w:hAnsiTheme="minorHAnsi"/>
          <w:b/>
          <w:bCs/>
          <w:i/>
          <w:color w:val="1F497D" w:themeColor="text2"/>
          <w:spacing w:val="4"/>
          <w:sz w:val="18"/>
          <w:szCs w:val="18"/>
          <w:lang w:eastAsia="en-AU"/>
        </w:rPr>
        <w:t>2.3</w:t>
      </w:r>
      <w:r>
        <w:rPr>
          <w:rFonts w:asciiTheme="minorHAnsi" w:eastAsia="MS Gothic" w:hAnsiTheme="minorHAnsi"/>
          <w:b/>
          <w:bCs/>
          <w:i/>
          <w:color w:val="1F497D" w:themeColor="text2"/>
          <w:spacing w:val="4"/>
          <w:sz w:val="18"/>
          <w:szCs w:val="18"/>
          <w:lang w:eastAsia="en-AU"/>
        </w:rPr>
        <w:tab/>
      </w:r>
      <w:r>
        <w:rPr>
          <w:rFonts w:asciiTheme="minorHAnsi" w:eastAsia="MS Gothic" w:hAnsiTheme="minorHAnsi"/>
          <w:b/>
          <w:bCs/>
          <w:i/>
          <w:color w:val="1F497D" w:themeColor="text2"/>
          <w:spacing w:val="4"/>
          <w:sz w:val="18"/>
          <w:szCs w:val="18"/>
          <w:lang w:eastAsia="en-AU"/>
        </w:rPr>
        <w:tab/>
      </w:r>
      <w:r w:rsidR="00553EDB" w:rsidRPr="00041E6A">
        <w:rPr>
          <w:rFonts w:asciiTheme="minorHAnsi" w:eastAsia="MS Gothic" w:hAnsiTheme="minorHAnsi"/>
          <w:b/>
          <w:bCs/>
          <w:i/>
          <w:color w:val="1F497D" w:themeColor="text2"/>
          <w:spacing w:val="4"/>
          <w:sz w:val="18"/>
          <w:szCs w:val="18"/>
          <w:lang w:eastAsia="en-AU"/>
        </w:rPr>
        <w:t>Act</w:t>
      </w:r>
      <w:r w:rsidR="00553EDB" w:rsidRPr="00553EDB">
        <w:rPr>
          <w:rFonts w:asciiTheme="minorHAnsi" w:eastAsia="MS Gothic" w:hAnsiTheme="minorHAnsi"/>
          <w:b/>
          <w:bCs/>
          <w:i/>
          <w:color w:val="1F497D" w:themeColor="text2"/>
          <w:spacing w:val="4"/>
          <w:sz w:val="18"/>
          <w:szCs w:val="18"/>
          <w:lang w:eastAsia="en-AU"/>
        </w:rPr>
        <w:t xml:space="preserve"> with integrity, honesty and transparency</w:t>
      </w:r>
      <w:bookmarkEnd w:id="5"/>
    </w:p>
    <w:p w:rsidR="00DD2F6A" w:rsidRPr="00CD755A" w:rsidRDefault="00041E6A" w:rsidP="00CA5353">
      <w:pPr>
        <w:pStyle w:val="ListParagraph"/>
        <w:numPr>
          <w:ilvl w:val="0"/>
          <w:numId w:val="8"/>
        </w:numPr>
        <w:ind w:left="426" w:hanging="426"/>
        <w:rPr>
          <w:color w:val="000000" w:themeColor="text1"/>
        </w:rPr>
      </w:pPr>
      <w:r w:rsidRPr="00CD755A">
        <w:rPr>
          <w:color w:val="000000" w:themeColor="text1"/>
        </w:rPr>
        <w:t xml:space="preserve">“Conflict of interest” is only mentioned once </w:t>
      </w:r>
      <w:r w:rsidRPr="00A459A3">
        <w:rPr>
          <w:color w:val="000000" w:themeColor="text1"/>
        </w:rPr>
        <w:t xml:space="preserve">and in a limited way. </w:t>
      </w:r>
      <w:r w:rsidR="003010CB" w:rsidRPr="00A459A3">
        <w:rPr>
          <w:color w:val="000000" w:themeColor="text1"/>
        </w:rPr>
        <w:t>T</w:t>
      </w:r>
      <w:r w:rsidRPr="00A459A3">
        <w:rPr>
          <w:color w:val="000000" w:themeColor="text1"/>
        </w:rPr>
        <w:t>he Code should recognise the</w:t>
      </w:r>
      <w:r w:rsidRPr="00CD755A">
        <w:rPr>
          <w:color w:val="000000" w:themeColor="text1"/>
        </w:rPr>
        <w:t xml:space="preserve"> complexities of the various Conflicts of Interest </w:t>
      </w:r>
      <w:r w:rsidR="003A120C" w:rsidRPr="00A459A3">
        <w:rPr>
          <w:color w:val="000000" w:themeColor="text1"/>
        </w:rPr>
        <w:t xml:space="preserve">that can arise </w:t>
      </w:r>
      <w:r w:rsidRPr="00A459A3">
        <w:rPr>
          <w:color w:val="000000" w:themeColor="text1"/>
        </w:rPr>
        <w:t xml:space="preserve">and provide more sophisticated ways for conflict of interest to be managed. To date the NDIA has left this to organisations to define and manage, and certainly doesn’t include family/carers etc. this could be </w:t>
      </w:r>
      <w:r w:rsidRPr="00A459A3">
        <w:rPr>
          <w:color w:val="000000" w:themeColor="text1"/>
        </w:rPr>
        <w:lastRenderedPageBreak/>
        <w:t>strengthened.</w:t>
      </w:r>
      <w:r w:rsidR="00FB35DB" w:rsidRPr="00CD755A">
        <w:rPr>
          <w:color w:val="000000" w:themeColor="text1"/>
        </w:rPr>
        <w:t xml:space="preserve"> </w:t>
      </w:r>
      <w:r w:rsidR="00CD755A" w:rsidRPr="00CD755A">
        <w:rPr>
          <w:color w:val="000000" w:themeColor="text1"/>
        </w:rPr>
        <w:t xml:space="preserve">One way service providers can address this tension is to proactively enable and support their participants to have independent support with decision-making in all aspects of their plans, supports and services. This will demonstrably help shift the locus of control from service providers to participants. </w:t>
      </w:r>
    </w:p>
    <w:p w:rsidR="005576D6" w:rsidRPr="005576D6" w:rsidRDefault="00DD2F6A" w:rsidP="005576D6">
      <w:pPr>
        <w:pStyle w:val="Heading2"/>
        <w:rPr>
          <w:rFonts w:asciiTheme="minorHAnsi" w:hAnsiTheme="minorHAnsi"/>
        </w:rPr>
      </w:pPr>
      <w:r w:rsidRPr="005576D6">
        <w:rPr>
          <w:rFonts w:asciiTheme="minorHAnsi" w:hAnsiTheme="minorHAnsi"/>
        </w:rPr>
        <w:t xml:space="preserve">2.4 </w:t>
      </w:r>
      <w:r w:rsidR="005576D6" w:rsidRPr="005576D6">
        <w:rPr>
          <w:rFonts w:asciiTheme="minorHAnsi" w:hAnsiTheme="minorHAnsi"/>
        </w:rPr>
        <w:t xml:space="preserve"> </w:t>
      </w:r>
      <w:bookmarkStart w:id="6" w:name="_Toc482104029"/>
      <w:r w:rsidR="005576D6" w:rsidRPr="005576D6">
        <w:rPr>
          <w:rFonts w:asciiTheme="minorHAnsi" w:hAnsiTheme="minorHAnsi"/>
        </w:rPr>
        <w:t>Provide supports in a safe and ethical manner with care and skill</w:t>
      </w:r>
      <w:bookmarkEnd w:id="6"/>
      <w:r w:rsidR="005576D6" w:rsidRPr="005576D6">
        <w:rPr>
          <w:rFonts w:asciiTheme="minorHAnsi" w:hAnsiTheme="minorHAnsi"/>
        </w:rPr>
        <w:t xml:space="preserve"> </w:t>
      </w:r>
    </w:p>
    <w:p w:rsidR="005576D6" w:rsidRPr="005576D6" w:rsidRDefault="00A459A3" w:rsidP="005576D6">
      <w:pPr>
        <w:pStyle w:val="ListParagraph"/>
        <w:numPr>
          <w:ilvl w:val="0"/>
          <w:numId w:val="7"/>
        </w:numPr>
        <w:rPr>
          <w:color w:val="000000" w:themeColor="text1"/>
        </w:rPr>
      </w:pPr>
      <w:r>
        <w:rPr>
          <w:color w:val="000000" w:themeColor="text1"/>
        </w:rPr>
        <w:t xml:space="preserve"> The code of conduct should include clearly </w:t>
      </w:r>
      <w:r w:rsidR="00D81EB9">
        <w:rPr>
          <w:color w:val="000000" w:themeColor="text1"/>
        </w:rPr>
        <w:t>articulated</w:t>
      </w:r>
      <w:r>
        <w:rPr>
          <w:color w:val="000000" w:themeColor="text1"/>
        </w:rPr>
        <w:t xml:space="preserve"> definitions </w:t>
      </w:r>
      <w:r w:rsidR="00CA5353">
        <w:rPr>
          <w:color w:val="000000" w:themeColor="text1"/>
        </w:rPr>
        <w:t xml:space="preserve">for terms such as “ethical” and “exploitation” </w:t>
      </w:r>
      <w:r>
        <w:rPr>
          <w:color w:val="000000" w:themeColor="text1"/>
        </w:rPr>
        <w:t xml:space="preserve">once fully implemented. </w:t>
      </w:r>
      <w:r w:rsidR="005576D6" w:rsidRPr="005576D6">
        <w:rPr>
          <w:color w:val="000000" w:themeColor="text1"/>
        </w:rPr>
        <w:t>The expectation that providers will have their own definitions of these things will promote wider interpretation/ practices. This will be harder</w:t>
      </w:r>
      <w:r w:rsidR="00E64C9F">
        <w:rPr>
          <w:color w:val="000000" w:themeColor="text1"/>
        </w:rPr>
        <w:t xml:space="preserve"> for the NDIA </w:t>
      </w:r>
      <w:r w:rsidR="005576D6" w:rsidRPr="005576D6">
        <w:rPr>
          <w:color w:val="000000" w:themeColor="text1"/>
        </w:rPr>
        <w:t xml:space="preserve"> to monitor</w:t>
      </w:r>
    </w:p>
    <w:p w:rsidR="00041E6A" w:rsidRDefault="00041E6A" w:rsidP="00041E6A">
      <w:pPr>
        <w:pStyle w:val="ListParagraph"/>
        <w:rPr>
          <w:color w:val="000000" w:themeColor="text1"/>
        </w:rPr>
      </w:pPr>
    </w:p>
    <w:p w:rsidR="00082BE2" w:rsidRDefault="00082BE2" w:rsidP="00041E6A">
      <w:pPr>
        <w:pStyle w:val="ListParagraph"/>
        <w:rPr>
          <w:color w:val="000000" w:themeColor="text1"/>
        </w:rPr>
      </w:pPr>
    </w:p>
    <w:p w:rsidR="00082BE2" w:rsidRDefault="00082BE2" w:rsidP="00041E6A">
      <w:pPr>
        <w:pStyle w:val="ListParagraph"/>
        <w:rPr>
          <w:color w:val="000000" w:themeColor="text1"/>
        </w:rPr>
      </w:pPr>
    </w:p>
    <w:p w:rsidR="00082BE2" w:rsidRDefault="00082BE2" w:rsidP="00041E6A">
      <w:pPr>
        <w:pStyle w:val="ListParagraph"/>
        <w:rPr>
          <w:color w:val="000000" w:themeColor="text1"/>
        </w:rPr>
      </w:pPr>
    </w:p>
    <w:p w:rsidR="00082BE2" w:rsidRDefault="00082BE2" w:rsidP="00041E6A">
      <w:pPr>
        <w:pStyle w:val="ListParagraph"/>
        <w:rPr>
          <w:color w:val="000000" w:themeColor="text1"/>
        </w:rPr>
      </w:pPr>
    </w:p>
    <w:p w:rsidR="00082BE2" w:rsidRPr="00041E6A" w:rsidRDefault="00082BE2" w:rsidP="00041E6A">
      <w:pPr>
        <w:pStyle w:val="ListParagraph"/>
        <w:rPr>
          <w:color w:val="000000" w:themeColor="text1"/>
        </w:rPr>
      </w:pPr>
    </w:p>
    <w:p w:rsidR="00DD2F6A" w:rsidRPr="00DD2F6A" w:rsidRDefault="00DD2F6A" w:rsidP="00DD2F6A">
      <w:pPr>
        <w:rPr>
          <w:b/>
          <w:i/>
          <w:color w:val="1F497D" w:themeColor="text2"/>
          <w:sz w:val="18"/>
          <w:szCs w:val="18"/>
        </w:rPr>
      </w:pPr>
      <w:r>
        <w:rPr>
          <w:b/>
          <w:i/>
          <w:color w:val="1F497D" w:themeColor="text2"/>
          <w:sz w:val="18"/>
          <w:szCs w:val="18"/>
        </w:rPr>
        <w:t>2.6</w:t>
      </w:r>
      <w:r>
        <w:rPr>
          <w:b/>
          <w:i/>
          <w:color w:val="1F497D" w:themeColor="text2"/>
          <w:sz w:val="18"/>
          <w:szCs w:val="18"/>
        </w:rPr>
        <w:tab/>
      </w:r>
      <w:r w:rsidRPr="00DD2F6A">
        <w:rPr>
          <w:b/>
          <w:i/>
          <w:color w:val="1F497D" w:themeColor="text2"/>
          <w:sz w:val="18"/>
          <w:szCs w:val="18"/>
        </w:rPr>
        <w:t>Respect the privacy of people with disability</w:t>
      </w:r>
    </w:p>
    <w:p w:rsidR="00DD2F6A" w:rsidRDefault="00DD2F6A" w:rsidP="00DD2F6A">
      <w:pPr>
        <w:rPr>
          <w:i/>
          <w:color w:val="1F497D" w:themeColor="text2"/>
          <w:sz w:val="18"/>
          <w:szCs w:val="18"/>
        </w:rPr>
      </w:pPr>
    </w:p>
    <w:p w:rsidR="00DD2F6A" w:rsidRDefault="00957876" w:rsidP="00DD2F6A">
      <w:pPr>
        <w:pStyle w:val="ListParagraph"/>
        <w:numPr>
          <w:ilvl w:val="0"/>
          <w:numId w:val="6"/>
        </w:numPr>
        <w:rPr>
          <w:color w:val="000000" w:themeColor="text1"/>
        </w:rPr>
      </w:pPr>
      <w:r>
        <w:rPr>
          <w:color w:val="000000" w:themeColor="text1"/>
        </w:rPr>
        <w:t>Further d</w:t>
      </w:r>
      <w:r w:rsidR="00DD2F6A" w:rsidRPr="00DD2F6A">
        <w:rPr>
          <w:color w:val="000000" w:themeColor="text1"/>
        </w:rPr>
        <w:t xml:space="preserve">irection </w:t>
      </w:r>
      <w:r>
        <w:rPr>
          <w:color w:val="000000" w:themeColor="text1"/>
        </w:rPr>
        <w:t xml:space="preserve">is needed </w:t>
      </w:r>
      <w:r w:rsidR="00DD2F6A" w:rsidRPr="00DD2F6A">
        <w:rPr>
          <w:color w:val="000000" w:themeColor="text1"/>
        </w:rPr>
        <w:t>about the use of marketing strategies with vulnerable populations, especially the practice of “poaching” (coercion, bribery) and the intersection/ role of guardianship in this context.</w:t>
      </w:r>
      <w:r w:rsidR="00C24372">
        <w:rPr>
          <w:color w:val="000000" w:themeColor="text1"/>
        </w:rPr>
        <w:t xml:space="preserve"> The code of conduct needs to be firmer around these strategies with clearer definitions around what and how this should occur </w:t>
      </w:r>
      <w:r>
        <w:rPr>
          <w:color w:val="000000" w:themeColor="text1"/>
        </w:rPr>
        <w:t xml:space="preserve">when directed towards </w:t>
      </w:r>
      <w:r w:rsidR="00C24372">
        <w:rPr>
          <w:color w:val="000000" w:themeColor="text1"/>
        </w:rPr>
        <w:t xml:space="preserve"> a vulnerable </w:t>
      </w:r>
      <w:r w:rsidR="00CA5353">
        <w:rPr>
          <w:color w:val="000000" w:themeColor="text1"/>
        </w:rPr>
        <w:t>population</w:t>
      </w:r>
    </w:p>
    <w:p w:rsidR="001C1F6D" w:rsidRDefault="001C1F6D" w:rsidP="001C1F6D">
      <w:pPr>
        <w:pStyle w:val="ListParagraph"/>
        <w:ind w:left="360"/>
        <w:rPr>
          <w:color w:val="000000" w:themeColor="text1"/>
        </w:rPr>
      </w:pPr>
    </w:p>
    <w:p w:rsidR="001C1F6D" w:rsidRPr="00DD2F6A" w:rsidRDefault="001C1F6D" w:rsidP="001C1F6D">
      <w:pPr>
        <w:pStyle w:val="ListParagraph"/>
        <w:ind w:left="360"/>
        <w:rPr>
          <w:color w:val="000000" w:themeColor="text1"/>
        </w:rPr>
      </w:pPr>
    </w:p>
    <w:p w:rsidR="001C1F6D" w:rsidRPr="00727928" w:rsidRDefault="005576D6" w:rsidP="001C1F6D">
      <w:pPr>
        <w:rPr>
          <w:b/>
          <w:sz w:val="24"/>
          <w:szCs w:val="24"/>
        </w:rPr>
      </w:pPr>
      <w:r w:rsidRPr="00727928">
        <w:rPr>
          <w:b/>
          <w:sz w:val="24"/>
          <w:szCs w:val="24"/>
        </w:rPr>
        <w:t xml:space="preserve">Other </w:t>
      </w:r>
      <w:r w:rsidR="001C1F6D" w:rsidRPr="00727928">
        <w:rPr>
          <w:b/>
          <w:sz w:val="24"/>
          <w:szCs w:val="24"/>
        </w:rPr>
        <w:t xml:space="preserve">considerations </w:t>
      </w:r>
      <w:bookmarkStart w:id="7" w:name="_GoBack"/>
      <w:bookmarkEnd w:id="7"/>
    </w:p>
    <w:p w:rsidR="009F56C3" w:rsidRPr="001C1F6D" w:rsidRDefault="00AD5BC5" w:rsidP="001C1F6D">
      <w:pPr>
        <w:pStyle w:val="ListParagraph"/>
        <w:numPr>
          <w:ilvl w:val="0"/>
          <w:numId w:val="6"/>
        </w:numPr>
        <w:rPr>
          <w:b/>
          <w:i/>
          <w:color w:val="000000" w:themeColor="text1"/>
        </w:rPr>
      </w:pPr>
      <w:r w:rsidRPr="001C1F6D">
        <w:rPr>
          <w:color w:val="000000" w:themeColor="text1"/>
        </w:rPr>
        <w:t xml:space="preserve">There is no mention of </w:t>
      </w:r>
      <w:r w:rsidR="00957876" w:rsidRPr="001C1F6D">
        <w:rPr>
          <w:color w:val="000000" w:themeColor="text1"/>
        </w:rPr>
        <w:t xml:space="preserve">a requirement for </w:t>
      </w:r>
      <w:r w:rsidRPr="001C1F6D">
        <w:rPr>
          <w:color w:val="000000" w:themeColor="text1"/>
        </w:rPr>
        <w:t xml:space="preserve">carers and guardian’s adherence to the Code of Conduct </w:t>
      </w:r>
      <w:r w:rsidR="00957876" w:rsidRPr="001C1F6D">
        <w:rPr>
          <w:color w:val="000000" w:themeColor="text1"/>
        </w:rPr>
        <w:t xml:space="preserve">other than </w:t>
      </w:r>
      <w:r w:rsidR="001C1F6D" w:rsidRPr="001C1F6D">
        <w:rPr>
          <w:color w:val="000000" w:themeColor="text1"/>
        </w:rPr>
        <w:t>in terms</w:t>
      </w:r>
      <w:r w:rsidRPr="001C1F6D">
        <w:rPr>
          <w:color w:val="000000" w:themeColor="text1"/>
        </w:rPr>
        <w:t xml:space="preserve"> of how carers and guardians treat providers</w:t>
      </w:r>
      <w:r w:rsidR="00957876" w:rsidRPr="001C1F6D">
        <w:rPr>
          <w:color w:val="000000" w:themeColor="text1"/>
        </w:rPr>
        <w:t xml:space="preserve">.  As conflict of interest situations can arise in these </w:t>
      </w:r>
      <w:r w:rsidR="00957876" w:rsidRPr="001C1F6D">
        <w:rPr>
          <w:color w:val="000000" w:themeColor="text1"/>
        </w:rPr>
        <w:lastRenderedPageBreak/>
        <w:t xml:space="preserve">relationships particularly where there is a level </w:t>
      </w:r>
      <w:r w:rsidR="001C1F6D" w:rsidRPr="001C1F6D">
        <w:rPr>
          <w:color w:val="000000" w:themeColor="text1"/>
        </w:rPr>
        <w:t>of business</w:t>
      </w:r>
      <w:r w:rsidRPr="001C1F6D">
        <w:rPr>
          <w:color w:val="000000" w:themeColor="text1"/>
        </w:rPr>
        <w:t xml:space="preserve"> transaction involved, </w:t>
      </w:r>
      <w:r w:rsidR="00957876" w:rsidRPr="001C1F6D">
        <w:rPr>
          <w:color w:val="000000" w:themeColor="text1"/>
        </w:rPr>
        <w:t xml:space="preserve">inclusion for particular activities </w:t>
      </w:r>
      <w:r w:rsidR="00702D7D" w:rsidRPr="001C1F6D">
        <w:rPr>
          <w:color w:val="000000" w:themeColor="text1"/>
        </w:rPr>
        <w:t xml:space="preserve">would </w:t>
      </w:r>
      <w:r w:rsidR="004D285D" w:rsidRPr="001C1F6D">
        <w:rPr>
          <w:color w:val="000000" w:themeColor="text1"/>
        </w:rPr>
        <w:t>offer</w:t>
      </w:r>
      <w:r w:rsidR="00CA5353" w:rsidRPr="001C1F6D">
        <w:rPr>
          <w:color w:val="000000" w:themeColor="text1"/>
        </w:rPr>
        <w:t xml:space="preserve"> </w:t>
      </w:r>
      <w:r w:rsidR="001C1F6D" w:rsidRPr="001C1F6D">
        <w:rPr>
          <w:color w:val="000000" w:themeColor="text1"/>
        </w:rPr>
        <w:t>greater consistency</w:t>
      </w:r>
      <w:r w:rsidR="004D285D" w:rsidRPr="001C1F6D">
        <w:rPr>
          <w:color w:val="000000" w:themeColor="text1"/>
        </w:rPr>
        <w:t xml:space="preserve"> and transparency </w:t>
      </w:r>
      <w:r w:rsidR="00957876" w:rsidRPr="001C1F6D">
        <w:rPr>
          <w:color w:val="000000" w:themeColor="text1"/>
        </w:rPr>
        <w:t xml:space="preserve">of support for participants. </w:t>
      </w:r>
    </w:p>
    <w:p w:rsidR="00292C61" w:rsidRPr="005576D6" w:rsidRDefault="00292C61" w:rsidP="00292C61"/>
    <w:p w:rsidR="00041E6A" w:rsidRDefault="005576D6" w:rsidP="00292C61">
      <w:pPr>
        <w:rPr>
          <w:b/>
          <w:sz w:val="24"/>
          <w:szCs w:val="24"/>
        </w:rPr>
      </w:pPr>
      <w:r w:rsidRPr="005576D6">
        <w:rPr>
          <w:b/>
          <w:sz w:val="24"/>
          <w:szCs w:val="24"/>
        </w:rPr>
        <w:t>Conclusion:</w:t>
      </w:r>
    </w:p>
    <w:p w:rsidR="002F0DBD" w:rsidRDefault="00E90CDC" w:rsidP="002F0DBD">
      <w:r>
        <w:t>Neami support</w:t>
      </w:r>
      <w:r w:rsidR="0024506B">
        <w:t>s the</w:t>
      </w:r>
      <w:r w:rsidR="002F0DBD">
        <w:t xml:space="preserve"> NDIA</w:t>
      </w:r>
      <w:r>
        <w:t xml:space="preserve">’s </w:t>
      </w:r>
      <w:r w:rsidR="0024506B">
        <w:t xml:space="preserve">development </w:t>
      </w:r>
      <w:r>
        <w:t>of</w:t>
      </w:r>
      <w:r w:rsidR="002F0DBD">
        <w:t xml:space="preserve"> the Code of Conduct</w:t>
      </w:r>
      <w:r>
        <w:t xml:space="preserve"> to align with the NDIS Qual</w:t>
      </w:r>
      <w:r w:rsidR="008828A5">
        <w:t xml:space="preserve">ity and Safeguarding Framework and support all endeavours to safeguard customers and ensure the highest quality services.  Neami is also appreciative of the opportunity to provide feedback directly to the NDIA.  </w:t>
      </w:r>
      <w:r w:rsidR="002F0DBD">
        <w:t xml:space="preserve"> </w:t>
      </w:r>
    </w:p>
    <w:p w:rsidR="001A70BE" w:rsidRPr="00A126F3" w:rsidRDefault="001A70BE" w:rsidP="00A126F3">
      <w:pPr>
        <w:pStyle w:val="Heading1"/>
      </w:pPr>
      <w:bookmarkStart w:id="8" w:name="_Toc359494946"/>
      <w:r w:rsidRPr="00A126F3">
        <w:t>More information</w:t>
      </w:r>
      <w:bookmarkEnd w:id="8"/>
    </w:p>
    <w:p w:rsidR="001A70BE" w:rsidRPr="0093728B" w:rsidRDefault="001A70BE" w:rsidP="001A70BE">
      <w:pPr>
        <w:pStyle w:val="NoSpacing"/>
        <w:rPr>
          <w:noProof/>
          <w:szCs w:val="22"/>
          <w:lang w:val="en-US"/>
        </w:rPr>
      </w:pPr>
      <w:r w:rsidRPr="0093728B">
        <w:rPr>
          <w:noProof/>
          <w:szCs w:val="22"/>
          <w:lang w:val="en-US"/>
        </w:rPr>
        <w:t>Raj Sandhu</w:t>
      </w:r>
    </w:p>
    <w:p w:rsidR="001A70BE" w:rsidRPr="0093728B" w:rsidRDefault="001A70BE" w:rsidP="001A70BE">
      <w:pPr>
        <w:pStyle w:val="NoSpacing"/>
        <w:rPr>
          <w:noProof/>
          <w:szCs w:val="22"/>
          <w:lang w:val="en-US"/>
        </w:rPr>
      </w:pPr>
      <w:r w:rsidRPr="0093728B">
        <w:rPr>
          <w:noProof/>
          <w:szCs w:val="22"/>
          <w:lang w:val="en-US"/>
        </w:rPr>
        <w:t>Quality Officer</w:t>
      </w:r>
    </w:p>
    <w:p w:rsidR="001A70BE" w:rsidRPr="0093728B" w:rsidRDefault="001A70BE" w:rsidP="001A70BE">
      <w:pPr>
        <w:pStyle w:val="NoSpacing"/>
        <w:rPr>
          <w:noProof/>
          <w:szCs w:val="22"/>
          <w:lang w:val="en-US"/>
        </w:rPr>
      </w:pPr>
      <w:r w:rsidRPr="0093728B">
        <w:rPr>
          <w:noProof/>
          <w:szCs w:val="22"/>
          <w:lang w:val="en-US"/>
        </w:rPr>
        <w:t>Neami National</w:t>
      </w:r>
    </w:p>
    <w:p w:rsidR="001A70BE" w:rsidRPr="0093728B" w:rsidRDefault="001A70BE" w:rsidP="001A70BE">
      <w:pPr>
        <w:pStyle w:val="NoSpacing"/>
        <w:rPr>
          <w:noProof/>
          <w:szCs w:val="22"/>
          <w:lang w:val="en-US"/>
        </w:rPr>
      </w:pPr>
      <w:r w:rsidRPr="0093728B">
        <w:rPr>
          <w:noProof/>
          <w:szCs w:val="22"/>
          <w:lang w:val="en-US"/>
        </w:rPr>
        <w:t>03 8691 5300</w:t>
      </w:r>
    </w:p>
    <w:p w:rsidR="001A70BE" w:rsidRPr="0093728B" w:rsidRDefault="00727928" w:rsidP="001A70BE">
      <w:pPr>
        <w:pStyle w:val="NoSpacing"/>
        <w:rPr>
          <w:noProof/>
          <w:szCs w:val="22"/>
          <w:lang w:val="en-US"/>
        </w:rPr>
      </w:pPr>
      <w:hyperlink r:id="rId7" w:history="1">
        <w:r w:rsidR="001A70BE" w:rsidRPr="0093728B">
          <w:rPr>
            <w:rStyle w:val="Hyperlink"/>
            <w:noProof/>
            <w:szCs w:val="22"/>
            <w:lang w:val="en-US"/>
          </w:rPr>
          <w:t>raj.sandhu@neaminational.org.au</w:t>
        </w:r>
      </w:hyperlink>
    </w:p>
    <w:p w:rsidR="009F56C3" w:rsidRPr="00C84739" w:rsidRDefault="009F56C3" w:rsidP="00B96FF3"/>
    <w:sectPr w:rsidR="009F56C3" w:rsidRPr="00C84739" w:rsidSect="00317937">
      <w:headerReference w:type="default" r:id="rId8"/>
      <w:pgSz w:w="11906" w:h="16838"/>
      <w:pgMar w:top="-41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02" w:rsidRDefault="00912B02" w:rsidP="00C84739">
      <w:pPr>
        <w:spacing w:after="0"/>
      </w:pPr>
      <w:r>
        <w:separator/>
      </w:r>
    </w:p>
  </w:endnote>
  <w:endnote w:type="continuationSeparator" w:id="0">
    <w:p w:rsidR="00912B02" w:rsidRDefault="00912B02" w:rsidP="00C84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02" w:rsidRDefault="00912B02" w:rsidP="00C84739">
      <w:pPr>
        <w:spacing w:after="0"/>
      </w:pPr>
      <w:r>
        <w:separator/>
      </w:r>
    </w:p>
  </w:footnote>
  <w:footnote w:type="continuationSeparator" w:id="0">
    <w:p w:rsidR="00912B02" w:rsidRDefault="00912B02" w:rsidP="00C847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39" w:rsidRDefault="00C84739">
    <w:pPr>
      <w:pStyle w:val="Header"/>
    </w:pPr>
    <w:r>
      <w:rPr>
        <w:noProof/>
        <w:lang w:eastAsia="en-AU"/>
      </w:rPr>
      <w:drawing>
        <wp:anchor distT="0" distB="720090" distL="114300" distR="114300" simplePos="0" relativeHeight="251659264" behindDoc="0" locked="0" layoutInCell="1" allowOverlap="1" wp14:anchorId="042B2563" wp14:editId="0645F01B">
          <wp:simplePos x="0" y="0"/>
          <wp:positionH relativeFrom="column">
            <wp:posOffset>-906780</wp:posOffset>
          </wp:positionH>
          <wp:positionV relativeFrom="paragraph">
            <wp:posOffset>-449580</wp:posOffset>
          </wp:positionV>
          <wp:extent cx="2110740" cy="1196340"/>
          <wp:effectExtent l="0" t="0" r="381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9656" b="86775"/>
                  <a:stretch>
                    <a:fillRect/>
                  </a:stretch>
                </pic:blipFill>
                <pic:spPr bwMode="auto">
                  <a:xfrm>
                    <a:off x="0" y="0"/>
                    <a:ext cx="211074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9B3"/>
    <w:multiLevelType w:val="hybridMultilevel"/>
    <w:tmpl w:val="D574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6816D6"/>
    <w:multiLevelType w:val="hybridMultilevel"/>
    <w:tmpl w:val="867C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17AFF"/>
    <w:multiLevelType w:val="hybridMultilevel"/>
    <w:tmpl w:val="442EF74C"/>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6704CE"/>
    <w:multiLevelType w:val="hybridMultilevel"/>
    <w:tmpl w:val="EC644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FF2A3E"/>
    <w:multiLevelType w:val="hybridMultilevel"/>
    <w:tmpl w:val="D37265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F972E6"/>
    <w:multiLevelType w:val="hybridMultilevel"/>
    <w:tmpl w:val="80ACE5C4"/>
    <w:lvl w:ilvl="0" w:tplc="0C090001">
      <w:start w:val="1"/>
      <w:numFmt w:val="bullet"/>
      <w:lvlText w:val=""/>
      <w:lvlJc w:val="left"/>
      <w:pPr>
        <w:ind w:left="1487" w:hanging="360"/>
      </w:pPr>
      <w:rPr>
        <w:rFonts w:ascii="Symbol" w:hAnsi="Symbol" w:hint="default"/>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7" w15:restartNumberingAfterBreak="0">
    <w:nsid w:val="78DB4325"/>
    <w:multiLevelType w:val="hybridMultilevel"/>
    <w:tmpl w:val="520AAB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B4"/>
    <w:rsid w:val="0001158C"/>
    <w:rsid w:val="000215F2"/>
    <w:rsid w:val="00041E6A"/>
    <w:rsid w:val="00045C45"/>
    <w:rsid w:val="000508E8"/>
    <w:rsid w:val="00051EE1"/>
    <w:rsid w:val="000605D7"/>
    <w:rsid w:val="00082BE2"/>
    <w:rsid w:val="000A6FC6"/>
    <w:rsid w:val="000C6D23"/>
    <w:rsid w:val="000F1C58"/>
    <w:rsid w:val="00160E53"/>
    <w:rsid w:val="00185FB1"/>
    <w:rsid w:val="001A1234"/>
    <w:rsid w:val="001A70BE"/>
    <w:rsid w:val="001C1F6D"/>
    <w:rsid w:val="001D135A"/>
    <w:rsid w:val="001F0570"/>
    <w:rsid w:val="001F3891"/>
    <w:rsid w:val="0024506B"/>
    <w:rsid w:val="002778E1"/>
    <w:rsid w:val="00292C61"/>
    <w:rsid w:val="002B4244"/>
    <w:rsid w:val="002F0DBD"/>
    <w:rsid w:val="003010CB"/>
    <w:rsid w:val="00315228"/>
    <w:rsid w:val="00315989"/>
    <w:rsid w:val="00317937"/>
    <w:rsid w:val="00321159"/>
    <w:rsid w:val="00372243"/>
    <w:rsid w:val="003A120C"/>
    <w:rsid w:val="003A5009"/>
    <w:rsid w:val="003C6546"/>
    <w:rsid w:val="00414C53"/>
    <w:rsid w:val="00472E18"/>
    <w:rsid w:val="0047504B"/>
    <w:rsid w:val="00477094"/>
    <w:rsid w:val="00497040"/>
    <w:rsid w:val="004D285D"/>
    <w:rsid w:val="005342B4"/>
    <w:rsid w:val="00537987"/>
    <w:rsid w:val="00551C73"/>
    <w:rsid w:val="00553EDB"/>
    <w:rsid w:val="005576D6"/>
    <w:rsid w:val="00561AF6"/>
    <w:rsid w:val="005957DA"/>
    <w:rsid w:val="005B512C"/>
    <w:rsid w:val="005C3B6D"/>
    <w:rsid w:val="00611BBE"/>
    <w:rsid w:val="00637CBF"/>
    <w:rsid w:val="006926EA"/>
    <w:rsid w:val="006B2673"/>
    <w:rsid w:val="006F7EDD"/>
    <w:rsid w:val="00702D7D"/>
    <w:rsid w:val="007240D7"/>
    <w:rsid w:val="00727928"/>
    <w:rsid w:val="0077239F"/>
    <w:rsid w:val="007823B8"/>
    <w:rsid w:val="00792D90"/>
    <w:rsid w:val="007E398B"/>
    <w:rsid w:val="00806DAD"/>
    <w:rsid w:val="00817ADF"/>
    <w:rsid w:val="00827AAF"/>
    <w:rsid w:val="00832C37"/>
    <w:rsid w:val="008444A6"/>
    <w:rsid w:val="008450B7"/>
    <w:rsid w:val="008828A5"/>
    <w:rsid w:val="00910080"/>
    <w:rsid w:val="00912B02"/>
    <w:rsid w:val="0093728B"/>
    <w:rsid w:val="00957876"/>
    <w:rsid w:val="00967D52"/>
    <w:rsid w:val="009B093C"/>
    <w:rsid w:val="009D42AE"/>
    <w:rsid w:val="009F56C3"/>
    <w:rsid w:val="00A0016B"/>
    <w:rsid w:val="00A126F3"/>
    <w:rsid w:val="00A240EA"/>
    <w:rsid w:val="00A459A3"/>
    <w:rsid w:val="00A50A81"/>
    <w:rsid w:val="00A56120"/>
    <w:rsid w:val="00A62E77"/>
    <w:rsid w:val="00AA57FC"/>
    <w:rsid w:val="00AD1086"/>
    <w:rsid w:val="00AD5BC5"/>
    <w:rsid w:val="00B02835"/>
    <w:rsid w:val="00B96FF3"/>
    <w:rsid w:val="00BE67FB"/>
    <w:rsid w:val="00C176A4"/>
    <w:rsid w:val="00C205FA"/>
    <w:rsid w:val="00C24372"/>
    <w:rsid w:val="00C31EFD"/>
    <w:rsid w:val="00C510E0"/>
    <w:rsid w:val="00C62460"/>
    <w:rsid w:val="00C66645"/>
    <w:rsid w:val="00C67419"/>
    <w:rsid w:val="00C84739"/>
    <w:rsid w:val="00CA5353"/>
    <w:rsid w:val="00CB1D2E"/>
    <w:rsid w:val="00CD755A"/>
    <w:rsid w:val="00D41D4F"/>
    <w:rsid w:val="00D572CD"/>
    <w:rsid w:val="00D66CC9"/>
    <w:rsid w:val="00D80BB7"/>
    <w:rsid w:val="00D81EB9"/>
    <w:rsid w:val="00D85637"/>
    <w:rsid w:val="00DB70AA"/>
    <w:rsid w:val="00DD2F6A"/>
    <w:rsid w:val="00DD36B5"/>
    <w:rsid w:val="00E04C0A"/>
    <w:rsid w:val="00E64C9F"/>
    <w:rsid w:val="00E90CDC"/>
    <w:rsid w:val="00ED7705"/>
    <w:rsid w:val="00F60505"/>
    <w:rsid w:val="00FB35DB"/>
    <w:rsid w:val="00FC2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2137C6-785B-431D-812F-29CD23FD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DF"/>
    <w:pPr>
      <w:spacing w:after="80"/>
    </w:pPr>
    <w:rPr>
      <w:sz w:val="22"/>
      <w:szCs w:val="22"/>
    </w:rPr>
  </w:style>
  <w:style w:type="paragraph" w:styleId="Heading1">
    <w:name w:val="heading 1"/>
    <w:basedOn w:val="Normal"/>
    <w:next w:val="Normal"/>
    <w:link w:val="Heading1Char"/>
    <w:autoRedefine/>
    <w:uiPriority w:val="9"/>
    <w:qFormat/>
    <w:rsid w:val="00A126F3"/>
    <w:pPr>
      <w:pBdr>
        <w:bottom w:val="single" w:sz="2" w:space="1" w:color="EEA420"/>
      </w:pBdr>
      <w:spacing w:before="360" w:after="240"/>
      <w:outlineLvl w:val="0"/>
    </w:pPr>
    <w:rPr>
      <w:rFonts w:ascii="Calibri Light" w:eastAsia="Calibri" w:hAnsi="Calibri Light" w:cs="Calibri"/>
      <w:bCs/>
      <w:noProof/>
      <w:color w:val="333333"/>
      <w:spacing w:val="15"/>
      <w:sz w:val="48"/>
      <w:szCs w:val="48"/>
    </w:rPr>
  </w:style>
  <w:style w:type="paragraph" w:styleId="Heading2">
    <w:name w:val="heading 2"/>
    <w:basedOn w:val="Heading1"/>
    <w:next w:val="Normal"/>
    <w:link w:val="Heading2Char"/>
    <w:autoRedefine/>
    <w:uiPriority w:val="9"/>
    <w:unhideWhenUsed/>
    <w:qFormat/>
    <w:rsid w:val="00AD1086"/>
    <w:pPr>
      <w:numPr>
        <w:ilvl w:val="1"/>
      </w:numPr>
      <w:pBdr>
        <w:bottom w:val="none" w:sz="0" w:space="0" w:color="auto"/>
      </w:pBdr>
      <w:spacing w:before="240" w:after="120"/>
      <w:ind w:left="576" w:hanging="576"/>
      <w:outlineLvl w:val="1"/>
    </w:pPr>
    <w:rPr>
      <w:rFonts w:eastAsiaTheme="majorEastAsia" w:cstheme="majorBidi"/>
      <w:b/>
      <w:bCs w:val="0"/>
      <w:i/>
      <w:iCs/>
      <w:color w:val="1F497D" w:themeColor="text2"/>
      <w:sz w:val="18"/>
      <w:szCs w:val="18"/>
    </w:rPr>
  </w:style>
  <w:style w:type="paragraph" w:styleId="Heading3">
    <w:name w:val="heading 3"/>
    <w:basedOn w:val="Heading1"/>
    <w:next w:val="Normal"/>
    <w:link w:val="Heading3Char"/>
    <w:autoRedefine/>
    <w:uiPriority w:val="9"/>
    <w:unhideWhenUsed/>
    <w:qFormat/>
    <w:rsid w:val="00AD1086"/>
    <w:pPr>
      <w:numPr>
        <w:ilvl w:val="2"/>
      </w:numPr>
      <w:pBdr>
        <w:bottom w:val="none" w:sz="0" w:space="0" w:color="auto"/>
      </w:pBdr>
      <w:spacing w:before="200" w:after="0" w:line="271" w:lineRule="auto"/>
      <w:ind w:left="720" w:hanging="720"/>
      <w:outlineLvl w:val="2"/>
    </w:pPr>
    <w:rPr>
      <w:rFonts w:asciiTheme="minorHAnsi" w:hAnsiTheme="minorHAnsi"/>
      <w:b/>
      <w:i/>
      <w:color w:val="1F497D" w:themeColor="text2"/>
      <w:spacing w:val="0"/>
      <w:sz w:val="18"/>
      <w:szCs w:val="18"/>
    </w:rPr>
  </w:style>
  <w:style w:type="paragraph" w:styleId="Heading4">
    <w:name w:val="heading 4"/>
    <w:basedOn w:val="Heading3"/>
    <w:next w:val="Normal"/>
    <w:link w:val="Heading4Char"/>
    <w:autoRedefine/>
    <w:uiPriority w:val="9"/>
    <w:semiHidden/>
    <w:unhideWhenUsed/>
    <w:qFormat/>
    <w:rsid w:val="00817ADF"/>
    <w:pPr>
      <w:spacing w:before="180"/>
      <w:outlineLvl w:val="3"/>
    </w:pPr>
    <w:rPr>
      <w:rFonts w:cs="Times New Roman"/>
      <w:b w:val="0"/>
      <w:sz w:val="22"/>
      <w:lang w:bidi="en-US"/>
    </w:rPr>
  </w:style>
  <w:style w:type="paragraph" w:styleId="Heading5">
    <w:name w:val="heading 5"/>
    <w:basedOn w:val="Heading3"/>
    <w:next w:val="Normal"/>
    <w:link w:val="Heading5Char"/>
    <w:autoRedefine/>
    <w:uiPriority w:val="9"/>
    <w:semiHidden/>
    <w:unhideWhenUsed/>
    <w:qFormat/>
    <w:rsid w:val="00817ADF"/>
    <w:pPr>
      <w:spacing w:before="180"/>
      <w:outlineLvl w:val="4"/>
    </w:pPr>
    <w:rPr>
      <w:color w:val="auto"/>
      <w:sz w:val="22"/>
      <w:szCs w:val="26"/>
      <w:lang w:bidi="en-US"/>
    </w:rPr>
  </w:style>
  <w:style w:type="paragraph" w:styleId="Heading8">
    <w:name w:val="heading 8"/>
    <w:basedOn w:val="Normal"/>
    <w:next w:val="Normal"/>
    <w:link w:val="Heading8Char"/>
    <w:uiPriority w:val="9"/>
    <w:semiHidden/>
    <w:unhideWhenUsed/>
    <w:qFormat/>
    <w:rsid w:val="00817ADF"/>
    <w:pPr>
      <w:spacing w:before="300" w:line="276" w:lineRule="auto"/>
      <w:outlineLvl w:val="7"/>
    </w:pPr>
    <w:rPr>
      <w:rFonts w:eastAsia="Calibri"/>
      <w:caps/>
      <w:spacing w:val="10"/>
      <w:sz w:val="18"/>
      <w:szCs w:val="18"/>
    </w:rPr>
  </w:style>
  <w:style w:type="paragraph" w:styleId="Heading9">
    <w:name w:val="heading 9"/>
    <w:basedOn w:val="Normal"/>
    <w:next w:val="Normal"/>
    <w:link w:val="Heading9Char"/>
    <w:uiPriority w:val="9"/>
    <w:semiHidden/>
    <w:unhideWhenUsed/>
    <w:qFormat/>
    <w:rsid w:val="00817ADF"/>
    <w:pPr>
      <w:spacing w:before="300" w:line="276" w:lineRule="auto"/>
      <w:outlineLvl w:val="8"/>
    </w:pPr>
    <w:rPr>
      <w:rFonts w:eastAsia="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6F3"/>
    <w:rPr>
      <w:rFonts w:ascii="Calibri Light" w:eastAsia="Calibri" w:hAnsi="Calibri Light" w:cs="Calibri"/>
      <w:bCs/>
      <w:noProof/>
      <w:color w:val="333333"/>
      <w:spacing w:val="15"/>
      <w:sz w:val="48"/>
      <w:szCs w:val="48"/>
    </w:rPr>
  </w:style>
  <w:style w:type="character" w:customStyle="1" w:styleId="Heading2Char">
    <w:name w:val="Heading 2 Char"/>
    <w:link w:val="Heading2"/>
    <w:uiPriority w:val="9"/>
    <w:rsid w:val="00AD1086"/>
    <w:rPr>
      <w:rFonts w:ascii="Calibri Light" w:eastAsiaTheme="majorEastAsia" w:hAnsi="Calibri Light" w:cstheme="majorBidi"/>
      <w:b/>
      <w:i/>
      <w:iCs/>
      <w:noProof/>
      <w:color w:val="1F497D" w:themeColor="text2"/>
      <w:spacing w:val="15"/>
      <w:sz w:val="18"/>
      <w:szCs w:val="18"/>
    </w:rPr>
  </w:style>
  <w:style w:type="character" w:customStyle="1" w:styleId="Heading3Char">
    <w:name w:val="Heading 3 Char"/>
    <w:link w:val="Heading3"/>
    <w:uiPriority w:val="9"/>
    <w:rsid w:val="00AD1086"/>
    <w:rPr>
      <w:rFonts w:asciiTheme="minorHAnsi" w:eastAsia="Calibri" w:hAnsiTheme="minorHAnsi" w:cs="Calibri"/>
      <w:b/>
      <w:bCs/>
      <w:i/>
      <w:noProof/>
      <w:color w:val="1F497D" w:themeColor="text2"/>
      <w:sz w:val="18"/>
      <w:szCs w:val="18"/>
    </w:rPr>
  </w:style>
  <w:style w:type="character" w:customStyle="1" w:styleId="Heading4Char">
    <w:name w:val="Heading 4 Char"/>
    <w:link w:val="Heading4"/>
    <w:uiPriority w:val="9"/>
    <w:semiHidden/>
    <w:rsid w:val="00817ADF"/>
    <w:rPr>
      <w:rFonts w:asciiTheme="minorHAnsi" w:hAnsiTheme="minorHAnsi"/>
      <w:b/>
      <w:bCs/>
      <w:color w:val="333333"/>
      <w:sz w:val="22"/>
      <w:szCs w:val="22"/>
      <w:lang w:bidi="en-US"/>
    </w:rPr>
  </w:style>
  <w:style w:type="character" w:customStyle="1" w:styleId="Heading5Char">
    <w:name w:val="Heading 5 Char"/>
    <w:link w:val="Heading5"/>
    <w:uiPriority w:val="9"/>
    <w:semiHidden/>
    <w:rsid w:val="00817ADF"/>
    <w:rPr>
      <w:rFonts w:asciiTheme="minorHAnsi" w:hAnsiTheme="minorHAnsi" w:cs="Calibri"/>
      <w:bCs/>
      <w:sz w:val="22"/>
      <w:szCs w:val="26"/>
      <w:lang w:bidi="en-US"/>
    </w:rPr>
  </w:style>
  <w:style w:type="character" w:customStyle="1" w:styleId="Heading8Char">
    <w:name w:val="Heading 8 Char"/>
    <w:link w:val="Heading8"/>
    <w:uiPriority w:val="9"/>
    <w:semiHidden/>
    <w:rsid w:val="00817ADF"/>
    <w:rPr>
      <w:caps/>
      <w:spacing w:val="10"/>
      <w:sz w:val="18"/>
      <w:szCs w:val="18"/>
    </w:rPr>
  </w:style>
  <w:style w:type="character" w:customStyle="1" w:styleId="Heading9Char">
    <w:name w:val="Heading 9 Char"/>
    <w:link w:val="Heading9"/>
    <w:uiPriority w:val="9"/>
    <w:semiHidden/>
    <w:rsid w:val="00817ADF"/>
    <w:rPr>
      <w:i/>
      <w:caps/>
      <w:spacing w:val="10"/>
      <w:sz w:val="18"/>
      <w:szCs w:val="18"/>
    </w:rPr>
  </w:style>
  <w:style w:type="paragraph" w:styleId="Footer">
    <w:name w:val="footer"/>
    <w:basedOn w:val="Normal"/>
    <w:link w:val="FooterChar"/>
    <w:autoRedefine/>
    <w:uiPriority w:val="99"/>
    <w:unhideWhenUsed/>
    <w:qFormat/>
    <w:rsid w:val="00817ADF"/>
    <w:pPr>
      <w:tabs>
        <w:tab w:val="right" w:pos="7655"/>
      </w:tabs>
    </w:pPr>
    <w:rPr>
      <w:rFonts w:eastAsia="Calibri"/>
      <w:noProof/>
      <w:color w:val="7F7F7F"/>
      <w:sz w:val="18"/>
      <w:szCs w:val="20"/>
    </w:rPr>
  </w:style>
  <w:style w:type="character" w:customStyle="1" w:styleId="FooterChar">
    <w:name w:val="Footer Char"/>
    <w:link w:val="Footer"/>
    <w:uiPriority w:val="99"/>
    <w:rsid w:val="00817ADF"/>
    <w:rPr>
      <w:noProof/>
      <w:color w:val="7F7F7F"/>
      <w:sz w:val="18"/>
    </w:rPr>
  </w:style>
  <w:style w:type="paragraph" w:styleId="Caption">
    <w:name w:val="caption"/>
    <w:basedOn w:val="Normal"/>
    <w:next w:val="Normal"/>
    <w:link w:val="CaptionChar"/>
    <w:uiPriority w:val="35"/>
    <w:semiHidden/>
    <w:unhideWhenUsed/>
    <w:qFormat/>
    <w:rsid w:val="00817ADF"/>
    <w:pPr>
      <w:spacing w:line="276" w:lineRule="auto"/>
    </w:pPr>
    <w:rPr>
      <w:rFonts w:asciiTheme="minorHAnsi" w:eastAsia="Calibri" w:hAnsiTheme="minorHAnsi"/>
      <w:bCs/>
      <w:i/>
      <w:color w:val="808080"/>
      <w:sz w:val="16"/>
      <w:szCs w:val="16"/>
    </w:rPr>
  </w:style>
  <w:style w:type="character" w:customStyle="1" w:styleId="CaptionChar">
    <w:name w:val="Caption Char"/>
    <w:link w:val="Caption"/>
    <w:uiPriority w:val="35"/>
    <w:semiHidden/>
    <w:rsid w:val="00817ADF"/>
    <w:rPr>
      <w:rFonts w:asciiTheme="minorHAnsi" w:hAnsiTheme="minorHAnsi"/>
      <w:bCs/>
      <w:i/>
      <w:color w:val="808080"/>
      <w:sz w:val="16"/>
      <w:szCs w:val="16"/>
    </w:rPr>
  </w:style>
  <w:style w:type="paragraph" w:styleId="Title">
    <w:name w:val="Title"/>
    <w:basedOn w:val="Heading1"/>
    <w:next w:val="Normal"/>
    <w:link w:val="TitleChar"/>
    <w:autoRedefine/>
    <w:uiPriority w:val="10"/>
    <w:qFormat/>
    <w:rsid w:val="00817ADF"/>
    <w:pPr>
      <w:pBdr>
        <w:bottom w:val="none" w:sz="0" w:space="0" w:color="auto"/>
      </w:pBdr>
    </w:pPr>
  </w:style>
  <w:style w:type="character" w:customStyle="1" w:styleId="TitleChar">
    <w:name w:val="Title Char"/>
    <w:link w:val="Title"/>
    <w:uiPriority w:val="10"/>
    <w:rsid w:val="00817ADF"/>
    <w:rPr>
      <w:rFonts w:ascii="Calibri Light" w:hAnsi="Calibri Light" w:cs="Calibri"/>
      <w:bCs/>
      <w:color w:val="333333"/>
      <w:spacing w:val="15"/>
      <w:sz w:val="48"/>
      <w:szCs w:val="22"/>
    </w:rPr>
  </w:style>
  <w:style w:type="paragraph" w:styleId="Subtitle">
    <w:name w:val="Subtitle"/>
    <w:basedOn w:val="Normal"/>
    <w:next w:val="Normal"/>
    <w:link w:val="SubtitleChar"/>
    <w:autoRedefine/>
    <w:uiPriority w:val="11"/>
    <w:qFormat/>
    <w:rsid w:val="00817ADF"/>
    <w:pPr>
      <w:numPr>
        <w:ilvl w:val="1"/>
      </w:numPr>
    </w:pPr>
    <w:rPr>
      <w:rFonts w:ascii="Calibri Light" w:eastAsiaTheme="majorEastAsia" w:hAnsi="Calibri Light" w:cstheme="majorBidi"/>
      <w:iCs/>
      <w:color w:val="333333"/>
      <w:spacing w:val="15"/>
      <w:sz w:val="36"/>
      <w:szCs w:val="24"/>
    </w:rPr>
  </w:style>
  <w:style w:type="character" w:customStyle="1" w:styleId="SubtitleChar">
    <w:name w:val="Subtitle Char"/>
    <w:link w:val="Subtitle"/>
    <w:uiPriority w:val="11"/>
    <w:rsid w:val="00817ADF"/>
    <w:rPr>
      <w:rFonts w:ascii="Calibri Light" w:eastAsiaTheme="majorEastAsia" w:hAnsi="Calibri Light" w:cstheme="majorBidi"/>
      <w:iCs/>
      <w:color w:val="333333"/>
      <w:spacing w:val="15"/>
      <w:sz w:val="36"/>
      <w:szCs w:val="24"/>
    </w:rPr>
  </w:style>
  <w:style w:type="character" w:styleId="Hyperlink">
    <w:name w:val="Hyperlink"/>
    <w:uiPriority w:val="99"/>
    <w:unhideWhenUsed/>
    <w:qFormat/>
    <w:rsid w:val="00817ADF"/>
    <w:rPr>
      <w:b/>
      <w:color w:val="0070C0"/>
      <w:u w:val="none"/>
    </w:rPr>
  </w:style>
  <w:style w:type="character" w:styleId="Emphasis">
    <w:name w:val="Emphasis"/>
    <w:uiPriority w:val="20"/>
    <w:qFormat/>
    <w:rsid w:val="00817ADF"/>
    <w:rPr>
      <w:b/>
      <w:i w:val="0"/>
      <w:iCs/>
      <w:color w:val="333333"/>
    </w:rPr>
  </w:style>
  <w:style w:type="paragraph" w:styleId="NoSpacing">
    <w:name w:val="No Spacing"/>
    <w:uiPriority w:val="1"/>
    <w:qFormat/>
    <w:rsid w:val="00817ADF"/>
    <w:rPr>
      <w:color w:val="333333"/>
      <w:sz w:val="22"/>
    </w:rPr>
  </w:style>
  <w:style w:type="paragraph" w:styleId="ListParagraph">
    <w:name w:val="List Paragraph"/>
    <w:basedOn w:val="Normal"/>
    <w:uiPriority w:val="34"/>
    <w:qFormat/>
    <w:rsid w:val="00817ADF"/>
    <w:pPr>
      <w:ind w:left="720"/>
      <w:contextualSpacing/>
    </w:pPr>
  </w:style>
  <w:style w:type="character" w:styleId="SubtleEmphasis">
    <w:name w:val="Subtle Emphasis"/>
    <w:uiPriority w:val="19"/>
    <w:qFormat/>
    <w:rsid w:val="00817ADF"/>
    <w:rPr>
      <w:i/>
      <w:iCs/>
      <w:color w:val="333333"/>
    </w:rPr>
  </w:style>
  <w:style w:type="table" w:styleId="TableGrid">
    <w:name w:val="Table Grid"/>
    <w:basedOn w:val="TableNormal"/>
    <w:uiPriority w:val="59"/>
    <w:rsid w:val="0096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739"/>
    <w:pPr>
      <w:tabs>
        <w:tab w:val="center" w:pos="4513"/>
        <w:tab w:val="right" w:pos="9026"/>
      </w:tabs>
      <w:spacing w:after="0"/>
    </w:pPr>
  </w:style>
  <w:style w:type="character" w:customStyle="1" w:styleId="HeaderChar">
    <w:name w:val="Header Char"/>
    <w:basedOn w:val="DefaultParagraphFont"/>
    <w:link w:val="Header"/>
    <w:uiPriority w:val="99"/>
    <w:rsid w:val="00C84739"/>
    <w:rPr>
      <w:sz w:val="22"/>
      <w:szCs w:val="22"/>
    </w:rPr>
  </w:style>
  <w:style w:type="paragraph" w:styleId="NormalWeb">
    <w:name w:val="Normal (Web)"/>
    <w:basedOn w:val="Normal"/>
    <w:uiPriority w:val="99"/>
    <w:semiHidden/>
    <w:unhideWhenUsed/>
    <w:rsid w:val="00792D90"/>
    <w:pPr>
      <w:spacing w:before="100" w:beforeAutospacing="1" w:after="100" w:afterAutospacing="1"/>
    </w:pPr>
    <w:rPr>
      <w:rFonts w:ascii="Times New Roman" w:eastAsia="Times New Roman" w:hAnsi="Times New Roman"/>
      <w:sz w:val="24"/>
      <w:szCs w:val="24"/>
      <w:lang w:eastAsia="en-AU"/>
    </w:rPr>
  </w:style>
  <w:style w:type="paragraph" w:styleId="ListBullet">
    <w:name w:val="List Bullet"/>
    <w:basedOn w:val="Normal"/>
    <w:uiPriority w:val="99"/>
    <w:qFormat/>
    <w:rsid w:val="00414C53"/>
    <w:pPr>
      <w:numPr>
        <w:numId w:val="3"/>
      </w:numPr>
      <w:tabs>
        <w:tab w:val="clear" w:pos="360"/>
        <w:tab w:val="left" w:pos="170"/>
      </w:tabs>
      <w:spacing w:before="60" w:after="120" w:line="276" w:lineRule="auto"/>
      <w:ind w:left="170" w:hanging="170"/>
    </w:pPr>
    <w:rPr>
      <w:rFonts w:asciiTheme="minorHAnsi" w:eastAsia="Times New Roman" w:hAnsiTheme="minorHAnsi" w:cstheme="minorHAnsi"/>
      <w:spacing w:val="4"/>
      <w:sz w:val="24"/>
      <w:szCs w:val="24"/>
      <w:lang w:eastAsia="en-AU"/>
    </w:rPr>
  </w:style>
  <w:style w:type="character" w:styleId="CommentReference">
    <w:name w:val="annotation reference"/>
    <w:basedOn w:val="DefaultParagraphFont"/>
    <w:uiPriority w:val="99"/>
    <w:semiHidden/>
    <w:unhideWhenUsed/>
    <w:rsid w:val="003010CB"/>
    <w:rPr>
      <w:sz w:val="16"/>
      <w:szCs w:val="16"/>
    </w:rPr>
  </w:style>
  <w:style w:type="paragraph" w:styleId="CommentText">
    <w:name w:val="annotation text"/>
    <w:basedOn w:val="Normal"/>
    <w:link w:val="CommentTextChar"/>
    <w:uiPriority w:val="99"/>
    <w:semiHidden/>
    <w:unhideWhenUsed/>
    <w:rsid w:val="003010CB"/>
    <w:rPr>
      <w:sz w:val="20"/>
      <w:szCs w:val="20"/>
    </w:rPr>
  </w:style>
  <w:style w:type="character" w:customStyle="1" w:styleId="CommentTextChar">
    <w:name w:val="Comment Text Char"/>
    <w:basedOn w:val="DefaultParagraphFont"/>
    <w:link w:val="CommentText"/>
    <w:uiPriority w:val="99"/>
    <w:semiHidden/>
    <w:rsid w:val="003010CB"/>
  </w:style>
  <w:style w:type="paragraph" w:styleId="CommentSubject">
    <w:name w:val="annotation subject"/>
    <w:basedOn w:val="CommentText"/>
    <w:next w:val="CommentText"/>
    <w:link w:val="CommentSubjectChar"/>
    <w:uiPriority w:val="99"/>
    <w:semiHidden/>
    <w:unhideWhenUsed/>
    <w:rsid w:val="003010CB"/>
    <w:rPr>
      <w:b/>
      <w:bCs/>
    </w:rPr>
  </w:style>
  <w:style w:type="character" w:customStyle="1" w:styleId="CommentSubjectChar">
    <w:name w:val="Comment Subject Char"/>
    <w:basedOn w:val="CommentTextChar"/>
    <w:link w:val="CommentSubject"/>
    <w:uiPriority w:val="99"/>
    <w:semiHidden/>
    <w:rsid w:val="003010CB"/>
    <w:rPr>
      <w:b/>
      <w:bCs/>
    </w:rPr>
  </w:style>
  <w:style w:type="paragraph" w:styleId="BalloonText">
    <w:name w:val="Balloon Text"/>
    <w:basedOn w:val="Normal"/>
    <w:link w:val="BalloonTextChar"/>
    <w:uiPriority w:val="99"/>
    <w:semiHidden/>
    <w:unhideWhenUsed/>
    <w:rsid w:val="003010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j.sandhu@neaminationa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Neami</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Lange</dc:creator>
  <cp:keywords/>
  <dc:description/>
  <cp:lastModifiedBy>Raj Sandhu</cp:lastModifiedBy>
  <cp:revision>3</cp:revision>
  <dcterms:created xsi:type="dcterms:W3CDTF">2017-06-21T04:34:00Z</dcterms:created>
  <dcterms:modified xsi:type="dcterms:W3CDTF">2017-06-21T04:34:00Z</dcterms:modified>
</cp:coreProperties>
</file>