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2F2" w:rsidRPr="00BA52F2" w:rsidRDefault="00BA52F2" w:rsidP="00BA52F2">
      <w:pPr>
        <w:spacing w:before="480" w:after="0"/>
        <w:jc w:val="center"/>
        <w:rPr>
          <w:rFonts w:cs="Arial"/>
          <w:b/>
          <w:i/>
          <w:sz w:val="40"/>
          <w:szCs w:val="40"/>
        </w:rPr>
      </w:pPr>
      <w:r w:rsidRPr="00BA52F2">
        <w:rPr>
          <w:rFonts w:cs="Arial"/>
          <w:b/>
          <w:i/>
          <w:noProof/>
          <w:sz w:val="40"/>
          <w:szCs w:val="40"/>
          <w:lang w:eastAsia="en-AU"/>
        </w:rPr>
        <w:drawing>
          <wp:anchor distT="0" distB="0" distL="114300" distR="114300" simplePos="0" relativeHeight="251661312" behindDoc="0" locked="0" layoutInCell="1" allowOverlap="1" wp14:anchorId="6385EA6A" wp14:editId="237EC385">
            <wp:simplePos x="0" y="0"/>
            <wp:positionH relativeFrom="margin">
              <wp:posOffset>4194810</wp:posOffset>
            </wp:positionH>
            <wp:positionV relativeFrom="paragraph">
              <wp:posOffset>0</wp:posOffset>
            </wp:positionV>
            <wp:extent cx="1268095" cy="1268095"/>
            <wp:effectExtent l="0" t="0" r="8255"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DA logo 04061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8095" cy="1268095"/>
                    </a:xfrm>
                    <a:prstGeom prst="rect">
                      <a:avLst/>
                    </a:prstGeom>
                  </pic:spPr>
                </pic:pic>
              </a:graphicData>
            </a:graphic>
            <wp14:sizeRelH relativeFrom="margin">
              <wp14:pctWidth>0</wp14:pctWidth>
            </wp14:sizeRelH>
            <wp14:sizeRelV relativeFrom="margin">
              <wp14:pctHeight>0</wp14:pctHeight>
            </wp14:sizeRelV>
          </wp:anchor>
        </w:drawing>
      </w:r>
      <w:r w:rsidRPr="00BA52F2">
        <w:rPr>
          <w:rFonts w:cs="Arial"/>
          <w:b/>
          <w:i/>
          <w:sz w:val="40"/>
          <w:szCs w:val="40"/>
        </w:rPr>
        <w:t>Capricorn Community Development Association Inc.</w:t>
      </w:r>
    </w:p>
    <w:p w:rsidR="00BA52F2" w:rsidRPr="00AA6911" w:rsidRDefault="00BA52F2" w:rsidP="00BA52F2">
      <w:pPr>
        <w:pStyle w:val="Default"/>
        <w:spacing w:before="360"/>
        <w:jc w:val="center"/>
        <w:rPr>
          <w:rFonts w:cs="Arial"/>
          <w:b/>
          <w:i/>
        </w:rPr>
      </w:pPr>
    </w:p>
    <w:p w:rsidR="00BA52F2" w:rsidRPr="00AA6911" w:rsidRDefault="00BA52F2" w:rsidP="00BA52F2">
      <w:pPr>
        <w:pStyle w:val="Default"/>
        <w:spacing w:before="240"/>
        <w:jc w:val="center"/>
        <w:rPr>
          <w:rFonts w:cs="Arial"/>
          <w:b/>
          <w:i/>
        </w:rPr>
      </w:pPr>
      <w:r w:rsidRPr="00AA6911">
        <w:rPr>
          <w:rFonts w:cs="Arial"/>
          <w:b/>
          <w:i/>
        </w:rPr>
        <w:t xml:space="preserve">Submission in response to the NDIS Discussion Paper on </w:t>
      </w:r>
    </w:p>
    <w:p w:rsidR="00BA52F2" w:rsidRPr="00AA6911" w:rsidRDefault="00BA52F2" w:rsidP="00BA52F2">
      <w:pPr>
        <w:pStyle w:val="Default"/>
        <w:spacing w:before="240"/>
        <w:jc w:val="center"/>
        <w:rPr>
          <w:rFonts w:cs="Arial"/>
          <w:b/>
          <w:i/>
          <w:sz w:val="36"/>
          <w:szCs w:val="36"/>
        </w:rPr>
      </w:pPr>
      <w:r w:rsidRPr="00AA6911">
        <w:rPr>
          <w:rFonts w:cs="Arial"/>
          <w:b/>
          <w:i/>
          <w:sz w:val="36"/>
          <w:szCs w:val="36"/>
        </w:rPr>
        <w:t>Code of Conduct</w:t>
      </w:r>
    </w:p>
    <w:p w:rsidR="00BA52F2" w:rsidRPr="00AA6911" w:rsidRDefault="00BA52F2" w:rsidP="00BA52F2">
      <w:pPr>
        <w:spacing w:before="120" w:after="0"/>
        <w:jc w:val="center"/>
        <w:rPr>
          <w:rFonts w:cs="Arial"/>
        </w:rPr>
      </w:pPr>
      <w:r w:rsidRPr="00AA6911">
        <w:rPr>
          <w:rFonts w:cs="Arial"/>
        </w:rPr>
        <w:t>June 2017</w:t>
      </w:r>
    </w:p>
    <w:p w:rsidR="00BA52F2" w:rsidRPr="00AA6911" w:rsidRDefault="00BA52F2" w:rsidP="00BA52F2">
      <w:pPr>
        <w:spacing w:after="0"/>
        <w:jc w:val="center"/>
        <w:rPr>
          <w:rFonts w:cs="Arial"/>
          <w:b/>
        </w:rPr>
      </w:pPr>
    </w:p>
    <w:p w:rsidR="00BA52F2" w:rsidRPr="00AA6911" w:rsidRDefault="00BA52F2" w:rsidP="003C30FF">
      <w:pPr>
        <w:spacing w:after="0" w:line="240" w:lineRule="auto"/>
        <w:jc w:val="both"/>
        <w:rPr>
          <w:rFonts w:cs="Arial"/>
          <w:b/>
        </w:rPr>
      </w:pPr>
      <w:r w:rsidRPr="00AA6911">
        <w:rPr>
          <w:rFonts w:cs="Arial"/>
          <w:b/>
        </w:rPr>
        <w:t>The organisation:</w:t>
      </w:r>
    </w:p>
    <w:p w:rsidR="00BA52F2" w:rsidRPr="00AA6911" w:rsidRDefault="00BA52F2" w:rsidP="003C30FF">
      <w:pPr>
        <w:spacing w:before="120" w:after="0" w:line="240" w:lineRule="auto"/>
        <w:jc w:val="both"/>
        <w:rPr>
          <w:rFonts w:cs="Arial"/>
        </w:rPr>
      </w:pPr>
      <w:r w:rsidRPr="00AA6911">
        <w:rPr>
          <w:rFonts w:cs="Arial"/>
          <w:b/>
        </w:rPr>
        <w:t xml:space="preserve">The Capricorn Community Development Association Inc. (CCDA), </w:t>
      </w:r>
      <w:r w:rsidRPr="00AA6911">
        <w:rPr>
          <w:rFonts w:cs="Arial"/>
          <w:lang w:val="en-US"/>
        </w:rPr>
        <w:t xml:space="preserve">is an </w:t>
      </w:r>
      <w:r w:rsidRPr="00AA6911">
        <w:rPr>
          <w:rFonts w:cs="Arial"/>
        </w:rPr>
        <w:t>unfunded</w:t>
      </w:r>
      <w:r w:rsidRPr="00AA6911">
        <w:rPr>
          <w:rFonts w:cs="Arial"/>
          <w:lang w:val="en-US"/>
        </w:rPr>
        <w:t xml:space="preserve"> volunteer</w:t>
      </w:r>
      <w:r w:rsidRPr="00AA6911">
        <w:rPr>
          <w:rFonts w:cs="Arial"/>
        </w:rPr>
        <w:t>,</w:t>
      </w:r>
      <w:r w:rsidRPr="00AA6911">
        <w:rPr>
          <w:rFonts w:cs="Arial"/>
          <w:lang w:val="en-US"/>
        </w:rPr>
        <w:t xml:space="preserve"> community development organisation</w:t>
      </w:r>
      <w:r w:rsidRPr="00AA6911">
        <w:rPr>
          <w:rFonts w:cs="Arial"/>
        </w:rPr>
        <w:t>. Its</w:t>
      </w:r>
      <w:r w:rsidRPr="00AA6911">
        <w:rPr>
          <w:rFonts w:cs="Arial"/>
          <w:lang w:val="en-US"/>
        </w:rPr>
        <w:t xml:space="preserve"> purpose is to support the community </w:t>
      </w:r>
      <w:r w:rsidRPr="00AA6911">
        <w:rPr>
          <w:rFonts w:cs="Arial"/>
        </w:rPr>
        <w:t>in</w:t>
      </w:r>
      <w:r w:rsidRPr="00AA6911">
        <w:rPr>
          <w:rFonts w:cs="Arial"/>
          <w:lang w:val="en-US"/>
        </w:rPr>
        <w:t xml:space="preserve"> solv</w:t>
      </w:r>
      <w:r w:rsidRPr="00AA6911">
        <w:rPr>
          <w:rFonts w:cs="Arial"/>
        </w:rPr>
        <w:t>ing</w:t>
      </w:r>
      <w:r w:rsidRPr="00AA6911">
        <w:rPr>
          <w:rFonts w:cs="Arial"/>
          <w:lang w:val="en-US"/>
        </w:rPr>
        <w:t xml:space="preserve"> its own problems. CCDA acts as a mini-peak body for the region and inputs a Central Queensland perspective to state and national forums.</w:t>
      </w:r>
    </w:p>
    <w:p w:rsidR="000134BC" w:rsidRPr="001F7B93" w:rsidRDefault="000134BC" w:rsidP="003C30FF">
      <w:pPr>
        <w:widowControl w:val="0"/>
        <w:spacing w:before="120" w:after="0" w:line="240" w:lineRule="auto"/>
        <w:jc w:val="both"/>
        <w:rPr>
          <w:rFonts w:cs="Arial"/>
          <w:lang w:val="en-US"/>
        </w:rPr>
      </w:pPr>
      <w:r w:rsidRPr="001F7B93">
        <w:rPr>
          <w:rFonts w:cs="Arial"/>
          <w:lang w:val="en-US"/>
        </w:rPr>
        <w:t>Currently, CCDA is hosting a</w:t>
      </w:r>
      <w:r w:rsidR="00F402D0" w:rsidRPr="001F7B93">
        <w:rPr>
          <w:rFonts w:cs="Arial"/>
          <w:lang w:val="en-US"/>
        </w:rPr>
        <w:t xml:space="preserve"> regular</w:t>
      </w:r>
      <w:r w:rsidRPr="001F7B93">
        <w:rPr>
          <w:rFonts w:cs="Arial"/>
          <w:lang w:val="en-US"/>
        </w:rPr>
        <w:t xml:space="preserve"> Community of Practice NDIS Transition group for service providers, facilitated by NDS Q</w:t>
      </w:r>
      <w:r w:rsidR="00F402D0" w:rsidRPr="001F7B93">
        <w:rPr>
          <w:rFonts w:cs="Arial"/>
          <w:lang w:val="en-US"/>
        </w:rPr>
        <w:t>u</w:t>
      </w:r>
      <w:r w:rsidRPr="001F7B93">
        <w:rPr>
          <w:rFonts w:cs="Arial"/>
          <w:lang w:val="en-US"/>
        </w:rPr>
        <w:t>eensland</w:t>
      </w:r>
    </w:p>
    <w:p w:rsidR="00BA52F2" w:rsidRPr="00AA6911" w:rsidRDefault="00BA52F2" w:rsidP="003C30FF">
      <w:pPr>
        <w:pStyle w:val="ListParagraph"/>
        <w:ind w:left="0"/>
        <w:jc w:val="both"/>
        <w:rPr>
          <w:rFonts w:ascii="Arial" w:hAnsi="Arial" w:cs="Arial"/>
          <w:color w:val="FF0000"/>
        </w:rPr>
      </w:pPr>
    </w:p>
    <w:p w:rsidR="00BA52F2" w:rsidRPr="00F402D0" w:rsidRDefault="007E5E9D" w:rsidP="003C30FF">
      <w:pPr>
        <w:ind w:left="-360" w:firstLine="360"/>
        <w:jc w:val="both"/>
        <w:rPr>
          <w:rFonts w:cs="Arial"/>
          <w:b/>
        </w:rPr>
      </w:pPr>
      <w:r>
        <w:rPr>
          <w:rFonts w:cs="Arial"/>
          <w:b/>
        </w:rPr>
        <w:t xml:space="preserve">CCDA </w:t>
      </w:r>
      <w:r w:rsidR="00BA52F2" w:rsidRPr="00F402D0">
        <w:rPr>
          <w:rFonts w:cs="Arial"/>
          <w:b/>
        </w:rPr>
        <w:t>Comments</w:t>
      </w:r>
    </w:p>
    <w:p w:rsidR="001F7B93" w:rsidRPr="00404AE1" w:rsidRDefault="00BA52F2" w:rsidP="003C30FF">
      <w:pPr>
        <w:spacing w:before="120"/>
        <w:jc w:val="both"/>
        <w:rPr>
          <w:rFonts w:cs="Arial"/>
        </w:rPr>
      </w:pPr>
      <w:r w:rsidRPr="00404AE1">
        <w:rPr>
          <w:rFonts w:cs="Arial"/>
        </w:rPr>
        <w:t xml:space="preserve">The code of conduct for the disability sector discussion paper is comprehensive, with much of </w:t>
      </w:r>
      <w:r w:rsidR="00FE1D94">
        <w:rPr>
          <w:rFonts w:cs="Arial"/>
        </w:rPr>
        <w:t xml:space="preserve">it </w:t>
      </w:r>
      <w:r w:rsidRPr="00404AE1">
        <w:rPr>
          <w:rFonts w:cs="Arial"/>
        </w:rPr>
        <w:t>applicable in the broader community sector, and particularly aged care</w:t>
      </w:r>
      <w:r w:rsidR="00B24A7E">
        <w:rPr>
          <w:rFonts w:cs="Arial"/>
        </w:rPr>
        <w:t>.</w:t>
      </w:r>
      <w:r w:rsidR="001F7B93" w:rsidRPr="00404AE1">
        <w:rPr>
          <w:rFonts w:cs="Arial"/>
        </w:rPr>
        <w:t xml:space="preserve"> The paper is a </w:t>
      </w:r>
      <w:r w:rsidRPr="00404AE1">
        <w:rPr>
          <w:rFonts w:cs="Arial"/>
        </w:rPr>
        <w:t xml:space="preserve">useful reference for management committees and CEO’s, </w:t>
      </w:r>
      <w:r w:rsidR="001F7B93" w:rsidRPr="00404AE1">
        <w:rPr>
          <w:rFonts w:cs="Arial"/>
        </w:rPr>
        <w:t>for the operational and ris</w:t>
      </w:r>
      <w:r w:rsidR="00891D5D" w:rsidRPr="00404AE1">
        <w:rPr>
          <w:rFonts w:cs="Arial"/>
        </w:rPr>
        <w:t xml:space="preserve">k </w:t>
      </w:r>
      <w:r w:rsidR="001F7B93" w:rsidRPr="00404AE1">
        <w:rPr>
          <w:rFonts w:cs="Arial"/>
        </w:rPr>
        <w:t xml:space="preserve">management </w:t>
      </w:r>
      <w:r w:rsidR="00891D5D" w:rsidRPr="00404AE1">
        <w:rPr>
          <w:rFonts w:cs="Arial"/>
        </w:rPr>
        <w:t>areas of service provision for individuals with a disability.</w:t>
      </w:r>
      <w:r w:rsidR="001F7B93" w:rsidRPr="00404AE1">
        <w:rPr>
          <w:rFonts w:cs="Arial"/>
        </w:rPr>
        <w:t xml:space="preserve"> </w:t>
      </w:r>
    </w:p>
    <w:p w:rsidR="00BA52F2" w:rsidRPr="00404AE1" w:rsidRDefault="001F7B93" w:rsidP="003C30FF">
      <w:pPr>
        <w:spacing w:before="120"/>
        <w:jc w:val="both"/>
        <w:rPr>
          <w:rFonts w:cs="Arial"/>
        </w:rPr>
      </w:pPr>
      <w:r w:rsidRPr="00404AE1">
        <w:rPr>
          <w:rFonts w:cs="Arial"/>
        </w:rPr>
        <w:t>However, the CCDA perspective is that none of the nine d</w:t>
      </w:r>
      <w:r w:rsidR="00B24A7E">
        <w:rPr>
          <w:rFonts w:cs="Arial"/>
        </w:rPr>
        <w:t>ot points currently in the code</w:t>
      </w:r>
      <w:r w:rsidRPr="00404AE1">
        <w:rPr>
          <w:rFonts w:cs="Arial"/>
        </w:rPr>
        <w:t xml:space="preserve"> effectively reflect the thinking between the old model of service delivery and the transition to the NDIS. A</w:t>
      </w:r>
      <w:r w:rsidR="00BA52F2" w:rsidRPr="00404AE1">
        <w:rPr>
          <w:rFonts w:cs="Arial"/>
        </w:rPr>
        <w:t xml:space="preserve"> Disability Code of Conduct </w:t>
      </w:r>
      <w:r w:rsidRPr="00404AE1">
        <w:rPr>
          <w:rFonts w:cs="Arial"/>
        </w:rPr>
        <w:t>needs to be directly underpin</w:t>
      </w:r>
      <w:r w:rsidR="007E5E9D" w:rsidRPr="00404AE1">
        <w:rPr>
          <w:rFonts w:cs="Arial"/>
        </w:rPr>
        <w:t>ned by</w:t>
      </w:r>
      <w:r w:rsidR="00BA52F2" w:rsidRPr="00404AE1">
        <w:rPr>
          <w:rFonts w:cs="Arial"/>
        </w:rPr>
        <w:t xml:space="preserve"> ‘the end in mind’: improved quality of life for those receiving the service.  What is the objective, and what are the tools and strategies that guide support staff in contributing to successful outcomes? The discussion paper does not address this.</w:t>
      </w:r>
    </w:p>
    <w:p w:rsidR="00BA52F2" w:rsidRPr="00404AE1" w:rsidRDefault="00BA52F2" w:rsidP="003C30FF">
      <w:pPr>
        <w:jc w:val="both"/>
        <w:rPr>
          <w:rFonts w:cs="Arial"/>
        </w:rPr>
      </w:pPr>
      <w:r w:rsidRPr="00404AE1">
        <w:rPr>
          <w:rFonts w:cs="Arial"/>
        </w:rPr>
        <w:t>CCDA believes much of the discussion paper is still grounded in the ‘old system’, where funded service providers had the power and were the gate keepers of service availability. The discussion paper does not recognise the paradigm shift to a per</w:t>
      </w:r>
      <w:bookmarkStart w:id="0" w:name="_GoBack"/>
      <w:bookmarkEnd w:id="0"/>
      <w:r w:rsidRPr="00404AE1">
        <w:rPr>
          <w:rFonts w:cs="Arial"/>
        </w:rPr>
        <w:t>son centred approach where people with disability are funded and have power and authority over how the money is spent and what service</w:t>
      </w:r>
      <w:r w:rsidR="00B24A7E">
        <w:rPr>
          <w:rFonts w:cs="Arial"/>
        </w:rPr>
        <w:t>s</w:t>
      </w:r>
      <w:r w:rsidRPr="00404AE1">
        <w:rPr>
          <w:rFonts w:cs="Arial"/>
        </w:rPr>
        <w:t xml:space="preserve"> they buy. The </w:t>
      </w:r>
      <w:r w:rsidR="00BC4BC5" w:rsidRPr="00404AE1">
        <w:rPr>
          <w:rFonts w:cs="Arial"/>
        </w:rPr>
        <w:t xml:space="preserve">traditional </w:t>
      </w:r>
      <w:r w:rsidRPr="00404AE1">
        <w:rPr>
          <w:rFonts w:cs="Arial"/>
        </w:rPr>
        <w:t xml:space="preserve">top down approach, is evident in many of the examples provided in the paper, where ‘the commission’ is called in, but where solutions may have readily been </w:t>
      </w:r>
      <w:r w:rsidRPr="00BE75B8">
        <w:rPr>
          <w:rFonts w:cs="Arial"/>
        </w:rPr>
        <w:t>reached through discussion with all stakeholders.</w:t>
      </w:r>
    </w:p>
    <w:p w:rsidR="00BA52F2" w:rsidRPr="00404AE1" w:rsidRDefault="00BA52F2" w:rsidP="003C30FF">
      <w:pPr>
        <w:jc w:val="both"/>
        <w:rPr>
          <w:rFonts w:cs="Arial"/>
        </w:rPr>
      </w:pPr>
      <w:r w:rsidRPr="00404AE1">
        <w:rPr>
          <w:rFonts w:cs="Arial"/>
        </w:rPr>
        <w:t>The change in authority where service providers have become the shop keepers that have to design services that the customer is prepared to pay for, and provide support staff that the customer approves of</w:t>
      </w:r>
      <w:r w:rsidR="00B24A7E">
        <w:rPr>
          <w:rFonts w:cs="Arial"/>
        </w:rPr>
        <w:t>,</w:t>
      </w:r>
      <w:r w:rsidRPr="00404AE1">
        <w:rPr>
          <w:rFonts w:cs="Arial"/>
        </w:rPr>
        <w:t xml:space="preserve"> is not reflected in this paper. The shift from meeting organisational standards, needs and expectations, to meeting the client’s ones, is not flagged as an issue.</w:t>
      </w:r>
    </w:p>
    <w:p w:rsidR="00BA52F2" w:rsidRPr="00404AE1" w:rsidRDefault="00BA52F2" w:rsidP="003C30FF">
      <w:pPr>
        <w:jc w:val="both"/>
        <w:rPr>
          <w:rFonts w:cs="Arial"/>
        </w:rPr>
      </w:pPr>
      <w:r w:rsidRPr="00404AE1">
        <w:rPr>
          <w:rFonts w:cs="Arial"/>
        </w:rPr>
        <w:t>The</w:t>
      </w:r>
      <w:r w:rsidR="00BC4BC5" w:rsidRPr="00404AE1">
        <w:rPr>
          <w:rFonts w:cs="Arial"/>
        </w:rPr>
        <w:t xml:space="preserve"> NDIS is an Insurance Scheme and its intended</w:t>
      </w:r>
      <w:r w:rsidRPr="00404AE1">
        <w:rPr>
          <w:rFonts w:cs="Arial"/>
        </w:rPr>
        <w:t xml:space="preserve"> purpose is to change from a ‘filling in time between meals’ maintenance model of service, to facilitating a ‘journey to a person’s potential’. This </w:t>
      </w:r>
      <w:r w:rsidR="00BC4BC5" w:rsidRPr="00404AE1">
        <w:rPr>
          <w:rFonts w:cs="Arial"/>
        </w:rPr>
        <w:t>should radically change</w:t>
      </w:r>
      <w:r w:rsidRPr="00404AE1">
        <w:rPr>
          <w:rFonts w:cs="Arial"/>
        </w:rPr>
        <w:t xml:space="preserve"> the role of service providers and support workers and hence their </w:t>
      </w:r>
      <w:r w:rsidRPr="00404AE1">
        <w:rPr>
          <w:rFonts w:cs="Arial"/>
        </w:rPr>
        <w:lastRenderedPageBreak/>
        <w:t>conduct. It is a change from an operational to a strategic</w:t>
      </w:r>
      <w:r w:rsidR="00891D5D" w:rsidRPr="00404AE1">
        <w:rPr>
          <w:rFonts w:cs="Arial"/>
        </w:rPr>
        <w:t>, long-term outcome based</w:t>
      </w:r>
      <w:r w:rsidRPr="00404AE1">
        <w:rPr>
          <w:rFonts w:cs="Arial"/>
        </w:rPr>
        <w:t xml:space="preserve"> focus and again affects the conduct and purpose of suppo</w:t>
      </w:r>
      <w:r w:rsidR="00F0011B" w:rsidRPr="00404AE1">
        <w:rPr>
          <w:rFonts w:cs="Arial"/>
        </w:rPr>
        <w:t xml:space="preserve">rt organisations and workers. </w:t>
      </w:r>
    </w:p>
    <w:p w:rsidR="00BC4BC5" w:rsidRPr="00404AE1" w:rsidRDefault="00BC4BC5" w:rsidP="003C30FF">
      <w:pPr>
        <w:jc w:val="both"/>
        <w:rPr>
          <w:rFonts w:cs="Arial"/>
        </w:rPr>
      </w:pPr>
      <w:r w:rsidRPr="00404AE1">
        <w:rPr>
          <w:rFonts w:cs="Arial"/>
        </w:rPr>
        <w:t>Where clients have capacity and ability for self-advocacy they will no longer accept ‘off the shelf services’; they will shop for services that meet their specific needs, and budget</w:t>
      </w:r>
      <w:r w:rsidR="0051439A" w:rsidRPr="00404AE1">
        <w:rPr>
          <w:rFonts w:cs="Arial"/>
        </w:rPr>
        <w:t>,</w:t>
      </w:r>
      <w:r w:rsidRPr="00404AE1">
        <w:rPr>
          <w:rFonts w:cs="Arial"/>
        </w:rPr>
        <w:t xml:space="preserve"> and choose direct care workers with whom they have a positive relationship.</w:t>
      </w:r>
    </w:p>
    <w:p w:rsidR="007E114F" w:rsidRPr="00404AE1" w:rsidRDefault="00BC4BC5" w:rsidP="003C30FF">
      <w:pPr>
        <w:jc w:val="both"/>
        <w:rPr>
          <w:rFonts w:cs="Arial"/>
        </w:rPr>
      </w:pPr>
      <w:r w:rsidRPr="00404AE1">
        <w:rPr>
          <w:rFonts w:cs="Arial"/>
        </w:rPr>
        <w:t>However there needs to be a recognition that not everyone will have the capacity or ability to ove to a service provider of their choice</w:t>
      </w:r>
      <w:r w:rsidR="00BE75B8">
        <w:rPr>
          <w:rFonts w:cs="Arial"/>
        </w:rPr>
        <w:t>. Y</w:t>
      </w:r>
      <w:r w:rsidR="007E5E9D" w:rsidRPr="00404AE1">
        <w:rPr>
          <w:rFonts w:cs="Arial"/>
        </w:rPr>
        <w:t>et</w:t>
      </w:r>
      <w:r w:rsidR="004A2446" w:rsidRPr="00404AE1">
        <w:rPr>
          <w:rFonts w:cs="Arial"/>
        </w:rPr>
        <w:t xml:space="preserve"> these individuals are</w:t>
      </w:r>
      <w:r w:rsidRPr="00404AE1">
        <w:rPr>
          <w:rFonts w:cs="Arial"/>
        </w:rPr>
        <w:t xml:space="preserve"> still entitled</w:t>
      </w:r>
      <w:r w:rsidR="004A2446" w:rsidRPr="00404AE1">
        <w:rPr>
          <w:rFonts w:cs="Arial"/>
        </w:rPr>
        <w:t xml:space="preserve"> to receive maximum possible benefit from their NDIS support. The higher the needs of</w:t>
      </w:r>
      <w:r w:rsidR="007E114F" w:rsidRPr="00404AE1">
        <w:rPr>
          <w:rFonts w:cs="Arial"/>
        </w:rPr>
        <w:t xml:space="preserve"> </w:t>
      </w:r>
      <w:r w:rsidR="004A2446" w:rsidRPr="00404AE1">
        <w:rPr>
          <w:rFonts w:cs="Arial"/>
        </w:rPr>
        <w:t>an individual, the greater likelihood that they may not receive</w:t>
      </w:r>
      <w:r w:rsidR="007E5E9D" w:rsidRPr="00404AE1">
        <w:rPr>
          <w:rFonts w:cs="Arial"/>
        </w:rPr>
        <w:t xml:space="preserve"> their service as intended. </w:t>
      </w:r>
    </w:p>
    <w:p w:rsidR="0051439A" w:rsidRPr="00404AE1" w:rsidRDefault="007E114F" w:rsidP="003C30FF">
      <w:pPr>
        <w:jc w:val="both"/>
        <w:rPr>
          <w:rFonts w:cs="Arial"/>
        </w:rPr>
      </w:pPr>
      <w:r w:rsidRPr="00404AE1">
        <w:rPr>
          <w:rFonts w:cs="Arial"/>
        </w:rPr>
        <w:t>Individuals at risk of being disadvantaged include:</w:t>
      </w:r>
      <w:r w:rsidR="007E5E9D" w:rsidRPr="00404AE1">
        <w:rPr>
          <w:rFonts w:cs="Arial"/>
        </w:rPr>
        <w:t xml:space="preserve"> </w:t>
      </w:r>
      <w:r w:rsidRPr="00404AE1">
        <w:rPr>
          <w:rFonts w:cs="Arial"/>
        </w:rPr>
        <w:t xml:space="preserve">those </w:t>
      </w:r>
      <w:r w:rsidR="007E5E9D" w:rsidRPr="00404AE1">
        <w:rPr>
          <w:rFonts w:cs="Arial"/>
        </w:rPr>
        <w:t>in supported accommodation</w:t>
      </w:r>
      <w:r w:rsidRPr="00404AE1">
        <w:rPr>
          <w:rFonts w:cs="Arial"/>
        </w:rPr>
        <w:t>; people with limited</w:t>
      </w:r>
      <w:r w:rsidR="00FC126F" w:rsidRPr="00404AE1">
        <w:rPr>
          <w:rFonts w:cs="Arial"/>
        </w:rPr>
        <w:t xml:space="preserve"> intellectual and/or</w:t>
      </w:r>
      <w:r w:rsidRPr="00404AE1">
        <w:rPr>
          <w:rFonts w:cs="Arial"/>
        </w:rPr>
        <w:t xml:space="preserve"> cognitive capacity and people with limited capacity to self</w:t>
      </w:r>
      <w:r w:rsidR="009B3CB9" w:rsidRPr="00404AE1">
        <w:rPr>
          <w:rFonts w:cs="Arial"/>
        </w:rPr>
        <w:t>-</w:t>
      </w:r>
      <w:r w:rsidRPr="00404AE1">
        <w:rPr>
          <w:rFonts w:cs="Arial"/>
        </w:rPr>
        <w:t>advocate</w:t>
      </w:r>
      <w:r w:rsidR="000F6613" w:rsidRPr="00404AE1">
        <w:rPr>
          <w:rFonts w:cs="Arial"/>
        </w:rPr>
        <w:t>,</w:t>
      </w:r>
      <w:r w:rsidRPr="00404AE1">
        <w:rPr>
          <w:rFonts w:cs="Arial"/>
        </w:rPr>
        <w:t xml:space="preserve"> or </w:t>
      </w:r>
      <w:r w:rsidR="00BE75B8">
        <w:rPr>
          <w:rFonts w:cs="Arial"/>
        </w:rPr>
        <w:t xml:space="preserve">have </w:t>
      </w:r>
      <w:r w:rsidRPr="00404AE1">
        <w:rPr>
          <w:rFonts w:cs="Arial"/>
        </w:rPr>
        <w:t>family or independent carers to advocate on their behalf.</w:t>
      </w:r>
    </w:p>
    <w:p w:rsidR="00FC126F" w:rsidRPr="00805F58" w:rsidRDefault="00404AE1" w:rsidP="005F53AF">
      <w:pPr>
        <w:jc w:val="both"/>
        <w:rPr>
          <w:spacing w:val="-5"/>
        </w:rPr>
      </w:pPr>
      <w:r w:rsidRPr="00805F58">
        <w:rPr>
          <w:rFonts w:cs="Arial"/>
        </w:rPr>
        <w:t>Unfortunately</w:t>
      </w:r>
      <w:r w:rsidR="00FC126F" w:rsidRPr="00805F58">
        <w:rPr>
          <w:rFonts w:cs="Arial"/>
        </w:rPr>
        <w:t xml:space="preserve">, currently </w:t>
      </w:r>
      <w:r w:rsidR="00FC126F" w:rsidRPr="00805F58">
        <w:rPr>
          <w:spacing w:val="-5"/>
        </w:rPr>
        <w:t xml:space="preserve">the speed of the </w:t>
      </w:r>
      <w:r w:rsidR="00FC126F" w:rsidRPr="00805F58">
        <w:t xml:space="preserve">rollout </w:t>
      </w:r>
      <w:r w:rsidR="00FC126F" w:rsidRPr="00805F58">
        <w:rPr>
          <w:spacing w:val="-3"/>
        </w:rPr>
        <w:t xml:space="preserve">schedule </w:t>
      </w:r>
      <w:r w:rsidR="00FC126F" w:rsidRPr="00805F58">
        <w:rPr>
          <w:spacing w:val="1"/>
        </w:rPr>
        <w:t>is</w:t>
      </w:r>
      <w:r w:rsidRPr="00805F58">
        <w:rPr>
          <w:spacing w:val="1"/>
        </w:rPr>
        <w:t xml:space="preserve"> also</w:t>
      </w:r>
      <w:r w:rsidR="00FC126F" w:rsidRPr="00805F58">
        <w:rPr>
          <w:spacing w:val="1"/>
        </w:rPr>
        <w:t xml:space="preserve"> </w:t>
      </w:r>
      <w:r w:rsidR="00FC126F" w:rsidRPr="00805F58">
        <w:rPr>
          <w:spacing w:val="-3"/>
        </w:rPr>
        <w:t xml:space="preserve">compromising </w:t>
      </w:r>
      <w:r w:rsidR="00FC126F" w:rsidRPr="00805F58">
        <w:rPr>
          <w:spacing w:val="-7"/>
        </w:rPr>
        <w:t xml:space="preserve">the </w:t>
      </w:r>
      <w:r w:rsidR="00FC126F" w:rsidRPr="00805F58">
        <w:rPr>
          <w:spacing w:val="-3"/>
        </w:rPr>
        <w:t xml:space="preserve">integrity </w:t>
      </w:r>
      <w:r w:rsidR="00FC126F" w:rsidRPr="00805F58">
        <w:t xml:space="preserve">of </w:t>
      </w:r>
      <w:r w:rsidR="00FC126F" w:rsidRPr="00805F58">
        <w:rPr>
          <w:spacing w:val="-7"/>
        </w:rPr>
        <w:t xml:space="preserve">the </w:t>
      </w:r>
      <w:r w:rsidR="00FC126F" w:rsidRPr="00805F58">
        <w:rPr>
          <w:spacing w:val="-4"/>
        </w:rPr>
        <w:t xml:space="preserve">planning </w:t>
      </w:r>
      <w:r w:rsidR="00FC126F" w:rsidRPr="00805F58">
        <w:t xml:space="preserve">process, </w:t>
      </w:r>
      <w:r w:rsidR="00FC126F" w:rsidRPr="00805F58">
        <w:rPr>
          <w:spacing w:val="-4"/>
        </w:rPr>
        <w:t xml:space="preserve">and </w:t>
      </w:r>
      <w:r w:rsidR="00FC126F" w:rsidRPr="00805F58">
        <w:rPr>
          <w:spacing w:val="-7"/>
        </w:rPr>
        <w:t xml:space="preserve">the </w:t>
      </w:r>
      <w:r w:rsidR="00FC126F" w:rsidRPr="00805F58">
        <w:t xml:space="preserve">quality of participant plans. </w:t>
      </w:r>
      <w:r w:rsidR="00FC126F" w:rsidRPr="00805F58">
        <w:rPr>
          <w:spacing w:val="-3"/>
        </w:rPr>
        <w:t xml:space="preserve">Quality </w:t>
      </w:r>
      <w:r w:rsidR="00FC126F" w:rsidRPr="00805F58">
        <w:t xml:space="preserve">plans are critical </w:t>
      </w:r>
      <w:r w:rsidR="00FC126F" w:rsidRPr="00805F58">
        <w:rPr>
          <w:spacing w:val="-4"/>
        </w:rPr>
        <w:t xml:space="preserve">not </w:t>
      </w:r>
      <w:r w:rsidR="00FC126F" w:rsidRPr="00805F58">
        <w:t xml:space="preserve">only </w:t>
      </w:r>
      <w:r w:rsidR="00FC126F" w:rsidRPr="00805F58">
        <w:rPr>
          <w:spacing w:val="-3"/>
        </w:rPr>
        <w:t xml:space="preserve">for </w:t>
      </w:r>
      <w:r w:rsidR="00FC126F" w:rsidRPr="00805F58">
        <w:rPr>
          <w:spacing w:val="-4"/>
        </w:rPr>
        <w:t xml:space="preserve">containing </w:t>
      </w:r>
      <w:r w:rsidR="00FC126F" w:rsidRPr="00805F58">
        <w:rPr>
          <w:spacing w:val="-3"/>
        </w:rPr>
        <w:t xml:space="preserve">long-term </w:t>
      </w:r>
      <w:r w:rsidR="00FC126F" w:rsidRPr="00805F58">
        <w:t xml:space="preserve">costs of </w:t>
      </w:r>
      <w:r w:rsidR="00FC126F" w:rsidRPr="00805F58">
        <w:rPr>
          <w:spacing w:val="-7"/>
        </w:rPr>
        <w:t xml:space="preserve">the </w:t>
      </w:r>
      <w:r w:rsidR="00FC126F" w:rsidRPr="00805F58">
        <w:rPr>
          <w:spacing w:val="-5"/>
        </w:rPr>
        <w:t>scheme</w:t>
      </w:r>
      <w:r w:rsidRPr="00805F58">
        <w:rPr>
          <w:spacing w:val="-5"/>
        </w:rPr>
        <w:t xml:space="preserve"> but al</w:t>
      </w:r>
      <w:r w:rsidR="00FC126F" w:rsidRPr="00805F58">
        <w:rPr>
          <w:spacing w:val="-5"/>
        </w:rPr>
        <w:t xml:space="preserve">so </w:t>
      </w:r>
      <w:r w:rsidR="00FC126F" w:rsidRPr="00805F58">
        <w:rPr>
          <w:spacing w:val="-3"/>
        </w:rPr>
        <w:t xml:space="preserve">for </w:t>
      </w:r>
      <w:r w:rsidR="00FC126F" w:rsidRPr="00805F58">
        <w:t xml:space="preserve">participant </w:t>
      </w:r>
      <w:r w:rsidR="00FC126F" w:rsidRPr="00805F58">
        <w:rPr>
          <w:spacing w:val="-5"/>
        </w:rPr>
        <w:t xml:space="preserve">outcomes </w:t>
      </w:r>
      <w:r w:rsidRPr="00805F58">
        <w:rPr>
          <w:spacing w:val="-4"/>
        </w:rPr>
        <w:t>and meaningful service agreements. If overall the NDIS is to deliver effective support for individuals there needs to be more focus on</w:t>
      </w:r>
      <w:r w:rsidRPr="00805F58">
        <w:rPr>
          <w:spacing w:val="-3"/>
        </w:rPr>
        <w:t xml:space="preserve"> </w:t>
      </w:r>
      <w:r w:rsidRPr="00805F58">
        <w:rPr>
          <w:spacing w:val="-4"/>
        </w:rPr>
        <w:t xml:space="preserve">pre-planning, in-depth </w:t>
      </w:r>
      <w:r w:rsidRPr="00805F58">
        <w:rPr>
          <w:spacing w:val="-5"/>
        </w:rPr>
        <w:t xml:space="preserve">planning conversations, </w:t>
      </w:r>
      <w:r w:rsidRPr="00805F58">
        <w:rPr>
          <w:spacing w:val="-4"/>
        </w:rPr>
        <w:t xml:space="preserve">and specialised </w:t>
      </w:r>
      <w:r w:rsidRPr="00805F58">
        <w:rPr>
          <w:spacing w:val="-3"/>
        </w:rPr>
        <w:t xml:space="preserve">training </w:t>
      </w:r>
      <w:r w:rsidRPr="00805F58">
        <w:t xml:space="preserve">for </w:t>
      </w:r>
      <w:r w:rsidRPr="00805F58">
        <w:rPr>
          <w:spacing w:val="-5"/>
        </w:rPr>
        <w:t>planners.</w:t>
      </w:r>
    </w:p>
    <w:p w:rsidR="009E3A49" w:rsidRPr="00805F58" w:rsidRDefault="00404AE1" w:rsidP="005F53AF">
      <w:pPr>
        <w:jc w:val="both"/>
        <w:rPr>
          <w:spacing w:val="-4"/>
          <w:sz w:val="20"/>
        </w:rPr>
      </w:pPr>
      <w:r w:rsidRPr="00805F58">
        <w:rPr>
          <w:rFonts w:cs="Arial"/>
        </w:rPr>
        <w:t>A Code of Conduct is only u</w:t>
      </w:r>
      <w:r w:rsidR="009E3A49" w:rsidRPr="00805F58">
        <w:rPr>
          <w:rFonts w:cs="Arial"/>
        </w:rPr>
        <w:t xml:space="preserve">seful </w:t>
      </w:r>
      <w:r w:rsidRPr="00805F58">
        <w:rPr>
          <w:rFonts w:cs="Arial"/>
        </w:rPr>
        <w:t>when the foundations of a workable, effective and sustainable system are in place.</w:t>
      </w:r>
      <w:r w:rsidR="009E3A49" w:rsidRPr="00805F58">
        <w:rPr>
          <w:rFonts w:cs="Arial"/>
        </w:rPr>
        <w:t xml:space="preserve"> So, whilst CCDA shares many of the concerns recently expressed by the Productivity Commission in its Cost Position Paper, we hope that the scheme will develop to a point where its </w:t>
      </w:r>
      <w:r w:rsidR="009E3A49" w:rsidRPr="00805F58">
        <w:rPr>
          <w:spacing w:val="-7"/>
        </w:rPr>
        <w:t xml:space="preserve">investment </w:t>
      </w:r>
      <w:r w:rsidR="009E3A49" w:rsidRPr="00805F58">
        <w:t xml:space="preserve">in </w:t>
      </w:r>
      <w:r w:rsidR="009E3A49" w:rsidRPr="00805F58">
        <w:rPr>
          <w:spacing w:val="-6"/>
        </w:rPr>
        <w:t xml:space="preserve">community </w:t>
      </w:r>
      <w:r w:rsidR="009E3A49" w:rsidRPr="00805F58">
        <w:rPr>
          <w:spacing w:val="-3"/>
        </w:rPr>
        <w:t xml:space="preserve">participation </w:t>
      </w:r>
      <w:r w:rsidR="009E3A49" w:rsidRPr="00805F58">
        <w:rPr>
          <w:spacing w:val="-4"/>
        </w:rPr>
        <w:t xml:space="preserve">and building </w:t>
      </w:r>
      <w:r w:rsidR="009E3A49" w:rsidRPr="00805F58">
        <w:t xml:space="preserve">social </w:t>
      </w:r>
      <w:r w:rsidR="009E3A49" w:rsidRPr="00805F58">
        <w:rPr>
          <w:spacing w:val="-3"/>
        </w:rPr>
        <w:t>capital is meaningful and productive and clearly articulated in service agreements.</w:t>
      </w:r>
    </w:p>
    <w:p w:rsidR="007E114F" w:rsidRPr="00805F58" w:rsidRDefault="009E3A49" w:rsidP="005F53AF">
      <w:pPr>
        <w:jc w:val="both"/>
      </w:pPr>
      <w:r w:rsidRPr="00805F58">
        <w:rPr>
          <w:rFonts w:cs="Arial"/>
        </w:rPr>
        <w:t>Further</w:t>
      </w:r>
      <w:r w:rsidR="002439F3">
        <w:rPr>
          <w:rFonts w:cs="Arial"/>
        </w:rPr>
        <w:t xml:space="preserve">, </w:t>
      </w:r>
      <w:r w:rsidR="007E114F" w:rsidRPr="00805F58">
        <w:rPr>
          <w:rFonts w:cs="Arial"/>
        </w:rPr>
        <w:t xml:space="preserve">CCDA acknowledges that the NDIS Quality and Safeguarding Framework and the </w:t>
      </w:r>
      <w:r w:rsidR="007E114F" w:rsidRPr="00805F58">
        <w:t>Quality and Safeguarding Commissioner</w:t>
      </w:r>
      <w:r w:rsidR="002439F3">
        <w:t>,</w:t>
      </w:r>
      <w:r w:rsidR="007E114F" w:rsidRPr="00805F58">
        <w:rPr>
          <w:rFonts w:cs="Arial"/>
        </w:rPr>
        <w:t xml:space="preserve"> </w:t>
      </w:r>
      <w:r w:rsidR="003C30FF" w:rsidRPr="00805F58">
        <w:rPr>
          <w:rFonts w:cs="Arial"/>
        </w:rPr>
        <w:t>aim to be protective measures that will inhibit poor service delivery</w:t>
      </w:r>
      <w:r w:rsidR="00BE75B8" w:rsidRPr="00805F58">
        <w:rPr>
          <w:rFonts w:cs="Arial"/>
        </w:rPr>
        <w:t>. CCDA</w:t>
      </w:r>
      <w:r w:rsidR="003C30FF" w:rsidRPr="00805F58">
        <w:rPr>
          <w:rFonts w:cs="Arial"/>
        </w:rPr>
        <w:t xml:space="preserve"> believe</w:t>
      </w:r>
      <w:r w:rsidR="00BE75B8" w:rsidRPr="00805F58">
        <w:rPr>
          <w:rFonts w:cs="Arial"/>
        </w:rPr>
        <w:t>s</w:t>
      </w:r>
      <w:r w:rsidR="003C30FF" w:rsidRPr="00805F58">
        <w:rPr>
          <w:rFonts w:cs="Arial"/>
        </w:rPr>
        <w:t xml:space="preserve"> that the Code of Conduct provides an opportunity to take a pro-active approach to ensuring that NDIS funding actually achieves its intended purpose. Under the NDIS</w:t>
      </w:r>
      <w:r w:rsidR="002439F3">
        <w:rPr>
          <w:rFonts w:cs="Arial"/>
        </w:rPr>
        <w:t>,</w:t>
      </w:r>
      <w:r w:rsidR="003C30FF" w:rsidRPr="00805F58">
        <w:rPr>
          <w:rFonts w:cs="Arial"/>
        </w:rPr>
        <w:t xml:space="preserve"> Service providers</w:t>
      </w:r>
      <w:r w:rsidR="009B3CB9" w:rsidRPr="00805F58">
        <w:rPr>
          <w:rFonts w:cs="Arial"/>
        </w:rPr>
        <w:t xml:space="preserve"> should be required to ensure that </w:t>
      </w:r>
      <w:r w:rsidR="003C30FF" w:rsidRPr="00805F58">
        <w:t xml:space="preserve">service delivery consistently </w:t>
      </w:r>
      <w:r w:rsidR="00BE75B8" w:rsidRPr="00805F58">
        <w:t>meets</w:t>
      </w:r>
      <w:r w:rsidR="003C30FF" w:rsidRPr="00805F58">
        <w:t xml:space="preserve"> service intent right at the service points.</w:t>
      </w:r>
    </w:p>
    <w:p w:rsidR="00DF076A" w:rsidRPr="00805F58" w:rsidRDefault="009B3CB9" w:rsidP="005F53AF">
      <w:pPr>
        <w:jc w:val="both"/>
      </w:pPr>
      <w:r w:rsidRPr="00805F58">
        <w:t>Therefore CCDA proposes an additional dot point</w:t>
      </w:r>
      <w:r w:rsidR="00DF076A" w:rsidRPr="00805F58">
        <w:t xml:space="preserve"> I section 1.2. An obligation that will require workers and providers delivering NDIS supports to:</w:t>
      </w:r>
    </w:p>
    <w:p w:rsidR="009B3CB9" w:rsidRDefault="00DF076A" w:rsidP="005F53AF">
      <w:pPr>
        <w:jc w:val="both"/>
        <w:rPr>
          <w:rFonts w:cs="Arial"/>
          <w:color w:val="FF0000"/>
        </w:rPr>
      </w:pPr>
      <w:r w:rsidRPr="00805F58">
        <w:rPr>
          <w:rFonts w:cs="Arial"/>
        </w:rPr>
        <w:t>10.   Deliver services and outcomes that meet S</w:t>
      </w:r>
      <w:r w:rsidR="009B3CB9" w:rsidRPr="00805F58">
        <w:rPr>
          <w:rFonts w:cs="Arial"/>
        </w:rPr>
        <w:t xml:space="preserve">ervice </w:t>
      </w:r>
      <w:r w:rsidRPr="00805F58">
        <w:rPr>
          <w:rFonts w:cs="Arial"/>
        </w:rPr>
        <w:t>A</w:t>
      </w:r>
      <w:r w:rsidR="009B3CB9" w:rsidRPr="00805F58">
        <w:rPr>
          <w:rFonts w:cs="Arial"/>
        </w:rPr>
        <w:t>greement intent</w:t>
      </w:r>
      <w:r>
        <w:rPr>
          <w:rFonts w:cs="Arial"/>
          <w:color w:val="FF0000"/>
        </w:rPr>
        <w:t>.</w:t>
      </w:r>
    </w:p>
    <w:p w:rsidR="005043B1" w:rsidRPr="009B3CB9" w:rsidRDefault="005043B1" w:rsidP="00DF076A">
      <w:pPr>
        <w:jc w:val="both"/>
        <w:rPr>
          <w:rFonts w:cs="Arial"/>
          <w:color w:val="FF0000"/>
        </w:rPr>
      </w:pPr>
    </w:p>
    <w:p w:rsidR="00430091" w:rsidRDefault="00430091" w:rsidP="00430091">
      <w:pPr>
        <w:rPr>
          <w:spacing w:val="-3"/>
          <w:sz w:val="24"/>
        </w:rPr>
      </w:pPr>
    </w:p>
    <w:sectPr w:rsidR="004300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82D" w:rsidRDefault="006F382D" w:rsidP="00BA52F2">
      <w:pPr>
        <w:spacing w:after="0" w:line="240" w:lineRule="auto"/>
      </w:pPr>
      <w:r>
        <w:separator/>
      </w:r>
    </w:p>
  </w:endnote>
  <w:endnote w:type="continuationSeparator" w:id="0">
    <w:p w:rsidR="006F382D" w:rsidRDefault="006F382D" w:rsidP="00BA5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82D" w:rsidRDefault="006F382D" w:rsidP="00BA52F2">
      <w:pPr>
        <w:spacing w:after="0" w:line="240" w:lineRule="auto"/>
      </w:pPr>
      <w:r>
        <w:separator/>
      </w:r>
    </w:p>
  </w:footnote>
  <w:footnote w:type="continuationSeparator" w:id="0">
    <w:p w:rsidR="006F382D" w:rsidRDefault="006F382D" w:rsidP="00BA52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A0D62"/>
    <w:multiLevelType w:val="hybridMultilevel"/>
    <w:tmpl w:val="385EFC1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8D93440"/>
    <w:multiLevelType w:val="hybridMultilevel"/>
    <w:tmpl w:val="F15263C8"/>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09A5AF3"/>
    <w:multiLevelType w:val="hybridMultilevel"/>
    <w:tmpl w:val="C832BC3E"/>
    <w:lvl w:ilvl="0" w:tplc="0BA412EC">
      <w:numFmt w:val="bullet"/>
      <w:lvlText w:val=""/>
      <w:lvlJc w:val="left"/>
      <w:pPr>
        <w:ind w:left="468" w:hanging="336"/>
      </w:pPr>
      <w:rPr>
        <w:rFonts w:ascii="Symbol" w:eastAsia="Symbol" w:hAnsi="Symbol" w:cs="Symbol" w:hint="default"/>
        <w:w w:val="100"/>
        <w:sz w:val="18"/>
        <w:szCs w:val="18"/>
      </w:rPr>
    </w:lvl>
    <w:lvl w:ilvl="1" w:tplc="5C520E50">
      <w:numFmt w:val="bullet"/>
      <w:lvlText w:val="•"/>
      <w:lvlJc w:val="left"/>
      <w:pPr>
        <w:ind w:left="1410" w:hanging="144"/>
      </w:pPr>
      <w:rPr>
        <w:rFonts w:ascii="Arial" w:eastAsia="Arial" w:hAnsi="Arial" w:cs="Arial" w:hint="default"/>
        <w:w w:val="99"/>
        <w:sz w:val="20"/>
        <w:szCs w:val="20"/>
      </w:rPr>
    </w:lvl>
    <w:lvl w:ilvl="2" w:tplc="88AEDD50">
      <w:numFmt w:val="bullet"/>
      <w:lvlText w:val="•"/>
      <w:lvlJc w:val="left"/>
      <w:pPr>
        <w:ind w:left="1611" w:hanging="144"/>
      </w:pPr>
      <w:rPr>
        <w:rFonts w:hint="default"/>
      </w:rPr>
    </w:lvl>
    <w:lvl w:ilvl="3" w:tplc="F19EC048">
      <w:numFmt w:val="bullet"/>
      <w:lvlText w:val="•"/>
      <w:lvlJc w:val="left"/>
      <w:pPr>
        <w:ind w:left="1802" w:hanging="144"/>
      </w:pPr>
      <w:rPr>
        <w:rFonts w:hint="default"/>
      </w:rPr>
    </w:lvl>
    <w:lvl w:ilvl="4" w:tplc="1CB0CF0E">
      <w:numFmt w:val="bullet"/>
      <w:lvlText w:val="•"/>
      <w:lvlJc w:val="left"/>
      <w:pPr>
        <w:ind w:left="1994" w:hanging="144"/>
      </w:pPr>
      <w:rPr>
        <w:rFonts w:hint="default"/>
      </w:rPr>
    </w:lvl>
    <w:lvl w:ilvl="5" w:tplc="D43A2EFE">
      <w:numFmt w:val="bullet"/>
      <w:lvlText w:val="•"/>
      <w:lvlJc w:val="left"/>
      <w:pPr>
        <w:ind w:left="2185" w:hanging="144"/>
      </w:pPr>
      <w:rPr>
        <w:rFonts w:hint="default"/>
      </w:rPr>
    </w:lvl>
    <w:lvl w:ilvl="6" w:tplc="556442FE">
      <w:numFmt w:val="bullet"/>
      <w:lvlText w:val="•"/>
      <w:lvlJc w:val="left"/>
      <w:pPr>
        <w:ind w:left="2376" w:hanging="144"/>
      </w:pPr>
      <w:rPr>
        <w:rFonts w:hint="default"/>
      </w:rPr>
    </w:lvl>
    <w:lvl w:ilvl="7" w:tplc="9118CD54">
      <w:numFmt w:val="bullet"/>
      <w:lvlText w:val="•"/>
      <w:lvlJc w:val="left"/>
      <w:pPr>
        <w:ind w:left="2568" w:hanging="144"/>
      </w:pPr>
      <w:rPr>
        <w:rFonts w:hint="default"/>
      </w:rPr>
    </w:lvl>
    <w:lvl w:ilvl="8" w:tplc="95D4858A">
      <w:numFmt w:val="bullet"/>
      <w:lvlText w:val="•"/>
      <w:lvlJc w:val="left"/>
      <w:pPr>
        <w:ind w:left="2759" w:hanging="144"/>
      </w:pPr>
      <w:rPr>
        <w:rFonts w:hint="default"/>
      </w:rPr>
    </w:lvl>
  </w:abstractNum>
  <w:abstractNum w:abstractNumId="3" w15:restartNumberingAfterBreak="0">
    <w:nsid w:val="64C36B2E"/>
    <w:multiLevelType w:val="hybridMultilevel"/>
    <w:tmpl w:val="37648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5983818"/>
    <w:multiLevelType w:val="hybridMultilevel"/>
    <w:tmpl w:val="611008F0"/>
    <w:lvl w:ilvl="0" w:tplc="5D724806">
      <w:numFmt w:val="bullet"/>
      <w:lvlText w:val=""/>
      <w:lvlJc w:val="left"/>
      <w:pPr>
        <w:ind w:left="420" w:hanging="288"/>
      </w:pPr>
      <w:rPr>
        <w:rFonts w:ascii="Symbol" w:eastAsia="Symbol" w:hAnsi="Symbol" w:cs="Symbol" w:hint="default"/>
        <w:w w:val="100"/>
        <w:sz w:val="18"/>
        <w:szCs w:val="18"/>
      </w:rPr>
    </w:lvl>
    <w:lvl w:ilvl="1" w:tplc="77045FA8">
      <w:numFmt w:val="bullet"/>
      <w:lvlText w:val="•"/>
      <w:lvlJc w:val="left"/>
      <w:pPr>
        <w:ind w:left="700" w:hanging="288"/>
      </w:pPr>
      <w:rPr>
        <w:rFonts w:hint="default"/>
      </w:rPr>
    </w:lvl>
    <w:lvl w:ilvl="2" w:tplc="4C8879E0">
      <w:numFmt w:val="bullet"/>
      <w:lvlText w:val="•"/>
      <w:lvlJc w:val="left"/>
      <w:pPr>
        <w:ind w:left="1595" w:hanging="288"/>
      </w:pPr>
      <w:rPr>
        <w:rFonts w:hint="default"/>
      </w:rPr>
    </w:lvl>
    <w:lvl w:ilvl="3" w:tplc="2896735C">
      <w:numFmt w:val="bullet"/>
      <w:lvlText w:val="•"/>
      <w:lvlJc w:val="left"/>
      <w:pPr>
        <w:ind w:left="2491" w:hanging="288"/>
      </w:pPr>
      <w:rPr>
        <w:rFonts w:hint="default"/>
      </w:rPr>
    </w:lvl>
    <w:lvl w:ilvl="4" w:tplc="FD928B34">
      <w:numFmt w:val="bullet"/>
      <w:lvlText w:val="•"/>
      <w:lvlJc w:val="left"/>
      <w:pPr>
        <w:ind w:left="3386" w:hanging="288"/>
      </w:pPr>
      <w:rPr>
        <w:rFonts w:hint="default"/>
      </w:rPr>
    </w:lvl>
    <w:lvl w:ilvl="5" w:tplc="AFACD866">
      <w:numFmt w:val="bullet"/>
      <w:lvlText w:val="•"/>
      <w:lvlJc w:val="left"/>
      <w:pPr>
        <w:ind w:left="4282" w:hanging="288"/>
      </w:pPr>
      <w:rPr>
        <w:rFonts w:hint="default"/>
      </w:rPr>
    </w:lvl>
    <w:lvl w:ilvl="6" w:tplc="552AA350">
      <w:numFmt w:val="bullet"/>
      <w:lvlText w:val="•"/>
      <w:lvlJc w:val="left"/>
      <w:pPr>
        <w:ind w:left="5177" w:hanging="288"/>
      </w:pPr>
      <w:rPr>
        <w:rFonts w:hint="default"/>
      </w:rPr>
    </w:lvl>
    <w:lvl w:ilvl="7" w:tplc="B6E6289A">
      <w:numFmt w:val="bullet"/>
      <w:lvlText w:val="•"/>
      <w:lvlJc w:val="left"/>
      <w:pPr>
        <w:ind w:left="6073" w:hanging="288"/>
      </w:pPr>
      <w:rPr>
        <w:rFonts w:hint="default"/>
      </w:rPr>
    </w:lvl>
    <w:lvl w:ilvl="8" w:tplc="058631EA">
      <w:numFmt w:val="bullet"/>
      <w:lvlText w:val="•"/>
      <w:lvlJc w:val="left"/>
      <w:pPr>
        <w:ind w:left="6968" w:hanging="288"/>
      </w:pPr>
      <w:rPr>
        <w:rFonts w:hint="default"/>
      </w:rPr>
    </w:lvl>
  </w:abstractNum>
  <w:abstractNum w:abstractNumId="5" w15:restartNumberingAfterBreak="0">
    <w:nsid w:val="6B3B7E36"/>
    <w:multiLevelType w:val="hybridMultilevel"/>
    <w:tmpl w:val="CE367C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2F2"/>
    <w:rsid w:val="000134BC"/>
    <w:rsid w:val="00057063"/>
    <w:rsid w:val="000F6613"/>
    <w:rsid w:val="001139B7"/>
    <w:rsid w:val="001855BA"/>
    <w:rsid w:val="001F7B93"/>
    <w:rsid w:val="002007C1"/>
    <w:rsid w:val="002439F3"/>
    <w:rsid w:val="00253D55"/>
    <w:rsid w:val="0028451C"/>
    <w:rsid w:val="00324ACC"/>
    <w:rsid w:val="003C30FF"/>
    <w:rsid w:val="003F616B"/>
    <w:rsid w:val="00400AEE"/>
    <w:rsid w:val="00404AE1"/>
    <w:rsid w:val="00430091"/>
    <w:rsid w:val="0047460C"/>
    <w:rsid w:val="004A2446"/>
    <w:rsid w:val="005043B1"/>
    <w:rsid w:val="0051439A"/>
    <w:rsid w:val="0056222D"/>
    <w:rsid w:val="0058015B"/>
    <w:rsid w:val="005D56E5"/>
    <w:rsid w:val="005F53AF"/>
    <w:rsid w:val="0063436C"/>
    <w:rsid w:val="00690BC5"/>
    <w:rsid w:val="006F382D"/>
    <w:rsid w:val="00716A2B"/>
    <w:rsid w:val="007E114F"/>
    <w:rsid w:val="007E5E9D"/>
    <w:rsid w:val="00805F58"/>
    <w:rsid w:val="0084752A"/>
    <w:rsid w:val="00851055"/>
    <w:rsid w:val="00891D5D"/>
    <w:rsid w:val="008C52DA"/>
    <w:rsid w:val="009B3CB9"/>
    <w:rsid w:val="009D1253"/>
    <w:rsid w:val="009E3A49"/>
    <w:rsid w:val="00A1384A"/>
    <w:rsid w:val="00A14AFF"/>
    <w:rsid w:val="00A34C02"/>
    <w:rsid w:val="00AB1DA9"/>
    <w:rsid w:val="00AC09C7"/>
    <w:rsid w:val="00AC5434"/>
    <w:rsid w:val="00AE3CA0"/>
    <w:rsid w:val="00B24A7E"/>
    <w:rsid w:val="00BA52F2"/>
    <w:rsid w:val="00BC4BC5"/>
    <w:rsid w:val="00BE75B8"/>
    <w:rsid w:val="00C6051C"/>
    <w:rsid w:val="00D44F50"/>
    <w:rsid w:val="00DF076A"/>
    <w:rsid w:val="00E03301"/>
    <w:rsid w:val="00E127EB"/>
    <w:rsid w:val="00E34F6B"/>
    <w:rsid w:val="00F0011B"/>
    <w:rsid w:val="00F402D0"/>
    <w:rsid w:val="00F41E41"/>
    <w:rsid w:val="00F724B1"/>
    <w:rsid w:val="00FC126F"/>
    <w:rsid w:val="00FD4807"/>
    <w:rsid w:val="00FE1D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E61506-6FC7-4870-A06C-08B8AE7AE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52F2"/>
  </w:style>
  <w:style w:type="paragraph" w:styleId="Heading2">
    <w:name w:val="heading 2"/>
    <w:basedOn w:val="Normal"/>
    <w:next w:val="Normal"/>
    <w:link w:val="Heading2Char"/>
    <w:uiPriority w:val="2"/>
    <w:unhideWhenUsed/>
    <w:qFormat/>
    <w:rsid w:val="00BA52F2"/>
    <w:pPr>
      <w:keepNext/>
      <w:spacing w:before="240" w:after="60" w:line="276" w:lineRule="auto"/>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BA52F2"/>
    <w:rPr>
      <w:rFonts w:ascii="Cambria" w:eastAsia="Times New Roman" w:hAnsi="Cambria"/>
      <w:b/>
      <w:bCs/>
      <w:i/>
      <w:iCs/>
      <w:sz w:val="28"/>
      <w:szCs w:val="28"/>
    </w:rPr>
  </w:style>
  <w:style w:type="paragraph" w:styleId="FootnoteText">
    <w:name w:val="footnote text"/>
    <w:basedOn w:val="Normal"/>
    <w:link w:val="FootnoteTextChar"/>
    <w:uiPriority w:val="99"/>
    <w:unhideWhenUsed/>
    <w:rsid w:val="00BA52F2"/>
    <w:pPr>
      <w:spacing w:after="0" w:line="240" w:lineRule="auto"/>
    </w:pPr>
  </w:style>
  <w:style w:type="character" w:customStyle="1" w:styleId="FootnoteTextChar">
    <w:name w:val="Footnote Text Char"/>
    <w:basedOn w:val="DefaultParagraphFont"/>
    <w:link w:val="FootnoteText"/>
    <w:uiPriority w:val="99"/>
    <w:rsid w:val="00BA52F2"/>
  </w:style>
  <w:style w:type="character" w:styleId="FootnoteReference">
    <w:name w:val="footnote reference"/>
    <w:basedOn w:val="DefaultParagraphFont"/>
    <w:uiPriority w:val="99"/>
    <w:semiHidden/>
    <w:unhideWhenUsed/>
    <w:rsid w:val="00BA52F2"/>
    <w:rPr>
      <w:vertAlign w:val="superscript"/>
    </w:rPr>
  </w:style>
  <w:style w:type="character" w:customStyle="1" w:styleId="talk-transcriptparatext">
    <w:name w:val="talk-transcript__para__text"/>
    <w:basedOn w:val="DefaultParagraphFont"/>
    <w:rsid w:val="00BA52F2"/>
  </w:style>
  <w:style w:type="character" w:customStyle="1" w:styleId="talk-transcriptfragment">
    <w:name w:val="talk-transcript__fragment"/>
    <w:basedOn w:val="DefaultParagraphFont"/>
    <w:rsid w:val="00BA52F2"/>
  </w:style>
  <w:style w:type="character" w:styleId="Hyperlink">
    <w:name w:val="Hyperlink"/>
    <w:basedOn w:val="DefaultParagraphFont"/>
    <w:uiPriority w:val="99"/>
    <w:unhideWhenUsed/>
    <w:rsid w:val="00BA52F2"/>
    <w:rPr>
      <w:color w:val="0000FF"/>
      <w:u w:val="single"/>
    </w:rPr>
  </w:style>
  <w:style w:type="paragraph" w:styleId="ListParagraph">
    <w:name w:val="List Paragraph"/>
    <w:basedOn w:val="Normal"/>
    <w:uiPriority w:val="1"/>
    <w:qFormat/>
    <w:rsid w:val="00BA52F2"/>
    <w:pPr>
      <w:spacing w:after="0" w:line="240" w:lineRule="auto"/>
      <w:ind w:left="720"/>
    </w:pPr>
    <w:rPr>
      <w:rFonts w:ascii="Calibri" w:hAnsi="Calibri"/>
    </w:rPr>
  </w:style>
  <w:style w:type="paragraph" w:customStyle="1" w:styleId="Default">
    <w:name w:val="Default"/>
    <w:rsid w:val="00BA52F2"/>
    <w:pPr>
      <w:autoSpaceDE w:val="0"/>
      <w:autoSpaceDN w:val="0"/>
      <w:adjustRightInd w:val="0"/>
      <w:spacing w:after="0" w:line="240" w:lineRule="auto"/>
    </w:pPr>
    <w:rPr>
      <w:color w:val="000000"/>
      <w:sz w:val="24"/>
      <w:szCs w:val="24"/>
    </w:rPr>
  </w:style>
  <w:style w:type="paragraph" w:customStyle="1" w:styleId="TableParagraph">
    <w:name w:val="Table Paragraph"/>
    <w:basedOn w:val="Normal"/>
    <w:uiPriority w:val="1"/>
    <w:qFormat/>
    <w:rsid w:val="00FD4807"/>
    <w:pPr>
      <w:widowControl w:val="0"/>
      <w:autoSpaceDE w:val="0"/>
      <w:autoSpaceDN w:val="0"/>
      <w:spacing w:after="0" w:line="240" w:lineRule="auto"/>
    </w:pPr>
    <w:rPr>
      <w:rFonts w:eastAsia="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AB5FE-66DA-4EBE-A3DC-50E59E27F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Homan</dc:creator>
  <cp:keywords/>
  <dc:description/>
  <cp:lastModifiedBy>John Homan</cp:lastModifiedBy>
  <cp:revision>3</cp:revision>
  <dcterms:created xsi:type="dcterms:W3CDTF">2017-06-27T01:14:00Z</dcterms:created>
  <dcterms:modified xsi:type="dcterms:W3CDTF">2017-06-27T01:18:00Z</dcterms:modified>
</cp:coreProperties>
</file>