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3F1E4" w14:textId="77777777" w:rsidR="00DC0E5B" w:rsidRPr="00493BDD" w:rsidRDefault="00DC0E5B" w:rsidP="00DC0E5B">
      <w:pPr>
        <w:pStyle w:val="Smalltext"/>
        <w:ind w:left="-709"/>
        <w:rPr>
          <w:rFonts w:ascii="Georgia" w:eastAsiaTheme="majorEastAsia" w:hAnsi="Georgia" w:cstheme="majorBidi"/>
          <w:color w:val="24596E"/>
          <w:spacing w:val="0"/>
          <w:sz w:val="63"/>
          <w:szCs w:val="63"/>
          <w:lang w:val="en-AU"/>
        </w:rPr>
      </w:pPr>
      <w:r w:rsidRPr="00493BDD">
        <w:rPr>
          <w:rFonts w:ascii="Georgia" w:eastAsiaTheme="majorEastAsia" w:hAnsi="Georgia" w:cstheme="majorBidi"/>
          <w:color w:val="24596E"/>
          <w:spacing w:val="0"/>
          <w:sz w:val="63"/>
          <w:szCs w:val="63"/>
          <w:lang w:val="en-AU"/>
        </w:rPr>
        <w:t>Discussion paper</w:t>
      </w:r>
    </w:p>
    <w:p w14:paraId="5143BA6D" w14:textId="77777777" w:rsidR="000C4C52" w:rsidRPr="00493BDD" w:rsidRDefault="005C1831" w:rsidP="00DC0E5B">
      <w:pPr>
        <w:pStyle w:val="Smalltext"/>
        <w:ind w:left="-709"/>
        <w:rPr>
          <w:rFonts w:ascii="Georgia" w:eastAsiaTheme="majorEastAsia" w:hAnsi="Georgia" w:cstheme="majorBidi"/>
          <w:iCs/>
          <w:spacing w:val="6"/>
          <w:sz w:val="30"/>
          <w:szCs w:val="30"/>
          <w:lang w:val="en-AU"/>
        </w:rPr>
      </w:pPr>
      <w:r>
        <w:rPr>
          <w:rFonts w:ascii="Georgia" w:eastAsiaTheme="majorEastAsia" w:hAnsi="Georgia" w:cstheme="majorBidi"/>
          <w:iCs/>
          <w:spacing w:val="6"/>
          <w:sz w:val="30"/>
          <w:szCs w:val="30"/>
          <w:lang w:val="en-AU"/>
        </w:rPr>
        <w:t>Ensuring a strong</w:t>
      </w:r>
      <w:r w:rsidR="000C4C52" w:rsidRPr="00493BDD">
        <w:rPr>
          <w:rFonts w:ascii="Georgia" w:eastAsiaTheme="majorEastAsia" w:hAnsi="Georgia" w:cstheme="majorBidi"/>
          <w:iCs/>
          <w:spacing w:val="6"/>
          <w:sz w:val="30"/>
          <w:szCs w:val="30"/>
          <w:lang w:val="en-AU"/>
        </w:rPr>
        <w:t xml:space="preserve"> </w:t>
      </w:r>
      <w:r w:rsidR="003A1F72">
        <w:rPr>
          <w:rFonts w:ascii="Georgia" w:eastAsiaTheme="majorEastAsia" w:hAnsi="Georgia" w:cstheme="majorBidi"/>
          <w:iCs/>
          <w:spacing w:val="6"/>
          <w:sz w:val="30"/>
          <w:szCs w:val="30"/>
          <w:lang w:val="en-AU"/>
        </w:rPr>
        <w:t>future for</w:t>
      </w:r>
      <w:r w:rsidR="001C7913" w:rsidRPr="00493BDD">
        <w:rPr>
          <w:rFonts w:ascii="Georgia" w:eastAsiaTheme="majorEastAsia" w:hAnsi="Georgia" w:cstheme="majorBidi"/>
          <w:iCs/>
          <w:spacing w:val="6"/>
          <w:sz w:val="30"/>
          <w:szCs w:val="30"/>
          <w:lang w:val="en-AU"/>
        </w:rPr>
        <w:t xml:space="preserve"> supported e</w:t>
      </w:r>
      <w:r w:rsidR="000C4C52" w:rsidRPr="00493BDD">
        <w:rPr>
          <w:rFonts w:ascii="Georgia" w:eastAsiaTheme="majorEastAsia" w:hAnsi="Georgia" w:cstheme="majorBidi"/>
          <w:iCs/>
          <w:spacing w:val="6"/>
          <w:sz w:val="30"/>
          <w:szCs w:val="30"/>
          <w:lang w:val="en-AU"/>
        </w:rPr>
        <w:t xml:space="preserve">mployment </w:t>
      </w:r>
    </w:p>
    <w:p w14:paraId="2E53D884" w14:textId="3EDB25FD" w:rsidR="0094563F" w:rsidRPr="00CC2D5F" w:rsidRDefault="00003C21" w:rsidP="00DC0E5B">
      <w:pPr>
        <w:pStyle w:val="Smalltext"/>
        <w:ind w:left="-709"/>
        <w:rPr>
          <w:rFonts w:asciiTheme="majorHAnsi" w:hAnsiTheme="majorHAnsi"/>
          <w:sz w:val="20"/>
          <w:szCs w:val="20"/>
        </w:rPr>
      </w:pPr>
      <w:r>
        <w:rPr>
          <w:rFonts w:asciiTheme="majorHAnsi" w:hAnsiTheme="majorHAnsi"/>
          <w:sz w:val="20"/>
          <w:szCs w:val="20"/>
        </w:rPr>
        <w:t>December</w:t>
      </w:r>
      <w:r w:rsidRPr="00CC2D5F">
        <w:rPr>
          <w:rFonts w:asciiTheme="majorHAnsi" w:hAnsiTheme="majorHAnsi"/>
          <w:sz w:val="20"/>
          <w:szCs w:val="20"/>
        </w:rPr>
        <w:t xml:space="preserve"> </w:t>
      </w:r>
      <w:r w:rsidR="00DC0E5B" w:rsidRPr="00CC2D5F">
        <w:rPr>
          <w:rFonts w:asciiTheme="majorHAnsi" w:hAnsiTheme="majorHAnsi"/>
          <w:sz w:val="20"/>
          <w:szCs w:val="20"/>
        </w:rPr>
        <w:t>2017</w:t>
      </w:r>
    </w:p>
    <w:p w14:paraId="61A60F86" w14:textId="77777777" w:rsidR="0094563F" w:rsidRPr="00493BDD" w:rsidRDefault="0094563F" w:rsidP="004F77F4">
      <w:pPr>
        <w:spacing w:before="800"/>
        <w:ind w:left="-709"/>
        <w:rPr>
          <w:i/>
          <w:iCs/>
          <w:smallCaps/>
          <w:sz w:val="23"/>
          <w:szCs w:val="23"/>
        </w:rPr>
        <w:sectPr w:rsidR="0094563F" w:rsidRPr="00493BDD" w:rsidSect="00493BDD">
          <w:headerReference w:type="default" r:id="rId11"/>
          <w:footerReference w:type="default" r:id="rId12"/>
          <w:headerReference w:type="first" r:id="rId13"/>
          <w:footerReference w:type="first" r:id="rId14"/>
          <w:type w:val="continuous"/>
          <w:pgSz w:w="11906" w:h="16838"/>
          <w:pgMar w:top="1440" w:right="1440" w:bottom="1440" w:left="1440" w:header="283" w:footer="0" w:gutter="0"/>
          <w:cols w:space="708"/>
          <w:titlePg/>
          <w:docGrid w:linePitch="360"/>
        </w:sectPr>
      </w:pPr>
    </w:p>
    <w:p w14:paraId="3AAE8423" w14:textId="77777777" w:rsidR="001C7297" w:rsidRDefault="001C7297" w:rsidP="0017396A">
      <w:pPr>
        <w:spacing w:before="600" w:after="0"/>
        <w:jc w:val="both"/>
        <w:rPr>
          <w:rFonts w:ascii="Calibri" w:hAnsi="Calibri" w:cs="Calibri"/>
          <w:b/>
          <w:sz w:val="23"/>
          <w:szCs w:val="23"/>
        </w:rPr>
      </w:pPr>
    </w:p>
    <w:p w14:paraId="5410013D" w14:textId="77777777" w:rsidR="007D6D15" w:rsidRDefault="007D6D15" w:rsidP="0017396A">
      <w:pPr>
        <w:spacing w:before="600" w:after="0"/>
        <w:jc w:val="both"/>
        <w:rPr>
          <w:rFonts w:ascii="Calibri" w:hAnsi="Calibri" w:cs="Calibri"/>
          <w:b/>
          <w:sz w:val="23"/>
          <w:szCs w:val="23"/>
        </w:rPr>
      </w:pPr>
    </w:p>
    <w:p w14:paraId="050C68CA" w14:textId="77777777" w:rsidR="0017396A" w:rsidRPr="00493BDD" w:rsidRDefault="0017396A" w:rsidP="0017396A">
      <w:pPr>
        <w:spacing w:before="600" w:after="0"/>
        <w:jc w:val="both"/>
        <w:rPr>
          <w:rFonts w:ascii="Calibri" w:hAnsi="Calibri" w:cs="Calibri"/>
          <w:b/>
          <w:sz w:val="23"/>
          <w:szCs w:val="23"/>
        </w:rPr>
      </w:pPr>
      <w:r w:rsidRPr="00493BDD">
        <w:rPr>
          <w:rFonts w:ascii="Calibri" w:hAnsi="Calibri" w:cs="Calibri"/>
          <w:b/>
          <w:sz w:val="23"/>
          <w:szCs w:val="23"/>
        </w:rPr>
        <w:lastRenderedPageBreak/>
        <w:t>Copyright notice</w:t>
      </w:r>
    </w:p>
    <w:p w14:paraId="481CC8E0" w14:textId="77777777" w:rsidR="0017396A" w:rsidRPr="00493BDD" w:rsidRDefault="0017396A" w:rsidP="0017396A">
      <w:pPr>
        <w:pStyle w:val="NormalWeb"/>
        <w:rPr>
          <w:rFonts w:ascii="Calibri" w:hAnsi="Calibri" w:cs="Calibri"/>
          <w:sz w:val="23"/>
          <w:szCs w:val="23"/>
        </w:rPr>
      </w:pPr>
      <w:r w:rsidRPr="00493BDD">
        <w:rPr>
          <w:rFonts w:ascii="Calibri" w:hAnsi="Calibri" w:cs="Calibri"/>
          <w:noProof/>
          <w:sz w:val="23"/>
          <w:szCs w:val="23"/>
        </w:rPr>
        <w:drawing>
          <wp:inline distT="0" distB="0" distL="0" distR="0" wp14:anchorId="27D3C2F9" wp14:editId="01EB856E">
            <wp:extent cx="1227411" cy="429442"/>
            <wp:effectExtent l="0" t="0" r="0" b="8890"/>
            <wp:docPr id="16" name="Picture 16"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3531BC2" w14:textId="77777777" w:rsidR="0017396A" w:rsidRPr="00493BDD" w:rsidRDefault="0017396A" w:rsidP="0017396A">
      <w:pPr>
        <w:rPr>
          <w:rStyle w:val="Hyperlink"/>
          <w:rFonts w:ascii="Calibri" w:eastAsiaTheme="majorEastAsia" w:hAnsi="Calibri" w:cs="Calibri"/>
          <w:sz w:val="23"/>
          <w:szCs w:val="23"/>
        </w:rPr>
      </w:pPr>
      <w:r w:rsidRPr="00493BDD">
        <w:rPr>
          <w:rFonts w:ascii="Calibri" w:hAnsi="Calibri" w:cs="Calibri"/>
          <w:sz w:val="23"/>
          <w:szCs w:val="23"/>
        </w:rPr>
        <w:t xml:space="preserve">This document </w:t>
      </w:r>
      <w:r w:rsidR="00E22E8F">
        <w:rPr>
          <w:rFonts w:ascii="Calibri" w:hAnsi="Calibri" w:cs="Calibri"/>
          <w:i/>
          <w:sz w:val="23"/>
          <w:szCs w:val="23"/>
        </w:rPr>
        <w:t>Ensuring a strong</w:t>
      </w:r>
      <w:r w:rsidR="003A1F72" w:rsidRPr="003A1F72">
        <w:rPr>
          <w:rFonts w:ascii="Calibri" w:hAnsi="Calibri" w:cs="Calibri"/>
          <w:i/>
          <w:sz w:val="23"/>
          <w:szCs w:val="23"/>
        </w:rPr>
        <w:t xml:space="preserve"> future for supported employment </w:t>
      </w:r>
      <w:r w:rsidRPr="00493BDD">
        <w:rPr>
          <w:rFonts w:ascii="Calibri" w:hAnsi="Calibri" w:cs="Calibri"/>
          <w:sz w:val="23"/>
          <w:szCs w:val="23"/>
        </w:rPr>
        <w:t xml:space="preserve">is licensed under the </w:t>
      </w:r>
      <w:r w:rsidRPr="00493BDD">
        <w:rPr>
          <w:rFonts w:ascii="Calibri" w:hAnsi="Calibri" w:cs="Calibri"/>
          <w:sz w:val="23"/>
          <w:szCs w:val="23"/>
        </w:rPr>
        <w:fldChar w:fldCharType="begin"/>
      </w:r>
      <w:r w:rsidRPr="00493BDD">
        <w:rPr>
          <w:rFonts w:ascii="Calibri" w:hAnsi="Calibri" w:cs="Calibri"/>
          <w:sz w:val="23"/>
          <w:szCs w:val="23"/>
        </w:rPr>
        <w:instrText xml:space="preserve"> HYPERLINK "https://creativecommons.org/licenses/by/4.0/legalcode" </w:instrText>
      </w:r>
      <w:r w:rsidRPr="00493BDD">
        <w:rPr>
          <w:rFonts w:ascii="Calibri" w:hAnsi="Calibri" w:cs="Calibri"/>
          <w:sz w:val="23"/>
          <w:szCs w:val="23"/>
        </w:rPr>
        <w:fldChar w:fldCharType="separate"/>
      </w:r>
      <w:r w:rsidRPr="00493BDD">
        <w:rPr>
          <w:rStyle w:val="Hyperlink"/>
          <w:rFonts w:ascii="Calibri" w:eastAsiaTheme="majorEastAsia" w:hAnsi="Calibri" w:cs="Calibri"/>
          <w:sz w:val="23"/>
          <w:szCs w:val="23"/>
        </w:rPr>
        <w:t>Creative Commons Attribution 4.0 International Licence</w:t>
      </w:r>
    </w:p>
    <w:p w14:paraId="765CA7E8" w14:textId="77777777" w:rsidR="0017396A" w:rsidRPr="00493BDD" w:rsidRDefault="0017396A" w:rsidP="0017396A">
      <w:pPr>
        <w:rPr>
          <w:rStyle w:val="Hyperlink"/>
          <w:rFonts w:ascii="Calibri" w:eastAsiaTheme="majorEastAsia" w:hAnsi="Calibri" w:cs="Calibri"/>
          <w:sz w:val="23"/>
          <w:szCs w:val="23"/>
        </w:rPr>
      </w:pPr>
      <w:r w:rsidRPr="00493BDD">
        <w:rPr>
          <w:rFonts w:ascii="Calibri" w:hAnsi="Calibri" w:cs="Calibri"/>
          <w:sz w:val="23"/>
          <w:szCs w:val="23"/>
        </w:rPr>
        <w:fldChar w:fldCharType="end"/>
      </w:r>
      <w:r w:rsidRPr="00493BDD">
        <w:rPr>
          <w:rFonts w:ascii="Calibri" w:hAnsi="Calibri" w:cs="Calibri"/>
          <w:sz w:val="23"/>
          <w:szCs w:val="23"/>
        </w:rPr>
        <w:t xml:space="preserve">Licence URL: </w:t>
      </w:r>
      <w:r w:rsidRPr="00493BDD">
        <w:rPr>
          <w:rFonts w:ascii="Calibri" w:hAnsi="Calibri" w:cs="Calibri"/>
          <w:sz w:val="23"/>
          <w:szCs w:val="23"/>
        </w:rPr>
        <w:fldChar w:fldCharType="begin"/>
      </w:r>
      <w:r w:rsidRPr="00493BDD">
        <w:rPr>
          <w:rFonts w:ascii="Calibri" w:hAnsi="Calibri" w:cs="Calibri"/>
          <w:sz w:val="23"/>
          <w:szCs w:val="23"/>
        </w:rPr>
        <w:instrText xml:space="preserve"> HYPERLINK "https://creativecommons.org/licenses/by/4.0/legalcode" </w:instrText>
      </w:r>
      <w:r w:rsidRPr="00493BDD">
        <w:rPr>
          <w:rFonts w:ascii="Calibri" w:hAnsi="Calibri" w:cs="Calibri"/>
          <w:sz w:val="23"/>
          <w:szCs w:val="23"/>
        </w:rPr>
        <w:fldChar w:fldCharType="separate"/>
      </w:r>
      <w:r w:rsidRPr="00493BDD">
        <w:rPr>
          <w:rStyle w:val="Hyperlink"/>
          <w:rFonts w:ascii="Calibri" w:eastAsiaTheme="majorEastAsia" w:hAnsi="Calibri" w:cs="Calibri"/>
          <w:sz w:val="23"/>
          <w:szCs w:val="23"/>
        </w:rPr>
        <w:t>https://creativecommons.org/licenses/by/4.0/legalcode</w:t>
      </w:r>
    </w:p>
    <w:p w14:paraId="5BA26597" w14:textId="77777777" w:rsidR="0017396A" w:rsidRPr="00493BDD" w:rsidRDefault="0017396A" w:rsidP="0017396A">
      <w:pPr>
        <w:rPr>
          <w:rFonts w:ascii="Calibri" w:hAnsi="Calibri" w:cs="Calibri"/>
          <w:sz w:val="23"/>
          <w:szCs w:val="23"/>
        </w:rPr>
      </w:pPr>
      <w:r w:rsidRPr="00493BDD">
        <w:rPr>
          <w:rFonts w:ascii="Calibri" w:hAnsi="Calibri" w:cs="Calibri"/>
          <w:sz w:val="23"/>
          <w:szCs w:val="23"/>
        </w:rPr>
        <w:fldChar w:fldCharType="end"/>
      </w:r>
      <w:r w:rsidRPr="00493BDD">
        <w:rPr>
          <w:rFonts w:ascii="Calibri" w:hAnsi="Calibri" w:cs="Calibri"/>
          <w:sz w:val="23"/>
          <w:szCs w:val="23"/>
        </w:rPr>
        <w:t>Please attribute: © Commonwealth of Australia (</w:t>
      </w:r>
      <w:hyperlink r:id="rId16" w:history="1">
        <w:r w:rsidRPr="00493BDD">
          <w:rPr>
            <w:rStyle w:val="Hyperlink"/>
            <w:rFonts w:ascii="Calibri" w:eastAsiaTheme="majorEastAsia" w:hAnsi="Calibri" w:cs="Calibri"/>
            <w:sz w:val="23"/>
            <w:szCs w:val="23"/>
          </w:rPr>
          <w:t>Department of Social Services</w:t>
        </w:r>
      </w:hyperlink>
      <w:r w:rsidRPr="00493BDD">
        <w:rPr>
          <w:rFonts w:ascii="Calibri" w:hAnsi="Calibri" w:cs="Calibri"/>
          <w:sz w:val="23"/>
          <w:szCs w:val="23"/>
        </w:rPr>
        <w:t>) 2016</w:t>
      </w:r>
    </w:p>
    <w:p w14:paraId="00204ADE" w14:textId="77777777" w:rsidR="0017396A" w:rsidRPr="00493BDD" w:rsidRDefault="0017396A" w:rsidP="0017396A">
      <w:pPr>
        <w:rPr>
          <w:rFonts w:ascii="Calibri" w:hAnsi="Calibri" w:cs="Calibri"/>
          <w:b/>
          <w:sz w:val="23"/>
          <w:szCs w:val="23"/>
        </w:rPr>
      </w:pPr>
      <w:r w:rsidRPr="00493BDD">
        <w:rPr>
          <w:rFonts w:ascii="Calibri" w:hAnsi="Calibri" w:cs="Calibri"/>
          <w:b/>
          <w:sz w:val="23"/>
          <w:szCs w:val="23"/>
        </w:rPr>
        <w:t xml:space="preserve">Notice: </w:t>
      </w:r>
    </w:p>
    <w:p w14:paraId="71E4E789" w14:textId="77777777" w:rsidR="0017396A" w:rsidRPr="00493BDD" w:rsidRDefault="0017396A" w:rsidP="00712B97">
      <w:pPr>
        <w:pStyle w:val="ListBullet"/>
        <w:numPr>
          <w:ilvl w:val="0"/>
          <w:numId w:val="6"/>
        </w:numPr>
        <w:spacing w:before="60" w:after="120"/>
        <w:rPr>
          <w:rFonts w:ascii="Calibri" w:hAnsi="Calibri" w:cs="Calibri"/>
          <w:sz w:val="23"/>
          <w:szCs w:val="23"/>
        </w:rPr>
      </w:pPr>
      <w:r w:rsidRPr="00493BDD">
        <w:rPr>
          <w:rFonts w:ascii="Calibri" w:hAnsi="Calibri" w:cs="Calibri"/>
          <w:sz w:val="23"/>
          <w:szCs w:val="23"/>
        </w:rPr>
        <w:t>If you create a derivative of this document, the Department of Social Services requests the following notice be placed on your derivative: Based on Commonwealth of Australia (Department of Social Services) data.</w:t>
      </w:r>
    </w:p>
    <w:p w14:paraId="75935825" w14:textId="77777777" w:rsidR="0017396A" w:rsidRPr="00493BDD" w:rsidRDefault="0017396A" w:rsidP="00712B97">
      <w:pPr>
        <w:pStyle w:val="ListBullet"/>
        <w:numPr>
          <w:ilvl w:val="0"/>
          <w:numId w:val="6"/>
        </w:numPr>
        <w:spacing w:before="60" w:after="120"/>
        <w:rPr>
          <w:rFonts w:ascii="Calibri" w:hAnsi="Calibri" w:cs="Calibri"/>
          <w:sz w:val="23"/>
          <w:szCs w:val="23"/>
        </w:rPr>
      </w:pPr>
      <w:r w:rsidRPr="00493BDD">
        <w:rPr>
          <w:rFonts w:ascii="Calibri" w:hAnsi="Calibri" w:cs="Calibri"/>
          <w:sz w:val="23"/>
          <w:szCs w:val="23"/>
        </w:rPr>
        <w:t xml:space="preserve">Inquiries regarding this licence or any other use of this document are welcome. Please contact: Branch Manager, Communication </w:t>
      </w:r>
      <w:r w:rsidR="00CC3427">
        <w:rPr>
          <w:rFonts w:ascii="Calibri" w:hAnsi="Calibri" w:cs="Calibri"/>
          <w:sz w:val="23"/>
          <w:szCs w:val="23"/>
        </w:rPr>
        <w:t>Services</w:t>
      </w:r>
      <w:r w:rsidRPr="00493BDD">
        <w:rPr>
          <w:rFonts w:ascii="Calibri" w:hAnsi="Calibri" w:cs="Calibri"/>
          <w:sz w:val="23"/>
          <w:szCs w:val="23"/>
        </w:rPr>
        <w:t xml:space="preserve"> Branch, Department of Social Services. </w:t>
      </w:r>
      <w:r w:rsidR="00CC3427">
        <w:rPr>
          <w:rFonts w:ascii="Calibri" w:hAnsi="Calibri" w:cs="Calibri"/>
          <w:sz w:val="23"/>
          <w:szCs w:val="23"/>
        </w:rPr>
        <w:br/>
      </w:r>
      <w:r w:rsidRPr="00493BDD">
        <w:rPr>
          <w:rFonts w:ascii="Calibri" w:hAnsi="Calibri" w:cs="Calibri"/>
          <w:sz w:val="23"/>
          <w:szCs w:val="23"/>
        </w:rPr>
        <w:t xml:space="preserve">Phone: 1300 653 227. Email: </w:t>
      </w:r>
      <w:hyperlink r:id="rId17" w:history="1">
        <w:r w:rsidRPr="00493BDD">
          <w:rPr>
            <w:rStyle w:val="Hyperlink"/>
            <w:rFonts w:ascii="Calibri" w:eastAsiaTheme="majorEastAsia" w:hAnsi="Calibri" w:cs="Calibri"/>
            <w:sz w:val="23"/>
            <w:szCs w:val="23"/>
          </w:rPr>
          <w:t>communications@dss.gov.au</w:t>
        </w:r>
      </w:hyperlink>
    </w:p>
    <w:p w14:paraId="30A988E4" w14:textId="77777777" w:rsidR="0017396A" w:rsidRPr="00493BDD" w:rsidRDefault="0017396A" w:rsidP="0017396A">
      <w:pPr>
        <w:rPr>
          <w:rFonts w:ascii="Calibri" w:hAnsi="Calibri" w:cs="Calibri"/>
          <w:b/>
          <w:sz w:val="23"/>
          <w:szCs w:val="23"/>
        </w:rPr>
      </w:pPr>
      <w:r w:rsidRPr="00493BDD">
        <w:rPr>
          <w:rFonts w:ascii="Calibri" w:hAnsi="Calibri" w:cs="Calibri"/>
          <w:b/>
          <w:sz w:val="23"/>
          <w:szCs w:val="23"/>
        </w:rPr>
        <w:t>Notice identifying other material or rights in this publication:</w:t>
      </w:r>
    </w:p>
    <w:p w14:paraId="72F559A2" w14:textId="77777777" w:rsidR="0017396A" w:rsidRPr="00493BDD" w:rsidRDefault="0017396A" w:rsidP="00712B97">
      <w:pPr>
        <w:pStyle w:val="ListBullet"/>
        <w:numPr>
          <w:ilvl w:val="0"/>
          <w:numId w:val="7"/>
        </w:numPr>
        <w:spacing w:before="60" w:after="120"/>
        <w:rPr>
          <w:rFonts w:ascii="Calibri" w:hAnsi="Calibri" w:cs="Calibri"/>
          <w:sz w:val="23"/>
          <w:szCs w:val="23"/>
        </w:rPr>
      </w:pPr>
      <w:r w:rsidRPr="00493BDD">
        <w:rPr>
          <w:rFonts w:ascii="Calibri" w:hAnsi="Calibri" w:cs="Calibri"/>
          <w:sz w:val="23"/>
          <w:szCs w:val="23"/>
        </w:rPr>
        <w:t xml:space="preserve">Australian Commonwealth Coat of Arms — not Licensed under Creative Commons, see </w:t>
      </w:r>
      <w:hyperlink r:id="rId18" w:history="1">
        <w:r w:rsidRPr="00493BDD">
          <w:rPr>
            <w:rStyle w:val="Hyperlink"/>
            <w:rFonts w:ascii="Calibri" w:eastAsiaTheme="majorEastAsia" w:hAnsi="Calibri" w:cs="Calibri"/>
            <w:sz w:val="23"/>
            <w:szCs w:val="23"/>
          </w:rPr>
          <w:t>https://www.itsanhonour.gov.au/coat-arms/index.cfm</w:t>
        </w:r>
      </w:hyperlink>
    </w:p>
    <w:p w14:paraId="497C8EA4" w14:textId="77777777" w:rsidR="0017396A" w:rsidRPr="00493BDD" w:rsidRDefault="0017396A" w:rsidP="00712B97">
      <w:pPr>
        <w:pStyle w:val="ListBullet"/>
        <w:numPr>
          <w:ilvl w:val="0"/>
          <w:numId w:val="7"/>
        </w:numPr>
        <w:spacing w:before="60" w:after="120"/>
        <w:rPr>
          <w:rFonts w:ascii="Calibri" w:hAnsi="Calibri" w:cs="Calibri"/>
          <w:sz w:val="23"/>
          <w:szCs w:val="23"/>
        </w:rPr>
      </w:pPr>
      <w:r w:rsidRPr="00493BDD">
        <w:rPr>
          <w:rFonts w:ascii="Calibri" w:hAnsi="Calibri" w:cs="Calibri"/>
          <w:sz w:val="23"/>
          <w:szCs w:val="23"/>
        </w:rPr>
        <w:t>Certain images and photographs (as marked) — not licensed under Creative Commons</w:t>
      </w:r>
    </w:p>
    <w:p w14:paraId="4A790DE8" w14:textId="77777777" w:rsidR="00500EA9" w:rsidRDefault="003D0B13" w:rsidP="006236F9">
      <w:pPr>
        <w:pStyle w:val="Heading1"/>
        <w:spacing w:before="120" w:after="240"/>
        <w:rPr>
          <w:rFonts w:asciiTheme="majorHAnsi" w:hAnsiTheme="majorHAnsi"/>
          <w:sz w:val="34"/>
          <w:szCs w:val="34"/>
        </w:rPr>
      </w:pPr>
      <w:r w:rsidRPr="00493BDD">
        <w:rPr>
          <w:rFonts w:asciiTheme="majorHAnsi" w:hAnsiTheme="majorHAnsi"/>
          <w:sz w:val="34"/>
          <w:szCs w:val="34"/>
        </w:rPr>
        <w:br w:type="page"/>
      </w:r>
      <w:bookmarkStart w:id="0" w:name="_Toc497745053"/>
      <w:bookmarkStart w:id="1" w:name="_Toc497823541"/>
      <w:bookmarkStart w:id="2" w:name="_Toc497893425"/>
      <w:bookmarkStart w:id="3" w:name="_Toc497893468"/>
      <w:bookmarkStart w:id="4" w:name="_Toc497893775"/>
      <w:bookmarkStart w:id="5" w:name="_Toc497893875"/>
      <w:bookmarkStart w:id="6" w:name="_Toc497893904"/>
    </w:p>
    <w:p w14:paraId="21175F71" w14:textId="77777777" w:rsidR="00500EA9" w:rsidRDefault="00500EA9" w:rsidP="002247FA">
      <w:pPr>
        <w:pStyle w:val="Heading1"/>
      </w:pPr>
      <w:bookmarkStart w:id="7" w:name="_Toc500401850"/>
      <w:r>
        <w:lastRenderedPageBreak/>
        <w:t>Ministers’ Preface</w:t>
      </w:r>
      <w:bookmarkEnd w:id="7"/>
    </w:p>
    <w:p w14:paraId="18B52395" w14:textId="253FA529" w:rsidR="00500EA9" w:rsidRDefault="00500EA9" w:rsidP="00500EA9">
      <w:pPr>
        <w:spacing w:after="0" w:line="240" w:lineRule="auto"/>
      </w:pPr>
    </w:p>
    <w:p w14:paraId="7822C113" w14:textId="15AFC939" w:rsidR="00447AD2" w:rsidRPr="00331C14" w:rsidRDefault="00447AD2" w:rsidP="00447AD2">
      <w:pPr>
        <w:spacing w:line="240" w:lineRule="auto"/>
        <w:rPr>
          <w:sz w:val="23"/>
          <w:szCs w:val="23"/>
        </w:rPr>
      </w:pPr>
      <w:r w:rsidRPr="00331C14">
        <w:rPr>
          <w:sz w:val="23"/>
          <w:szCs w:val="23"/>
        </w:rPr>
        <w:t>Supported employment has a strong legacy in Australian communities, providing real social benefit to people with disability, their families and carers. Across Australia, there are around 20,000 supported employees, predominantly with moderate to severe disability.</w:t>
      </w:r>
    </w:p>
    <w:p w14:paraId="6855EDB6" w14:textId="16879EDD" w:rsidR="00447AD2" w:rsidRPr="00331C14" w:rsidRDefault="00447AD2" w:rsidP="00447AD2">
      <w:pPr>
        <w:spacing w:line="240" w:lineRule="auto"/>
        <w:rPr>
          <w:sz w:val="23"/>
          <w:szCs w:val="23"/>
        </w:rPr>
      </w:pPr>
      <w:r w:rsidRPr="00331C14">
        <w:rPr>
          <w:sz w:val="23"/>
          <w:szCs w:val="23"/>
        </w:rPr>
        <w:t>The economy also benefits from their employment. Deloitte Access Economics in 2011 found that closing the employment gap between people with disability and people without, by as much as a third, could boost Australia’s Gross Domestic Product by $43 billion over the decade.</w:t>
      </w:r>
    </w:p>
    <w:p w14:paraId="438D4A0A" w14:textId="7EA2C20C" w:rsidR="00447AD2" w:rsidRPr="00331C14" w:rsidRDefault="007346A2" w:rsidP="00447AD2">
      <w:pPr>
        <w:spacing w:line="240" w:lineRule="auto"/>
        <w:rPr>
          <w:sz w:val="23"/>
          <w:szCs w:val="23"/>
        </w:rPr>
      </w:pPr>
      <w:r>
        <w:rPr>
          <w:sz w:val="23"/>
          <w:szCs w:val="23"/>
        </w:rPr>
        <w:t>During</w:t>
      </w:r>
      <w:r w:rsidR="00447AD2" w:rsidRPr="00331C14">
        <w:rPr>
          <w:sz w:val="23"/>
          <w:szCs w:val="23"/>
        </w:rPr>
        <w:t xml:space="preserve"> the financial years 2015-16 to 2019-20, the Government has built on </w:t>
      </w:r>
      <w:r>
        <w:rPr>
          <w:sz w:val="23"/>
          <w:szCs w:val="23"/>
        </w:rPr>
        <w:t>our</w:t>
      </w:r>
      <w:r w:rsidR="00447AD2" w:rsidRPr="00331C14">
        <w:rPr>
          <w:sz w:val="23"/>
          <w:szCs w:val="23"/>
        </w:rPr>
        <w:t xml:space="preserve"> commitment to supported employment, providing </w:t>
      </w:r>
      <w:r>
        <w:rPr>
          <w:sz w:val="23"/>
          <w:szCs w:val="23"/>
        </w:rPr>
        <w:t>more than</w:t>
      </w:r>
      <w:r w:rsidR="00447AD2" w:rsidRPr="00331C14">
        <w:rPr>
          <w:sz w:val="23"/>
          <w:szCs w:val="23"/>
        </w:rPr>
        <w:t xml:space="preserve"> $1.3 billion in funding. This includes funding to assist Australian Disabil</w:t>
      </w:r>
      <w:r w:rsidR="00C716B9">
        <w:rPr>
          <w:sz w:val="23"/>
          <w:szCs w:val="23"/>
        </w:rPr>
        <w:t>ity Enterprises (ADEs) during a </w:t>
      </w:r>
      <w:r w:rsidR="00447AD2" w:rsidRPr="00331C14">
        <w:rPr>
          <w:sz w:val="23"/>
          <w:szCs w:val="23"/>
        </w:rPr>
        <w:t>period of significant adjustment. ADEs have</w:t>
      </w:r>
      <w:r w:rsidR="00C716B9">
        <w:rPr>
          <w:sz w:val="23"/>
          <w:szCs w:val="23"/>
        </w:rPr>
        <w:t xml:space="preserve"> been supported to respond to a </w:t>
      </w:r>
      <w:r w:rsidR="00447AD2" w:rsidRPr="00331C14">
        <w:rPr>
          <w:sz w:val="23"/>
          <w:szCs w:val="23"/>
        </w:rPr>
        <w:t>changing industrial relations environment, while also preparing to take advantage of the National Disability Insurance Scheme (NDIS).</w:t>
      </w:r>
    </w:p>
    <w:p w14:paraId="1E5E4331" w14:textId="77777777" w:rsidR="00447AD2" w:rsidRPr="00331C14" w:rsidRDefault="00447AD2" w:rsidP="00447AD2">
      <w:pPr>
        <w:spacing w:line="240" w:lineRule="auto"/>
        <w:rPr>
          <w:sz w:val="23"/>
          <w:szCs w:val="23"/>
        </w:rPr>
      </w:pPr>
      <w:r w:rsidRPr="00331C14">
        <w:rPr>
          <w:sz w:val="23"/>
          <w:szCs w:val="23"/>
        </w:rPr>
        <w:t>Within the NDIS, there are opportunities for the more than 170 existing ADEs, and new and emerging providers, to offer employment support and provide greater access to Disability Employment Services.</w:t>
      </w:r>
    </w:p>
    <w:p w14:paraId="2144754F" w14:textId="58D4E12F" w:rsidR="00447AD2" w:rsidRPr="00331C14" w:rsidRDefault="00447AD2" w:rsidP="00447AD2">
      <w:pPr>
        <w:spacing w:line="240" w:lineRule="auto"/>
        <w:rPr>
          <w:sz w:val="23"/>
          <w:szCs w:val="23"/>
        </w:rPr>
      </w:pPr>
      <w:r w:rsidRPr="00331C14">
        <w:rPr>
          <w:sz w:val="23"/>
          <w:szCs w:val="23"/>
        </w:rPr>
        <w:t>In 2016-17, the National Disability Insurance Agency (NDIA) reported that 16</w:t>
      </w:r>
      <w:r w:rsidR="001C0AB1">
        <w:rPr>
          <w:sz w:val="23"/>
          <w:szCs w:val="23"/>
        </w:rPr>
        <w:t> </w:t>
      </w:r>
      <w:r w:rsidRPr="00331C14">
        <w:rPr>
          <w:sz w:val="23"/>
          <w:szCs w:val="23"/>
        </w:rPr>
        <w:t>per</w:t>
      </w:r>
      <w:r w:rsidR="001C0AB1">
        <w:rPr>
          <w:sz w:val="23"/>
          <w:szCs w:val="23"/>
        </w:rPr>
        <w:t> </w:t>
      </w:r>
      <w:r w:rsidRPr="00331C14">
        <w:rPr>
          <w:sz w:val="23"/>
          <w:szCs w:val="23"/>
        </w:rPr>
        <w:t xml:space="preserve">cent of NDIS participants aged 15 to 24 years and 26 per cent of NDIS participants aged 25 years and over were in paid employment. We expect more </w:t>
      </w:r>
      <w:r w:rsidR="00890281">
        <w:rPr>
          <w:sz w:val="23"/>
          <w:szCs w:val="23"/>
        </w:rPr>
        <w:t xml:space="preserve">NDIS </w:t>
      </w:r>
      <w:r w:rsidRPr="00331C14">
        <w:rPr>
          <w:sz w:val="23"/>
          <w:szCs w:val="23"/>
        </w:rPr>
        <w:t>participants will aspire to work</w:t>
      </w:r>
      <w:r w:rsidR="00C716B9">
        <w:rPr>
          <w:sz w:val="23"/>
          <w:szCs w:val="23"/>
        </w:rPr>
        <w:t xml:space="preserve"> and can be supported to do so</w:t>
      </w:r>
      <w:r w:rsidR="00890281">
        <w:rPr>
          <w:sz w:val="23"/>
          <w:szCs w:val="23"/>
        </w:rPr>
        <w:t xml:space="preserve"> in the future</w:t>
      </w:r>
      <w:r w:rsidR="00C716B9">
        <w:rPr>
          <w:sz w:val="23"/>
          <w:szCs w:val="23"/>
        </w:rPr>
        <w:t>.</w:t>
      </w:r>
    </w:p>
    <w:p w14:paraId="5A552E9D" w14:textId="79CF4215" w:rsidR="00447AD2" w:rsidRPr="00331C14" w:rsidRDefault="00447AD2" w:rsidP="00447AD2">
      <w:pPr>
        <w:spacing w:line="240" w:lineRule="auto"/>
        <w:rPr>
          <w:sz w:val="23"/>
          <w:szCs w:val="23"/>
        </w:rPr>
      </w:pPr>
      <w:r w:rsidRPr="00331C14">
        <w:rPr>
          <w:sz w:val="23"/>
          <w:szCs w:val="23"/>
        </w:rPr>
        <w:t xml:space="preserve">As the Minister for Social Services and Assistant Minister for Social Services and Disability Services, we want to ensure future Government policy allows for supported employment, while also meeting Australia’s </w:t>
      </w:r>
      <w:r w:rsidR="000E189F">
        <w:rPr>
          <w:sz w:val="23"/>
          <w:szCs w:val="23"/>
        </w:rPr>
        <w:t xml:space="preserve">commitment </w:t>
      </w:r>
      <w:r w:rsidRPr="00331C14">
        <w:rPr>
          <w:sz w:val="23"/>
          <w:szCs w:val="23"/>
        </w:rPr>
        <w:t>under international law</w:t>
      </w:r>
      <w:r w:rsidR="000E189F">
        <w:rPr>
          <w:sz w:val="23"/>
          <w:szCs w:val="23"/>
        </w:rPr>
        <w:t xml:space="preserve"> to</w:t>
      </w:r>
      <w:r w:rsidR="000E189F" w:rsidRPr="000E189F">
        <w:rPr>
          <w:sz w:val="23"/>
          <w:szCs w:val="23"/>
        </w:rPr>
        <w:t xml:space="preserve"> promote the rights of persons with disabilities to work</w:t>
      </w:r>
      <w:r w:rsidRPr="00331C14">
        <w:rPr>
          <w:sz w:val="23"/>
          <w:szCs w:val="23"/>
        </w:rPr>
        <w:t>.</w:t>
      </w:r>
    </w:p>
    <w:p w14:paraId="10EA31DA" w14:textId="3D64B859" w:rsidR="00447AD2" w:rsidRPr="00331C14" w:rsidRDefault="00447AD2" w:rsidP="00447AD2">
      <w:pPr>
        <w:spacing w:line="240" w:lineRule="auto"/>
        <w:rPr>
          <w:sz w:val="23"/>
          <w:szCs w:val="23"/>
        </w:rPr>
      </w:pPr>
      <w:r w:rsidRPr="00331C14">
        <w:rPr>
          <w:sz w:val="23"/>
          <w:szCs w:val="23"/>
        </w:rPr>
        <w:t>This Discussion Paper is a chance for you to have your say. It builds on the work of the Disability Employment Taskforce in 2015 and complements reforms to Disability Employment Services</w:t>
      </w:r>
      <w:r w:rsidR="00C716B9">
        <w:rPr>
          <w:sz w:val="23"/>
          <w:szCs w:val="23"/>
        </w:rPr>
        <w:t xml:space="preserve"> that we announced in May 2017</w:t>
      </w:r>
      <w:r w:rsidR="00890281">
        <w:rPr>
          <w:sz w:val="23"/>
          <w:szCs w:val="23"/>
        </w:rPr>
        <w:t xml:space="preserve"> to increase the employment of people with disability</w:t>
      </w:r>
      <w:r w:rsidR="00C716B9">
        <w:rPr>
          <w:sz w:val="23"/>
          <w:szCs w:val="23"/>
        </w:rPr>
        <w:t>.</w:t>
      </w:r>
    </w:p>
    <w:p w14:paraId="3CD3F869" w14:textId="3C515C5C" w:rsidR="00500EA9" w:rsidRDefault="00447AD2" w:rsidP="00500EA9">
      <w:pPr>
        <w:rPr>
          <w:sz w:val="23"/>
          <w:szCs w:val="23"/>
        </w:rPr>
      </w:pPr>
      <w:r w:rsidRPr="00331C14">
        <w:rPr>
          <w:sz w:val="23"/>
          <w:szCs w:val="23"/>
        </w:rPr>
        <w:t>We invite you to continue working with us to ensure a strong future in supported employment for people with disability.</w:t>
      </w:r>
    </w:p>
    <w:p w14:paraId="18510F30" w14:textId="77777777" w:rsidR="006C76AD" w:rsidRDefault="006C76AD" w:rsidP="00500EA9"/>
    <w:tbl>
      <w:tblPr>
        <w:tblStyle w:val="TableGrid"/>
        <w:tblpPr w:leftFromText="180" w:rightFromText="180" w:vertAnchor="text" w:horzAnchor="margin" w:tblpY="80"/>
        <w:tblW w:w="0" w:type="auto"/>
        <w:tblLook w:val="04A0" w:firstRow="1" w:lastRow="0" w:firstColumn="1" w:lastColumn="0" w:noHBand="0" w:noVBand="1"/>
        <w:tblCaption w:val="Minister's signatures"/>
        <w:tblDescription w:val="The Hon Christian Porter MP, Minisiter for Social Services and the Hon Jane Prentice MP, Assistant Minister for Social Services and Disability Services"/>
      </w:tblPr>
      <w:tblGrid>
        <w:gridCol w:w="4514"/>
        <w:gridCol w:w="4512"/>
      </w:tblGrid>
      <w:tr w:rsidR="00500EA9" w14:paraId="6B134E84" w14:textId="77777777" w:rsidTr="00DE0655">
        <w:trPr>
          <w:trHeight w:val="403"/>
          <w:tblHeader/>
        </w:trPr>
        <w:tc>
          <w:tcPr>
            <w:tcW w:w="4822" w:type="dxa"/>
            <w:tcBorders>
              <w:top w:val="nil"/>
              <w:left w:val="nil"/>
              <w:bottom w:val="nil"/>
              <w:right w:val="nil"/>
            </w:tcBorders>
          </w:tcPr>
          <w:p w14:paraId="2AEDB8B3" w14:textId="77777777" w:rsidR="00500EA9" w:rsidRDefault="00500EA9" w:rsidP="002247FA">
            <w:pPr>
              <w:rPr>
                <w:rFonts w:cs="Arial"/>
                <w:sz w:val="23"/>
                <w:szCs w:val="23"/>
              </w:rPr>
            </w:pPr>
            <w:r w:rsidRPr="001F71EB">
              <w:rPr>
                <w:rFonts w:cs="Arial"/>
                <w:sz w:val="23"/>
                <w:szCs w:val="23"/>
              </w:rPr>
              <w:t xml:space="preserve">The </w:t>
            </w:r>
            <w:r>
              <w:rPr>
                <w:rFonts w:cs="Arial"/>
                <w:sz w:val="23"/>
                <w:szCs w:val="23"/>
              </w:rPr>
              <w:t>Hon Christian Porter MP</w:t>
            </w:r>
            <w:r>
              <w:rPr>
                <w:rFonts w:cs="Arial"/>
                <w:sz w:val="23"/>
                <w:szCs w:val="23"/>
              </w:rPr>
              <w:br/>
              <w:t>Minister for Social Services</w:t>
            </w:r>
          </w:p>
          <w:p w14:paraId="7CD37BB9" w14:textId="77777777" w:rsidR="00500EA9" w:rsidRDefault="00500EA9" w:rsidP="002247FA">
            <w:pPr>
              <w:rPr>
                <w:rFonts w:cs="Arial"/>
                <w:sz w:val="23"/>
                <w:szCs w:val="23"/>
              </w:rPr>
            </w:pPr>
          </w:p>
        </w:tc>
        <w:tc>
          <w:tcPr>
            <w:tcW w:w="4817" w:type="dxa"/>
            <w:tcBorders>
              <w:top w:val="nil"/>
              <w:left w:val="nil"/>
              <w:bottom w:val="nil"/>
              <w:right w:val="nil"/>
            </w:tcBorders>
          </w:tcPr>
          <w:p w14:paraId="583E5A19" w14:textId="0CE7B88D" w:rsidR="00500EA9" w:rsidRPr="001F71EB" w:rsidRDefault="00500EA9" w:rsidP="002247FA">
            <w:pPr>
              <w:rPr>
                <w:rFonts w:cs="Arial"/>
                <w:sz w:val="23"/>
                <w:szCs w:val="23"/>
              </w:rPr>
            </w:pPr>
            <w:r>
              <w:rPr>
                <w:rFonts w:cs="Arial"/>
                <w:sz w:val="23"/>
                <w:szCs w:val="23"/>
              </w:rPr>
              <w:t>The Hon Jane Prentice MP</w:t>
            </w:r>
            <w:r>
              <w:rPr>
                <w:rFonts w:cs="Arial"/>
                <w:sz w:val="23"/>
                <w:szCs w:val="23"/>
              </w:rPr>
              <w:br/>
              <w:t>Assistant Mi</w:t>
            </w:r>
            <w:r w:rsidR="0041730F">
              <w:rPr>
                <w:rFonts w:cs="Arial"/>
                <w:sz w:val="23"/>
                <w:szCs w:val="23"/>
              </w:rPr>
              <w:t xml:space="preserve">nister for Social Services and </w:t>
            </w:r>
            <w:r>
              <w:rPr>
                <w:rFonts w:cs="Arial"/>
                <w:sz w:val="23"/>
                <w:szCs w:val="23"/>
              </w:rPr>
              <w:t>Disability Services</w:t>
            </w:r>
          </w:p>
        </w:tc>
      </w:tr>
    </w:tbl>
    <w:p w14:paraId="55927712" w14:textId="70A24F29" w:rsidR="00500EA9" w:rsidRPr="00C716B9" w:rsidRDefault="00D3043E" w:rsidP="00C716B9">
      <w:pPr>
        <w:rPr>
          <w:rFonts w:cs="Arial"/>
          <w:sz w:val="23"/>
          <w:szCs w:val="23"/>
        </w:rPr>
      </w:pPr>
      <w:r>
        <w:rPr>
          <w:rFonts w:cs="Arial"/>
          <w:sz w:val="23"/>
          <w:szCs w:val="23"/>
        </w:rPr>
        <w:t xml:space="preserve"> </w:t>
      </w:r>
      <w:r w:rsidR="00890281">
        <w:rPr>
          <w:rFonts w:cs="Arial"/>
          <w:sz w:val="23"/>
          <w:szCs w:val="23"/>
        </w:rPr>
        <w:t>7 December</w:t>
      </w:r>
      <w:r w:rsidR="00500EA9">
        <w:rPr>
          <w:rFonts w:cs="Arial"/>
          <w:sz w:val="23"/>
          <w:szCs w:val="23"/>
        </w:rPr>
        <w:t xml:space="preserve"> 2017</w:t>
      </w:r>
      <w:r w:rsidR="00500EA9">
        <w:rPr>
          <w:rFonts w:asciiTheme="majorHAnsi" w:hAnsiTheme="majorHAnsi"/>
          <w:sz w:val="34"/>
          <w:szCs w:val="34"/>
        </w:rPr>
        <w:br w:type="page"/>
      </w:r>
    </w:p>
    <w:p w14:paraId="6EEEDBAE" w14:textId="77777777" w:rsidR="00830D1C" w:rsidRPr="00830D1C" w:rsidRDefault="00500EA9" w:rsidP="00830D1C">
      <w:pPr>
        <w:spacing w:before="360" w:after="120" w:line="240" w:lineRule="auto"/>
        <w:contextualSpacing/>
        <w:outlineLvl w:val="0"/>
        <w:rPr>
          <w:rFonts w:ascii="Georgia" w:hAnsi="Georgia"/>
          <w:bCs/>
          <w:color w:val="24596E"/>
          <w:sz w:val="34"/>
          <w:szCs w:val="34"/>
        </w:rPr>
      </w:pPr>
      <w:bookmarkStart w:id="8" w:name="_Toc500401851"/>
      <w:bookmarkEnd w:id="0"/>
      <w:bookmarkEnd w:id="1"/>
      <w:bookmarkEnd w:id="2"/>
      <w:bookmarkEnd w:id="3"/>
      <w:bookmarkEnd w:id="4"/>
      <w:bookmarkEnd w:id="5"/>
      <w:bookmarkEnd w:id="6"/>
      <w:r>
        <w:rPr>
          <w:rFonts w:ascii="Georgia" w:hAnsi="Georgia"/>
          <w:bCs/>
          <w:color w:val="24596E"/>
          <w:sz w:val="34"/>
          <w:szCs w:val="34"/>
        </w:rPr>
        <w:lastRenderedPageBreak/>
        <w:t xml:space="preserve">Table of </w:t>
      </w:r>
      <w:r w:rsidR="00830D1C" w:rsidRPr="00830D1C">
        <w:rPr>
          <w:rFonts w:ascii="Georgia" w:hAnsi="Georgia"/>
          <w:bCs/>
          <w:color w:val="24596E"/>
          <w:sz w:val="34"/>
          <w:szCs w:val="34"/>
        </w:rPr>
        <w:t>Contents</w:t>
      </w:r>
      <w:bookmarkEnd w:id="8"/>
    </w:p>
    <w:sdt>
      <w:sdtPr>
        <w:rPr>
          <w:bCs/>
        </w:rPr>
        <w:id w:val="-1773852456"/>
        <w:docPartObj>
          <w:docPartGallery w:val="Table of Contents"/>
          <w:docPartUnique/>
        </w:docPartObj>
      </w:sdtPr>
      <w:sdtEndPr>
        <w:rPr>
          <w:rFonts w:asciiTheme="majorHAnsi" w:hAnsiTheme="majorHAnsi"/>
          <w:b/>
          <w:bCs w:val="0"/>
          <w:noProof/>
        </w:rPr>
      </w:sdtEndPr>
      <w:sdtContent>
        <w:p w14:paraId="415D5054" w14:textId="70ED712C" w:rsidR="00AE4AD0" w:rsidRPr="00AE4AD0" w:rsidRDefault="00BC2541" w:rsidP="00513CF0">
          <w:r w:rsidRPr="00AE4AD0">
            <w:rPr>
              <w:rFonts w:eastAsiaTheme="majorEastAsia"/>
            </w:rPr>
            <w:fldChar w:fldCharType="begin"/>
          </w:r>
          <w:r w:rsidRPr="00AE4AD0">
            <w:instrText xml:space="preserve"> TOC \o "1-3" \h \z \u </w:instrText>
          </w:r>
          <w:r w:rsidRPr="00AE4AD0">
            <w:rPr>
              <w:rFonts w:eastAsiaTheme="majorEastAsia"/>
            </w:rPr>
            <w:fldChar w:fldCharType="separate"/>
          </w:r>
        </w:p>
        <w:p w14:paraId="33DF6C46" w14:textId="53F9F3AF" w:rsidR="00AE4AD0" w:rsidRPr="00AE4AD0" w:rsidRDefault="007071A6">
          <w:pPr>
            <w:pStyle w:val="TOC1"/>
            <w:rPr>
              <w:rFonts w:eastAsiaTheme="minorEastAsia" w:cstheme="minorBidi"/>
              <w:bCs w:val="0"/>
              <w:spacing w:val="0"/>
            </w:rPr>
          </w:pPr>
          <w:hyperlink w:anchor="_Toc500401852" w:history="1">
            <w:r w:rsidR="00AE4AD0" w:rsidRPr="00AE4AD0">
              <w:rPr>
                <w:rStyle w:val="Hyperlink"/>
                <w:rFonts w:asciiTheme="majorHAnsi" w:hAnsiTheme="majorHAnsi"/>
                <w:sz w:val="24"/>
              </w:rPr>
              <w:t>Introduction</w:t>
            </w:r>
            <w:r w:rsidR="00AE4AD0" w:rsidRPr="00AE4AD0">
              <w:rPr>
                <w:webHidden/>
              </w:rPr>
              <w:tab/>
            </w:r>
            <w:r w:rsidR="00AE4AD0" w:rsidRPr="00AE4AD0">
              <w:rPr>
                <w:webHidden/>
              </w:rPr>
              <w:fldChar w:fldCharType="begin"/>
            </w:r>
            <w:r w:rsidR="00AE4AD0" w:rsidRPr="00AE4AD0">
              <w:rPr>
                <w:webHidden/>
              </w:rPr>
              <w:instrText xml:space="preserve"> PAGEREF _Toc500401852 \h </w:instrText>
            </w:r>
            <w:r w:rsidR="00AE4AD0" w:rsidRPr="00AE4AD0">
              <w:rPr>
                <w:webHidden/>
              </w:rPr>
            </w:r>
            <w:r w:rsidR="00AE4AD0" w:rsidRPr="00AE4AD0">
              <w:rPr>
                <w:webHidden/>
              </w:rPr>
              <w:fldChar w:fldCharType="separate"/>
            </w:r>
            <w:r w:rsidR="00513CF0">
              <w:rPr>
                <w:webHidden/>
              </w:rPr>
              <w:t>5</w:t>
            </w:r>
            <w:r w:rsidR="00AE4AD0" w:rsidRPr="00AE4AD0">
              <w:rPr>
                <w:webHidden/>
              </w:rPr>
              <w:fldChar w:fldCharType="end"/>
            </w:r>
          </w:hyperlink>
        </w:p>
        <w:p w14:paraId="1D499764" w14:textId="2175D548" w:rsidR="00AE4AD0" w:rsidRPr="00AE4AD0" w:rsidRDefault="007071A6">
          <w:pPr>
            <w:pStyle w:val="TOC1"/>
            <w:rPr>
              <w:rFonts w:eastAsiaTheme="minorEastAsia" w:cstheme="minorBidi"/>
              <w:bCs w:val="0"/>
              <w:spacing w:val="0"/>
            </w:rPr>
          </w:pPr>
          <w:hyperlink w:anchor="_Toc500401853" w:history="1">
            <w:r w:rsidR="00AE4AD0" w:rsidRPr="00AE4AD0">
              <w:rPr>
                <w:rStyle w:val="Hyperlink"/>
                <w:rFonts w:asciiTheme="majorHAnsi" w:hAnsiTheme="majorHAnsi"/>
                <w:b/>
                <w:sz w:val="24"/>
              </w:rPr>
              <w:t>Purpose of the discussion paper</w:t>
            </w:r>
            <w:r w:rsidR="00AE4AD0" w:rsidRPr="00AE4AD0">
              <w:rPr>
                <w:webHidden/>
              </w:rPr>
              <w:tab/>
            </w:r>
            <w:r w:rsidR="00AE4AD0" w:rsidRPr="00AE4AD0">
              <w:rPr>
                <w:webHidden/>
              </w:rPr>
              <w:fldChar w:fldCharType="begin"/>
            </w:r>
            <w:r w:rsidR="00AE4AD0" w:rsidRPr="00AE4AD0">
              <w:rPr>
                <w:webHidden/>
              </w:rPr>
              <w:instrText xml:space="preserve"> PAGEREF _Toc500401853 \h </w:instrText>
            </w:r>
            <w:r w:rsidR="00AE4AD0" w:rsidRPr="00AE4AD0">
              <w:rPr>
                <w:webHidden/>
              </w:rPr>
            </w:r>
            <w:r w:rsidR="00AE4AD0" w:rsidRPr="00AE4AD0">
              <w:rPr>
                <w:webHidden/>
              </w:rPr>
              <w:fldChar w:fldCharType="separate"/>
            </w:r>
            <w:r w:rsidR="00513CF0">
              <w:rPr>
                <w:webHidden/>
              </w:rPr>
              <w:t>6</w:t>
            </w:r>
            <w:r w:rsidR="00AE4AD0" w:rsidRPr="00AE4AD0">
              <w:rPr>
                <w:webHidden/>
              </w:rPr>
              <w:fldChar w:fldCharType="end"/>
            </w:r>
          </w:hyperlink>
        </w:p>
        <w:p w14:paraId="2B41A8A0" w14:textId="2098C0A7" w:rsidR="00AE4AD0" w:rsidRPr="00AE4AD0" w:rsidRDefault="007071A6">
          <w:pPr>
            <w:pStyle w:val="TOC1"/>
            <w:rPr>
              <w:rFonts w:eastAsiaTheme="minorEastAsia" w:cstheme="minorBidi"/>
              <w:bCs w:val="0"/>
              <w:spacing w:val="0"/>
            </w:rPr>
          </w:pPr>
          <w:hyperlink w:anchor="_Toc500401854" w:history="1">
            <w:r w:rsidR="00AE4AD0" w:rsidRPr="00AE4AD0">
              <w:rPr>
                <w:rStyle w:val="Hyperlink"/>
                <w:rFonts w:asciiTheme="majorHAnsi" w:hAnsiTheme="majorHAnsi"/>
                <w:sz w:val="24"/>
              </w:rPr>
              <w:t>What is the landscape for employment of people with disability in Australia?</w:t>
            </w:r>
            <w:r w:rsidR="00AE4AD0" w:rsidRPr="00AE4AD0">
              <w:rPr>
                <w:webHidden/>
              </w:rPr>
              <w:tab/>
            </w:r>
            <w:r w:rsidR="00AE4AD0" w:rsidRPr="00AE4AD0">
              <w:rPr>
                <w:webHidden/>
              </w:rPr>
              <w:fldChar w:fldCharType="begin"/>
            </w:r>
            <w:r w:rsidR="00AE4AD0" w:rsidRPr="00AE4AD0">
              <w:rPr>
                <w:webHidden/>
              </w:rPr>
              <w:instrText xml:space="preserve"> PAGEREF _Toc500401854 \h </w:instrText>
            </w:r>
            <w:r w:rsidR="00AE4AD0" w:rsidRPr="00AE4AD0">
              <w:rPr>
                <w:webHidden/>
              </w:rPr>
            </w:r>
            <w:r w:rsidR="00AE4AD0" w:rsidRPr="00AE4AD0">
              <w:rPr>
                <w:webHidden/>
              </w:rPr>
              <w:fldChar w:fldCharType="separate"/>
            </w:r>
            <w:r w:rsidR="00513CF0">
              <w:rPr>
                <w:webHidden/>
              </w:rPr>
              <w:t>7</w:t>
            </w:r>
            <w:r w:rsidR="00AE4AD0" w:rsidRPr="00AE4AD0">
              <w:rPr>
                <w:webHidden/>
              </w:rPr>
              <w:fldChar w:fldCharType="end"/>
            </w:r>
          </w:hyperlink>
        </w:p>
        <w:p w14:paraId="10EEDF0A" w14:textId="3011839B" w:rsidR="00AE4AD0" w:rsidRPr="00AE4AD0" w:rsidRDefault="007071A6">
          <w:pPr>
            <w:pStyle w:val="TOC1"/>
            <w:rPr>
              <w:rFonts w:eastAsiaTheme="minorEastAsia" w:cstheme="minorBidi"/>
              <w:bCs w:val="0"/>
              <w:spacing w:val="0"/>
            </w:rPr>
          </w:pPr>
          <w:hyperlink w:anchor="_Toc500401855" w:history="1">
            <w:r w:rsidR="00AE4AD0" w:rsidRPr="00AE4AD0">
              <w:rPr>
                <w:rStyle w:val="Hyperlink"/>
                <w:rFonts w:asciiTheme="majorHAnsi" w:hAnsiTheme="majorHAnsi"/>
                <w:sz w:val="24"/>
              </w:rPr>
              <w:t>Commonwealth employment services for people with disability</w:t>
            </w:r>
            <w:r w:rsidR="00AE4AD0" w:rsidRPr="00AE4AD0">
              <w:rPr>
                <w:webHidden/>
              </w:rPr>
              <w:tab/>
            </w:r>
            <w:r w:rsidR="00AE4AD0" w:rsidRPr="00AE4AD0">
              <w:rPr>
                <w:webHidden/>
              </w:rPr>
              <w:fldChar w:fldCharType="begin"/>
            </w:r>
            <w:r w:rsidR="00AE4AD0" w:rsidRPr="00AE4AD0">
              <w:rPr>
                <w:webHidden/>
              </w:rPr>
              <w:instrText xml:space="preserve"> PAGEREF _Toc500401855 \h </w:instrText>
            </w:r>
            <w:r w:rsidR="00AE4AD0" w:rsidRPr="00AE4AD0">
              <w:rPr>
                <w:webHidden/>
              </w:rPr>
            </w:r>
            <w:r w:rsidR="00AE4AD0" w:rsidRPr="00AE4AD0">
              <w:rPr>
                <w:webHidden/>
              </w:rPr>
              <w:fldChar w:fldCharType="separate"/>
            </w:r>
            <w:r w:rsidR="00513CF0">
              <w:rPr>
                <w:webHidden/>
              </w:rPr>
              <w:t>9</w:t>
            </w:r>
            <w:r w:rsidR="00AE4AD0" w:rsidRPr="00AE4AD0">
              <w:rPr>
                <w:webHidden/>
              </w:rPr>
              <w:fldChar w:fldCharType="end"/>
            </w:r>
          </w:hyperlink>
        </w:p>
        <w:p w14:paraId="36EF3F1A" w14:textId="3752685F" w:rsidR="00AE4AD0" w:rsidRPr="00AE4AD0" w:rsidRDefault="007071A6">
          <w:pPr>
            <w:pStyle w:val="TOC2"/>
            <w:tabs>
              <w:tab w:val="right" w:leader="dot" w:pos="9016"/>
            </w:tabs>
            <w:rPr>
              <w:rFonts w:asciiTheme="majorHAnsi" w:eastAsiaTheme="minorEastAsia" w:hAnsiTheme="majorHAnsi" w:cstheme="minorBidi"/>
              <w:noProof/>
              <w:spacing w:val="0"/>
            </w:rPr>
          </w:pPr>
          <w:hyperlink w:anchor="_Toc500401856" w:history="1">
            <w:r w:rsidR="00AE4AD0" w:rsidRPr="00AE4AD0">
              <w:rPr>
                <w:rStyle w:val="Hyperlink"/>
                <w:rFonts w:asciiTheme="majorHAnsi" w:eastAsiaTheme="majorEastAsia" w:hAnsiTheme="majorHAnsi"/>
                <w:noProof/>
                <w:sz w:val="24"/>
              </w:rPr>
              <w:t>Profile of DES Participants</w:t>
            </w:r>
            <w:r w:rsidR="00AE4AD0" w:rsidRPr="00AE4AD0">
              <w:rPr>
                <w:rFonts w:asciiTheme="majorHAnsi" w:hAnsiTheme="majorHAnsi"/>
                <w:noProof/>
                <w:webHidden/>
              </w:rPr>
              <w:tab/>
            </w:r>
            <w:r w:rsidR="00AE4AD0" w:rsidRPr="00AE4AD0">
              <w:rPr>
                <w:rFonts w:asciiTheme="majorHAnsi" w:hAnsiTheme="majorHAnsi"/>
                <w:noProof/>
                <w:webHidden/>
              </w:rPr>
              <w:fldChar w:fldCharType="begin"/>
            </w:r>
            <w:r w:rsidR="00AE4AD0" w:rsidRPr="00AE4AD0">
              <w:rPr>
                <w:rFonts w:asciiTheme="majorHAnsi" w:hAnsiTheme="majorHAnsi"/>
                <w:noProof/>
                <w:webHidden/>
              </w:rPr>
              <w:instrText xml:space="preserve"> PAGEREF _Toc500401856 \h </w:instrText>
            </w:r>
            <w:r w:rsidR="00AE4AD0" w:rsidRPr="00AE4AD0">
              <w:rPr>
                <w:rFonts w:asciiTheme="majorHAnsi" w:hAnsiTheme="majorHAnsi"/>
                <w:noProof/>
                <w:webHidden/>
              </w:rPr>
            </w:r>
            <w:r w:rsidR="00AE4AD0" w:rsidRPr="00AE4AD0">
              <w:rPr>
                <w:rFonts w:asciiTheme="majorHAnsi" w:hAnsiTheme="majorHAnsi"/>
                <w:noProof/>
                <w:webHidden/>
              </w:rPr>
              <w:fldChar w:fldCharType="separate"/>
            </w:r>
            <w:r w:rsidR="00513CF0">
              <w:rPr>
                <w:rFonts w:asciiTheme="majorHAnsi" w:hAnsiTheme="majorHAnsi"/>
                <w:noProof/>
                <w:webHidden/>
              </w:rPr>
              <w:t>10</w:t>
            </w:r>
            <w:r w:rsidR="00AE4AD0" w:rsidRPr="00AE4AD0">
              <w:rPr>
                <w:rFonts w:asciiTheme="majorHAnsi" w:hAnsiTheme="majorHAnsi"/>
                <w:noProof/>
                <w:webHidden/>
              </w:rPr>
              <w:fldChar w:fldCharType="end"/>
            </w:r>
          </w:hyperlink>
        </w:p>
        <w:p w14:paraId="3FF8C27B" w14:textId="549A77EE" w:rsidR="00AE4AD0" w:rsidRPr="00AE4AD0" w:rsidRDefault="007071A6">
          <w:pPr>
            <w:pStyle w:val="TOC1"/>
            <w:rPr>
              <w:rFonts w:eastAsiaTheme="minorEastAsia" w:cstheme="minorBidi"/>
              <w:bCs w:val="0"/>
              <w:spacing w:val="0"/>
            </w:rPr>
          </w:pPr>
          <w:hyperlink w:anchor="_Toc500401859" w:history="1">
            <w:r w:rsidR="00AE4AD0" w:rsidRPr="00AE4AD0">
              <w:rPr>
                <w:rStyle w:val="Hyperlink"/>
                <w:rFonts w:asciiTheme="majorHAnsi" w:hAnsiTheme="majorHAnsi"/>
                <w:sz w:val="24"/>
              </w:rPr>
              <w:t>Supported employment and Australian Disability Enterprises</w:t>
            </w:r>
            <w:r w:rsidR="00AE4AD0" w:rsidRPr="00AE4AD0">
              <w:rPr>
                <w:webHidden/>
              </w:rPr>
              <w:tab/>
            </w:r>
            <w:r w:rsidR="00AE4AD0" w:rsidRPr="00AE4AD0">
              <w:rPr>
                <w:webHidden/>
              </w:rPr>
              <w:fldChar w:fldCharType="begin"/>
            </w:r>
            <w:r w:rsidR="00AE4AD0" w:rsidRPr="00AE4AD0">
              <w:rPr>
                <w:webHidden/>
              </w:rPr>
              <w:instrText xml:space="preserve"> PAGEREF _Toc500401859 \h </w:instrText>
            </w:r>
            <w:r w:rsidR="00AE4AD0" w:rsidRPr="00AE4AD0">
              <w:rPr>
                <w:webHidden/>
              </w:rPr>
            </w:r>
            <w:r w:rsidR="00AE4AD0" w:rsidRPr="00AE4AD0">
              <w:rPr>
                <w:webHidden/>
              </w:rPr>
              <w:fldChar w:fldCharType="separate"/>
            </w:r>
            <w:r w:rsidR="00513CF0">
              <w:rPr>
                <w:webHidden/>
              </w:rPr>
              <w:t>11</w:t>
            </w:r>
            <w:r w:rsidR="00AE4AD0" w:rsidRPr="00AE4AD0">
              <w:rPr>
                <w:webHidden/>
              </w:rPr>
              <w:fldChar w:fldCharType="end"/>
            </w:r>
          </w:hyperlink>
        </w:p>
        <w:p w14:paraId="4549B3D6" w14:textId="72809B77" w:rsidR="00AE4AD0" w:rsidRPr="00AE4AD0" w:rsidRDefault="007071A6">
          <w:pPr>
            <w:pStyle w:val="TOC2"/>
            <w:tabs>
              <w:tab w:val="right" w:leader="dot" w:pos="9016"/>
            </w:tabs>
            <w:rPr>
              <w:rFonts w:asciiTheme="majorHAnsi" w:eastAsiaTheme="minorEastAsia" w:hAnsiTheme="majorHAnsi" w:cstheme="minorBidi"/>
              <w:noProof/>
              <w:spacing w:val="0"/>
            </w:rPr>
          </w:pPr>
          <w:hyperlink w:anchor="_Toc500401860" w:history="1">
            <w:r w:rsidR="00AE4AD0" w:rsidRPr="00AE4AD0">
              <w:rPr>
                <w:rStyle w:val="Hyperlink"/>
                <w:rFonts w:asciiTheme="majorHAnsi" w:eastAsiaTheme="majorEastAsia" w:hAnsiTheme="majorHAnsi"/>
                <w:noProof/>
                <w:sz w:val="24"/>
              </w:rPr>
              <w:t>Profile of supported employees</w:t>
            </w:r>
            <w:r w:rsidR="00AE4AD0" w:rsidRPr="00AE4AD0">
              <w:rPr>
                <w:rFonts w:asciiTheme="majorHAnsi" w:hAnsiTheme="majorHAnsi"/>
                <w:noProof/>
                <w:webHidden/>
              </w:rPr>
              <w:tab/>
            </w:r>
            <w:r w:rsidR="00AE4AD0" w:rsidRPr="00AE4AD0">
              <w:rPr>
                <w:rFonts w:asciiTheme="majorHAnsi" w:hAnsiTheme="majorHAnsi"/>
                <w:noProof/>
                <w:webHidden/>
              </w:rPr>
              <w:fldChar w:fldCharType="begin"/>
            </w:r>
            <w:r w:rsidR="00AE4AD0" w:rsidRPr="00AE4AD0">
              <w:rPr>
                <w:rFonts w:asciiTheme="majorHAnsi" w:hAnsiTheme="majorHAnsi"/>
                <w:noProof/>
                <w:webHidden/>
              </w:rPr>
              <w:instrText xml:space="preserve"> PAGEREF _Toc500401860 \h </w:instrText>
            </w:r>
            <w:r w:rsidR="00AE4AD0" w:rsidRPr="00AE4AD0">
              <w:rPr>
                <w:rFonts w:asciiTheme="majorHAnsi" w:hAnsiTheme="majorHAnsi"/>
                <w:noProof/>
                <w:webHidden/>
              </w:rPr>
            </w:r>
            <w:r w:rsidR="00AE4AD0" w:rsidRPr="00AE4AD0">
              <w:rPr>
                <w:rFonts w:asciiTheme="majorHAnsi" w:hAnsiTheme="majorHAnsi"/>
                <w:noProof/>
                <w:webHidden/>
              </w:rPr>
              <w:fldChar w:fldCharType="separate"/>
            </w:r>
            <w:r w:rsidR="00513CF0">
              <w:rPr>
                <w:rFonts w:asciiTheme="majorHAnsi" w:hAnsiTheme="majorHAnsi"/>
                <w:noProof/>
                <w:webHidden/>
              </w:rPr>
              <w:t>12</w:t>
            </w:r>
            <w:r w:rsidR="00AE4AD0" w:rsidRPr="00AE4AD0">
              <w:rPr>
                <w:rFonts w:asciiTheme="majorHAnsi" w:hAnsiTheme="majorHAnsi"/>
                <w:noProof/>
                <w:webHidden/>
              </w:rPr>
              <w:fldChar w:fldCharType="end"/>
            </w:r>
          </w:hyperlink>
        </w:p>
        <w:p w14:paraId="3784F9B3" w14:textId="06045756" w:rsidR="00AE4AD0" w:rsidRPr="00AE4AD0" w:rsidRDefault="007071A6">
          <w:pPr>
            <w:pStyle w:val="TOC2"/>
            <w:tabs>
              <w:tab w:val="right" w:leader="dot" w:pos="9016"/>
            </w:tabs>
            <w:rPr>
              <w:rFonts w:asciiTheme="majorHAnsi" w:eastAsiaTheme="minorEastAsia" w:hAnsiTheme="majorHAnsi" w:cstheme="minorBidi"/>
              <w:noProof/>
              <w:spacing w:val="0"/>
            </w:rPr>
          </w:pPr>
          <w:hyperlink w:anchor="_Toc500401861" w:history="1">
            <w:r w:rsidR="00AE4AD0" w:rsidRPr="00AE4AD0">
              <w:rPr>
                <w:rStyle w:val="Hyperlink"/>
                <w:rFonts w:asciiTheme="majorHAnsi" w:eastAsiaTheme="majorEastAsia" w:hAnsiTheme="majorHAnsi"/>
                <w:noProof/>
                <w:sz w:val="24"/>
              </w:rPr>
              <w:t>Supported employment sector funding</w:t>
            </w:r>
            <w:r w:rsidR="00AE4AD0" w:rsidRPr="00AE4AD0">
              <w:rPr>
                <w:rFonts w:asciiTheme="majorHAnsi" w:hAnsiTheme="majorHAnsi"/>
                <w:noProof/>
                <w:webHidden/>
              </w:rPr>
              <w:tab/>
            </w:r>
            <w:r w:rsidR="00AE4AD0" w:rsidRPr="00AE4AD0">
              <w:rPr>
                <w:rFonts w:asciiTheme="majorHAnsi" w:hAnsiTheme="majorHAnsi"/>
                <w:noProof/>
                <w:webHidden/>
              </w:rPr>
              <w:fldChar w:fldCharType="begin"/>
            </w:r>
            <w:r w:rsidR="00AE4AD0" w:rsidRPr="00AE4AD0">
              <w:rPr>
                <w:rFonts w:asciiTheme="majorHAnsi" w:hAnsiTheme="majorHAnsi"/>
                <w:noProof/>
                <w:webHidden/>
              </w:rPr>
              <w:instrText xml:space="preserve"> PAGEREF _Toc500401861 \h </w:instrText>
            </w:r>
            <w:r w:rsidR="00AE4AD0" w:rsidRPr="00AE4AD0">
              <w:rPr>
                <w:rFonts w:asciiTheme="majorHAnsi" w:hAnsiTheme="majorHAnsi"/>
                <w:noProof/>
                <w:webHidden/>
              </w:rPr>
            </w:r>
            <w:r w:rsidR="00AE4AD0" w:rsidRPr="00AE4AD0">
              <w:rPr>
                <w:rFonts w:asciiTheme="majorHAnsi" w:hAnsiTheme="majorHAnsi"/>
                <w:noProof/>
                <w:webHidden/>
              </w:rPr>
              <w:fldChar w:fldCharType="separate"/>
            </w:r>
            <w:r w:rsidR="00513CF0">
              <w:rPr>
                <w:rFonts w:asciiTheme="majorHAnsi" w:hAnsiTheme="majorHAnsi"/>
                <w:noProof/>
                <w:webHidden/>
              </w:rPr>
              <w:t>13</w:t>
            </w:r>
            <w:r w:rsidR="00AE4AD0" w:rsidRPr="00AE4AD0">
              <w:rPr>
                <w:rFonts w:asciiTheme="majorHAnsi" w:hAnsiTheme="majorHAnsi"/>
                <w:noProof/>
                <w:webHidden/>
              </w:rPr>
              <w:fldChar w:fldCharType="end"/>
            </w:r>
          </w:hyperlink>
        </w:p>
        <w:p w14:paraId="669B5079" w14:textId="15781BBC" w:rsidR="00AE4AD0" w:rsidRPr="00AE4AD0" w:rsidRDefault="007071A6">
          <w:pPr>
            <w:pStyle w:val="TOC1"/>
            <w:rPr>
              <w:rFonts w:eastAsiaTheme="minorEastAsia" w:cstheme="minorBidi"/>
              <w:bCs w:val="0"/>
              <w:spacing w:val="0"/>
            </w:rPr>
          </w:pPr>
          <w:hyperlink w:anchor="_Toc500401863" w:history="1">
            <w:r w:rsidR="00AE4AD0" w:rsidRPr="00AE4AD0">
              <w:rPr>
                <w:rStyle w:val="Hyperlink"/>
                <w:rFonts w:asciiTheme="majorHAnsi" w:hAnsiTheme="majorHAnsi"/>
                <w:sz w:val="24"/>
              </w:rPr>
              <w:t>Key differences between the current operation of open and supported employment in Australia</w:t>
            </w:r>
            <w:r w:rsidR="00AE4AD0" w:rsidRPr="00AE4AD0">
              <w:rPr>
                <w:webHidden/>
              </w:rPr>
              <w:tab/>
            </w:r>
            <w:r w:rsidR="00AE4AD0" w:rsidRPr="00AE4AD0">
              <w:rPr>
                <w:webHidden/>
              </w:rPr>
              <w:fldChar w:fldCharType="begin"/>
            </w:r>
            <w:r w:rsidR="00AE4AD0" w:rsidRPr="00AE4AD0">
              <w:rPr>
                <w:webHidden/>
              </w:rPr>
              <w:instrText xml:space="preserve"> PAGEREF _Toc500401863 \h </w:instrText>
            </w:r>
            <w:r w:rsidR="00AE4AD0" w:rsidRPr="00AE4AD0">
              <w:rPr>
                <w:webHidden/>
              </w:rPr>
            </w:r>
            <w:r w:rsidR="00AE4AD0" w:rsidRPr="00AE4AD0">
              <w:rPr>
                <w:webHidden/>
              </w:rPr>
              <w:fldChar w:fldCharType="separate"/>
            </w:r>
            <w:r w:rsidR="00513CF0">
              <w:rPr>
                <w:webHidden/>
              </w:rPr>
              <w:t>16</w:t>
            </w:r>
            <w:r w:rsidR="00AE4AD0" w:rsidRPr="00AE4AD0">
              <w:rPr>
                <w:webHidden/>
              </w:rPr>
              <w:fldChar w:fldCharType="end"/>
            </w:r>
          </w:hyperlink>
        </w:p>
        <w:p w14:paraId="6F6B23C5" w14:textId="3917140C" w:rsidR="00AE4AD0" w:rsidRPr="00AE4AD0" w:rsidRDefault="007071A6">
          <w:pPr>
            <w:pStyle w:val="TOC2"/>
            <w:tabs>
              <w:tab w:val="right" w:leader="dot" w:pos="9016"/>
            </w:tabs>
            <w:rPr>
              <w:rFonts w:asciiTheme="majorHAnsi" w:eastAsiaTheme="minorEastAsia" w:hAnsiTheme="majorHAnsi" w:cstheme="minorBidi"/>
              <w:noProof/>
              <w:spacing w:val="0"/>
            </w:rPr>
          </w:pPr>
          <w:hyperlink w:anchor="_Toc500401864" w:history="1">
            <w:r w:rsidR="00AE4AD0" w:rsidRPr="00AE4AD0">
              <w:rPr>
                <w:rStyle w:val="Hyperlink"/>
                <w:rFonts w:asciiTheme="majorHAnsi" w:eastAsiaTheme="majorEastAsia" w:hAnsiTheme="majorHAnsi"/>
                <w:noProof/>
                <w:sz w:val="24"/>
              </w:rPr>
              <w:t>Challenges faced by the supported employment sector</w:t>
            </w:r>
            <w:r w:rsidR="00AE4AD0" w:rsidRPr="00AE4AD0">
              <w:rPr>
                <w:rFonts w:asciiTheme="majorHAnsi" w:hAnsiTheme="majorHAnsi"/>
                <w:noProof/>
                <w:webHidden/>
              </w:rPr>
              <w:tab/>
            </w:r>
            <w:r w:rsidR="00AE4AD0" w:rsidRPr="00AE4AD0">
              <w:rPr>
                <w:rFonts w:asciiTheme="majorHAnsi" w:hAnsiTheme="majorHAnsi"/>
                <w:noProof/>
                <w:webHidden/>
              </w:rPr>
              <w:fldChar w:fldCharType="begin"/>
            </w:r>
            <w:r w:rsidR="00AE4AD0" w:rsidRPr="00AE4AD0">
              <w:rPr>
                <w:rFonts w:asciiTheme="majorHAnsi" w:hAnsiTheme="majorHAnsi"/>
                <w:noProof/>
                <w:webHidden/>
              </w:rPr>
              <w:instrText xml:space="preserve"> PAGEREF _Toc500401864 \h </w:instrText>
            </w:r>
            <w:r w:rsidR="00AE4AD0" w:rsidRPr="00AE4AD0">
              <w:rPr>
                <w:rFonts w:asciiTheme="majorHAnsi" w:hAnsiTheme="majorHAnsi"/>
                <w:noProof/>
                <w:webHidden/>
              </w:rPr>
            </w:r>
            <w:r w:rsidR="00AE4AD0" w:rsidRPr="00AE4AD0">
              <w:rPr>
                <w:rFonts w:asciiTheme="majorHAnsi" w:hAnsiTheme="majorHAnsi"/>
                <w:noProof/>
                <w:webHidden/>
              </w:rPr>
              <w:fldChar w:fldCharType="separate"/>
            </w:r>
            <w:r w:rsidR="00513CF0">
              <w:rPr>
                <w:rFonts w:asciiTheme="majorHAnsi" w:hAnsiTheme="majorHAnsi"/>
                <w:noProof/>
                <w:webHidden/>
              </w:rPr>
              <w:t>17</w:t>
            </w:r>
            <w:r w:rsidR="00AE4AD0" w:rsidRPr="00AE4AD0">
              <w:rPr>
                <w:rFonts w:asciiTheme="majorHAnsi" w:hAnsiTheme="majorHAnsi"/>
                <w:noProof/>
                <w:webHidden/>
              </w:rPr>
              <w:fldChar w:fldCharType="end"/>
            </w:r>
          </w:hyperlink>
        </w:p>
        <w:p w14:paraId="4D94EE0D" w14:textId="63A5C6F1" w:rsidR="00AE4AD0" w:rsidRPr="00AE4AD0" w:rsidRDefault="007071A6">
          <w:pPr>
            <w:pStyle w:val="TOC2"/>
            <w:tabs>
              <w:tab w:val="right" w:leader="dot" w:pos="9016"/>
            </w:tabs>
            <w:rPr>
              <w:rFonts w:asciiTheme="majorHAnsi" w:eastAsiaTheme="minorEastAsia" w:hAnsiTheme="majorHAnsi" w:cstheme="minorBidi"/>
              <w:noProof/>
              <w:spacing w:val="0"/>
            </w:rPr>
          </w:pPr>
          <w:hyperlink w:anchor="_Toc500401868" w:history="1">
            <w:r w:rsidR="00AE4AD0" w:rsidRPr="00AE4AD0">
              <w:rPr>
                <w:rStyle w:val="Hyperlink"/>
                <w:rFonts w:asciiTheme="majorHAnsi" w:eastAsiaTheme="majorEastAsia" w:hAnsiTheme="majorHAnsi"/>
                <w:noProof/>
                <w:sz w:val="24"/>
              </w:rPr>
              <w:t>Opportunities for the supported employment sector</w:t>
            </w:r>
            <w:r w:rsidR="00AE4AD0" w:rsidRPr="00AE4AD0">
              <w:rPr>
                <w:rFonts w:asciiTheme="majorHAnsi" w:hAnsiTheme="majorHAnsi"/>
                <w:noProof/>
                <w:webHidden/>
              </w:rPr>
              <w:tab/>
            </w:r>
            <w:r w:rsidR="00AE4AD0" w:rsidRPr="00AE4AD0">
              <w:rPr>
                <w:rFonts w:asciiTheme="majorHAnsi" w:hAnsiTheme="majorHAnsi"/>
                <w:noProof/>
                <w:webHidden/>
              </w:rPr>
              <w:fldChar w:fldCharType="begin"/>
            </w:r>
            <w:r w:rsidR="00AE4AD0" w:rsidRPr="00AE4AD0">
              <w:rPr>
                <w:rFonts w:asciiTheme="majorHAnsi" w:hAnsiTheme="majorHAnsi"/>
                <w:noProof/>
                <w:webHidden/>
              </w:rPr>
              <w:instrText xml:space="preserve"> PAGEREF _Toc500401868 \h </w:instrText>
            </w:r>
            <w:r w:rsidR="00AE4AD0" w:rsidRPr="00AE4AD0">
              <w:rPr>
                <w:rFonts w:asciiTheme="majorHAnsi" w:hAnsiTheme="majorHAnsi"/>
                <w:noProof/>
                <w:webHidden/>
              </w:rPr>
            </w:r>
            <w:r w:rsidR="00AE4AD0" w:rsidRPr="00AE4AD0">
              <w:rPr>
                <w:rFonts w:asciiTheme="majorHAnsi" w:hAnsiTheme="majorHAnsi"/>
                <w:noProof/>
                <w:webHidden/>
              </w:rPr>
              <w:fldChar w:fldCharType="separate"/>
            </w:r>
            <w:r w:rsidR="00513CF0">
              <w:rPr>
                <w:rFonts w:asciiTheme="majorHAnsi" w:hAnsiTheme="majorHAnsi"/>
                <w:noProof/>
                <w:webHidden/>
              </w:rPr>
              <w:t>18</w:t>
            </w:r>
            <w:r w:rsidR="00AE4AD0" w:rsidRPr="00AE4AD0">
              <w:rPr>
                <w:rFonts w:asciiTheme="majorHAnsi" w:hAnsiTheme="majorHAnsi"/>
                <w:noProof/>
                <w:webHidden/>
              </w:rPr>
              <w:fldChar w:fldCharType="end"/>
            </w:r>
          </w:hyperlink>
        </w:p>
        <w:p w14:paraId="598D299C" w14:textId="1C3EEF7C" w:rsidR="00AE4AD0" w:rsidRPr="00AE4AD0" w:rsidRDefault="007071A6">
          <w:pPr>
            <w:pStyle w:val="TOC1"/>
            <w:rPr>
              <w:rFonts w:eastAsiaTheme="minorEastAsia" w:cstheme="minorBidi"/>
              <w:bCs w:val="0"/>
              <w:spacing w:val="0"/>
            </w:rPr>
          </w:pPr>
          <w:hyperlink w:anchor="_Toc500401872" w:history="1">
            <w:r w:rsidR="00AE4AD0" w:rsidRPr="00AE4AD0">
              <w:rPr>
                <w:rStyle w:val="Hyperlink"/>
                <w:rFonts w:asciiTheme="majorHAnsi" w:hAnsiTheme="majorHAnsi"/>
                <w:sz w:val="24"/>
              </w:rPr>
              <w:t>What will the supported employment landscape look like at full scheme roll out of the NDIS?</w:t>
            </w:r>
            <w:r w:rsidR="00AE4AD0" w:rsidRPr="00AE4AD0">
              <w:rPr>
                <w:webHidden/>
              </w:rPr>
              <w:tab/>
            </w:r>
            <w:r w:rsidR="00AE4AD0" w:rsidRPr="00AE4AD0">
              <w:rPr>
                <w:webHidden/>
              </w:rPr>
              <w:fldChar w:fldCharType="begin"/>
            </w:r>
            <w:r w:rsidR="00AE4AD0" w:rsidRPr="00AE4AD0">
              <w:rPr>
                <w:webHidden/>
              </w:rPr>
              <w:instrText xml:space="preserve"> PAGEREF _Toc500401872 \h </w:instrText>
            </w:r>
            <w:r w:rsidR="00AE4AD0" w:rsidRPr="00AE4AD0">
              <w:rPr>
                <w:webHidden/>
              </w:rPr>
            </w:r>
            <w:r w:rsidR="00AE4AD0" w:rsidRPr="00AE4AD0">
              <w:rPr>
                <w:webHidden/>
              </w:rPr>
              <w:fldChar w:fldCharType="separate"/>
            </w:r>
            <w:r w:rsidR="00513CF0">
              <w:rPr>
                <w:webHidden/>
              </w:rPr>
              <w:t>19</w:t>
            </w:r>
            <w:r w:rsidR="00AE4AD0" w:rsidRPr="00AE4AD0">
              <w:rPr>
                <w:webHidden/>
              </w:rPr>
              <w:fldChar w:fldCharType="end"/>
            </w:r>
          </w:hyperlink>
        </w:p>
        <w:p w14:paraId="17822C54" w14:textId="0F9A6EE3" w:rsidR="00AE4AD0" w:rsidRPr="00AE4AD0" w:rsidRDefault="007071A6">
          <w:pPr>
            <w:pStyle w:val="TOC1"/>
            <w:rPr>
              <w:rFonts w:eastAsiaTheme="minorEastAsia" w:cstheme="minorBidi"/>
              <w:bCs w:val="0"/>
              <w:spacing w:val="0"/>
            </w:rPr>
          </w:pPr>
          <w:hyperlink w:anchor="_Toc500401873" w:history="1">
            <w:r w:rsidR="00AE4AD0" w:rsidRPr="00AE4AD0">
              <w:rPr>
                <w:rStyle w:val="Hyperlink"/>
                <w:rFonts w:asciiTheme="majorHAnsi" w:hAnsiTheme="majorHAnsi" w:cstheme="minorHAnsi"/>
                <w:sz w:val="24"/>
              </w:rPr>
              <w:t>Have your say on the guiding principles</w:t>
            </w:r>
            <w:r w:rsidR="00AE4AD0" w:rsidRPr="00AE4AD0">
              <w:rPr>
                <w:webHidden/>
              </w:rPr>
              <w:tab/>
            </w:r>
            <w:r w:rsidR="00AE4AD0" w:rsidRPr="00AE4AD0">
              <w:rPr>
                <w:webHidden/>
              </w:rPr>
              <w:fldChar w:fldCharType="begin"/>
            </w:r>
            <w:r w:rsidR="00AE4AD0" w:rsidRPr="00AE4AD0">
              <w:rPr>
                <w:webHidden/>
              </w:rPr>
              <w:instrText xml:space="preserve"> PAGEREF _Toc500401873 \h </w:instrText>
            </w:r>
            <w:r w:rsidR="00AE4AD0" w:rsidRPr="00AE4AD0">
              <w:rPr>
                <w:webHidden/>
              </w:rPr>
            </w:r>
            <w:r w:rsidR="00AE4AD0" w:rsidRPr="00AE4AD0">
              <w:rPr>
                <w:webHidden/>
              </w:rPr>
              <w:fldChar w:fldCharType="separate"/>
            </w:r>
            <w:r w:rsidR="00513CF0">
              <w:rPr>
                <w:webHidden/>
              </w:rPr>
              <w:t>19</w:t>
            </w:r>
            <w:r w:rsidR="00AE4AD0" w:rsidRPr="00AE4AD0">
              <w:rPr>
                <w:webHidden/>
              </w:rPr>
              <w:fldChar w:fldCharType="end"/>
            </w:r>
          </w:hyperlink>
        </w:p>
        <w:p w14:paraId="77EB4025" w14:textId="43561F5B" w:rsidR="00AE4AD0" w:rsidRPr="00AE4AD0" w:rsidRDefault="007071A6">
          <w:pPr>
            <w:pStyle w:val="TOC1"/>
            <w:rPr>
              <w:rFonts w:eastAsiaTheme="minorEastAsia" w:cstheme="minorBidi"/>
              <w:bCs w:val="0"/>
              <w:spacing w:val="0"/>
            </w:rPr>
          </w:pPr>
          <w:hyperlink w:anchor="_Toc500401874" w:history="1">
            <w:r w:rsidR="00AE4AD0" w:rsidRPr="00AE4AD0">
              <w:rPr>
                <w:rStyle w:val="Hyperlink"/>
                <w:rFonts w:asciiTheme="majorHAnsi" w:hAnsiTheme="majorHAnsi"/>
                <w:sz w:val="24"/>
              </w:rPr>
              <w:t>Transition to the future landscape</w:t>
            </w:r>
            <w:r w:rsidR="00AE4AD0" w:rsidRPr="00AE4AD0">
              <w:rPr>
                <w:webHidden/>
              </w:rPr>
              <w:tab/>
            </w:r>
            <w:r w:rsidR="00AE4AD0" w:rsidRPr="00AE4AD0">
              <w:rPr>
                <w:webHidden/>
              </w:rPr>
              <w:fldChar w:fldCharType="begin"/>
            </w:r>
            <w:r w:rsidR="00AE4AD0" w:rsidRPr="00AE4AD0">
              <w:rPr>
                <w:webHidden/>
              </w:rPr>
              <w:instrText xml:space="preserve"> PAGEREF _Toc500401874 \h </w:instrText>
            </w:r>
            <w:r w:rsidR="00AE4AD0" w:rsidRPr="00AE4AD0">
              <w:rPr>
                <w:webHidden/>
              </w:rPr>
            </w:r>
            <w:r w:rsidR="00AE4AD0" w:rsidRPr="00AE4AD0">
              <w:rPr>
                <w:webHidden/>
              </w:rPr>
              <w:fldChar w:fldCharType="separate"/>
            </w:r>
            <w:r w:rsidR="00513CF0">
              <w:rPr>
                <w:webHidden/>
              </w:rPr>
              <w:t>20</w:t>
            </w:r>
            <w:r w:rsidR="00AE4AD0" w:rsidRPr="00AE4AD0">
              <w:rPr>
                <w:webHidden/>
              </w:rPr>
              <w:fldChar w:fldCharType="end"/>
            </w:r>
          </w:hyperlink>
        </w:p>
        <w:p w14:paraId="1708BD09" w14:textId="76F6E961" w:rsidR="00AE4AD0" w:rsidRPr="00AE4AD0" w:rsidRDefault="007071A6">
          <w:pPr>
            <w:pStyle w:val="TOC1"/>
            <w:rPr>
              <w:rFonts w:eastAsiaTheme="minorEastAsia" w:cstheme="minorBidi"/>
              <w:bCs w:val="0"/>
              <w:spacing w:val="0"/>
            </w:rPr>
          </w:pPr>
          <w:hyperlink w:anchor="_Toc500401875" w:history="1">
            <w:r w:rsidR="00AE4AD0" w:rsidRPr="00AE4AD0">
              <w:rPr>
                <w:rStyle w:val="Hyperlink"/>
                <w:rFonts w:asciiTheme="majorHAnsi" w:hAnsiTheme="majorHAnsi"/>
                <w:b/>
                <w:sz w:val="24"/>
              </w:rPr>
              <w:t>Discussion Topics</w:t>
            </w:r>
            <w:r w:rsidR="00AE4AD0" w:rsidRPr="00AE4AD0">
              <w:rPr>
                <w:webHidden/>
              </w:rPr>
              <w:tab/>
            </w:r>
            <w:r w:rsidR="00AE4AD0" w:rsidRPr="00AE4AD0">
              <w:rPr>
                <w:webHidden/>
              </w:rPr>
              <w:fldChar w:fldCharType="begin"/>
            </w:r>
            <w:r w:rsidR="00AE4AD0" w:rsidRPr="00AE4AD0">
              <w:rPr>
                <w:webHidden/>
              </w:rPr>
              <w:instrText xml:space="preserve"> PAGEREF _Toc500401875 \h </w:instrText>
            </w:r>
            <w:r w:rsidR="00AE4AD0" w:rsidRPr="00AE4AD0">
              <w:rPr>
                <w:webHidden/>
              </w:rPr>
            </w:r>
            <w:r w:rsidR="00AE4AD0" w:rsidRPr="00AE4AD0">
              <w:rPr>
                <w:webHidden/>
              </w:rPr>
              <w:fldChar w:fldCharType="separate"/>
            </w:r>
            <w:r w:rsidR="00513CF0">
              <w:rPr>
                <w:webHidden/>
              </w:rPr>
              <w:t>21</w:t>
            </w:r>
            <w:r w:rsidR="00AE4AD0" w:rsidRPr="00AE4AD0">
              <w:rPr>
                <w:webHidden/>
              </w:rPr>
              <w:fldChar w:fldCharType="end"/>
            </w:r>
          </w:hyperlink>
        </w:p>
        <w:p w14:paraId="4548C3D5" w14:textId="112E8FA2" w:rsidR="00AE4AD0" w:rsidRPr="00AE4AD0" w:rsidRDefault="007071A6">
          <w:pPr>
            <w:pStyle w:val="TOC2"/>
            <w:tabs>
              <w:tab w:val="right" w:leader="dot" w:pos="9016"/>
            </w:tabs>
            <w:rPr>
              <w:rFonts w:asciiTheme="majorHAnsi" w:eastAsiaTheme="minorEastAsia" w:hAnsiTheme="majorHAnsi" w:cstheme="minorBidi"/>
              <w:noProof/>
              <w:spacing w:val="0"/>
            </w:rPr>
          </w:pPr>
          <w:hyperlink w:anchor="_Toc500401876" w:history="1">
            <w:r w:rsidR="00AE4AD0" w:rsidRPr="00AE4AD0">
              <w:rPr>
                <w:rStyle w:val="Hyperlink"/>
                <w:rFonts w:asciiTheme="majorHAnsi" w:eastAsiaTheme="majorEastAsia" w:hAnsiTheme="majorHAnsi"/>
                <w:noProof/>
                <w:sz w:val="24"/>
              </w:rPr>
              <w:t>Strategies to support employment participation for people with disability</w:t>
            </w:r>
            <w:r w:rsidR="00AE4AD0" w:rsidRPr="00AE4AD0">
              <w:rPr>
                <w:rFonts w:asciiTheme="majorHAnsi" w:hAnsiTheme="majorHAnsi"/>
                <w:noProof/>
                <w:webHidden/>
              </w:rPr>
              <w:tab/>
            </w:r>
            <w:r w:rsidR="00AE4AD0" w:rsidRPr="00AE4AD0">
              <w:rPr>
                <w:rFonts w:asciiTheme="majorHAnsi" w:hAnsiTheme="majorHAnsi"/>
                <w:noProof/>
                <w:webHidden/>
              </w:rPr>
              <w:fldChar w:fldCharType="begin"/>
            </w:r>
            <w:r w:rsidR="00AE4AD0" w:rsidRPr="00AE4AD0">
              <w:rPr>
                <w:rFonts w:asciiTheme="majorHAnsi" w:hAnsiTheme="majorHAnsi"/>
                <w:noProof/>
                <w:webHidden/>
              </w:rPr>
              <w:instrText xml:space="preserve"> PAGEREF _Toc500401876 \h </w:instrText>
            </w:r>
            <w:r w:rsidR="00AE4AD0" w:rsidRPr="00AE4AD0">
              <w:rPr>
                <w:rFonts w:asciiTheme="majorHAnsi" w:hAnsiTheme="majorHAnsi"/>
                <w:noProof/>
                <w:webHidden/>
              </w:rPr>
            </w:r>
            <w:r w:rsidR="00AE4AD0" w:rsidRPr="00AE4AD0">
              <w:rPr>
                <w:rFonts w:asciiTheme="majorHAnsi" w:hAnsiTheme="majorHAnsi"/>
                <w:noProof/>
                <w:webHidden/>
              </w:rPr>
              <w:fldChar w:fldCharType="separate"/>
            </w:r>
            <w:r w:rsidR="00513CF0">
              <w:rPr>
                <w:rFonts w:asciiTheme="majorHAnsi" w:hAnsiTheme="majorHAnsi"/>
                <w:noProof/>
                <w:webHidden/>
              </w:rPr>
              <w:t>21</w:t>
            </w:r>
            <w:r w:rsidR="00AE4AD0" w:rsidRPr="00AE4AD0">
              <w:rPr>
                <w:rFonts w:asciiTheme="majorHAnsi" w:hAnsiTheme="majorHAnsi"/>
                <w:noProof/>
                <w:webHidden/>
              </w:rPr>
              <w:fldChar w:fldCharType="end"/>
            </w:r>
          </w:hyperlink>
        </w:p>
        <w:p w14:paraId="2B0DE674" w14:textId="019A8EA4" w:rsidR="00AE4AD0" w:rsidRPr="00AE4AD0" w:rsidRDefault="007071A6">
          <w:pPr>
            <w:pStyle w:val="TOC1"/>
            <w:rPr>
              <w:rFonts w:eastAsiaTheme="minorEastAsia" w:cstheme="minorBidi"/>
              <w:bCs w:val="0"/>
              <w:spacing w:val="0"/>
            </w:rPr>
          </w:pPr>
          <w:hyperlink w:anchor="_Toc500401879" w:history="1">
            <w:r w:rsidR="00AE4AD0" w:rsidRPr="00AE4AD0">
              <w:rPr>
                <w:rStyle w:val="Hyperlink"/>
                <w:rFonts w:asciiTheme="majorHAnsi" w:hAnsiTheme="majorHAnsi" w:cstheme="minorHAnsi"/>
                <w:sz w:val="24"/>
              </w:rPr>
              <w:t>Have your say - Discussion questions</w:t>
            </w:r>
            <w:r w:rsidR="00AE4AD0" w:rsidRPr="00AE4AD0">
              <w:rPr>
                <w:webHidden/>
              </w:rPr>
              <w:tab/>
            </w:r>
            <w:r w:rsidR="00AE4AD0" w:rsidRPr="00AE4AD0">
              <w:rPr>
                <w:webHidden/>
              </w:rPr>
              <w:fldChar w:fldCharType="begin"/>
            </w:r>
            <w:r w:rsidR="00AE4AD0" w:rsidRPr="00AE4AD0">
              <w:rPr>
                <w:webHidden/>
              </w:rPr>
              <w:instrText xml:space="preserve"> PAGEREF _Toc500401879 \h </w:instrText>
            </w:r>
            <w:r w:rsidR="00AE4AD0" w:rsidRPr="00AE4AD0">
              <w:rPr>
                <w:webHidden/>
              </w:rPr>
            </w:r>
            <w:r w:rsidR="00AE4AD0" w:rsidRPr="00AE4AD0">
              <w:rPr>
                <w:webHidden/>
              </w:rPr>
              <w:fldChar w:fldCharType="separate"/>
            </w:r>
            <w:r w:rsidR="00513CF0">
              <w:rPr>
                <w:webHidden/>
              </w:rPr>
              <w:t>22</w:t>
            </w:r>
            <w:r w:rsidR="00AE4AD0" w:rsidRPr="00AE4AD0">
              <w:rPr>
                <w:webHidden/>
              </w:rPr>
              <w:fldChar w:fldCharType="end"/>
            </w:r>
          </w:hyperlink>
        </w:p>
        <w:p w14:paraId="4F4EB201" w14:textId="503EE927" w:rsidR="00AE4AD0" w:rsidRPr="00AE4AD0" w:rsidRDefault="007071A6">
          <w:pPr>
            <w:pStyle w:val="TOC2"/>
            <w:tabs>
              <w:tab w:val="right" w:leader="dot" w:pos="9016"/>
            </w:tabs>
            <w:rPr>
              <w:rFonts w:asciiTheme="majorHAnsi" w:eastAsiaTheme="minorEastAsia" w:hAnsiTheme="majorHAnsi" w:cstheme="minorBidi"/>
              <w:noProof/>
              <w:spacing w:val="0"/>
            </w:rPr>
          </w:pPr>
          <w:hyperlink w:anchor="_Toc500401880" w:history="1">
            <w:r w:rsidR="00AE4AD0" w:rsidRPr="00AE4AD0">
              <w:rPr>
                <w:rStyle w:val="Hyperlink"/>
                <w:rFonts w:asciiTheme="majorHAnsi" w:eastAsiaTheme="majorEastAsia" w:hAnsiTheme="majorHAnsi"/>
                <w:noProof/>
                <w:sz w:val="24"/>
              </w:rPr>
              <w:t>Strategies to support employer/providers to offer effective employment opportunities</w:t>
            </w:r>
            <w:r w:rsidR="00AE4AD0" w:rsidRPr="00AE4AD0">
              <w:rPr>
                <w:rFonts w:asciiTheme="majorHAnsi" w:hAnsiTheme="majorHAnsi"/>
                <w:noProof/>
                <w:webHidden/>
              </w:rPr>
              <w:tab/>
            </w:r>
            <w:r w:rsidR="00AE4AD0" w:rsidRPr="00AE4AD0">
              <w:rPr>
                <w:rFonts w:asciiTheme="majorHAnsi" w:hAnsiTheme="majorHAnsi"/>
                <w:noProof/>
                <w:webHidden/>
              </w:rPr>
              <w:fldChar w:fldCharType="begin"/>
            </w:r>
            <w:r w:rsidR="00AE4AD0" w:rsidRPr="00AE4AD0">
              <w:rPr>
                <w:rFonts w:asciiTheme="majorHAnsi" w:hAnsiTheme="majorHAnsi"/>
                <w:noProof/>
                <w:webHidden/>
              </w:rPr>
              <w:instrText xml:space="preserve"> PAGEREF _Toc500401880 \h </w:instrText>
            </w:r>
            <w:r w:rsidR="00AE4AD0" w:rsidRPr="00AE4AD0">
              <w:rPr>
                <w:rFonts w:asciiTheme="majorHAnsi" w:hAnsiTheme="majorHAnsi"/>
                <w:noProof/>
                <w:webHidden/>
              </w:rPr>
            </w:r>
            <w:r w:rsidR="00AE4AD0" w:rsidRPr="00AE4AD0">
              <w:rPr>
                <w:rFonts w:asciiTheme="majorHAnsi" w:hAnsiTheme="majorHAnsi"/>
                <w:noProof/>
                <w:webHidden/>
              </w:rPr>
              <w:fldChar w:fldCharType="separate"/>
            </w:r>
            <w:r w:rsidR="00513CF0">
              <w:rPr>
                <w:rFonts w:asciiTheme="majorHAnsi" w:hAnsiTheme="majorHAnsi"/>
                <w:noProof/>
                <w:webHidden/>
              </w:rPr>
              <w:t>23</w:t>
            </w:r>
            <w:r w:rsidR="00AE4AD0" w:rsidRPr="00AE4AD0">
              <w:rPr>
                <w:rFonts w:asciiTheme="majorHAnsi" w:hAnsiTheme="majorHAnsi"/>
                <w:noProof/>
                <w:webHidden/>
              </w:rPr>
              <w:fldChar w:fldCharType="end"/>
            </w:r>
          </w:hyperlink>
        </w:p>
        <w:p w14:paraId="0EBDFB8A" w14:textId="046F69B1" w:rsidR="00AE4AD0" w:rsidRPr="00AE4AD0" w:rsidRDefault="007071A6">
          <w:pPr>
            <w:pStyle w:val="TOC1"/>
            <w:rPr>
              <w:rFonts w:eastAsiaTheme="minorEastAsia" w:cstheme="minorBidi"/>
              <w:bCs w:val="0"/>
              <w:spacing w:val="0"/>
            </w:rPr>
          </w:pPr>
          <w:hyperlink w:anchor="_Toc500401884" w:history="1">
            <w:r w:rsidR="00AE4AD0" w:rsidRPr="00AE4AD0">
              <w:rPr>
                <w:rStyle w:val="Hyperlink"/>
                <w:rFonts w:asciiTheme="majorHAnsi" w:hAnsiTheme="majorHAnsi" w:cstheme="minorHAnsi"/>
                <w:sz w:val="24"/>
              </w:rPr>
              <w:t>Have your say - Discussion questions</w:t>
            </w:r>
            <w:r w:rsidR="00AE4AD0" w:rsidRPr="00AE4AD0">
              <w:rPr>
                <w:webHidden/>
              </w:rPr>
              <w:tab/>
            </w:r>
            <w:r w:rsidR="00AE4AD0" w:rsidRPr="00AE4AD0">
              <w:rPr>
                <w:webHidden/>
              </w:rPr>
              <w:fldChar w:fldCharType="begin"/>
            </w:r>
            <w:r w:rsidR="00AE4AD0" w:rsidRPr="00AE4AD0">
              <w:rPr>
                <w:webHidden/>
              </w:rPr>
              <w:instrText xml:space="preserve"> PAGEREF _Toc500401884 \h </w:instrText>
            </w:r>
            <w:r w:rsidR="00AE4AD0" w:rsidRPr="00AE4AD0">
              <w:rPr>
                <w:webHidden/>
              </w:rPr>
            </w:r>
            <w:r w:rsidR="00AE4AD0" w:rsidRPr="00AE4AD0">
              <w:rPr>
                <w:webHidden/>
              </w:rPr>
              <w:fldChar w:fldCharType="separate"/>
            </w:r>
            <w:r w:rsidR="00513CF0">
              <w:rPr>
                <w:webHidden/>
              </w:rPr>
              <w:t>24</w:t>
            </w:r>
            <w:r w:rsidR="00AE4AD0" w:rsidRPr="00AE4AD0">
              <w:rPr>
                <w:webHidden/>
              </w:rPr>
              <w:fldChar w:fldCharType="end"/>
            </w:r>
          </w:hyperlink>
        </w:p>
        <w:p w14:paraId="2967A451" w14:textId="5C2F9D5D" w:rsidR="00AE4AD0" w:rsidRPr="00AE4AD0" w:rsidRDefault="007071A6">
          <w:pPr>
            <w:pStyle w:val="TOC2"/>
            <w:tabs>
              <w:tab w:val="right" w:leader="dot" w:pos="9016"/>
            </w:tabs>
            <w:rPr>
              <w:rFonts w:asciiTheme="majorHAnsi" w:eastAsiaTheme="minorEastAsia" w:hAnsiTheme="majorHAnsi" w:cstheme="minorBidi"/>
              <w:noProof/>
              <w:spacing w:val="0"/>
            </w:rPr>
          </w:pPr>
          <w:hyperlink w:anchor="_Toc500401885" w:history="1">
            <w:r w:rsidR="00AE4AD0" w:rsidRPr="00AE4AD0">
              <w:rPr>
                <w:rStyle w:val="Hyperlink"/>
                <w:rFonts w:asciiTheme="majorHAnsi" w:eastAsiaTheme="majorEastAsia" w:hAnsiTheme="majorHAnsi"/>
                <w:noProof/>
                <w:sz w:val="24"/>
              </w:rPr>
              <w:t>Strategies to facilitate greater choice and control for NDIS participants</w:t>
            </w:r>
            <w:r w:rsidR="00AE4AD0" w:rsidRPr="00AE4AD0">
              <w:rPr>
                <w:rFonts w:asciiTheme="majorHAnsi" w:hAnsiTheme="majorHAnsi"/>
                <w:noProof/>
                <w:webHidden/>
              </w:rPr>
              <w:tab/>
            </w:r>
            <w:r w:rsidR="00AE4AD0" w:rsidRPr="00AE4AD0">
              <w:rPr>
                <w:rFonts w:asciiTheme="majorHAnsi" w:hAnsiTheme="majorHAnsi"/>
                <w:noProof/>
                <w:webHidden/>
              </w:rPr>
              <w:fldChar w:fldCharType="begin"/>
            </w:r>
            <w:r w:rsidR="00AE4AD0" w:rsidRPr="00AE4AD0">
              <w:rPr>
                <w:rFonts w:asciiTheme="majorHAnsi" w:hAnsiTheme="majorHAnsi"/>
                <w:noProof/>
                <w:webHidden/>
              </w:rPr>
              <w:instrText xml:space="preserve"> PAGEREF _Toc500401885 \h </w:instrText>
            </w:r>
            <w:r w:rsidR="00AE4AD0" w:rsidRPr="00AE4AD0">
              <w:rPr>
                <w:rFonts w:asciiTheme="majorHAnsi" w:hAnsiTheme="majorHAnsi"/>
                <w:noProof/>
                <w:webHidden/>
              </w:rPr>
            </w:r>
            <w:r w:rsidR="00AE4AD0" w:rsidRPr="00AE4AD0">
              <w:rPr>
                <w:rFonts w:asciiTheme="majorHAnsi" w:hAnsiTheme="majorHAnsi"/>
                <w:noProof/>
                <w:webHidden/>
              </w:rPr>
              <w:fldChar w:fldCharType="separate"/>
            </w:r>
            <w:r w:rsidR="00513CF0">
              <w:rPr>
                <w:rFonts w:asciiTheme="majorHAnsi" w:hAnsiTheme="majorHAnsi"/>
                <w:noProof/>
                <w:webHidden/>
              </w:rPr>
              <w:t>25</w:t>
            </w:r>
            <w:r w:rsidR="00AE4AD0" w:rsidRPr="00AE4AD0">
              <w:rPr>
                <w:rFonts w:asciiTheme="majorHAnsi" w:hAnsiTheme="majorHAnsi"/>
                <w:noProof/>
                <w:webHidden/>
              </w:rPr>
              <w:fldChar w:fldCharType="end"/>
            </w:r>
          </w:hyperlink>
        </w:p>
        <w:p w14:paraId="722753F9" w14:textId="19968F13" w:rsidR="00AE4AD0" w:rsidRPr="00AE4AD0" w:rsidRDefault="007071A6">
          <w:pPr>
            <w:pStyle w:val="TOC1"/>
            <w:rPr>
              <w:rFonts w:eastAsiaTheme="minorEastAsia" w:cstheme="minorBidi"/>
              <w:bCs w:val="0"/>
              <w:spacing w:val="0"/>
            </w:rPr>
          </w:pPr>
          <w:hyperlink w:anchor="_Toc500401888" w:history="1">
            <w:r w:rsidR="00AE4AD0" w:rsidRPr="00AE4AD0">
              <w:rPr>
                <w:rStyle w:val="Hyperlink"/>
                <w:rFonts w:asciiTheme="majorHAnsi" w:hAnsiTheme="majorHAnsi" w:cstheme="minorHAnsi"/>
                <w:sz w:val="24"/>
              </w:rPr>
              <w:t>Have your say - Discussion questions</w:t>
            </w:r>
            <w:r w:rsidR="00AE4AD0" w:rsidRPr="00AE4AD0">
              <w:rPr>
                <w:webHidden/>
              </w:rPr>
              <w:tab/>
            </w:r>
            <w:r w:rsidR="00AE4AD0" w:rsidRPr="00AE4AD0">
              <w:rPr>
                <w:webHidden/>
              </w:rPr>
              <w:fldChar w:fldCharType="begin"/>
            </w:r>
            <w:r w:rsidR="00AE4AD0" w:rsidRPr="00AE4AD0">
              <w:rPr>
                <w:webHidden/>
              </w:rPr>
              <w:instrText xml:space="preserve"> PAGEREF _Toc500401888 \h </w:instrText>
            </w:r>
            <w:r w:rsidR="00AE4AD0" w:rsidRPr="00AE4AD0">
              <w:rPr>
                <w:webHidden/>
              </w:rPr>
            </w:r>
            <w:r w:rsidR="00AE4AD0" w:rsidRPr="00AE4AD0">
              <w:rPr>
                <w:webHidden/>
              </w:rPr>
              <w:fldChar w:fldCharType="separate"/>
            </w:r>
            <w:r w:rsidR="00513CF0">
              <w:rPr>
                <w:webHidden/>
              </w:rPr>
              <w:t>26</w:t>
            </w:r>
            <w:r w:rsidR="00AE4AD0" w:rsidRPr="00AE4AD0">
              <w:rPr>
                <w:webHidden/>
              </w:rPr>
              <w:fldChar w:fldCharType="end"/>
            </w:r>
          </w:hyperlink>
        </w:p>
        <w:p w14:paraId="69CD641A" w14:textId="30A2A345" w:rsidR="00AE4AD0" w:rsidRPr="00AE4AD0" w:rsidRDefault="007071A6">
          <w:pPr>
            <w:pStyle w:val="TOC1"/>
            <w:rPr>
              <w:rFonts w:eastAsiaTheme="minorEastAsia" w:cstheme="minorBidi"/>
              <w:bCs w:val="0"/>
              <w:spacing w:val="0"/>
            </w:rPr>
          </w:pPr>
          <w:hyperlink w:anchor="_Toc500401889" w:history="1">
            <w:r w:rsidR="00AE4AD0" w:rsidRPr="00AE4AD0">
              <w:rPr>
                <w:rStyle w:val="Hyperlink"/>
                <w:rFonts w:asciiTheme="majorHAnsi" w:hAnsiTheme="majorHAnsi"/>
                <w:b/>
                <w:sz w:val="24"/>
              </w:rPr>
              <w:t>Next steps</w:t>
            </w:r>
            <w:r w:rsidR="00AE4AD0" w:rsidRPr="00AE4AD0">
              <w:rPr>
                <w:webHidden/>
              </w:rPr>
              <w:tab/>
            </w:r>
            <w:r w:rsidR="00AE4AD0" w:rsidRPr="00AE4AD0">
              <w:rPr>
                <w:webHidden/>
              </w:rPr>
              <w:fldChar w:fldCharType="begin"/>
            </w:r>
            <w:r w:rsidR="00AE4AD0" w:rsidRPr="00AE4AD0">
              <w:rPr>
                <w:webHidden/>
              </w:rPr>
              <w:instrText xml:space="preserve"> PAGEREF _Toc500401889 \h </w:instrText>
            </w:r>
            <w:r w:rsidR="00AE4AD0" w:rsidRPr="00AE4AD0">
              <w:rPr>
                <w:webHidden/>
              </w:rPr>
            </w:r>
            <w:r w:rsidR="00AE4AD0" w:rsidRPr="00AE4AD0">
              <w:rPr>
                <w:webHidden/>
              </w:rPr>
              <w:fldChar w:fldCharType="separate"/>
            </w:r>
            <w:r w:rsidR="00513CF0">
              <w:rPr>
                <w:webHidden/>
              </w:rPr>
              <w:t>27</w:t>
            </w:r>
            <w:r w:rsidR="00AE4AD0" w:rsidRPr="00AE4AD0">
              <w:rPr>
                <w:webHidden/>
              </w:rPr>
              <w:fldChar w:fldCharType="end"/>
            </w:r>
          </w:hyperlink>
        </w:p>
        <w:p w14:paraId="3FD20FD8" w14:textId="41F60A44" w:rsidR="00AE4AD0" w:rsidRPr="00AE4AD0" w:rsidRDefault="007071A6">
          <w:pPr>
            <w:pStyle w:val="TOC1"/>
            <w:rPr>
              <w:rFonts w:eastAsiaTheme="minorEastAsia" w:cstheme="minorBidi"/>
              <w:bCs w:val="0"/>
              <w:spacing w:val="0"/>
            </w:rPr>
          </w:pPr>
          <w:hyperlink w:anchor="_Toc500401891" w:history="1">
            <w:r w:rsidR="00AE4AD0" w:rsidRPr="00AE4AD0">
              <w:rPr>
                <w:rStyle w:val="Hyperlink"/>
                <w:rFonts w:asciiTheme="majorHAnsi" w:hAnsiTheme="majorHAnsi"/>
                <w:sz w:val="24"/>
              </w:rPr>
              <w:t>Consultation timeline</w:t>
            </w:r>
            <w:r w:rsidR="00AE4AD0" w:rsidRPr="00AE4AD0">
              <w:rPr>
                <w:webHidden/>
              </w:rPr>
              <w:tab/>
            </w:r>
            <w:r w:rsidR="00AE4AD0" w:rsidRPr="00AE4AD0">
              <w:rPr>
                <w:webHidden/>
              </w:rPr>
              <w:fldChar w:fldCharType="begin"/>
            </w:r>
            <w:r w:rsidR="00AE4AD0" w:rsidRPr="00AE4AD0">
              <w:rPr>
                <w:webHidden/>
              </w:rPr>
              <w:instrText xml:space="preserve"> PAGEREF _Toc500401891 \h </w:instrText>
            </w:r>
            <w:r w:rsidR="00AE4AD0" w:rsidRPr="00AE4AD0">
              <w:rPr>
                <w:webHidden/>
              </w:rPr>
            </w:r>
            <w:r w:rsidR="00AE4AD0" w:rsidRPr="00AE4AD0">
              <w:rPr>
                <w:webHidden/>
              </w:rPr>
              <w:fldChar w:fldCharType="separate"/>
            </w:r>
            <w:r w:rsidR="00513CF0">
              <w:rPr>
                <w:webHidden/>
              </w:rPr>
              <w:t>28</w:t>
            </w:r>
            <w:r w:rsidR="00AE4AD0" w:rsidRPr="00AE4AD0">
              <w:rPr>
                <w:webHidden/>
              </w:rPr>
              <w:fldChar w:fldCharType="end"/>
            </w:r>
          </w:hyperlink>
        </w:p>
        <w:p w14:paraId="487004A7" w14:textId="160E11D7" w:rsidR="00BC2541" w:rsidRPr="00820C74" w:rsidRDefault="00BC2541">
          <w:pPr>
            <w:rPr>
              <w:rFonts w:asciiTheme="majorHAnsi" w:hAnsiTheme="majorHAnsi"/>
            </w:rPr>
          </w:pPr>
          <w:r w:rsidRPr="00AE4AD0">
            <w:rPr>
              <w:rFonts w:asciiTheme="majorHAnsi" w:hAnsiTheme="majorHAnsi"/>
              <w:b/>
              <w:bCs/>
              <w:noProof/>
            </w:rPr>
            <w:fldChar w:fldCharType="end"/>
          </w:r>
        </w:p>
      </w:sdtContent>
    </w:sdt>
    <w:p w14:paraId="0C6F55EF" w14:textId="77777777" w:rsidR="00830D1C" w:rsidRPr="00820C74" w:rsidRDefault="00830D1C" w:rsidP="005F59D5">
      <w:pPr>
        <w:spacing w:before="360" w:after="120" w:line="240" w:lineRule="auto"/>
        <w:contextualSpacing/>
        <w:outlineLvl w:val="0"/>
        <w:rPr>
          <w:rFonts w:asciiTheme="majorHAnsi" w:hAnsiTheme="majorHAnsi"/>
        </w:rPr>
      </w:pPr>
      <w:r w:rsidRPr="00820C74">
        <w:rPr>
          <w:rFonts w:asciiTheme="majorHAnsi" w:hAnsiTheme="majorHAnsi"/>
        </w:rPr>
        <w:br w:type="page"/>
      </w:r>
    </w:p>
    <w:p w14:paraId="26406E71" w14:textId="77777777" w:rsidR="00830D1C" w:rsidRPr="00830D1C" w:rsidRDefault="00830D1C" w:rsidP="00830D1C">
      <w:pPr>
        <w:spacing w:before="360" w:after="120" w:line="240" w:lineRule="auto"/>
        <w:contextualSpacing/>
        <w:outlineLvl w:val="0"/>
        <w:rPr>
          <w:rFonts w:ascii="Georgia" w:hAnsi="Georgia"/>
          <w:bCs/>
          <w:color w:val="24596E"/>
          <w:sz w:val="34"/>
          <w:szCs w:val="34"/>
        </w:rPr>
      </w:pPr>
      <w:bookmarkStart w:id="9" w:name="_Toc500401852"/>
      <w:r w:rsidRPr="00830D1C">
        <w:rPr>
          <w:rFonts w:ascii="Georgia" w:hAnsi="Georgia"/>
          <w:bCs/>
          <w:color w:val="24596E"/>
          <w:sz w:val="34"/>
          <w:szCs w:val="34"/>
        </w:rPr>
        <w:lastRenderedPageBreak/>
        <w:t>Introduction</w:t>
      </w:r>
      <w:bookmarkEnd w:id="9"/>
    </w:p>
    <w:p w14:paraId="10D9BCDF" w14:textId="77777777" w:rsidR="00AD2E27" w:rsidRDefault="00AD2E27" w:rsidP="00AD2E27">
      <w:pPr>
        <w:spacing w:after="0"/>
        <w:rPr>
          <w:sz w:val="23"/>
          <w:szCs w:val="23"/>
        </w:rPr>
      </w:pPr>
    </w:p>
    <w:p w14:paraId="0C2F65FF" w14:textId="77777777" w:rsidR="00830D1C" w:rsidRDefault="00830D1C" w:rsidP="00830D1C">
      <w:pPr>
        <w:rPr>
          <w:b/>
          <w:sz w:val="23"/>
          <w:szCs w:val="23"/>
        </w:rPr>
      </w:pPr>
      <w:r w:rsidRPr="00830D1C">
        <w:rPr>
          <w:b/>
          <w:sz w:val="23"/>
          <w:szCs w:val="23"/>
        </w:rPr>
        <w:t>Supported</w:t>
      </w:r>
      <w:r w:rsidRPr="00830D1C">
        <w:rPr>
          <w:b/>
          <w:bCs/>
          <w:sz w:val="23"/>
          <w:szCs w:val="23"/>
        </w:rPr>
        <w:t xml:space="preserve"> employment </w:t>
      </w:r>
      <w:r w:rsidR="00F377DA">
        <w:rPr>
          <w:b/>
          <w:bCs/>
          <w:sz w:val="23"/>
          <w:szCs w:val="23"/>
        </w:rPr>
        <w:t>play</w:t>
      </w:r>
      <w:r w:rsidR="00872CFA">
        <w:rPr>
          <w:b/>
          <w:bCs/>
          <w:sz w:val="23"/>
          <w:szCs w:val="23"/>
        </w:rPr>
        <w:t>s</w:t>
      </w:r>
      <w:r w:rsidRPr="00830D1C">
        <w:rPr>
          <w:b/>
          <w:bCs/>
          <w:sz w:val="23"/>
          <w:szCs w:val="23"/>
        </w:rPr>
        <w:t xml:space="preserve"> a vital</w:t>
      </w:r>
      <w:r w:rsidRPr="00830D1C">
        <w:rPr>
          <w:b/>
          <w:sz w:val="23"/>
          <w:szCs w:val="23"/>
        </w:rPr>
        <w:t xml:space="preserve"> role in improving the social and economic participation of </w:t>
      </w:r>
      <w:r w:rsidRPr="00830D1C">
        <w:rPr>
          <w:b/>
          <w:bCs/>
          <w:sz w:val="23"/>
          <w:szCs w:val="23"/>
        </w:rPr>
        <w:t xml:space="preserve">many </w:t>
      </w:r>
      <w:r w:rsidRPr="00830D1C">
        <w:rPr>
          <w:b/>
          <w:sz w:val="23"/>
          <w:szCs w:val="23"/>
        </w:rPr>
        <w:t>people with disability in Australia.</w:t>
      </w:r>
    </w:p>
    <w:p w14:paraId="116896D8" w14:textId="77777777" w:rsidR="002B6A03" w:rsidRDefault="002B6A03" w:rsidP="002B6A03">
      <w:pPr>
        <w:spacing w:before="0"/>
        <w:rPr>
          <w:sz w:val="23"/>
          <w:szCs w:val="23"/>
        </w:rPr>
      </w:pPr>
      <w:r w:rsidRPr="00830D1C">
        <w:rPr>
          <w:sz w:val="23"/>
          <w:szCs w:val="23"/>
        </w:rPr>
        <w:t>A greater quality of life is enjoyed by people who experience a sense of economic contribution and earn their own discre</w:t>
      </w:r>
      <w:r w:rsidR="007D6D15">
        <w:rPr>
          <w:sz w:val="23"/>
          <w:szCs w:val="23"/>
        </w:rPr>
        <w:t>tionary income from employment.</w:t>
      </w:r>
    </w:p>
    <w:p w14:paraId="746FA093" w14:textId="73B2E8F2" w:rsidR="002B6A03" w:rsidRPr="002B6A03" w:rsidRDefault="002B6A03" w:rsidP="00830D1C">
      <w:pPr>
        <w:rPr>
          <w:rFonts w:cs="Arial"/>
          <w:color w:val="FF0000"/>
          <w:sz w:val="23"/>
          <w:szCs w:val="23"/>
        </w:rPr>
      </w:pPr>
      <w:r w:rsidRPr="00192A97">
        <w:rPr>
          <w:rFonts w:cs="Arial"/>
          <w:sz w:val="23"/>
          <w:szCs w:val="23"/>
        </w:rPr>
        <w:t>The 2011 Deloitte Access Economics report</w:t>
      </w:r>
      <w:r>
        <w:rPr>
          <w:rFonts w:cs="Arial"/>
          <w:sz w:val="23"/>
          <w:szCs w:val="23"/>
        </w:rPr>
        <w:t>,</w:t>
      </w:r>
      <w:r w:rsidRPr="00192A97">
        <w:rPr>
          <w:rFonts w:cs="Arial"/>
          <w:sz w:val="23"/>
          <w:szCs w:val="23"/>
        </w:rPr>
        <w:t xml:space="preserve"> </w:t>
      </w:r>
      <w:r w:rsidRPr="00192A97">
        <w:rPr>
          <w:rFonts w:cs="Arial"/>
          <w:i/>
          <w:sz w:val="23"/>
          <w:szCs w:val="23"/>
        </w:rPr>
        <w:t>‘The Economic Benefits of Increasing Employment for People with Disability’</w:t>
      </w:r>
      <w:r w:rsidRPr="00192A97">
        <w:rPr>
          <w:rFonts w:cs="Arial"/>
          <w:sz w:val="23"/>
          <w:szCs w:val="23"/>
        </w:rPr>
        <w:t xml:space="preserve"> concluded that Australia would increase its Gross Domestic </w:t>
      </w:r>
      <w:r w:rsidR="00447AD2" w:rsidRPr="00192A97">
        <w:rPr>
          <w:rFonts w:cs="Arial"/>
          <w:sz w:val="23"/>
          <w:szCs w:val="23"/>
        </w:rPr>
        <w:t>Pro</w:t>
      </w:r>
      <w:r w:rsidR="00447AD2">
        <w:rPr>
          <w:rFonts w:cs="Arial"/>
          <w:sz w:val="23"/>
          <w:szCs w:val="23"/>
        </w:rPr>
        <w:t xml:space="preserve">duct </w:t>
      </w:r>
      <w:r w:rsidRPr="00192A97">
        <w:rPr>
          <w:rFonts w:cs="Arial"/>
          <w:sz w:val="23"/>
          <w:szCs w:val="23"/>
        </w:rPr>
        <w:t xml:space="preserve">by $43 billion if </w:t>
      </w:r>
      <w:r w:rsidR="00C716B9">
        <w:rPr>
          <w:rFonts w:cs="Arial"/>
          <w:sz w:val="23"/>
          <w:szCs w:val="23"/>
        </w:rPr>
        <w:t xml:space="preserve">the </w:t>
      </w:r>
      <w:r w:rsidRPr="00192A97">
        <w:rPr>
          <w:rFonts w:cs="Arial"/>
          <w:sz w:val="23"/>
          <w:szCs w:val="23"/>
        </w:rPr>
        <w:t xml:space="preserve">employment </w:t>
      </w:r>
      <w:r w:rsidR="00C716B9">
        <w:rPr>
          <w:rFonts w:cs="Arial"/>
          <w:sz w:val="23"/>
          <w:szCs w:val="23"/>
        </w:rPr>
        <w:t>gap between</w:t>
      </w:r>
      <w:r w:rsidRPr="00192A97">
        <w:rPr>
          <w:rFonts w:cs="Arial"/>
          <w:sz w:val="23"/>
          <w:szCs w:val="23"/>
        </w:rPr>
        <w:t xml:space="preserve"> people with</w:t>
      </w:r>
      <w:r>
        <w:rPr>
          <w:rFonts w:cs="Arial"/>
          <w:sz w:val="23"/>
          <w:szCs w:val="23"/>
        </w:rPr>
        <w:t xml:space="preserve"> disability</w:t>
      </w:r>
      <w:r w:rsidR="00C716B9">
        <w:rPr>
          <w:rFonts w:cs="Arial"/>
          <w:sz w:val="23"/>
          <w:szCs w:val="23"/>
        </w:rPr>
        <w:t xml:space="preserve"> and people without</w:t>
      </w:r>
      <w:r>
        <w:rPr>
          <w:rFonts w:cs="Arial"/>
          <w:sz w:val="23"/>
          <w:szCs w:val="23"/>
        </w:rPr>
        <w:t xml:space="preserve"> </w:t>
      </w:r>
      <w:r w:rsidR="00C716B9">
        <w:rPr>
          <w:rFonts w:cs="Arial"/>
          <w:sz w:val="23"/>
          <w:szCs w:val="23"/>
        </w:rPr>
        <w:t>were reduced</w:t>
      </w:r>
      <w:r>
        <w:rPr>
          <w:rFonts w:cs="Arial"/>
          <w:sz w:val="23"/>
          <w:szCs w:val="23"/>
        </w:rPr>
        <w:t xml:space="preserve"> </w:t>
      </w:r>
      <w:r w:rsidRPr="00192A97">
        <w:rPr>
          <w:rFonts w:cs="Arial"/>
          <w:sz w:val="23"/>
          <w:szCs w:val="23"/>
        </w:rPr>
        <w:t>by one third.</w:t>
      </w:r>
    </w:p>
    <w:p w14:paraId="79702BDF" w14:textId="511149BF" w:rsidR="00830D1C" w:rsidRPr="00830D1C" w:rsidRDefault="00F377DA" w:rsidP="00830D1C">
      <w:pPr>
        <w:rPr>
          <w:sz w:val="23"/>
          <w:szCs w:val="23"/>
        </w:rPr>
      </w:pPr>
      <w:r>
        <w:rPr>
          <w:sz w:val="23"/>
          <w:szCs w:val="23"/>
        </w:rPr>
        <w:t xml:space="preserve">The Australian Government spends </w:t>
      </w:r>
      <w:r w:rsidR="007F3C55">
        <w:rPr>
          <w:sz w:val="23"/>
          <w:szCs w:val="23"/>
        </w:rPr>
        <w:t>over $22</w:t>
      </w:r>
      <w:r>
        <w:rPr>
          <w:sz w:val="23"/>
          <w:szCs w:val="23"/>
        </w:rPr>
        <w:t xml:space="preserve">0 million each year to support </w:t>
      </w:r>
      <w:r w:rsidR="00447AD2">
        <w:rPr>
          <w:sz w:val="23"/>
          <w:szCs w:val="23"/>
        </w:rPr>
        <w:t>around</w:t>
      </w:r>
      <w:r w:rsidR="00447AD2" w:rsidRPr="00830D1C">
        <w:rPr>
          <w:sz w:val="23"/>
          <w:szCs w:val="23"/>
        </w:rPr>
        <w:t xml:space="preserve"> </w:t>
      </w:r>
      <w:r w:rsidR="00830D1C" w:rsidRPr="00830D1C">
        <w:rPr>
          <w:sz w:val="23"/>
          <w:szCs w:val="23"/>
        </w:rPr>
        <w:t>20,000 people, with moderate to severe disability</w:t>
      </w:r>
      <w:r w:rsidR="00447AD2">
        <w:rPr>
          <w:sz w:val="23"/>
          <w:szCs w:val="23"/>
        </w:rPr>
        <w:t>,</w:t>
      </w:r>
      <w:r w:rsidR="00830D1C" w:rsidRPr="00830D1C">
        <w:rPr>
          <w:sz w:val="23"/>
          <w:szCs w:val="23"/>
        </w:rPr>
        <w:t xml:space="preserve"> </w:t>
      </w:r>
      <w:r>
        <w:rPr>
          <w:sz w:val="23"/>
          <w:szCs w:val="23"/>
        </w:rPr>
        <w:t>to receive</w:t>
      </w:r>
      <w:r w:rsidR="00830D1C" w:rsidRPr="00830D1C">
        <w:rPr>
          <w:sz w:val="23"/>
          <w:szCs w:val="23"/>
        </w:rPr>
        <w:t xml:space="preserve"> employ</w:t>
      </w:r>
      <w:r>
        <w:rPr>
          <w:sz w:val="23"/>
          <w:szCs w:val="23"/>
        </w:rPr>
        <w:t>ment support in their workplace</w:t>
      </w:r>
      <w:r w:rsidR="00830D1C" w:rsidRPr="00830D1C">
        <w:rPr>
          <w:sz w:val="23"/>
          <w:szCs w:val="23"/>
        </w:rPr>
        <w:t>.</w:t>
      </w:r>
    </w:p>
    <w:p w14:paraId="5F500F9B" w14:textId="402F33A8" w:rsidR="00830D1C" w:rsidRDefault="00830D1C" w:rsidP="00830D1C">
      <w:pPr>
        <w:rPr>
          <w:sz w:val="23"/>
          <w:szCs w:val="23"/>
        </w:rPr>
      </w:pPr>
      <w:r w:rsidRPr="00192A97">
        <w:rPr>
          <w:sz w:val="23"/>
          <w:szCs w:val="23"/>
        </w:rPr>
        <w:t xml:space="preserve">Funding </w:t>
      </w:r>
      <w:r w:rsidR="00895984">
        <w:rPr>
          <w:sz w:val="23"/>
          <w:szCs w:val="23"/>
        </w:rPr>
        <w:t>to support these</w:t>
      </w:r>
      <w:r w:rsidRPr="00192A97">
        <w:rPr>
          <w:sz w:val="23"/>
          <w:szCs w:val="23"/>
        </w:rPr>
        <w:t xml:space="preserve"> </w:t>
      </w:r>
      <w:r w:rsidR="00895984">
        <w:rPr>
          <w:sz w:val="23"/>
          <w:szCs w:val="23"/>
        </w:rPr>
        <w:t>employees</w:t>
      </w:r>
      <w:r w:rsidRPr="00192A97">
        <w:rPr>
          <w:sz w:val="23"/>
          <w:szCs w:val="23"/>
        </w:rPr>
        <w:t xml:space="preserve"> is transitioning to the National Disability Insurance Scheme (NDIS). The NDIS re-envisages how people with disability receive support, </w:t>
      </w:r>
      <w:r w:rsidR="00C716B9">
        <w:rPr>
          <w:sz w:val="23"/>
          <w:szCs w:val="23"/>
        </w:rPr>
        <w:t>allowing</w:t>
      </w:r>
      <w:r w:rsidR="00C716B9" w:rsidRPr="00192A97">
        <w:rPr>
          <w:sz w:val="23"/>
          <w:szCs w:val="23"/>
        </w:rPr>
        <w:t xml:space="preserve"> </w:t>
      </w:r>
      <w:r w:rsidRPr="00192A97">
        <w:rPr>
          <w:sz w:val="23"/>
          <w:szCs w:val="23"/>
        </w:rPr>
        <w:t>more choice and control over how, when and where supports are provided, and gives people with disability certainty they will receive the supports they need over a lifetime.</w:t>
      </w:r>
      <w:r w:rsidR="00DC7344" w:rsidRPr="00192A97">
        <w:rPr>
          <w:sz w:val="23"/>
          <w:szCs w:val="23"/>
        </w:rPr>
        <w:t xml:space="preserve"> </w:t>
      </w:r>
      <w:r w:rsidRPr="00192A97">
        <w:rPr>
          <w:sz w:val="23"/>
          <w:szCs w:val="23"/>
        </w:rPr>
        <w:t xml:space="preserve">This presents new opportunities for people with disability to choose their supports, and for providers of employment supports to operate in the </w:t>
      </w:r>
      <w:r w:rsidR="00872CFA">
        <w:rPr>
          <w:sz w:val="23"/>
          <w:szCs w:val="23"/>
        </w:rPr>
        <w:t xml:space="preserve">growing </w:t>
      </w:r>
      <w:r w:rsidRPr="00192A97">
        <w:rPr>
          <w:sz w:val="23"/>
          <w:szCs w:val="23"/>
        </w:rPr>
        <w:t>open market of the NDIS.</w:t>
      </w:r>
    </w:p>
    <w:p w14:paraId="1D73A86B" w14:textId="77777777" w:rsidR="00F377DA" w:rsidRDefault="00830D1C" w:rsidP="00830D1C">
      <w:pPr>
        <w:rPr>
          <w:sz w:val="23"/>
          <w:szCs w:val="23"/>
        </w:rPr>
      </w:pPr>
      <w:r w:rsidRPr="00830D1C">
        <w:rPr>
          <w:sz w:val="23"/>
          <w:szCs w:val="23"/>
        </w:rPr>
        <w:t>While the disability employment landscape is changing, the Government is committed to supporting people with disability to work where they have the capacity to do so. The number of people with disability receiving ‘employment supports’ in full scheme NDIS is expected to grow significantly beyond the existing cohort</w:t>
      </w:r>
      <w:r w:rsidR="007D6D15">
        <w:rPr>
          <w:sz w:val="23"/>
          <w:szCs w:val="23"/>
        </w:rPr>
        <w:t xml:space="preserve"> of 20,000 supported employees.</w:t>
      </w:r>
    </w:p>
    <w:p w14:paraId="7910D50D" w14:textId="0F758BAF" w:rsidR="006E3B0D" w:rsidRDefault="00830D1C" w:rsidP="00AD2E27">
      <w:pPr>
        <w:spacing w:after="360"/>
        <w:rPr>
          <w:sz w:val="23"/>
          <w:szCs w:val="23"/>
        </w:rPr>
      </w:pPr>
      <w:r w:rsidRPr="00830D1C">
        <w:rPr>
          <w:sz w:val="23"/>
          <w:szCs w:val="23"/>
        </w:rPr>
        <w:t xml:space="preserve">This is good news for people with disability and good news for the Australian economy. </w:t>
      </w:r>
      <w:r w:rsidR="00F377DA">
        <w:rPr>
          <w:sz w:val="23"/>
          <w:szCs w:val="23"/>
        </w:rPr>
        <w:t xml:space="preserve">It provides current </w:t>
      </w:r>
      <w:r w:rsidR="00CC2D5F">
        <w:rPr>
          <w:sz w:val="23"/>
          <w:szCs w:val="23"/>
        </w:rPr>
        <w:t>Australian Disability Enterprises (</w:t>
      </w:r>
      <w:r w:rsidR="00F377DA">
        <w:rPr>
          <w:sz w:val="23"/>
          <w:szCs w:val="23"/>
        </w:rPr>
        <w:t>ADEs</w:t>
      </w:r>
      <w:r w:rsidR="00CC2D5F">
        <w:rPr>
          <w:sz w:val="23"/>
          <w:szCs w:val="23"/>
        </w:rPr>
        <w:t>)</w:t>
      </w:r>
      <w:r w:rsidR="00F377DA">
        <w:rPr>
          <w:sz w:val="23"/>
          <w:szCs w:val="23"/>
        </w:rPr>
        <w:t xml:space="preserve"> an opportunity to continue supporting employees in a </w:t>
      </w:r>
      <w:r w:rsidR="00FB0BB5">
        <w:rPr>
          <w:sz w:val="23"/>
          <w:szCs w:val="23"/>
        </w:rPr>
        <w:t>new</w:t>
      </w:r>
      <w:r w:rsidR="007D6D15">
        <w:rPr>
          <w:sz w:val="23"/>
          <w:szCs w:val="23"/>
        </w:rPr>
        <w:t xml:space="preserve"> NDIS market.</w:t>
      </w:r>
    </w:p>
    <w:p w14:paraId="2B7C70FF" w14:textId="77777777" w:rsidR="006E3B0D" w:rsidRDefault="006E3B0D">
      <w:pPr>
        <w:spacing w:before="0" w:after="200" w:line="276" w:lineRule="auto"/>
        <w:rPr>
          <w:sz w:val="23"/>
          <w:szCs w:val="23"/>
        </w:rPr>
      </w:pPr>
      <w:r>
        <w:rPr>
          <w:sz w:val="23"/>
          <w:szCs w:val="23"/>
        </w:rPr>
        <w:br w:type="page"/>
      </w:r>
    </w:p>
    <w:p w14:paraId="15CA5F2B" w14:textId="77777777" w:rsidR="00830D1C" w:rsidRDefault="00830D1C" w:rsidP="00AD2E27">
      <w:pPr>
        <w:spacing w:before="360" w:after="120" w:line="240" w:lineRule="auto"/>
        <w:contextualSpacing/>
        <w:outlineLvl w:val="0"/>
        <w:rPr>
          <w:rFonts w:ascii="Georgia" w:hAnsi="Georgia"/>
          <w:bCs/>
          <w:color w:val="24596E"/>
          <w:sz w:val="34"/>
          <w:szCs w:val="34"/>
        </w:rPr>
      </w:pPr>
      <w:bookmarkStart w:id="10" w:name="_Toc500401853"/>
      <w:r w:rsidRPr="00830D1C">
        <w:rPr>
          <w:rFonts w:ascii="Georgia" w:hAnsi="Georgia"/>
          <w:bCs/>
          <w:color w:val="24596E"/>
          <w:sz w:val="34"/>
          <w:szCs w:val="34"/>
        </w:rPr>
        <w:lastRenderedPageBreak/>
        <w:t>Purpose of the discussion paper</w:t>
      </w:r>
      <w:bookmarkEnd w:id="10"/>
    </w:p>
    <w:p w14:paraId="0FB1A973" w14:textId="77777777" w:rsidR="002247FA" w:rsidRDefault="002247FA" w:rsidP="00820C74">
      <w:pPr>
        <w:rPr>
          <w:sz w:val="23"/>
          <w:szCs w:val="23"/>
        </w:rPr>
      </w:pPr>
      <w:bookmarkStart w:id="11" w:name="_Toc497382259"/>
      <w:bookmarkStart w:id="12" w:name="_Toc497385000"/>
      <w:bookmarkStart w:id="13" w:name="_Toc497468091"/>
      <w:bookmarkStart w:id="14" w:name="_Toc497480334"/>
      <w:bookmarkStart w:id="15" w:name="_Toc497745057"/>
      <w:bookmarkStart w:id="16" w:name="_Toc497823545"/>
    </w:p>
    <w:p w14:paraId="2DBE566D" w14:textId="77777777" w:rsidR="00830D1C" w:rsidRPr="00830D1C" w:rsidRDefault="00830D1C" w:rsidP="00820C74">
      <w:pPr>
        <w:rPr>
          <w:sz w:val="23"/>
          <w:szCs w:val="23"/>
        </w:rPr>
      </w:pPr>
      <w:r w:rsidRPr="00830D1C">
        <w:rPr>
          <w:sz w:val="23"/>
          <w:szCs w:val="23"/>
        </w:rPr>
        <w:t>This discussion paper describes the future landscape for supported employment and asks how the sector can position itself to transition to the full scheme of the NDIS.</w:t>
      </w:r>
      <w:bookmarkEnd w:id="11"/>
      <w:bookmarkEnd w:id="12"/>
      <w:bookmarkEnd w:id="13"/>
      <w:bookmarkEnd w:id="14"/>
      <w:bookmarkEnd w:id="15"/>
      <w:bookmarkEnd w:id="16"/>
    </w:p>
    <w:p w14:paraId="3F6D83F7" w14:textId="19917F59" w:rsidR="00C716B9" w:rsidRDefault="00830D1C" w:rsidP="00BA6F64">
      <w:pPr>
        <w:rPr>
          <w:sz w:val="23"/>
          <w:szCs w:val="23"/>
        </w:rPr>
      </w:pPr>
      <w:bookmarkStart w:id="17" w:name="_Toc497382260"/>
      <w:bookmarkStart w:id="18" w:name="_Toc497385001"/>
      <w:bookmarkStart w:id="19" w:name="_Toc497468092"/>
      <w:bookmarkStart w:id="20" w:name="_Toc497480335"/>
      <w:bookmarkStart w:id="21" w:name="_Toc497745058"/>
      <w:bookmarkStart w:id="22" w:name="_Toc497823546"/>
      <w:r w:rsidRPr="00830D1C">
        <w:rPr>
          <w:sz w:val="23"/>
          <w:szCs w:val="23"/>
        </w:rPr>
        <w:t xml:space="preserve">It </w:t>
      </w:r>
      <w:r w:rsidR="00CC3427">
        <w:rPr>
          <w:sz w:val="23"/>
          <w:szCs w:val="23"/>
        </w:rPr>
        <w:t>intends</w:t>
      </w:r>
      <w:r w:rsidRPr="00830D1C">
        <w:rPr>
          <w:sz w:val="23"/>
          <w:szCs w:val="23"/>
        </w:rPr>
        <w:t xml:space="preserve"> to continue a conversation with supported employees, their families and carers, s</w:t>
      </w:r>
      <w:r w:rsidR="00D3043E">
        <w:rPr>
          <w:sz w:val="23"/>
          <w:szCs w:val="23"/>
        </w:rPr>
        <w:t>ervices providers and advocates</w:t>
      </w:r>
      <w:r w:rsidRPr="00830D1C">
        <w:rPr>
          <w:sz w:val="23"/>
          <w:szCs w:val="23"/>
        </w:rPr>
        <w:t xml:space="preserve"> about how the Government can support people with disability to work. It builds on the work of the 2015 Disability Employment Taskforce and the May 2017 announcements to reform Disability Employment Services</w:t>
      </w:r>
      <w:r w:rsidR="00D3043E">
        <w:rPr>
          <w:sz w:val="23"/>
          <w:szCs w:val="23"/>
        </w:rPr>
        <w:t xml:space="preserve"> (DES)</w:t>
      </w:r>
      <w:r w:rsidRPr="00830D1C">
        <w:rPr>
          <w:sz w:val="23"/>
          <w:szCs w:val="23"/>
        </w:rPr>
        <w:t>.</w:t>
      </w:r>
      <w:bookmarkEnd w:id="17"/>
      <w:bookmarkEnd w:id="18"/>
      <w:bookmarkEnd w:id="19"/>
      <w:bookmarkEnd w:id="20"/>
      <w:bookmarkEnd w:id="21"/>
      <w:bookmarkEnd w:id="22"/>
    </w:p>
    <w:p w14:paraId="63F1AFBD" w14:textId="7AF26083" w:rsidR="00830D1C" w:rsidRPr="00830D1C" w:rsidRDefault="00830D1C" w:rsidP="00820C74">
      <w:pPr>
        <w:rPr>
          <w:sz w:val="23"/>
          <w:szCs w:val="23"/>
        </w:rPr>
      </w:pPr>
      <w:r w:rsidRPr="00830D1C">
        <w:rPr>
          <w:sz w:val="23"/>
          <w:szCs w:val="23"/>
        </w:rPr>
        <w:t>This discussion paper invites input from interested stakeholders on the following areas:</w:t>
      </w:r>
    </w:p>
    <w:p w14:paraId="49EFBEE6" w14:textId="56C1BF15" w:rsidR="001D4852" w:rsidRPr="001D4852" w:rsidRDefault="00447AD2" w:rsidP="001D4852">
      <w:pPr>
        <w:numPr>
          <w:ilvl w:val="0"/>
          <w:numId w:val="8"/>
        </w:numPr>
        <w:spacing w:before="0" w:after="200" w:line="276" w:lineRule="auto"/>
        <w:contextualSpacing/>
        <w:rPr>
          <w:sz w:val="23"/>
          <w:szCs w:val="23"/>
        </w:rPr>
      </w:pPr>
      <w:r>
        <w:rPr>
          <w:sz w:val="23"/>
          <w:szCs w:val="23"/>
        </w:rPr>
        <w:t>p</w:t>
      </w:r>
      <w:r w:rsidRPr="001D4852">
        <w:rPr>
          <w:sz w:val="23"/>
          <w:szCs w:val="23"/>
        </w:rPr>
        <w:t xml:space="preserve">rinciples </w:t>
      </w:r>
      <w:r w:rsidR="001D4852" w:rsidRPr="001D4852">
        <w:rPr>
          <w:sz w:val="23"/>
          <w:szCs w:val="23"/>
        </w:rPr>
        <w:t>to guide the Government’s future policy direction for supported employment</w:t>
      </w:r>
    </w:p>
    <w:p w14:paraId="0D7B6436" w14:textId="61CC665D" w:rsidR="00830D1C" w:rsidRPr="00830D1C" w:rsidRDefault="00447AD2" w:rsidP="00712B97">
      <w:pPr>
        <w:numPr>
          <w:ilvl w:val="0"/>
          <w:numId w:val="8"/>
        </w:numPr>
        <w:spacing w:before="0" w:after="200" w:line="276" w:lineRule="auto"/>
        <w:contextualSpacing/>
        <w:rPr>
          <w:sz w:val="23"/>
          <w:szCs w:val="23"/>
        </w:rPr>
      </w:pPr>
      <w:r>
        <w:rPr>
          <w:sz w:val="23"/>
          <w:szCs w:val="23"/>
        </w:rPr>
        <w:t>s</w:t>
      </w:r>
      <w:r w:rsidRPr="00830D1C">
        <w:rPr>
          <w:sz w:val="23"/>
          <w:szCs w:val="23"/>
        </w:rPr>
        <w:t xml:space="preserve">trategies </w:t>
      </w:r>
      <w:r w:rsidR="00830D1C" w:rsidRPr="00830D1C">
        <w:rPr>
          <w:sz w:val="23"/>
          <w:szCs w:val="23"/>
        </w:rPr>
        <w:t>to support employment participa</w:t>
      </w:r>
      <w:r w:rsidR="007D6D15">
        <w:rPr>
          <w:sz w:val="23"/>
          <w:szCs w:val="23"/>
        </w:rPr>
        <w:t>tion for people with disability</w:t>
      </w:r>
    </w:p>
    <w:p w14:paraId="51C0193F" w14:textId="797FEC00" w:rsidR="00830D1C" w:rsidRPr="00830D1C" w:rsidRDefault="00447AD2" w:rsidP="00712B97">
      <w:pPr>
        <w:numPr>
          <w:ilvl w:val="0"/>
          <w:numId w:val="8"/>
        </w:numPr>
        <w:spacing w:before="0" w:after="200" w:line="276" w:lineRule="auto"/>
        <w:contextualSpacing/>
        <w:rPr>
          <w:sz w:val="23"/>
          <w:szCs w:val="23"/>
        </w:rPr>
      </w:pPr>
      <w:r>
        <w:rPr>
          <w:sz w:val="23"/>
          <w:szCs w:val="23"/>
        </w:rPr>
        <w:t>s</w:t>
      </w:r>
      <w:r w:rsidRPr="00830D1C">
        <w:rPr>
          <w:sz w:val="23"/>
          <w:szCs w:val="23"/>
        </w:rPr>
        <w:t xml:space="preserve">trategies </w:t>
      </w:r>
      <w:r w:rsidR="00830D1C" w:rsidRPr="00830D1C">
        <w:rPr>
          <w:sz w:val="23"/>
          <w:szCs w:val="23"/>
        </w:rPr>
        <w:t>to support employer</w:t>
      </w:r>
      <w:r w:rsidR="00CC3427">
        <w:rPr>
          <w:sz w:val="23"/>
          <w:szCs w:val="23"/>
        </w:rPr>
        <w:t xml:space="preserve">s and service </w:t>
      </w:r>
      <w:r w:rsidR="00830D1C" w:rsidRPr="00830D1C">
        <w:rPr>
          <w:sz w:val="23"/>
          <w:szCs w:val="23"/>
        </w:rPr>
        <w:t>providers to provide effective employment opportunities</w:t>
      </w:r>
    </w:p>
    <w:p w14:paraId="5195777A" w14:textId="7DD195F8" w:rsidR="00830D1C" w:rsidRDefault="00447AD2" w:rsidP="00712B97">
      <w:pPr>
        <w:numPr>
          <w:ilvl w:val="0"/>
          <w:numId w:val="8"/>
        </w:numPr>
        <w:spacing w:before="0" w:after="200" w:line="276" w:lineRule="auto"/>
        <w:contextualSpacing/>
        <w:rPr>
          <w:sz w:val="23"/>
          <w:szCs w:val="23"/>
        </w:rPr>
      </w:pPr>
      <w:r>
        <w:rPr>
          <w:sz w:val="23"/>
          <w:szCs w:val="23"/>
        </w:rPr>
        <w:t>s</w:t>
      </w:r>
      <w:r w:rsidRPr="00830D1C">
        <w:rPr>
          <w:sz w:val="23"/>
          <w:szCs w:val="23"/>
        </w:rPr>
        <w:t xml:space="preserve">trategies </w:t>
      </w:r>
      <w:r w:rsidR="00830D1C" w:rsidRPr="00830D1C">
        <w:rPr>
          <w:sz w:val="23"/>
          <w:szCs w:val="23"/>
        </w:rPr>
        <w:t xml:space="preserve">to </w:t>
      </w:r>
      <w:r w:rsidR="00513CF0">
        <w:rPr>
          <w:sz w:val="23"/>
          <w:szCs w:val="23"/>
        </w:rPr>
        <w:t>facilitate greater choice and control for NDIS participants</w:t>
      </w:r>
      <w:r w:rsidR="00830D1C" w:rsidRPr="00830D1C">
        <w:rPr>
          <w:sz w:val="23"/>
          <w:szCs w:val="23"/>
        </w:rPr>
        <w:t>.</w:t>
      </w:r>
    </w:p>
    <w:p w14:paraId="46DF2022" w14:textId="77777777" w:rsidR="00135746" w:rsidRPr="00830D1C" w:rsidRDefault="00135746" w:rsidP="00A0638F">
      <w:pPr>
        <w:spacing w:before="0" w:after="200" w:line="276" w:lineRule="auto"/>
        <w:ind w:left="720"/>
        <w:contextualSpacing/>
        <w:rPr>
          <w:sz w:val="23"/>
          <w:szCs w:val="23"/>
        </w:rPr>
      </w:pPr>
    </w:p>
    <w:p w14:paraId="6E156B3E" w14:textId="77777777" w:rsidR="004438EE" w:rsidRDefault="00830D1C" w:rsidP="00830D1C">
      <w:pPr>
        <w:rPr>
          <w:sz w:val="23"/>
          <w:szCs w:val="23"/>
        </w:rPr>
      </w:pPr>
      <w:r w:rsidRPr="00830D1C">
        <w:rPr>
          <w:sz w:val="23"/>
          <w:szCs w:val="23"/>
        </w:rPr>
        <w:t>People with disability</w:t>
      </w:r>
      <w:r w:rsidR="002B6A03">
        <w:rPr>
          <w:sz w:val="23"/>
          <w:szCs w:val="23"/>
        </w:rPr>
        <w:t xml:space="preserve"> and their families and carers</w:t>
      </w:r>
      <w:r w:rsidRPr="00830D1C">
        <w:rPr>
          <w:sz w:val="23"/>
          <w:szCs w:val="23"/>
        </w:rPr>
        <w:t xml:space="preserve">, </w:t>
      </w:r>
      <w:r w:rsidR="006B4C3C">
        <w:rPr>
          <w:sz w:val="23"/>
          <w:szCs w:val="23"/>
        </w:rPr>
        <w:t>ADEs</w:t>
      </w:r>
      <w:r w:rsidRPr="00830D1C">
        <w:rPr>
          <w:sz w:val="23"/>
          <w:szCs w:val="23"/>
        </w:rPr>
        <w:t>, employers of people with disability, peak bodies and other interested stakeholders are invited to make a written submission on any or all of the questions r</w:t>
      </w:r>
      <w:r w:rsidR="007D6D15">
        <w:rPr>
          <w:sz w:val="23"/>
          <w:szCs w:val="23"/>
        </w:rPr>
        <w:t>aised in this discussion paper.</w:t>
      </w:r>
    </w:p>
    <w:p w14:paraId="46C02741" w14:textId="77777777" w:rsidR="00DC7344" w:rsidRDefault="00830D1C" w:rsidP="00830D1C">
      <w:pPr>
        <w:rPr>
          <w:sz w:val="23"/>
          <w:szCs w:val="23"/>
        </w:rPr>
      </w:pPr>
      <w:r w:rsidRPr="00830D1C">
        <w:rPr>
          <w:sz w:val="23"/>
          <w:szCs w:val="23"/>
        </w:rPr>
        <w:t>All submissions will be considere</w:t>
      </w:r>
      <w:r w:rsidR="007D6D15">
        <w:rPr>
          <w:sz w:val="23"/>
          <w:szCs w:val="23"/>
        </w:rPr>
        <w:t>d in future policy development.</w:t>
      </w:r>
    </w:p>
    <w:p w14:paraId="54AEBAA9" w14:textId="3FB4DE15" w:rsidR="00830D1C" w:rsidRPr="00830D1C" w:rsidRDefault="00830D1C" w:rsidP="00AD2E27">
      <w:pPr>
        <w:rPr>
          <w:sz w:val="23"/>
          <w:szCs w:val="23"/>
        </w:rPr>
      </w:pPr>
      <w:r w:rsidRPr="00830D1C">
        <w:rPr>
          <w:sz w:val="23"/>
          <w:szCs w:val="23"/>
        </w:rPr>
        <w:t xml:space="preserve">Submissions are to be uploaded on </w:t>
      </w:r>
      <w:r w:rsidRPr="00830D1C">
        <w:rPr>
          <w:b/>
          <w:bCs/>
          <w:sz w:val="23"/>
          <w:szCs w:val="23"/>
        </w:rPr>
        <w:t xml:space="preserve">engage.dss.gov.au </w:t>
      </w:r>
      <w:r w:rsidRPr="00830D1C">
        <w:rPr>
          <w:sz w:val="23"/>
          <w:szCs w:val="23"/>
        </w:rPr>
        <w:t xml:space="preserve">by </w:t>
      </w:r>
      <w:r w:rsidR="00890281" w:rsidRPr="00890281">
        <w:rPr>
          <w:b/>
          <w:bCs/>
          <w:sz w:val="23"/>
          <w:szCs w:val="23"/>
        </w:rPr>
        <w:t>9 March</w:t>
      </w:r>
      <w:r w:rsidRPr="00890281">
        <w:rPr>
          <w:b/>
          <w:bCs/>
          <w:sz w:val="23"/>
          <w:szCs w:val="23"/>
        </w:rPr>
        <w:t xml:space="preserve"> 2018</w:t>
      </w:r>
      <w:r w:rsidRPr="00890281">
        <w:rPr>
          <w:sz w:val="23"/>
          <w:szCs w:val="23"/>
        </w:rPr>
        <w:t>.</w:t>
      </w:r>
      <w:r w:rsidRPr="00830D1C">
        <w:rPr>
          <w:sz w:val="23"/>
          <w:szCs w:val="23"/>
        </w:rPr>
        <w:t xml:space="preserve"> </w:t>
      </w:r>
      <w:r w:rsidR="00DC7344">
        <w:rPr>
          <w:sz w:val="23"/>
          <w:szCs w:val="23"/>
        </w:rPr>
        <w:br/>
      </w:r>
      <w:r w:rsidRPr="00830D1C">
        <w:rPr>
          <w:sz w:val="23"/>
          <w:szCs w:val="23"/>
        </w:rPr>
        <w:t xml:space="preserve">The Department of Social Services (DSS) will treat all submissions as </w:t>
      </w:r>
      <w:r w:rsidR="00135746">
        <w:rPr>
          <w:sz w:val="23"/>
          <w:szCs w:val="23"/>
        </w:rPr>
        <w:br/>
      </w:r>
      <w:r w:rsidRPr="00830D1C">
        <w:rPr>
          <w:b/>
          <w:bCs/>
          <w:sz w:val="23"/>
          <w:szCs w:val="23"/>
        </w:rPr>
        <w:t>non-confidential</w:t>
      </w:r>
      <w:r w:rsidRPr="00830D1C">
        <w:rPr>
          <w:sz w:val="23"/>
          <w:szCs w:val="23"/>
        </w:rPr>
        <w:t>, unless clearly indicated. Please keep your responses succinct</w:t>
      </w:r>
      <w:r w:rsidR="00447AD2">
        <w:rPr>
          <w:sz w:val="23"/>
          <w:szCs w:val="23"/>
        </w:rPr>
        <w:t xml:space="preserve"> where possible. You may choose to respond to all or a selection of the questions within this paper</w:t>
      </w:r>
      <w:r w:rsidR="00AD2E27">
        <w:rPr>
          <w:sz w:val="23"/>
          <w:szCs w:val="23"/>
        </w:rPr>
        <w:t>.</w:t>
      </w:r>
    </w:p>
    <w:p w14:paraId="4E3BBB43" w14:textId="77777777" w:rsidR="00FB0BB5" w:rsidRDefault="00FB0BB5">
      <w:pPr>
        <w:spacing w:before="0" w:after="200" w:line="276" w:lineRule="auto"/>
        <w:rPr>
          <w:rFonts w:ascii="Georgia" w:hAnsi="Georgia"/>
          <w:bCs/>
          <w:color w:val="24596E"/>
          <w:sz w:val="34"/>
          <w:szCs w:val="34"/>
        </w:rPr>
      </w:pPr>
      <w:r>
        <w:rPr>
          <w:rFonts w:ascii="Georgia" w:hAnsi="Georgia"/>
          <w:bCs/>
          <w:color w:val="24596E"/>
          <w:sz w:val="34"/>
          <w:szCs w:val="34"/>
        </w:rPr>
        <w:br w:type="page"/>
      </w:r>
    </w:p>
    <w:p w14:paraId="648BD952" w14:textId="77777777" w:rsidR="00830D1C" w:rsidRPr="00830D1C" w:rsidRDefault="00830D1C" w:rsidP="00830D1C">
      <w:pPr>
        <w:spacing w:before="360" w:after="120" w:line="240" w:lineRule="auto"/>
        <w:contextualSpacing/>
        <w:outlineLvl w:val="0"/>
        <w:rPr>
          <w:rFonts w:ascii="Georgia" w:hAnsi="Georgia"/>
          <w:bCs/>
          <w:color w:val="24596E"/>
          <w:sz w:val="34"/>
          <w:szCs w:val="34"/>
        </w:rPr>
      </w:pPr>
      <w:bookmarkStart w:id="23" w:name="_Toc500401854"/>
      <w:r w:rsidRPr="00830D1C">
        <w:rPr>
          <w:rFonts w:ascii="Georgia" w:hAnsi="Georgia"/>
          <w:bCs/>
          <w:color w:val="24596E"/>
          <w:sz w:val="34"/>
          <w:szCs w:val="34"/>
        </w:rPr>
        <w:lastRenderedPageBreak/>
        <w:t>What is the landscape for employment of people with disability in Australia?</w:t>
      </w:r>
      <w:bookmarkEnd w:id="23"/>
    </w:p>
    <w:p w14:paraId="641D12C7" w14:textId="77777777" w:rsidR="00AD2E27" w:rsidRDefault="00AD2E27" w:rsidP="00AD2E27">
      <w:pPr>
        <w:spacing w:before="0" w:after="0"/>
        <w:ind w:left="-10"/>
        <w:rPr>
          <w:sz w:val="23"/>
          <w:szCs w:val="23"/>
        </w:rPr>
      </w:pPr>
    </w:p>
    <w:p w14:paraId="4A663D06" w14:textId="2EDDDCBA" w:rsidR="00070205" w:rsidRDefault="00070205" w:rsidP="00305839">
      <w:pPr>
        <w:ind w:left="-10"/>
        <w:rPr>
          <w:sz w:val="23"/>
          <w:szCs w:val="23"/>
        </w:rPr>
      </w:pPr>
      <w:r w:rsidRPr="00070205">
        <w:rPr>
          <w:sz w:val="23"/>
          <w:szCs w:val="23"/>
        </w:rPr>
        <w:t>According to the Survey of Disability, Ageing and Carers (SDAC), in 2015 there were over 2.1 million Australians with disability of working age. Of this group, only 53.4</w:t>
      </w:r>
      <w:r w:rsidR="00135746">
        <w:rPr>
          <w:sz w:val="23"/>
          <w:szCs w:val="23"/>
        </w:rPr>
        <w:t> </w:t>
      </w:r>
      <w:r w:rsidRPr="00070205">
        <w:rPr>
          <w:sz w:val="23"/>
          <w:szCs w:val="23"/>
        </w:rPr>
        <w:t>per</w:t>
      </w:r>
      <w:r w:rsidR="00135746">
        <w:rPr>
          <w:sz w:val="23"/>
          <w:szCs w:val="23"/>
        </w:rPr>
        <w:t> </w:t>
      </w:r>
      <w:r w:rsidRPr="00070205">
        <w:rPr>
          <w:sz w:val="23"/>
          <w:szCs w:val="23"/>
        </w:rPr>
        <w:t>cent were in the workforce or actively seeking work, compared to 83.2</w:t>
      </w:r>
      <w:r w:rsidR="00135746">
        <w:rPr>
          <w:sz w:val="23"/>
          <w:szCs w:val="23"/>
        </w:rPr>
        <w:t> </w:t>
      </w:r>
      <w:r w:rsidRPr="00070205">
        <w:rPr>
          <w:sz w:val="23"/>
          <w:szCs w:val="23"/>
        </w:rPr>
        <w:t>per</w:t>
      </w:r>
      <w:r w:rsidR="00135746">
        <w:rPr>
          <w:sz w:val="23"/>
          <w:szCs w:val="23"/>
        </w:rPr>
        <w:t> </w:t>
      </w:r>
      <w:r w:rsidRPr="00070205">
        <w:rPr>
          <w:sz w:val="23"/>
          <w:szCs w:val="23"/>
        </w:rPr>
        <w:t>cent for people with no</w:t>
      </w:r>
      <w:r w:rsidR="00331C14">
        <w:rPr>
          <w:sz w:val="23"/>
          <w:szCs w:val="23"/>
        </w:rPr>
        <w:t> </w:t>
      </w:r>
      <w:r w:rsidRPr="00070205">
        <w:rPr>
          <w:sz w:val="23"/>
          <w:szCs w:val="23"/>
        </w:rPr>
        <w:t>disability.</w:t>
      </w:r>
      <w:r w:rsidR="00305839" w:rsidRPr="00305839">
        <w:rPr>
          <w:sz w:val="23"/>
          <w:szCs w:val="23"/>
        </w:rPr>
        <w:t xml:space="preserve"> </w:t>
      </w:r>
      <w:r w:rsidR="00305839">
        <w:rPr>
          <w:sz w:val="23"/>
          <w:szCs w:val="23"/>
        </w:rPr>
        <w:t xml:space="preserve">Furthermore, only 25 per cent of people with a profound or severe core activity limitation </w:t>
      </w:r>
      <w:r w:rsidR="00331C14">
        <w:rPr>
          <w:sz w:val="23"/>
          <w:szCs w:val="23"/>
        </w:rPr>
        <w:t>were</w:t>
      </w:r>
      <w:r w:rsidR="00305839">
        <w:rPr>
          <w:sz w:val="23"/>
          <w:szCs w:val="23"/>
        </w:rPr>
        <w:t xml:space="preserve"> active participants in the labour market. </w:t>
      </w:r>
      <w:r w:rsidRPr="00070205">
        <w:rPr>
          <w:sz w:val="23"/>
          <w:szCs w:val="23"/>
        </w:rPr>
        <w:t>This means that over a</w:t>
      </w:r>
      <w:r w:rsidR="00331C14">
        <w:rPr>
          <w:sz w:val="23"/>
          <w:szCs w:val="23"/>
        </w:rPr>
        <w:t> </w:t>
      </w:r>
      <w:r w:rsidRPr="00070205">
        <w:rPr>
          <w:sz w:val="23"/>
          <w:szCs w:val="23"/>
        </w:rPr>
        <w:t>million Australians of working age with disabil</w:t>
      </w:r>
      <w:r w:rsidR="007D6D15">
        <w:rPr>
          <w:sz w:val="23"/>
          <w:szCs w:val="23"/>
        </w:rPr>
        <w:t>ity were outside the workforce</w:t>
      </w:r>
      <w:r w:rsidR="00331C14">
        <w:rPr>
          <w:sz w:val="23"/>
          <w:szCs w:val="23"/>
        </w:rPr>
        <w:t xml:space="preserve"> and there is </w:t>
      </w:r>
      <w:r w:rsidR="00CF1E89">
        <w:rPr>
          <w:sz w:val="23"/>
          <w:szCs w:val="23"/>
        </w:rPr>
        <w:t xml:space="preserve">significant </w:t>
      </w:r>
      <w:r w:rsidR="00305839">
        <w:rPr>
          <w:sz w:val="23"/>
          <w:szCs w:val="23"/>
        </w:rPr>
        <w:t>scope to support more people with disability into employment.</w:t>
      </w:r>
    </w:p>
    <w:p w14:paraId="156272C8" w14:textId="77777777" w:rsidR="00DE0655" w:rsidRDefault="0072751C" w:rsidP="0072751C">
      <w:pPr>
        <w:ind w:left="-10"/>
        <w:rPr>
          <w:sz w:val="23"/>
          <w:szCs w:val="23"/>
        </w:rPr>
      </w:pPr>
      <w:r w:rsidRPr="0072751C">
        <w:rPr>
          <w:sz w:val="23"/>
          <w:szCs w:val="23"/>
        </w:rPr>
        <w:t>The Australian Government is committed to its obligations under the United Nations Convention on the Rights of Persons with Disabilities to provide equitable access to work. To fully support and enable the right of people with disability to work, the Government is working to ensure that supports are available.</w:t>
      </w:r>
    </w:p>
    <w:p w14:paraId="2D0E8DEA" w14:textId="7CA65D9E" w:rsidR="0072751C" w:rsidRDefault="0072751C" w:rsidP="0072751C">
      <w:pPr>
        <w:ind w:left="-10"/>
        <w:rPr>
          <w:sz w:val="23"/>
          <w:szCs w:val="23"/>
        </w:rPr>
      </w:pPr>
      <w:r>
        <w:rPr>
          <w:sz w:val="23"/>
          <w:szCs w:val="23"/>
        </w:rPr>
        <w:t>T</w:t>
      </w:r>
      <w:r w:rsidRPr="0072751C">
        <w:rPr>
          <w:sz w:val="23"/>
          <w:szCs w:val="23"/>
        </w:rPr>
        <w:t xml:space="preserve">he National Disability Strategy 2010–2020 provides a ten-year national policy framework for all levels of government to improve the lives of people with disability. Outcome three </w:t>
      </w:r>
      <w:r w:rsidR="00666AEA">
        <w:rPr>
          <w:sz w:val="23"/>
          <w:szCs w:val="23"/>
        </w:rPr>
        <w:t xml:space="preserve">of the Strategy </w:t>
      </w:r>
      <w:r w:rsidRPr="0072751C">
        <w:rPr>
          <w:sz w:val="23"/>
          <w:szCs w:val="23"/>
        </w:rPr>
        <w:t xml:space="preserve">focuses on economic security, a critical element of which is employment.  </w:t>
      </w:r>
    </w:p>
    <w:p w14:paraId="4F3FFC20" w14:textId="016C2686" w:rsidR="00830D1C" w:rsidRPr="00192A97" w:rsidRDefault="00830D1C" w:rsidP="0072751C">
      <w:pPr>
        <w:ind w:left="-10"/>
        <w:rPr>
          <w:sz w:val="23"/>
          <w:szCs w:val="23"/>
        </w:rPr>
      </w:pPr>
      <w:r w:rsidRPr="00192A97">
        <w:rPr>
          <w:sz w:val="23"/>
          <w:szCs w:val="23"/>
        </w:rPr>
        <w:t xml:space="preserve">Despite significant investment by the Government in employment services, the labour force participation rates for people with disability have remained </w:t>
      </w:r>
      <w:r w:rsidR="002B6A03">
        <w:rPr>
          <w:sz w:val="23"/>
          <w:szCs w:val="23"/>
        </w:rPr>
        <w:t xml:space="preserve">largely </w:t>
      </w:r>
      <w:r w:rsidR="00872CFA">
        <w:rPr>
          <w:sz w:val="23"/>
          <w:szCs w:val="23"/>
        </w:rPr>
        <w:t>unchanged</w:t>
      </w:r>
      <w:r w:rsidR="007D6D15">
        <w:rPr>
          <w:sz w:val="23"/>
          <w:szCs w:val="23"/>
        </w:rPr>
        <w:t xml:space="preserve"> for the past 20 years.</w:t>
      </w:r>
      <w:r w:rsidR="00331C14" w:rsidRPr="00331C14">
        <w:rPr>
          <w:sz w:val="23"/>
          <w:szCs w:val="23"/>
        </w:rPr>
        <w:t xml:space="preserve"> </w:t>
      </w:r>
      <w:r w:rsidR="00331C14" w:rsidRPr="00B713BB">
        <w:rPr>
          <w:sz w:val="23"/>
          <w:szCs w:val="23"/>
        </w:rPr>
        <w:t xml:space="preserve">DSS estimates around 237,000 Disability Support Pension </w:t>
      </w:r>
      <w:r w:rsidR="00D3043E">
        <w:rPr>
          <w:sz w:val="23"/>
          <w:szCs w:val="23"/>
        </w:rPr>
        <w:t xml:space="preserve">(DSP) </w:t>
      </w:r>
      <w:r w:rsidR="00331C14" w:rsidRPr="00B713BB">
        <w:rPr>
          <w:sz w:val="23"/>
          <w:szCs w:val="23"/>
        </w:rPr>
        <w:t>recipients of working age may be eligible for employment assistance, and are not</w:t>
      </w:r>
      <w:r w:rsidR="00331C14">
        <w:rPr>
          <w:sz w:val="23"/>
          <w:szCs w:val="23"/>
        </w:rPr>
        <w:t xml:space="preserve"> participating</w:t>
      </w:r>
      <w:r w:rsidR="00331C14" w:rsidRPr="00B713BB">
        <w:rPr>
          <w:sz w:val="23"/>
          <w:szCs w:val="23"/>
        </w:rPr>
        <w:t xml:space="preserve"> in</w:t>
      </w:r>
      <w:r w:rsidR="00331C14">
        <w:rPr>
          <w:sz w:val="23"/>
          <w:szCs w:val="23"/>
        </w:rPr>
        <w:t> </w:t>
      </w:r>
      <w:r w:rsidR="00331C14" w:rsidRPr="00B713BB">
        <w:rPr>
          <w:sz w:val="23"/>
          <w:szCs w:val="23"/>
        </w:rPr>
        <w:t>employment, education or an employment assistance program.</w:t>
      </w:r>
    </w:p>
    <w:p w14:paraId="64B83582" w14:textId="36FC9291" w:rsidR="00513CF0" w:rsidRDefault="00830D1C" w:rsidP="00830D1C">
      <w:pPr>
        <w:ind w:left="-10"/>
        <w:rPr>
          <w:sz w:val="23"/>
          <w:szCs w:val="23"/>
        </w:rPr>
      </w:pPr>
      <w:r w:rsidRPr="00192A97">
        <w:rPr>
          <w:sz w:val="23"/>
          <w:szCs w:val="23"/>
        </w:rPr>
        <w:t xml:space="preserve">The terms ‘open’ and ‘supported’ employment have been used to describe </w:t>
      </w:r>
      <w:r w:rsidR="00DC7344" w:rsidRPr="00192A97">
        <w:rPr>
          <w:sz w:val="23"/>
          <w:szCs w:val="23"/>
        </w:rPr>
        <w:t xml:space="preserve">the </w:t>
      </w:r>
      <w:r w:rsidRPr="00192A97">
        <w:rPr>
          <w:sz w:val="23"/>
          <w:szCs w:val="23"/>
        </w:rPr>
        <w:t xml:space="preserve">different </w:t>
      </w:r>
      <w:r w:rsidR="00DC7344" w:rsidRPr="00192A97">
        <w:rPr>
          <w:sz w:val="23"/>
          <w:szCs w:val="23"/>
        </w:rPr>
        <w:t xml:space="preserve">employment settings and employment </w:t>
      </w:r>
      <w:r w:rsidRPr="00192A97">
        <w:rPr>
          <w:sz w:val="23"/>
          <w:szCs w:val="23"/>
        </w:rPr>
        <w:t>supports availa</w:t>
      </w:r>
      <w:r w:rsidR="00DC7344" w:rsidRPr="00192A97">
        <w:rPr>
          <w:sz w:val="23"/>
          <w:szCs w:val="23"/>
        </w:rPr>
        <w:t>bl</w:t>
      </w:r>
      <w:r w:rsidR="00CC2D5F">
        <w:rPr>
          <w:sz w:val="23"/>
          <w:szCs w:val="23"/>
        </w:rPr>
        <w:t>e to people with disability to</w:t>
      </w:r>
      <w:r w:rsidRPr="00192A97">
        <w:rPr>
          <w:sz w:val="23"/>
          <w:szCs w:val="23"/>
        </w:rPr>
        <w:t xml:space="preserve"> enable them to participate in work, or to build capa</w:t>
      </w:r>
      <w:r w:rsidR="007D6D15">
        <w:rPr>
          <w:sz w:val="23"/>
          <w:szCs w:val="23"/>
        </w:rPr>
        <w:t>city for</w:t>
      </w:r>
      <w:r w:rsidR="00135746">
        <w:rPr>
          <w:sz w:val="23"/>
          <w:szCs w:val="23"/>
        </w:rPr>
        <w:t xml:space="preserve"> </w:t>
      </w:r>
      <w:r w:rsidR="007D6D15">
        <w:rPr>
          <w:sz w:val="23"/>
          <w:szCs w:val="23"/>
        </w:rPr>
        <w:t>work.</w:t>
      </w:r>
    </w:p>
    <w:p w14:paraId="128F8F62" w14:textId="77777777" w:rsidR="00513CF0" w:rsidRDefault="00513CF0" w:rsidP="00830D1C">
      <w:pPr>
        <w:ind w:left="-10"/>
        <w:rPr>
          <w:sz w:val="23"/>
          <w:szCs w:val="23"/>
        </w:rPr>
      </w:pPr>
    </w:p>
    <w:p w14:paraId="195448C9" w14:textId="49846D98" w:rsidR="00513CF0" w:rsidRDefault="00513CF0" w:rsidP="00513CF0">
      <w:pPr>
        <w:spacing w:before="0" w:after="200" w:line="276" w:lineRule="auto"/>
        <w:jc w:val="center"/>
        <w:rPr>
          <w:sz w:val="23"/>
          <w:szCs w:val="23"/>
        </w:rPr>
      </w:pPr>
      <w:r>
        <w:rPr>
          <w:noProof/>
          <w:sz w:val="23"/>
          <w:szCs w:val="23"/>
        </w:rPr>
        <w:drawing>
          <wp:inline distT="0" distB="0" distL="0" distR="0" wp14:anchorId="786D30EA" wp14:editId="0FFA72E7">
            <wp:extent cx="3648836" cy="2456953"/>
            <wp:effectExtent l="0" t="0" r="0" b="0"/>
            <wp:docPr id="6" name="Picture 6" descr="This diagram shows the number of current supported employees (20,000) in relation to the number of DES participants (189,000) and the total number of NDIS participants (460,000)." title="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22954" t="7884" r="25021" b="14912"/>
                    <a:stretch/>
                  </pic:blipFill>
                  <pic:spPr bwMode="auto">
                    <a:xfrm>
                      <a:off x="0" y="0"/>
                      <a:ext cx="3658219" cy="2463271"/>
                    </a:xfrm>
                    <a:prstGeom prst="rect">
                      <a:avLst/>
                    </a:prstGeom>
                    <a:noFill/>
                    <a:ln>
                      <a:noFill/>
                    </a:ln>
                    <a:extLst>
                      <a:ext uri="{53640926-AAD7-44D8-BBD7-CCE9431645EC}">
                        <a14:shadowObscured xmlns:a14="http://schemas.microsoft.com/office/drawing/2010/main"/>
                      </a:ext>
                    </a:extLst>
                  </pic:spPr>
                </pic:pic>
              </a:graphicData>
            </a:graphic>
          </wp:inline>
        </w:drawing>
      </w:r>
      <w:r>
        <w:rPr>
          <w:sz w:val="23"/>
          <w:szCs w:val="23"/>
        </w:rPr>
        <w:br w:type="page"/>
      </w:r>
    </w:p>
    <w:p w14:paraId="59E2F594" w14:textId="592F6615" w:rsidR="0083567B" w:rsidRDefault="00FB0BB5" w:rsidP="00ED426D">
      <w:pPr>
        <w:ind w:left="-10"/>
        <w:rPr>
          <w:sz w:val="23"/>
          <w:szCs w:val="23"/>
        </w:rPr>
      </w:pPr>
      <w:r>
        <w:rPr>
          <w:sz w:val="23"/>
          <w:szCs w:val="23"/>
        </w:rPr>
        <w:lastRenderedPageBreak/>
        <w:t xml:space="preserve">‘Supported’ employment generally refers to employment in enterprises that have as their primary purpose employment of people with disability, and where </w:t>
      </w:r>
      <w:r w:rsidR="00331C14">
        <w:rPr>
          <w:sz w:val="23"/>
          <w:szCs w:val="23"/>
        </w:rPr>
        <w:t xml:space="preserve">the majority of </w:t>
      </w:r>
      <w:r>
        <w:rPr>
          <w:sz w:val="23"/>
          <w:szCs w:val="23"/>
        </w:rPr>
        <w:t xml:space="preserve">employees </w:t>
      </w:r>
      <w:r w:rsidR="00331C14">
        <w:rPr>
          <w:sz w:val="23"/>
          <w:szCs w:val="23"/>
        </w:rPr>
        <w:t>have</w:t>
      </w:r>
      <w:r>
        <w:rPr>
          <w:sz w:val="23"/>
          <w:szCs w:val="23"/>
        </w:rPr>
        <w:t xml:space="preserve"> disability.</w:t>
      </w:r>
      <w:r w:rsidR="00331C14">
        <w:rPr>
          <w:sz w:val="23"/>
          <w:szCs w:val="23"/>
        </w:rPr>
        <w:t xml:space="preserve"> There are</w:t>
      </w:r>
      <w:r>
        <w:rPr>
          <w:sz w:val="23"/>
          <w:szCs w:val="23"/>
        </w:rPr>
        <w:t xml:space="preserve"> </w:t>
      </w:r>
      <w:r w:rsidR="00331C14">
        <w:rPr>
          <w:sz w:val="23"/>
          <w:szCs w:val="23"/>
        </w:rPr>
        <w:t xml:space="preserve">often mixed industries within enterprises to cater for their employees, and there are higher levels of job customisation. </w:t>
      </w:r>
    </w:p>
    <w:p w14:paraId="09E9ACEC" w14:textId="4800969F" w:rsidR="00FB0BB5" w:rsidRDefault="00FB0BB5" w:rsidP="00ED426D">
      <w:pPr>
        <w:ind w:left="-10"/>
        <w:rPr>
          <w:sz w:val="23"/>
          <w:szCs w:val="23"/>
        </w:rPr>
      </w:pPr>
      <w:r>
        <w:rPr>
          <w:sz w:val="23"/>
          <w:szCs w:val="23"/>
        </w:rPr>
        <w:t>‘Open’</w:t>
      </w:r>
      <w:r w:rsidR="00135746">
        <w:rPr>
          <w:sz w:val="23"/>
          <w:szCs w:val="23"/>
        </w:rPr>
        <w:t> </w:t>
      </w:r>
      <w:r>
        <w:rPr>
          <w:sz w:val="23"/>
          <w:szCs w:val="23"/>
        </w:rPr>
        <w:t xml:space="preserve">employment </w:t>
      </w:r>
      <w:r w:rsidR="00331C14">
        <w:rPr>
          <w:sz w:val="23"/>
          <w:szCs w:val="23"/>
        </w:rPr>
        <w:t xml:space="preserve">refers to </w:t>
      </w:r>
      <w:r>
        <w:rPr>
          <w:sz w:val="23"/>
          <w:szCs w:val="23"/>
        </w:rPr>
        <w:t>employment where the jobs</w:t>
      </w:r>
      <w:r w:rsidR="00CC3427">
        <w:rPr>
          <w:sz w:val="23"/>
          <w:szCs w:val="23"/>
        </w:rPr>
        <w:t xml:space="preserve"> are open to</w:t>
      </w:r>
      <w:r w:rsidR="00331C14">
        <w:rPr>
          <w:sz w:val="23"/>
          <w:szCs w:val="23"/>
        </w:rPr>
        <w:t> </w:t>
      </w:r>
      <w:r w:rsidR="00CC3427">
        <w:rPr>
          <w:sz w:val="23"/>
          <w:szCs w:val="23"/>
        </w:rPr>
        <w:t>all people, with</w:t>
      </w:r>
      <w:r>
        <w:rPr>
          <w:sz w:val="23"/>
          <w:szCs w:val="23"/>
        </w:rPr>
        <w:t xml:space="preserve"> or without disabilit</w:t>
      </w:r>
      <w:r w:rsidR="00D3043E">
        <w:rPr>
          <w:sz w:val="23"/>
          <w:szCs w:val="23"/>
        </w:rPr>
        <w:t>y</w:t>
      </w:r>
      <w:r>
        <w:rPr>
          <w:sz w:val="23"/>
          <w:szCs w:val="23"/>
        </w:rPr>
        <w:t>.</w:t>
      </w:r>
      <w:r w:rsidR="00ED426D" w:rsidRPr="00ED426D">
        <w:rPr>
          <w:sz w:val="23"/>
          <w:szCs w:val="23"/>
        </w:rPr>
        <w:t xml:space="preserve"> </w:t>
      </w:r>
      <w:r w:rsidR="00ED426D">
        <w:rPr>
          <w:sz w:val="23"/>
          <w:szCs w:val="23"/>
        </w:rPr>
        <w:t>People with disability who</w:t>
      </w:r>
      <w:r w:rsidR="00ED426D" w:rsidRPr="00B713BB">
        <w:rPr>
          <w:sz w:val="23"/>
          <w:szCs w:val="23"/>
        </w:rPr>
        <w:t xml:space="preserve"> wish to receive assistance to find employment in the open labour market</w:t>
      </w:r>
      <w:r w:rsidR="00ED426D">
        <w:rPr>
          <w:sz w:val="23"/>
          <w:szCs w:val="23"/>
        </w:rPr>
        <w:t xml:space="preserve"> can</w:t>
      </w:r>
      <w:r w:rsidR="00ED426D" w:rsidRPr="00B713BB">
        <w:rPr>
          <w:sz w:val="23"/>
          <w:szCs w:val="23"/>
        </w:rPr>
        <w:t xml:space="preserve"> register with a </w:t>
      </w:r>
      <w:r w:rsidR="00D3043E">
        <w:rPr>
          <w:sz w:val="23"/>
          <w:szCs w:val="23"/>
        </w:rPr>
        <w:t>DES</w:t>
      </w:r>
      <w:r w:rsidR="00ED426D" w:rsidRPr="00B713BB">
        <w:rPr>
          <w:sz w:val="23"/>
          <w:szCs w:val="23"/>
        </w:rPr>
        <w:t xml:space="preserve"> provider</w:t>
      </w:r>
      <w:r w:rsidR="00ED426D">
        <w:rPr>
          <w:sz w:val="23"/>
          <w:szCs w:val="23"/>
        </w:rPr>
        <w:t>.</w:t>
      </w:r>
    </w:p>
    <w:p w14:paraId="649B9467" w14:textId="5A2673B1" w:rsidR="00387635" w:rsidRDefault="002B6A03" w:rsidP="006E3B0D">
      <w:pPr>
        <w:ind w:left="-10"/>
        <w:rPr>
          <w:sz w:val="23"/>
          <w:szCs w:val="23"/>
        </w:rPr>
      </w:pPr>
      <w:r>
        <w:rPr>
          <w:sz w:val="23"/>
          <w:szCs w:val="23"/>
        </w:rPr>
        <w:t>F</w:t>
      </w:r>
      <w:r w:rsidR="00FB0BB5">
        <w:rPr>
          <w:sz w:val="23"/>
          <w:szCs w:val="23"/>
        </w:rPr>
        <w:t>unding for</w:t>
      </w:r>
      <w:r w:rsidR="00830D1C" w:rsidRPr="00192A97">
        <w:rPr>
          <w:sz w:val="23"/>
          <w:szCs w:val="23"/>
        </w:rPr>
        <w:t xml:space="preserve"> ‘supported’ employment is transitioning to the NDIS</w:t>
      </w:r>
      <w:r w:rsidR="00FB0BB5">
        <w:rPr>
          <w:sz w:val="23"/>
          <w:szCs w:val="23"/>
        </w:rPr>
        <w:t>. Many</w:t>
      </w:r>
      <w:r w:rsidR="00830D1C" w:rsidRPr="00192A97">
        <w:rPr>
          <w:sz w:val="23"/>
          <w:szCs w:val="23"/>
        </w:rPr>
        <w:t xml:space="preserve"> NDIS participants are</w:t>
      </w:r>
      <w:r w:rsidR="00FB0BB5">
        <w:rPr>
          <w:sz w:val="23"/>
          <w:szCs w:val="23"/>
        </w:rPr>
        <w:t>, and will be,</w:t>
      </w:r>
      <w:r w:rsidR="00830D1C" w:rsidRPr="00192A97">
        <w:rPr>
          <w:sz w:val="23"/>
          <w:szCs w:val="23"/>
        </w:rPr>
        <w:t xml:space="preserve"> eligible for </w:t>
      </w:r>
      <w:r w:rsidR="00CC2D5F">
        <w:rPr>
          <w:sz w:val="23"/>
          <w:szCs w:val="23"/>
        </w:rPr>
        <w:t>employment services</w:t>
      </w:r>
      <w:r w:rsidR="00830D1C" w:rsidRPr="00192A97">
        <w:rPr>
          <w:sz w:val="23"/>
          <w:szCs w:val="23"/>
        </w:rPr>
        <w:t xml:space="preserve"> </w:t>
      </w:r>
      <w:r w:rsidR="00FB0BB5">
        <w:rPr>
          <w:sz w:val="23"/>
          <w:szCs w:val="23"/>
        </w:rPr>
        <w:t xml:space="preserve">to achieve or remain </w:t>
      </w:r>
      <w:r w:rsidR="00830D1C" w:rsidRPr="00192A97">
        <w:rPr>
          <w:sz w:val="23"/>
          <w:szCs w:val="23"/>
        </w:rPr>
        <w:t xml:space="preserve">in employment. </w:t>
      </w:r>
      <w:r w:rsidR="00387635">
        <w:rPr>
          <w:sz w:val="23"/>
          <w:szCs w:val="23"/>
        </w:rPr>
        <w:t>The shift to open employment may increase over</w:t>
      </w:r>
      <w:r w:rsidR="00872CFA">
        <w:rPr>
          <w:sz w:val="23"/>
          <w:szCs w:val="23"/>
        </w:rPr>
        <w:t xml:space="preserve"> </w:t>
      </w:r>
      <w:r w:rsidR="00387635">
        <w:rPr>
          <w:sz w:val="23"/>
          <w:szCs w:val="23"/>
        </w:rPr>
        <w:t xml:space="preserve">time as </w:t>
      </w:r>
      <w:r w:rsidR="00331C14">
        <w:rPr>
          <w:sz w:val="23"/>
          <w:szCs w:val="23"/>
        </w:rPr>
        <w:t xml:space="preserve">NDIS participants </w:t>
      </w:r>
      <w:r w:rsidR="00387635">
        <w:rPr>
          <w:sz w:val="23"/>
          <w:szCs w:val="23"/>
        </w:rPr>
        <w:t>take advantage of new opportunities through the NDIS to address their immediate support needs and build capacity t</w:t>
      </w:r>
      <w:r w:rsidR="00CC3427">
        <w:rPr>
          <w:sz w:val="23"/>
          <w:szCs w:val="23"/>
        </w:rPr>
        <w:t xml:space="preserve">o </w:t>
      </w:r>
      <w:r w:rsidR="00A77254">
        <w:rPr>
          <w:sz w:val="23"/>
          <w:szCs w:val="23"/>
        </w:rPr>
        <w:t>find,</w:t>
      </w:r>
      <w:r w:rsidR="00CC3427">
        <w:rPr>
          <w:sz w:val="23"/>
          <w:szCs w:val="23"/>
        </w:rPr>
        <w:t xml:space="preserve"> trial</w:t>
      </w:r>
      <w:r w:rsidR="00387635">
        <w:rPr>
          <w:sz w:val="23"/>
          <w:szCs w:val="23"/>
        </w:rPr>
        <w:t xml:space="preserve"> and maintain </w:t>
      </w:r>
      <w:r w:rsidR="007D6D15">
        <w:rPr>
          <w:sz w:val="23"/>
          <w:szCs w:val="23"/>
        </w:rPr>
        <w:t xml:space="preserve">open </w:t>
      </w:r>
      <w:r w:rsidR="00331C14">
        <w:rPr>
          <w:sz w:val="23"/>
          <w:szCs w:val="23"/>
        </w:rPr>
        <w:t>employment</w:t>
      </w:r>
      <w:r w:rsidR="007D6D15">
        <w:rPr>
          <w:sz w:val="23"/>
          <w:szCs w:val="23"/>
        </w:rPr>
        <w:t>.</w:t>
      </w:r>
    </w:p>
    <w:p w14:paraId="6EE8FFC6" w14:textId="296CDA9B" w:rsidR="00F26D40" w:rsidRPr="00135746" w:rsidRDefault="009362F9" w:rsidP="00135746">
      <w:pPr>
        <w:ind w:left="-10"/>
        <w:rPr>
          <w:sz w:val="23"/>
          <w:szCs w:val="23"/>
        </w:rPr>
      </w:pPr>
      <w:r>
        <w:rPr>
          <w:rFonts w:cs="Arial"/>
          <w:sz w:val="23"/>
          <w:szCs w:val="23"/>
        </w:rPr>
        <w:t xml:space="preserve">The Government will invest around $5 billion in employment services and supports for people with disability over the next four years through DES and ADEs as they </w:t>
      </w:r>
      <w:r w:rsidRPr="00135746">
        <w:rPr>
          <w:sz w:val="23"/>
          <w:szCs w:val="23"/>
        </w:rPr>
        <w:t xml:space="preserve">transition to the NDIS. </w:t>
      </w:r>
    </w:p>
    <w:p w14:paraId="7BA9411E" w14:textId="4707C024" w:rsidR="00830D1C" w:rsidRPr="00872CFA" w:rsidRDefault="00387635" w:rsidP="000B0EDB">
      <w:pPr>
        <w:ind w:left="-10"/>
        <w:rPr>
          <w:sz w:val="23"/>
          <w:szCs w:val="23"/>
        </w:rPr>
      </w:pPr>
      <w:r w:rsidRPr="00872CFA">
        <w:rPr>
          <w:sz w:val="23"/>
          <w:szCs w:val="23"/>
        </w:rPr>
        <w:t xml:space="preserve">For the purposes of this discussion paper, the key focus </w:t>
      </w:r>
      <w:r w:rsidR="00ED426D">
        <w:rPr>
          <w:sz w:val="23"/>
          <w:szCs w:val="23"/>
        </w:rPr>
        <w:t>is</w:t>
      </w:r>
      <w:r w:rsidRPr="00872CFA">
        <w:rPr>
          <w:sz w:val="23"/>
          <w:szCs w:val="23"/>
        </w:rPr>
        <w:t xml:space="preserve"> supported employment</w:t>
      </w:r>
      <w:r w:rsidR="00ED426D">
        <w:rPr>
          <w:sz w:val="23"/>
          <w:szCs w:val="23"/>
        </w:rPr>
        <w:t>.</w:t>
      </w:r>
      <w:r w:rsidRPr="00872CFA">
        <w:rPr>
          <w:sz w:val="23"/>
          <w:szCs w:val="23"/>
        </w:rPr>
        <w:t xml:space="preserve"> </w:t>
      </w:r>
      <w:r w:rsidR="00ED426D">
        <w:rPr>
          <w:sz w:val="23"/>
          <w:szCs w:val="23"/>
        </w:rPr>
        <w:t>I</w:t>
      </w:r>
      <w:r w:rsidR="00ED426D" w:rsidRPr="00872CFA">
        <w:rPr>
          <w:sz w:val="23"/>
          <w:szCs w:val="23"/>
        </w:rPr>
        <w:t>ts</w:t>
      </w:r>
      <w:r w:rsidR="0083567B">
        <w:rPr>
          <w:sz w:val="23"/>
          <w:szCs w:val="23"/>
        </w:rPr>
        <w:t> </w:t>
      </w:r>
      <w:r w:rsidRPr="00872CFA">
        <w:rPr>
          <w:sz w:val="23"/>
          <w:szCs w:val="23"/>
        </w:rPr>
        <w:t>interface with open em</w:t>
      </w:r>
      <w:r w:rsidR="007D6D15">
        <w:rPr>
          <w:sz w:val="23"/>
          <w:szCs w:val="23"/>
        </w:rPr>
        <w:t>ployment services and settings</w:t>
      </w:r>
      <w:r w:rsidR="00ED426D">
        <w:rPr>
          <w:sz w:val="23"/>
          <w:szCs w:val="23"/>
        </w:rPr>
        <w:t xml:space="preserve"> is important to fully understand the options available to supported employees as NDIS participants</w:t>
      </w:r>
      <w:r w:rsidR="007D6D15">
        <w:rPr>
          <w:sz w:val="23"/>
          <w:szCs w:val="23"/>
        </w:rPr>
        <w:t>.</w:t>
      </w:r>
    </w:p>
    <w:p w14:paraId="27341536" w14:textId="6E44D693" w:rsidR="00FB0BB5" w:rsidRPr="00872CFA" w:rsidRDefault="00FB0BB5" w:rsidP="00305839">
      <w:pPr>
        <w:ind w:left="-10"/>
        <w:jc w:val="center"/>
        <w:rPr>
          <w:sz w:val="23"/>
          <w:szCs w:val="23"/>
        </w:rPr>
      </w:pPr>
      <w:r w:rsidRPr="00872CFA">
        <w:rPr>
          <w:sz w:val="23"/>
          <w:szCs w:val="23"/>
        </w:rPr>
        <w:br w:type="page"/>
      </w:r>
    </w:p>
    <w:p w14:paraId="141E6F18" w14:textId="77777777" w:rsidR="00830D1C" w:rsidRPr="005F59D5" w:rsidRDefault="00387635" w:rsidP="005F59D5">
      <w:pPr>
        <w:spacing w:before="360" w:after="120" w:line="240" w:lineRule="auto"/>
        <w:contextualSpacing/>
        <w:outlineLvl w:val="0"/>
        <w:rPr>
          <w:rFonts w:ascii="Georgia" w:hAnsi="Georgia"/>
          <w:bCs/>
          <w:color w:val="24596E"/>
          <w:sz w:val="34"/>
          <w:szCs w:val="34"/>
        </w:rPr>
      </w:pPr>
      <w:bookmarkStart w:id="24" w:name="_Toc500401855"/>
      <w:r w:rsidRPr="00872CFA">
        <w:rPr>
          <w:rFonts w:ascii="Georgia" w:hAnsi="Georgia"/>
          <w:bCs/>
          <w:color w:val="24596E"/>
          <w:sz w:val="34"/>
          <w:szCs w:val="34"/>
        </w:rPr>
        <w:lastRenderedPageBreak/>
        <w:t>Commonwealth employment services for pe</w:t>
      </w:r>
      <w:r>
        <w:rPr>
          <w:rFonts w:ascii="Georgia" w:hAnsi="Georgia"/>
          <w:bCs/>
          <w:color w:val="24596E"/>
          <w:sz w:val="34"/>
          <w:szCs w:val="34"/>
        </w:rPr>
        <w:t>ople with disability</w:t>
      </w:r>
      <w:bookmarkEnd w:id="24"/>
    </w:p>
    <w:p w14:paraId="6E98A137" w14:textId="2CF3F654" w:rsidR="00D34CBC" w:rsidRPr="00CF5E3A" w:rsidRDefault="00CC3427" w:rsidP="00CF5E3A">
      <w:pPr>
        <w:spacing w:before="360" w:after="0"/>
        <w:rPr>
          <w:sz w:val="23"/>
          <w:szCs w:val="23"/>
          <w:u w:val="single"/>
        </w:rPr>
      </w:pPr>
      <w:r w:rsidRPr="00CC3427">
        <w:rPr>
          <w:i/>
          <w:sz w:val="23"/>
          <w:szCs w:val="23"/>
          <w:u w:val="single"/>
        </w:rPr>
        <w:t>j</w:t>
      </w:r>
      <w:r w:rsidR="00CF5E3A" w:rsidRPr="00CC3427">
        <w:rPr>
          <w:i/>
          <w:sz w:val="23"/>
          <w:szCs w:val="23"/>
          <w:u w:val="single"/>
        </w:rPr>
        <w:t>obactive</w:t>
      </w:r>
      <w:r w:rsidR="00FB7E96">
        <w:rPr>
          <w:sz w:val="23"/>
          <w:szCs w:val="23"/>
        </w:rPr>
        <w:t xml:space="preserve"> </w:t>
      </w:r>
      <w:r w:rsidR="00387635" w:rsidRPr="00387635">
        <w:rPr>
          <w:sz w:val="23"/>
          <w:szCs w:val="23"/>
        </w:rPr>
        <w:t xml:space="preserve">is the </w:t>
      </w:r>
      <w:r w:rsidR="00387635">
        <w:rPr>
          <w:sz w:val="23"/>
          <w:szCs w:val="23"/>
        </w:rPr>
        <w:t>Government program supporting</w:t>
      </w:r>
      <w:r w:rsidR="00387635" w:rsidRPr="00387635">
        <w:rPr>
          <w:sz w:val="23"/>
          <w:szCs w:val="23"/>
        </w:rPr>
        <w:t xml:space="preserve"> more Australians into work</w:t>
      </w:r>
      <w:r w:rsidR="00613058">
        <w:rPr>
          <w:sz w:val="23"/>
          <w:szCs w:val="23"/>
        </w:rPr>
        <w:t>,</w:t>
      </w:r>
      <w:r w:rsidR="00387635">
        <w:rPr>
          <w:sz w:val="23"/>
          <w:szCs w:val="23"/>
        </w:rPr>
        <w:t xml:space="preserve"> including people with disability</w:t>
      </w:r>
      <w:r w:rsidR="00387635" w:rsidRPr="00387635">
        <w:rPr>
          <w:sz w:val="23"/>
          <w:szCs w:val="23"/>
        </w:rPr>
        <w:t xml:space="preserve">. It connects job seekers with employers and is delivered by a network of </w:t>
      </w:r>
      <w:r w:rsidR="00387635" w:rsidRPr="00CC3427">
        <w:rPr>
          <w:i/>
          <w:sz w:val="23"/>
          <w:szCs w:val="23"/>
        </w:rPr>
        <w:t>jobactive</w:t>
      </w:r>
      <w:r w:rsidR="00387635" w:rsidRPr="00387635">
        <w:rPr>
          <w:sz w:val="23"/>
          <w:szCs w:val="23"/>
        </w:rPr>
        <w:t xml:space="preserve"> providers in over 1</w:t>
      </w:r>
      <w:r w:rsidR="006E3B0D">
        <w:rPr>
          <w:sz w:val="23"/>
          <w:szCs w:val="23"/>
        </w:rPr>
        <w:t>,</w:t>
      </w:r>
      <w:r w:rsidR="00387635" w:rsidRPr="00387635">
        <w:rPr>
          <w:sz w:val="23"/>
          <w:szCs w:val="23"/>
        </w:rPr>
        <w:t>700 locations across Australia.</w:t>
      </w:r>
      <w:r w:rsidR="00613058">
        <w:rPr>
          <w:sz w:val="23"/>
          <w:szCs w:val="23"/>
        </w:rPr>
        <w:t xml:space="preserve"> </w:t>
      </w:r>
      <w:r w:rsidR="008B3036">
        <w:rPr>
          <w:sz w:val="23"/>
          <w:szCs w:val="23"/>
        </w:rPr>
        <w:t xml:space="preserve">Through </w:t>
      </w:r>
      <w:r w:rsidR="00976CC5">
        <w:rPr>
          <w:sz w:val="23"/>
          <w:szCs w:val="23"/>
        </w:rPr>
        <w:t>a</w:t>
      </w:r>
      <w:r w:rsidR="00976CC5" w:rsidRPr="00CC3427">
        <w:rPr>
          <w:i/>
          <w:sz w:val="23"/>
          <w:szCs w:val="23"/>
        </w:rPr>
        <w:t xml:space="preserve"> </w:t>
      </w:r>
      <w:r w:rsidR="008B3036" w:rsidRPr="00CC3427">
        <w:rPr>
          <w:i/>
          <w:sz w:val="23"/>
          <w:szCs w:val="23"/>
        </w:rPr>
        <w:t>jobactive</w:t>
      </w:r>
      <w:r w:rsidR="00976CC5">
        <w:rPr>
          <w:sz w:val="23"/>
          <w:szCs w:val="23"/>
        </w:rPr>
        <w:t xml:space="preserve"> provider</w:t>
      </w:r>
      <w:r w:rsidR="008B3036">
        <w:rPr>
          <w:sz w:val="23"/>
          <w:szCs w:val="23"/>
        </w:rPr>
        <w:t>, people with disability can access the same range of support</w:t>
      </w:r>
      <w:r w:rsidR="00976CC5">
        <w:rPr>
          <w:sz w:val="23"/>
          <w:szCs w:val="23"/>
        </w:rPr>
        <w:t xml:space="preserve">s that are available to all Australians, </w:t>
      </w:r>
      <w:r w:rsidR="008B3036">
        <w:rPr>
          <w:sz w:val="23"/>
          <w:szCs w:val="23"/>
        </w:rPr>
        <w:t xml:space="preserve">to assist them to </w:t>
      </w:r>
      <w:r>
        <w:rPr>
          <w:sz w:val="23"/>
          <w:szCs w:val="23"/>
        </w:rPr>
        <w:t xml:space="preserve">find and keep a job. </w:t>
      </w:r>
      <w:r w:rsidRPr="00CC3427">
        <w:rPr>
          <w:i/>
          <w:sz w:val="23"/>
          <w:szCs w:val="23"/>
        </w:rPr>
        <w:t>j</w:t>
      </w:r>
      <w:r w:rsidR="00976CC5" w:rsidRPr="00CC3427">
        <w:rPr>
          <w:i/>
          <w:sz w:val="23"/>
          <w:szCs w:val="23"/>
        </w:rPr>
        <w:t>obactive</w:t>
      </w:r>
      <w:r w:rsidR="00976CC5" w:rsidRPr="00976CC5">
        <w:rPr>
          <w:sz w:val="23"/>
          <w:szCs w:val="23"/>
        </w:rPr>
        <w:t xml:space="preserve"> providers </w:t>
      </w:r>
      <w:r w:rsidR="00976CC5">
        <w:rPr>
          <w:sz w:val="23"/>
          <w:szCs w:val="23"/>
        </w:rPr>
        <w:t>offer flexible and tailored services to meet</w:t>
      </w:r>
      <w:r w:rsidR="00976CC5" w:rsidRPr="00976CC5">
        <w:rPr>
          <w:sz w:val="23"/>
          <w:szCs w:val="23"/>
        </w:rPr>
        <w:t xml:space="preserve"> a job seeker’s assessed needs</w:t>
      </w:r>
      <w:r w:rsidR="00976CC5">
        <w:rPr>
          <w:sz w:val="23"/>
          <w:szCs w:val="23"/>
        </w:rPr>
        <w:t>.</w:t>
      </w:r>
      <w:r w:rsidR="00FB0BB5">
        <w:rPr>
          <w:sz w:val="23"/>
          <w:szCs w:val="23"/>
        </w:rPr>
        <w:t xml:space="preserve"> There are currently around 800,000 job seekers </w:t>
      </w:r>
      <w:r w:rsidR="0083567B">
        <w:rPr>
          <w:sz w:val="23"/>
          <w:szCs w:val="23"/>
        </w:rPr>
        <w:t xml:space="preserve">receiving </w:t>
      </w:r>
      <w:r w:rsidR="00FB0BB5">
        <w:rPr>
          <w:sz w:val="23"/>
          <w:szCs w:val="23"/>
        </w:rPr>
        <w:t xml:space="preserve">assistance in </w:t>
      </w:r>
      <w:r w:rsidR="00FB0BB5" w:rsidRPr="00CC3427">
        <w:rPr>
          <w:i/>
          <w:sz w:val="23"/>
          <w:szCs w:val="23"/>
        </w:rPr>
        <w:t>jobactive</w:t>
      </w:r>
      <w:r w:rsidR="00FB0BB5">
        <w:rPr>
          <w:sz w:val="23"/>
          <w:szCs w:val="23"/>
        </w:rPr>
        <w:t>, of which around 200,000 are registered as having a disability.</w:t>
      </w:r>
    </w:p>
    <w:p w14:paraId="706DAF57" w14:textId="77777777" w:rsidR="00CF5E3A" w:rsidRDefault="00CF5E3A" w:rsidP="00D34CBC">
      <w:pPr>
        <w:spacing w:before="0" w:after="120"/>
        <w:rPr>
          <w:sz w:val="23"/>
          <w:szCs w:val="23"/>
          <w:u w:val="single"/>
        </w:rPr>
      </w:pPr>
    </w:p>
    <w:p w14:paraId="3AECA041" w14:textId="39119297" w:rsidR="00CC3427" w:rsidRDefault="00D34CBC" w:rsidP="00CF5E3A">
      <w:pPr>
        <w:spacing w:before="0" w:after="120"/>
        <w:rPr>
          <w:sz w:val="23"/>
          <w:szCs w:val="23"/>
        </w:rPr>
      </w:pPr>
      <w:r w:rsidRPr="00D34CBC">
        <w:rPr>
          <w:sz w:val="23"/>
          <w:szCs w:val="23"/>
          <w:u w:val="single"/>
        </w:rPr>
        <w:t>Disabil</w:t>
      </w:r>
      <w:r w:rsidR="00CF5E3A">
        <w:rPr>
          <w:sz w:val="23"/>
          <w:szCs w:val="23"/>
          <w:u w:val="single"/>
        </w:rPr>
        <w:t>ity Employment Services (DES)</w:t>
      </w:r>
      <w:r w:rsidR="00CF5E3A" w:rsidRPr="00CF5E3A">
        <w:rPr>
          <w:sz w:val="23"/>
          <w:szCs w:val="23"/>
        </w:rPr>
        <w:t xml:space="preserve"> </w:t>
      </w:r>
      <w:r w:rsidR="00E01B96">
        <w:rPr>
          <w:sz w:val="23"/>
          <w:szCs w:val="23"/>
        </w:rPr>
        <w:t>is t</w:t>
      </w:r>
      <w:r w:rsidR="00830D1C" w:rsidRPr="00CF5E3A">
        <w:rPr>
          <w:sz w:val="23"/>
          <w:szCs w:val="23"/>
        </w:rPr>
        <w:t>he</w:t>
      </w:r>
      <w:r w:rsidR="00830D1C" w:rsidRPr="00192A97">
        <w:rPr>
          <w:sz w:val="23"/>
          <w:szCs w:val="23"/>
        </w:rPr>
        <w:t xml:space="preserve"> Government’s specialist open employment program for people with disability whose disability is assessed as the main impediment to them gaining em</w:t>
      </w:r>
      <w:r w:rsidR="001D4852">
        <w:rPr>
          <w:sz w:val="23"/>
          <w:szCs w:val="23"/>
        </w:rPr>
        <w:t>ployment</w:t>
      </w:r>
      <w:r w:rsidR="00FB0BB5">
        <w:rPr>
          <w:sz w:val="23"/>
          <w:szCs w:val="23"/>
        </w:rPr>
        <w:t>.</w:t>
      </w:r>
    </w:p>
    <w:p w14:paraId="22CCBD00" w14:textId="72318DAF" w:rsidR="00CC3427" w:rsidRPr="00A0638F" w:rsidRDefault="00CC3427" w:rsidP="00CC3427">
      <w:pPr>
        <w:rPr>
          <w:sz w:val="23"/>
          <w:szCs w:val="23"/>
        </w:rPr>
      </w:pPr>
      <w:r w:rsidRPr="00A0638F">
        <w:rPr>
          <w:sz w:val="23"/>
          <w:szCs w:val="23"/>
        </w:rPr>
        <w:t>There are two separate sub</w:t>
      </w:r>
      <w:r w:rsidR="0083567B">
        <w:rPr>
          <w:sz w:val="23"/>
          <w:szCs w:val="23"/>
        </w:rPr>
        <w:t>-</w:t>
      </w:r>
      <w:r w:rsidRPr="00A0638F">
        <w:rPr>
          <w:sz w:val="23"/>
          <w:szCs w:val="23"/>
        </w:rPr>
        <w:t>programs within DES. These are:</w:t>
      </w:r>
    </w:p>
    <w:p w14:paraId="237B653F" w14:textId="5E59E9F3" w:rsidR="00CC3427" w:rsidRPr="00A0638F" w:rsidRDefault="00CC3427" w:rsidP="00CC3427">
      <w:pPr>
        <w:pStyle w:val="ListParagraph"/>
        <w:numPr>
          <w:ilvl w:val="0"/>
          <w:numId w:val="28"/>
        </w:numPr>
        <w:rPr>
          <w:sz w:val="23"/>
          <w:szCs w:val="23"/>
        </w:rPr>
      </w:pPr>
      <w:r w:rsidRPr="00A0638F">
        <w:rPr>
          <w:sz w:val="23"/>
          <w:szCs w:val="23"/>
        </w:rPr>
        <w:t xml:space="preserve">Employment Support Services for job seekers with permanent disability and an assessed need for regular </w:t>
      </w:r>
      <w:r w:rsidR="00FB7E96">
        <w:rPr>
          <w:sz w:val="23"/>
          <w:szCs w:val="23"/>
        </w:rPr>
        <w:t>o</w:t>
      </w:r>
      <w:r w:rsidR="00FB7E96" w:rsidRPr="00A0638F">
        <w:rPr>
          <w:sz w:val="23"/>
          <w:szCs w:val="23"/>
        </w:rPr>
        <w:t xml:space="preserve">ngoing </w:t>
      </w:r>
      <w:r w:rsidR="00FB7E96">
        <w:rPr>
          <w:sz w:val="23"/>
          <w:szCs w:val="23"/>
        </w:rPr>
        <w:t>s</w:t>
      </w:r>
      <w:r w:rsidR="00FB7E96" w:rsidRPr="00A0638F">
        <w:rPr>
          <w:sz w:val="23"/>
          <w:szCs w:val="23"/>
        </w:rPr>
        <w:t xml:space="preserve">upport </w:t>
      </w:r>
      <w:r w:rsidRPr="00A0638F">
        <w:rPr>
          <w:sz w:val="23"/>
          <w:szCs w:val="23"/>
        </w:rPr>
        <w:t>in the workplace, and</w:t>
      </w:r>
    </w:p>
    <w:p w14:paraId="4FE7D6DC" w14:textId="3A70ECDE" w:rsidR="00CC3427" w:rsidRPr="00A0638F" w:rsidRDefault="00CC3427" w:rsidP="00CC3427">
      <w:pPr>
        <w:pStyle w:val="ListParagraph"/>
        <w:numPr>
          <w:ilvl w:val="0"/>
          <w:numId w:val="28"/>
        </w:numPr>
        <w:rPr>
          <w:sz w:val="23"/>
          <w:szCs w:val="23"/>
        </w:rPr>
      </w:pPr>
      <w:r w:rsidRPr="00A0638F">
        <w:rPr>
          <w:sz w:val="23"/>
          <w:szCs w:val="23"/>
        </w:rPr>
        <w:t>Disability Management Services for job seekers with disability, injury or health conditions who are not expected to need long-term support in the workplace but may need irregular flexible support to keep a job.</w:t>
      </w:r>
    </w:p>
    <w:p w14:paraId="0C2A9FE0" w14:textId="77777777" w:rsidR="00276561" w:rsidRPr="00CF5E3A" w:rsidRDefault="00830D1C" w:rsidP="00CF5E3A">
      <w:pPr>
        <w:spacing w:before="0" w:after="120"/>
        <w:rPr>
          <w:sz w:val="23"/>
          <w:szCs w:val="23"/>
          <w:u w:val="single"/>
        </w:rPr>
      </w:pPr>
      <w:r w:rsidRPr="00192A97">
        <w:rPr>
          <w:sz w:val="23"/>
          <w:szCs w:val="23"/>
        </w:rPr>
        <w:t xml:space="preserve">The program </w:t>
      </w:r>
      <w:r w:rsidR="00DC7344" w:rsidRPr="00192A97">
        <w:rPr>
          <w:sz w:val="23"/>
          <w:szCs w:val="23"/>
        </w:rPr>
        <w:t xml:space="preserve">in its current form </w:t>
      </w:r>
      <w:r w:rsidRPr="00192A97">
        <w:rPr>
          <w:sz w:val="23"/>
          <w:szCs w:val="23"/>
        </w:rPr>
        <w:t>was introduced on 1 Mar</w:t>
      </w:r>
      <w:r w:rsidR="00CC2D5F">
        <w:rPr>
          <w:sz w:val="23"/>
          <w:szCs w:val="23"/>
        </w:rPr>
        <w:t xml:space="preserve">ch 2010. Through </w:t>
      </w:r>
      <w:r w:rsidRPr="00192A97">
        <w:rPr>
          <w:sz w:val="23"/>
          <w:szCs w:val="23"/>
        </w:rPr>
        <w:t>DES providers, the program delivers a suite of employment services to people with disability, injury or health condition</w:t>
      </w:r>
      <w:r w:rsidR="00CC2D5F">
        <w:rPr>
          <w:sz w:val="23"/>
          <w:szCs w:val="23"/>
        </w:rPr>
        <w:t>,</w:t>
      </w:r>
      <w:r w:rsidRPr="00192A97">
        <w:rPr>
          <w:sz w:val="23"/>
          <w:szCs w:val="23"/>
        </w:rPr>
        <w:t xml:space="preserve"> in the open labour market. </w:t>
      </w:r>
    </w:p>
    <w:p w14:paraId="5A4401B5" w14:textId="06FBF0E5" w:rsidR="00830D1C" w:rsidRPr="00192A97" w:rsidRDefault="00276561" w:rsidP="00CC2D5F">
      <w:pPr>
        <w:ind w:left="-10"/>
        <w:rPr>
          <w:sz w:val="23"/>
          <w:szCs w:val="23"/>
        </w:rPr>
      </w:pPr>
      <w:r>
        <w:rPr>
          <w:sz w:val="23"/>
          <w:szCs w:val="23"/>
        </w:rPr>
        <w:t>S</w:t>
      </w:r>
      <w:r w:rsidR="00830D1C" w:rsidRPr="00192A97">
        <w:rPr>
          <w:sz w:val="23"/>
          <w:szCs w:val="23"/>
        </w:rPr>
        <w:t xml:space="preserve">ervices provided </w:t>
      </w:r>
      <w:r>
        <w:rPr>
          <w:sz w:val="23"/>
          <w:szCs w:val="23"/>
        </w:rPr>
        <w:t xml:space="preserve">through DES </w:t>
      </w:r>
      <w:r w:rsidR="00830D1C" w:rsidRPr="00192A97">
        <w:rPr>
          <w:sz w:val="23"/>
          <w:szCs w:val="23"/>
        </w:rPr>
        <w:t xml:space="preserve">include: </w:t>
      </w:r>
      <w:r w:rsidR="00FB0BB5">
        <w:rPr>
          <w:sz w:val="23"/>
          <w:szCs w:val="23"/>
        </w:rPr>
        <w:t>allied health services to assist people to improve their work capacity</w:t>
      </w:r>
      <w:r w:rsidR="00FB56E5">
        <w:rPr>
          <w:sz w:val="23"/>
          <w:szCs w:val="23"/>
        </w:rPr>
        <w:t xml:space="preserve">, </w:t>
      </w:r>
      <w:r w:rsidR="00830D1C" w:rsidRPr="00192A97">
        <w:rPr>
          <w:sz w:val="23"/>
          <w:szCs w:val="23"/>
        </w:rPr>
        <w:t>assistance with job search</w:t>
      </w:r>
      <w:r w:rsidR="00FB56E5">
        <w:rPr>
          <w:sz w:val="23"/>
          <w:szCs w:val="23"/>
        </w:rPr>
        <w:t>,</w:t>
      </w:r>
      <w:r w:rsidR="00FB56E5" w:rsidRPr="00192A97">
        <w:rPr>
          <w:sz w:val="23"/>
          <w:szCs w:val="23"/>
        </w:rPr>
        <w:t xml:space="preserve"> </w:t>
      </w:r>
      <w:r w:rsidR="00830D1C" w:rsidRPr="00192A97">
        <w:rPr>
          <w:sz w:val="23"/>
          <w:szCs w:val="23"/>
        </w:rPr>
        <w:t>résumé preparation</w:t>
      </w:r>
      <w:r w:rsidR="00FB56E5">
        <w:rPr>
          <w:sz w:val="23"/>
          <w:szCs w:val="23"/>
        </w:rPr>
        <w:t>,</w:t>
      </w:r>
      <w:r w:rsidR="00FB56E5" w:rsidRPr="00192A97">
        <w:rPr>
          <w:sz w:val="23"/>
          <w:szCs w:val="23"/>
        </w:rPr>
        <w:t xml:space="preserve"> </w:t>
      </w:r>
      <w:r w:rsidR="00FB7E96">
        <w:rPr>
          <w:sz w:val="23"/>
          <w:szCs w:val="23"/>
        </w:rPr>
        <w:t xml:space="preserve">and </w:t>
      </w:r>
      <w:r w:rsidR="00830D1C" w:rsidRPr="00192A97">
        <w:rPr>
          <w:sz w:val="23"/>
          <w:szCs w:val="23"/>
        </w:rPr>
        <w:t>support for education and training</w:t>
      </w:r>
      <w:r w:rsidR="00F377DA">
        <w:rPr>
          <w:sz w:val="23"/>
          <w:szCs w:val="23"/>
        </w:rPr>
        <w:t>. Related initiatives in open employment provide</w:t>
      </w:r>
      <w:r w:rsidR="00830D1C" w:rsidRPr="00192A97">
        <w:rPr>
          <w:sz w:val="23"/>
          <w:szCs w:val="23"/>
        </w:rPr>
        <w:t xml:space="preserve"> wage subsidies and </w:t>
      </w:r>
      <w:r w:rsidR="00F377DA">
        <w:rPr>
          <w:sz w:val="23"/>
          <w:szCs w:val="23"/>
        </w:rPr>
        <w:t xml:space="preserve">targeted </w:t>
      </w:r>
      <w:r w:rsidR="00830D1C" w:rsidRPr="00192A97">
        <w:rPr>
          <w:sz w:val="23"/>
          <w:szCs w:val="23"/>
        </w:rPr>
        <w:t xml:space="preserve">employer engagement. These supports </w:t>
      </w:r>
      <w:r>
        <w:rPr>
          <w:sz w:val="23"/>
          <w:szCs w:val="23"/>
        </w:rPr>
        <w:t>are</w:t>
      </w:r>
      <w:r w:rsidR="00830D1C" w:rsidRPr="00192A97">
        <w:rPr>
          <w:sz w:val="23"/>
          <w:szCs w:val="23"/>
        </w:rPr>
        <w:t xml:space="preserve"> tailored to each individual </w:t>
      </w:r>
      <w:r>
        <w:rPr>
          <w:sz w:val="23"/>
          <w:szCs w:val="23"/>
        </w:rPr>
        <w:t>to help</w:t>
      </w:r>
      <w:r w:rsidR="00830D1C" w:rsidRPr="00192A97">
        <w:rPr>
          <w:sz w:val="23"/>
          <w:szCs w:val="23"/>
        </w:rPr>
        <w:t xml:space="preserve"> them into long-term, sustainable work. Participating in DES also satisfies mutual obligation requirements for people on some types of income support who are required to actively look for work in o</w:t>
      </w:r>
      <w:r w:rsidR="007D6D15">
        <w:rPr>
          <w:sz w:val="23"/>
          <w:szCs w:val="23"/>
        </w:rPr>
        <w:t>rder to receive their payments.</w:t>
      </w:r>
    </w:p>
    <w:p w14:paraId="7E025278" w14:textId="40658F35" w:rsidR="00276561" w:rsidRDefault="00830D1C" w:rsidP="00276561">
      <w:pPr>
        <w:spacing w:before="240"/>
        <w:ind w:left="-10"/>
        <w:rPr>
          <w:sz w:val="23"/>
          <w:szCs w:val="23"/>
        </w:rPr>
      </w:pPr>
      <w:r w:rsidRPr="00192A97">
        <w:rPr>
          <w:sz w:val="23"/>
          <w:szCs w:val="23"/>
        </w:rPr>
        <w:t>There are currently arou</w:t>
      </w:r>
      <w:r w:rsidR="00D3043E">
        <w:rPr>
          <w:sz w:val="23"/>
          <w:szCs w:val="23"/>
        </w:rPr>
        <w:t xml:space="preserve">nd 189,000 participants in DES. </w:t>
      </w:r>
      <w:r w:rsidRPr="00192A97">
        <w:rPr>
          <w:sz w:val="23"/>
          <w:szCs w:val="23"/>
        </w:rPr>
        <w:t>DSS</w:t>
      </w:r>
      <w:r w:rsidR="00F377DA">
        <w:rPr>
          <w:sz w:val="23"/>
          <w:szCs w:val="23"/>
        </w:rPr>
        <w:t xml:space="preserve"> currently contracts </w:t>
      </w:r>
      <w:r w:rsidR="00D3043E">
        <w:rPr>
          <w:sz w:val="23"/>
          <w:szCs w:val="23"/>
        </w:rPr>
        <w:t>117 </w:t>
      </w:r>
      <w:r w:rsidRPr="00192A97">
        <w:rPr>
          <w:sz w:val="23"/>
          <w:szCs w:val="23"/>
        </w:rPr>
        <w:t xml:space="preserve">DES providers in </w:t>
      </w:r>
      <w:r w:rsidR="00FB0BB5">
        <w:rPr>
          <w:sz w:val="23"/>
          <w:szCs w:val="23"/>
        </w:rPr>
        <w:t xml:space="preserve">around </w:t>
      </w:r>
      <w:r w:rsidRPr="00192A97">
        <w:rPr>
          <w:sz w:val="23"/>
          <w:szCs w:val="23"/>
        </w:rPr>
        <w:t>2,000 sites, across 110</w:t>
      </w:r>
      <w:r w:rsidR="00FB7E96">
        <w:rPr>
          <w:sz w:val="23"/>
          <w:szCs w:val="23"/>
        </w:rPr>
        <w:t> </w:t>
      </w:r>
      <w:r w:rsidRPr="00192A97">
        <w:rPr>
          <w:sz w:val="23"/>
          <w:szCs w:val="23"/>
        </w:rPr>
        <w:t>non-remote geographical areas</w:t>
      </w:r>
      <w:r w:rsidR="00FB0BB5">
        <w:rPr>
          <w:sz w:val="23"/>
          <w:szCs w:val="23"/>
        </w:rPr>
        <w:t xml:space="preserve"> nationally</w:t>
      </w:r>
      <w:r w:rsidRPr="00192A97">
        <w:rPr>
          <w:sz w:val="23"/>
          <w:szCs w:val="23"/>
        </w:rPr>
        <w:t xml:space="preserve">. </w:t>
      </w:r>
      <w:r w:rsidR="00276561" w:rsidRPr="00276561">
        <w:rPr>
          <w:sz w:val="23"/>
          <w:szCs w:val="23"/>
        </w:rPr>
        <w:t>Since March 2010, there have be</w:t>
      </w:r>
      <w:r w:rsidR="007D6D15">
        <w:rPr>
          <w:sz w:val="23"/>
          <w:szCs w:val="23"/>
        </w:rPr>
        <w:t>en over 375,000 job placements.</w:t>
      </w:r>
    </w:p>
    <w:p w14:paraId="3A22BE01" w14:textId="64ED69BA" w:rsidR="00783309" w:rsidRDefault="00830D1C" w:rsidP="00783309">
      <w:pPr>
        <w:ind w:left="-10"/>
        <w:rPr>
          <w:sz w:val="23"/>
          <w:szCs w:val="23"/>
        </w:rPr>
      </w:pPr>
      <w:r w:rsidRPr="00192A97">
        <w:rPr>
          <w:sz w:val="23"/>
          <w:szCs w:val="23"/>
        </w:rPr>
        <w:t xml:space="preserve">DES providers </w:t>
      </w:r>
      <w:r w:rsidR="00FB0BB5">
        <w:rPr>
          <w:sz w:val="23"/>
          <w:szCs w:val="23"/>
        </w:rPr>
        <w:t>are not funded to</w:t>
      </w:r>
      <w:r w:rsidRPr="00192A97">
        <w:rPr>
          <w:sz w:val="23"/>
          <w:szCs w:val="23"/>
        </w:rPr>
        <w:t xml:space="preserve"> employ </w:t>
      </w:r>
      <w:r w:rsidR="00FB0BB5">
        <w:rPr>
          <w:sz w:val="23"/>
          <w:szCs w:val="23"/>
        </w:rPr>
        <w:t xml:space="preserve">the </w:t>
      </w:r>
      <w:r w:rsidRPr="00192A97">
        <w:rPr>
          <w:sz w:val="23"/>
          <w:szCs w:val="23"/>
        </w:rPr>
        <w:t>people with disability</w:t>
      </w:r>
      <w:r w:rsidR="001016C5" w:rsidRPr="00192A97">
        <w:rPr>
          <w:sz w:val="23"/>
          <w:szCs w:val="23"/>
        </w:rPr>
        <w:t xml:space="preserve"> </w:t>
      </w:r>
      <w:r w:rsidR="00FB0BB5">
        <w:rPr>
          <w:sz w:val="23"/>
          <w:szCs w:val="23"/>
        </w:rPr>
        <w:t>who they support to seek employment</w:t>
      </w:r>
      <w:r w:rsidR="00FB7E96">
        <w:rPr>
          <w:sz w:val="23"/>
          <w:szCs w:val="23"/>
        </w:rPr>
        <w:t>.</w:t>
      </w:r>
      <w:r w:rsidR="00FB0BB5" w:rsidRPr="00192A97">
        <w:rPr>
          <w:sz w:val="23"/>
          <w:szCs w:val="23"/>
        </w:rPr>
        <w:t xml:space="preserve"> </w:t>
      </w:r>
      <w:r w:rsidR="00FB7E96">
        <w:rPr>
          <w:sz w:val="23"/>
          <w:szCs w:val="23"/>
        </w:rPr>
        <w:t>R</w:t>
      </w:r>
      <w:r w:rsidR="001016C5" w:rsidRPr="00192A97">
        <w:rPr>
          <w:sz w:val="23"/>
          <w:szCs w:val="23"/>
        </w:rPr>
        <w:t xml:space="preserve">ather </w:t>
      </w:r>
      <w:r w:rsidR="00FB7E96">
        <w:rPr>
          <w:sz w:val="23"/>
          <w:szCs w:val="23"/>
        </w:rPr>
        <w:t>DES providers</w:t>
      </w:r>
      <w:r w:rsidR="00FB7E96" w:rsidRPr="00192A97">
        <w:rPr>
          <w:sz w:val="23"/>
          <w:szCs w:val="23"/>
        </w:rPr>
        <w:t xml:space="preserve"> </w:t>
      </w:r>
      <w:r w:rsidR="001016C5" w:rsidRPr="00192A97">
        <w:rPr>
          <w:sz w:val="23"/>
          <w:szCs w:val="23"/>
        </w:rPr>
        <w:t xml:space="preserve">offer support </w:t>
      </w:r>
      <w:r w:rsidR="00FB7E96">
        <w:rPr>
          <w:sz w:val="23"/>
          <w:szCs w:val="23"/>
        </w:rPr>
        <w:t>to</w:t>
      </w:r>
      <w:r w:rsidR="00FB7E96" w:rsidRPr="00192A97">
        <w:rPr>
          <w:sz w:val="23"/>
          <w:szCs w:val="23"/>
        </w:rPr>
        <w:t xml:space="preserve"> </w:t>
      </w:r>
      <w:r w:rsidR="001016C5" w:rsidRPr="00192A97">
        <w:rPr>
          <w:sz w:val="23"/>
          <w:szCs w:val="23"/>
        </w:rPr>
        <w:t xml:space="preserve">enable </w:t>
      </w:r>
      <w:r w:rsidR="00FB0BB5">
        <w:rPr>
          <w:sz w:val="23"/>
          <w:szCs w:val="23"/>
        </w:rPr>
        <w:t xml:space="preserve">participants </w:t>
      </w:r>
      <w:r w:rsidR="001016C5" w:rsidRPr="00192A97">
        <w:rPr>
          <w:sz w:val="23"/>
          <w:szCs w:val="23"/>
        </w:rPr>
        <w:t xml:space="preserve">to prepare </w:t>
      </w:r>
      <w:r w:rsidR="00FB7E96">
        <w:rPr>
          <w:sz w:val="23"/>
          <w:szCs w:val="23"/>
        </w:rPr>
        <w:t>to</w:t>
      </w:r>
      <w:r w:rsidR="00FB7E96" w:rsidRPr="00192A97">
        <w:rPr>
          <w:sz w:val="23"/>
          <w:szCs w:val="23"/>
        </w:rPr>
        <w:t xml:space="preserve"> </w:t>
      </w:r>
      <w:r w:rsidR="001016C5" w:rsidRPr="00192A97">
        <w:rPr>
          <w:sz w:val="23"/>
          <w:szCs w:val="23"/>
        </w:rPr>
        <w:t xml:space="preserve">access and maintain work </w:t>
      </w:r>
      <w:r w:rsidR="00FB56E5">
        <w:rPr>
          <w:sz w:val="23"/>
          <w:szCs w:val="23"/>
        </w:rPr>
        <w:t>in</w:t>
      </w:r>
      <w:r w:rsidR="00FB56E5" w:rsidRPr="00192A97">
        <w:rPr>
          <w:sz w:val="23"/>
          <w:szCs w:val="23"/>
        </w:rPr>
        <w:t xml:space="preserve"> </w:t>
      </w:r>
      <w:r w:rsidR="00FB7E96">
        <w:rPr>
          <w:sz w:val="23"/>
          <w:szCs w:val="23"/>
        </w:rPr>
        <w:t>open employment</w:t>
      </w:r>
      <w:r w:rsidR="001016C5" w:rsidRPr="00192A97">
        <w:rPr>
          <w:sz w:val="23"/>
          <w:szCs w:val="23"/>
        </w:rPr>
        <w:t>.</w:t>
      </w:r>
      <w:r w:rsidR="00FB0BB5" w:rsidRPr="00FB0BB5">
        <w:rPr>
          <w:sz w:val="23"/>
          <w:szCs w:val="23"/>
        </w:rPr>
        <w:t xml:space="preserve"> </w:t>
      </w:r>
      <w:r w:rsidR="00FB0BB5" w:rsidRPr="00192A97">
        <w:rPr>
          <w:sz w:val="23"/>
          <w:szCs w:val="23"/>
        </w:rPr>
        <w:t>Following community consultation</w:t>
      </w:r>
      <w:r w:rsidR="00FB7E96">
        <w:rPr>
          <w:sz w:val="23"/>
          <w:szCs w:val="23"/>
        </w:rPr>
        <w:t>,</w:t>
      </w:r>
      <w:r w:rsidR="00FB0BB5" w:rsidRPr="00192A97">
        <w:rPr>
          <w:sz w:val="23"/>
          <w:szCs w:val="23"/>
        </w:rPr>
        <w:t xml:space="preserve"> key changes will be implemented </w:t>
      </w:r>
      <w:r w:rsidR="00FB0BB5" w:rsidRPr="00F377DA">
        <w:rPr>
          <w:sz w:val="23"/>
          <w:szCs w:val="23"/>
        </w:rPr>
        <w:t>from 1</w:t>
      </w:r>
      <w:r w:rsidR="00FB7E96">
        <w:rPr>
          <w:sz w:val="23"/>
          <w:szCs w:val="23"/>
        </w:rPr>
        <w:t> </w:t>
      </w:r>
      <w:r w:rsidR="00FB0BB5" w:rsidRPr="00F377DA">
        <w:rPr>
          <w:sz w:val="23"/>
          <w:szCs w:val="23"/>
        </w:rPr>
        <w:t>July 2018</w:t>
      </w:r>
      <w:r w:rsidR="00FB0BB5">
        <w:rPr>
          <w:sz w:val="23"/>
          <w:szCs w:val="23"/>
        </w:rPr>
        <w:t xml:space="preserve">, </w:t>
      </w:r>
      <w:r w:rsidR="00FB0BB5" w:rsidRPr="00192A97">
        <w:rPr>
          <w:sz w:val="23"/>
          <w:szCs w:val="23"/>
        </w:rPr>
        <w:t>to improve DES performance</w:t>
      </w:r>
      <w:r w:rsidR="00E01B96">
        <w:rPr>
          <w:sz w:val="23"/>
          <w:szCs w:val="23"/>
        </w:rPr>
        <w:t>.</w:t>
      </w:r>
    </w:p>
    <w:p w14:paraId="61E0024E" w14:textId="77777777" w:rsidR="00783309" w:rsidRDefault="00783309">
      <w:pPr>
        <w:spacing w:before="0" w:after="200" w:line="276" w:lineRule="auto"/>
        <w:rPr>
          <w:sz w:val="23"/>
          <w:szCs w:val="23"/>
        </w:rPr>
      </w:pPr>
      <w:r>
        <w:rPr>
          <w:sz w:val="23"/>
          <w:szCs w:val="23"/>
        </w:rPr>
        <w:br w:type="page"/>
      </w:r>
    </w:p>
    <w:p w14:paraId="69C55149" w14:textId="77777777" w:rsidR="00E44489" w:rsidRPr="005F59D5" w:rsidRDefault="00E44489" w:rsidP="005F59D5">
      <w:pPr>
        <w:pStyle w:val="Heading2"/>
      </w:pPr>
      <w:bookmarkStart w:id="25" w:name="_Toc500401856"/>
      <w:r w:rsidRPr="005F59D5">
        <w:lastRenderedPageBreak/>
        <w:t>Profile of DES Participants</w:t>
      </w:r>
      <w:bookmarkEnd w:id="25"/>
    </w:p>
    <w:p w14:paraId="51CC4D63" w14:textId="77777777" w:rsidR="002247FA" w:rsidRPr="00070205"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463" w:hanging="357"/>
        <w:rPr>
          <w:rFonts w:ascii="Georgia" w:hAnsi="Georgia"/>
          <w:bCs/>
          <w:color w:val="3A5A62" w:themeColor="accent5" w:themeShade="80"/>
          <w:sz w:val="22"/>
          <w:szCs w:val="22"/>
        </w:rPr>
      </w:pPr>
      <w:bookmarkStart w:id="26" w:name="_Toc497382262"/>
      <w:r w:rsidRPr="00070205">
        <w:rPr>
          <w:iCs/>
          <w:color w:val="3A5A62" w:themeColor="accent5" w:themeShade="80"/>
          <w:sz w:val="22"/>
          <w:szCs w:val="22"/>
        </w:rPr>
        <w:t xml:space="preserve">44 per cent of DES participants have a physical disability </w:t>
      </w:r>
    </w:p>
    <w:p w14:paraId="25C1B013" w14:textId="77777777" w:rsidR="002247FA" w:rsidRPr="00070205"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463" w:hanging="357"/>
        <w:rPr>
          <w:rFonts w:ascii="Georgia" w:hAnsi="Georgia"/>
          <w:bCs/>
          <w:color w:val="3A5A62" w:themeColor="accent5" w:themeShade="80"/>
          <w:sz w:val="22"/>
          <w:szCs w:val="22"/>
        </w:rPr>
      </w:pPr>
      <w:r w:rsidRPr="00070205">
        <w:rPr>
          <w:iCs/>
          <w:color w:val="3A5A62" w:themeColor="accent5" w:themeShade="80"/>
          <w:sz w:val="22"/>
          <w:szCs w:val="22"/>
        </w:rPr>
        <w:t xml:space="preserve">38 per cent have a psychiatric disability </w:t>
      </w:r>
    </w:p>
    <w:p w14:paraId="128C8BF7" w14:textId="2E477327" w:rsidR="002247FA" w:rsidRPr="00CF5E3A" w:rsidRDefault="00A70CFB"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463" w:hanging="357"/>
        <w:rPr>
          <w:rFonts w:ascii="Georgia" w:hAnsi="Georgia"/>
          <w:bCs/>
          <w:color w:val="3A5A62" w:themeColor="accent5" w:themeShade="80"/>
          <w:sz w:val="22"/>
          <w:szCs w:val="22"/>
        </w:rPr>
      </w:pPr>
      <w:r>
        <w:rPr>
          <w:iCs/>
          <w:color w:val="3A5A62" w:themeColor="accent5" w:themeShade="80"/>
          <w:sz w:val="22"/>
          <w:szCs w:val="22"/>
        </w:rPr>
        <w:t>Four</w:t>
      </w:r>
      <w:r w:rsidRPr="00070205">
        <w:rPr>
          <w:iCs/>
          <w:color w:val="3A5A62" w:themeColor="accent5" w:themeShade="80"/>
          <w:sz w:val="22"/>
          <w:szCs w:val="22"/>
        </w:rPr>
        <w:t xml:space="preserve"> </w:t>
      </w:r>
      <w:r w:rsidR="002247FA" w:rsidRPr="00070205">
        <w:rPr>
          <w:iCs/>
          <w:color w:val="3A5A62" w:themeColor="accent5" w:themeShade="80"/>
          <w:sz w:val="22"/>
          <w:szCs w:val="22"/>
        </w:rPr>
        <w:t>per</w:t>
      </w:r>
      <w:r>
        <w:rPr>
          <w:iCs/>
          <w:color w:val="3A5A62" w:themeColor="accent5" w:themeShade="80"/>
          <w:sz w:val="22"/>
          <w:szCs w:val="22"/>
        </w:rPr>
        <w:t xml:space="preserve"> </w:t>
      </w:r>
      <w:r w:rsidR="002247FA" w:rsidRPr="00070205">
        <w:rPr>
          <w:iCs/>
          <w:color w:val="3A5A62" w:themeColor="accent5" w:themeShade="80"/>
          <w:sz w:val="22"/>
          <w:szCs w:val="22"/>
        </w:rPr>
        <w:t xml:space="preserve">cent have an intellectual disability </w:t>
      </w:r>
    </w:p>
    <w:p w14:paraId="34E24C03" w14:textId="1683FE99" w:rsidR="002247FA" w:rsidRPr="00872CFA"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463" w:hanging="357"/>
        <w:rPr>
          <w:rFonts w:ascii="Georgia" w:hAnsi="Georgia"/>
          <w:bCs/>
          <w:color w:val="3A5A62" w:themeColor="accent5" w:themeShade="80"/>
          <w:sz w:val="22"/>
          <w:szCs w:val="22"/>
        </w:rPr>
      </w:pPr>
      <w:r w:rsidRPr="00872CFA">
        <w:rPr>
          <w:iCs/>
          <w:color w:val="3A5A62" w:themeColor="accent5" w:themeShade="80"/>
          <w:sz w:val="22"/>
          <w:szCs w:val="22"/>
        </w:rPr>
        <w:t xml:space="preserve">DES participants must have an assessed current or future work capacity of eight hours per week as determined by an allied health professional via </w:t>
      </w:r>
      <w:r w:rsidR="00A70CFB">
        <w:rPr>
          <w:iCs/>
          <w:color w:val="3A5A62" w:themeColor="accent5" w:themeShade="80"/>
          <w:sz w:val="22"/>
          <w:szCs w:val="22"/>
        </w:rPr>
        <w:t xml:space="preserve">an </w:t>
      </w:r>
      <w:r w:rsidRPr="00872CFA">
        <w:rPr>
          <w:iCs/>
          <w:color w:val="3A5A62" w:themeColor="accent5" w:themeShade="80"/>
          <w:sz w:val="22"/>
          <w:szCs w:val="22"/>
        </w:rPr>
        <w:t>Employment Services Assessment</w:t>
      </w:r>
      <w:r w:rsidR="00A70CFB">
        <w:rPr>
          <w:iCs/>
          <w:color w:val="3A5A62" w:themeColor="accent5" w:themeShade="80"/>
          <w:sz w:val="22"/>
          <w:szCs w:val="22"/>
        </w:rPr>
        <w:t xml:space="preserve"> or a</w:t>
      </w:r>
      <w:r w:rsidR="00FB56E5">
        <w:rPr>
          <w:iCs/>
          <w:color w:val="3A5A62" w:themeColor="accent5" w:themeShade="80"/>
          <w:sz w:val="22"/>
          <w:szCs w:val="22"/>
        </w:rPr>
        <w:t xml:space="preserve"> </w:t>
      </w:r>
      <w:r w:rsidRPr="00872CFA">
        <w:rPr>
          <w:iCs/>
          <w:color w:val="3A5A62" w:themeColor="accent5" w:themeShade="80"/>
          <w:sz w:val="22"/>
          <w:szCs w:val="22"/>
        </w:rPr>
        <w:t>Job Capacity Assessment (</w:t>
      </w:r>
      <w:r w:rsidR="00A70CFB" w:rsidRPr="00872CFA">
        <w:rPr>
          <w:iCs/>
          <w:color w:val="3A5A62" w:themeColor="accent5" w:themeShade="80"/>
          <w:sz w:val="22"/>
          <w:szCs w:val="22"/>
        </w:rPr>
        <w:t>ESA</w:t>
      </w:r>
      <w:r w:rsidR="00A70CFB">
        <w:rPr>
          <w:iCs/>
          <w:color w:val="3A5A62" w:themeColor="accent5" w:themeShade="80"/>
          <w:sz w:val="22"/>
          <w:szCs w:val="22"/>
        </w:rPr>
        <w:t>t</w:t>
      </w:r>
      <w:r w:rsidRPr="00872CFA">
        <w:rPr>
          <w:iCs/>
          <w:color w:val="3A5A62" w:themeColor="accent5" w:themeShade="80"/>
          <w:sz w:val="22"/>
          <w:szCs w:val="22"/>
        </w:rPr>
        <w:t>/JCA)</w:t>
      </w:r>
    </w:p>
    <w:p w14:paraId="688ADB4A" w14:textId="77777777" w:rsidR="002247FA" w:rsidRPr="00CF5E3A"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463" w:hanging="357"/>
        <w:rPr>
          <w:rFonts w:ascii="Georgia" w:hAnsi="Georgia"/>
          <w:bCs/>
          <w:color w:val="3A5A62" w:themeColor="accent5" w:themeShade="80"/>
          <w:sz w:val="22"/>
          <w:szCs w:val="22"/>
        </w:rPr>
      </w:pPr>
      <w:r w:rsidRPr="00070205">
        <w:rPr>
          <w:iCs/>
          <w:color w:val="3A5A62" w:themeColor="accent5" w:themeShade="80"/>
          <w:sz w:val="22"/>
          <w:szCs w:val="22"/>
        </w:rPr>
        <w:t>DES participant ages range from under 20</w:t>
      </w:r>
      <w:r w:rsidR="00A70CFB">
        <w:rPr>
          <w:iCs/>
          <w:color w:val="3A5A62" w:themeColor="accent5" w:themeShade="80"/>
          <w:sz w:val="22"/>
          <w:szCs w:val="22"/>
        </w:rPr>
        <w:t>,</w:t>
      </w:r>
      <w:r w:rsidRPr="00070205">
        <w:rPr>
          <w:iCs/>
          <w:color w:val="3A5A62" w:themeColor="accent5" w:themeShade="80"/>
          <w:sz w:val="22"/>
          <w:szCs w:val="22"/>
        </w:rPr>
        <w:t xml:space="preserve"> to over 65</w:t>
      </w:r>
      <w:r w:rsidR="00A70CFB">
        <w:rPr>
          <w:iCs/>
          <w:color w:val="3A5A62" w:themeColor="accent5" w:themeShade="80"/>
          <w:sz w:val="22"/>
          <w:szCs w:val="22"/>
        </w:rPr>
        <w:t>,</w:t>
      </w:r>
      <w:r>
        <w:rPr>
          <w:iCs/>
          <w:color w:val="3A5A62" w:themeColor="accent5" w:themeShade="80"/>
          <w:sz w:val="22"/>
          <w:szCs w:val="22"/>
        </w:rPr>
        <w:t xml:space="preserve"> with an average </w:t>
      </w:r>
      <w:r w:rsidRPr="00CF5E3A">
        <w:rPr>
          <w:iCs/>
          <w:color w:val="3A5A62" w:themeColor="accent5" w:themeShade="80"/>
          <w:sz w:val="22"/>
          <w:szCs w:val="22"/>
        </w:rPr>
        <w:t>age of 43</w:t>
      </w:r>
    </w:p>
    <w:p w14:paraId="320B9BAC" w14:textId="77777777" w:rsidR="002247FA" w:rsidRPr="00070205"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463" w:hanging="357"/>
        <w:rPr>
          <w:rFonts w:ascii="Georgia" w:hAnsi="Georgia"/>
          <w:bCs/>
          <w:color w:val="24596E"/>
          <w:sz w:val="22"/>
          <w:szCs w:val="22"/>
        </w:rPr>
      </w:pPr>
      <w:r w:rsidRPr="00070205">
        <w:rPr>
          <w:iCs/>
          <w:color w:val="3A5A62" w:themeColor="accent5" w:themeShade="80"/>
          <w:sz w:val="22"/>
          <w:szCs w:val="22"/>
        </w:rPr>
        <w:t>78 per cent of DES particip</w:t>
      </w:r>
      <w:r>
        <w:rPr>
          <w:iCs/>
          <w:color w:val="3A5A62" w:themeColor="accent5" w:themeShade="80"/>
          <w:sz w:val="22"/>
          <w:szCs w:val="22"/>
        </w:rPr>
        <w:t>ants are accessing Newstart or Y</w:t>
      </w:r>
      <w:r w:rsidRPr="00070205">
        <w:rPr>
          <w:iCs/>
          <w:color w:val="3A5A62" w:themeColor="accent5" w:themeShade="80"/>
          <w:sz w:val="22"/>
          <w:szCs w:val="22"/>
        </w:rPr>
        <w:t>outh Allowance</w:t>
      </w:r>
    </w:p>
    <w:p w14:paraId="025FDDA5" w14:textId="53CD7F5C" w:rsidR="002247FA" w:rsidRPr="00070205"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463" w:hanging="357"/>
        <w:rPr>
          <w:rFonts w:ascii="Georgia" w:hAnsi="Georgia"/>
          <w:bCs/>
          <w:color w:val="24596E"/>
          <w:sz w:val="22"/>
          <w:szCs w:val="22"/>
        </w:rPr>
      </w:pPr>
      <w:r w:rsidRPr="00070205">
        <w:rPr>
          <w:iCs/>
          <w:color w:val="3A5A62" w:themeColor="accent5" w:themeShade="80"/>
          <w:sz w:val="22"/>
          <w:szCs w:val="22"/>
        </w:rPr>
        <w:t xml:space="preserve">11 per cent are accessing </w:t>
      </w:r>
      <w:r w:rsidR="00A70CFB">
        <w:rPr>
          <w:iCs/>
          <w:color w:val="3A5A62" w:themeColor="accent5" w:themeShade="80"/>
          <w:sz w:val="22"/>
          <w:szCs w:val="22"/>
        </w:rPr>
        <w:t xml:space="preserve">the </w:t>
      </w:r>
      <w:r w:rsidR="00D3043E">
        <w:rPr>
          <w:iCs/>
          <w:color w:val="3A5A62" w:themeColor="accent5" w:themeShade="80"/>
          <w:sz w:val="22"/>
          <w:szCs w:val="22"/>
        </w:rPr>
        <w:t>DSP</w:t>
      </w:r>
      <w:r w:rsidRPr="00070205">
        <w:rPr>
          <w:iCs/>
          <w:color w:val="3A5A62" w:themeColor="accent5" w:themeShade="80"/>
          <w:sz w:val="22"/>
          <w:szCs w:val="22"/>
        </w:rPr>
        <w:t xml:space="preserve"> </w:t>
      </w:r>
    </w:p>
    <w:p w14:paraId="32C6B359" w14:textId="1CC11E08" w:rsidR="002247FA" w:rsidRPr="002247FA"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463" w:hanging="357"/>
        <w:rPr>
          <w:rFonts w:ascii="Georgia" w:hAnsi="Georgia"/>
          <w:bCs/>
          <w:color w:val="24596E"/>
          <w:sz w:val="22"/>
          <w:szCs w:val="22"/>
        </w:rPr>
      </w:pPr>
      <w:r>
        <w:rPr>
          <w:iCs/>
          <w:color w:val="3A5A62" w:themeColor="accent5" w:themeShade="80"/>
          <w:sz w:val="22"/>
          <w:szCs w:val="22"/>
        </w:rPr>
        <w:t>Over 95 percent of DES participants are paid a full award wage</w:t>
      </w:r>
      <w:r w:rsidR="00FB56E5">
        <w:rPr>
          <w:iCs/>
          <w:color w:val="3A5A62" w:themeColor="accent5" w:themeShade="80"/>
          <w:sz w:val="22"/>
          <w:szCs w:val="22"/>
        </w:rPr>
        <w:t>, and</w:t>
      </w:r>
      <w:r>
        <w:rPr>
          <w:iCs/>
          <w:color w:val="3A5A62" w:themeColor="accent5" w:themeShade="80"/>
          <w:sz w:val="22"/>
          <w:szCs w:val="22"/>
        </w:rPr>
        <w:t xml:space="preserve"> </w:t>
      </w:r>
    </w:p>
    <w:p w14:paraId="0BDB1DDA" w14:textId="1FF42828" w:rsidR="00CC3427" w:rsidRPr="002247FA"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463" w:hanging="357"/>
        <w:rPr>
          <w:rFonts w:ascii="Georgia" w:hAnsi="Georgia"/>
          <w:bCs/>
          <w:color w:val="24596E"/>
          <w:sz w:val="22"/>
          <w:szCs w:val="22"/>
        </w:rPr>
      </w:pPr>
      <w:r w:rsidRPr="002247FA">
        <w:rPr>
          <w:iCs/>
          <w:color w:val="3A5A62" w:themeColor="accent5" w:themeShade="80"/>
          <w:sz w:val="22"/>
          <w:szCs w:val="22"/>
        </w:rPr>
        <w:t>At any given time there are 189,000 DES participants accessing support through DES providers that are collectively paid up to $800 million annually</w:t>
      </w:r>
      <w:r w:rsidR="00FB56E5">
        <w:rPr>
          <w:iCs/>
          <w:color w:val="3A5A62" w:themeColor="accent5" w:themeShade="80"/>
          <w:sz w:val="22"/>
          <w:szCs w:val="22"/>
        </w:rPr>
        <w:t>.</w:t>
      </w:r>
    </w:p>
    <w:p w14:paraId="7014E75E" w14:textId="40AB6D25" w:rsidR="00E01B96" w:rsidRPr="00B5251F" w:rsidRDefault="007D6D15" w:rsidP="00A0638F">
      <w:pPr>
        <w:pStyle w:val="Heading3"/>
      </w:pPr>
      <w:bookmarkStart w:id="27" w:name="_Toc500342823"/>
      <w:bookmarkStart w:id="28" w:name="_Toc500401857"/>
      <w:r>
        <w:t>DES funding</w:t>
      </w:r>
      <w:bookmarkEnd w:id="27"/>
      <w:bookmarkEnd w:id="28"/>
    </w:p>
    <w:p w14:paraId="6CFD03AC" w14:textId="77777777" w:rsidR="00E01B96" w:rsidRPr="00B5251F" w:rsidRDefault="00E01B96" w:rsidP="00E01B96">
      <w:pPr>
        <w:rPr>
          <w:rFonts w:cs="Arial"/>
          <w:sz w:val="23"/>
          <w:szCs w:val="23"/>
        </w:rPr>
      </w:pPr>
      <w:r w:rsidRPr="00B5251F">
        <w:rPr>
          <w:rFonts w:cs="Arial"/>
          <w:sz w:val="23"/>
          <w:szCs w:val="23"/>
        </w:rPr>
        <w:t xml:space="preserve">From </w:t>
      </w:r>
      <w:r w:rsidR="00A70CFB">
        <w:rPr>
          <w:rFonts w:cs="Arial"/>
          <w:sz w:val="23"/>
          <w:szCs w:val="23"/>
        </w:rPr>
        <w:t xml:space="preserve">financial years </w:t>
      </w:r>
      <w:r w:rsidRPr="00B5251F">
        <w:rPr>
          <w:rFonts w:cs="Arial"/>
          <w:sz w:val="23"/>
          <w:szCs w:val="23"/>
        </w:rPr>
        <w:t xml:space="preserve">2017-18 to </w:t>
      </w:r>
      <w:r w:rsidR="008379FB">
        <w:rPr>
          <w:rFonts w:cs="Arial"/>
          <w:sz w:val="23"/>
          <w:szCs w:val="23"/>
        </w:rPr>
        <w:t>20</w:t>
      </w:r>
      <w:r w:rsidRPr="00B5251F">
        <w:rPr>
          <w:rFonts w:cs="Arial"/>
          <w:sz w:val="23"/>
          <w:szCs w:val="23"/>
        </w:rPr>
        <w:t xml:space="preserve">21-22, the Government will invest over $3.4 billion in DES and associated services to assist people with disability to gain employment in </w:t>
      </w:r>
      <w:r w:rsidR="008379FB">
        <w:rPr>
          <w:rFonts w:cs="Arial"/>
          <w:sz w:val="23"/>
          <w:szCs w:val="23"/>
        </w:rPr>
        <w:t xml:space="preserve">the </w:t>
      </w:r>
      <w:r w:rsidRPr="00B5251F">
        <w:rPr>
          <w:rFonts w:cs="Arial"/>
          <w:sz w:val="23"/>
          <w:szCs w:val="23"/>
        </w:rPr>
        <w:t>open labour market.</w:t>
      </w:r>
    </w:p>
    <w:p w14:paraId="4182C782" w14:textId="77777777" w:rsidR="00E01B96" w:rsidRPr="00B5251F" w:rsidRDefault="00E01B96" w:rsidP="00E01B96">
      <w:pPr>
        <w:rPr>
          <w:rFonts w:cs="Arial"/>
          <w:sz w:val="23"/>
          <w:szCs w:val="23"/>
        </w:rPr>
      </w:pPr>
      <w:r w:rsidRPr="00B5251F">
        <w:rPr>
          <w:rFonts w:cs="Arial"/>
          <w:sz w:val="23"/>
          <w:szCs w:val="23"/>
        </w:rPr>
        <w:t>Under the banner of DES, the Government also funds a range of services targeted to support employers to employ people with disability, referred to as Employment Assistance and Other Services, which includes the Employment Assistance Fund, the Supported Wage System, the Wage Subsidy Scheme and the National Disa</w:t>
      </w:r>
      <w:r w:rsidR="007D6D15">
        <w:rPr>
          <w:rFonts w:cs="Arial"/>
          <w:sz w:val="23"/>
          <w:szCs w:val="23"/>
        </w:rPr>
        <w:t>bility Recruitment Coordinator.</w:t>
      </w:r>
    </w:p>
    <w:p w14:paraId="512CA0F7" w14:textId="624B84EA" w:rsidR="008604EE" w:rsidRPr="00B5251F" w:rsidRDefault="008604EE" w:rsidP="00BC1752">
      <w:pPr>
        <w:rPr>
          <w:sz w:val="23"/>
          <w:szCs w:val="23"/>
        </w:rPr>
      </w:pPr>
      <w:r w:rsidRPr="00B5251F">
        <w:rPr>
          <w:sz w:val="23"/>
          <w:szCs w:val="23"/>
        </w:rPr>
        <w:t xml:space="preserve">Service </w:t>
      </w:r>
      <w:r w:rsidR="00A70CFB">
        <w:rPr>
          <w:sz w:val="23"/>
          <w:szCs w:val="23"/>
        </w:rPr>
        <w:t>f</w:t>
      </w:r>
      <w:r w:rsidR="00A70CFB" w:rsidRPr="00B5251F">
        <w:rPr>
          <w:sz w:val="23"/>
          <w:szCs w:val="23"/>
        </w:rPr>
        <w:t xml:space="preserve">ees </w:t>
      </w:r>
      <w:r w:rsidRPr="00B5251F">
        <w:rPr>
          <w:sz w:val="23"/>
          <w:szCs w:val="23"/>
        </w:rPr>
        <w:t>are paid to DES Providers to c</w:t>
      </w:r>
      <w:r w:rsidR="00BC1752" w:rsidRPr="00B5251F">
        <w:rPr>
          <w:sz w:val="23"/>
          <w:szCs w:val="23"/>
        </w:rPr>
        <w:t>over the s</w:t>
      </w:r>
      <w:r w:rsidRPr="00B5251F">
        <w:rPr>
          <w:sz w:val="23"/>
          <w:szCs w:val="23"/>
        </w:rPr>
        <w:t>ervices delivered to DES participants while r</w:t>
      </w:r>
      <w:r w:rsidR="007D6D15">
        <w:rPr>
          <w:sz w:val="23"/>
          <w:szCs w:val="23"/>
        </w:rPr>
        <w:t>eceiving employment assistance.</w:t>
      </w:r>
    </w:p>
    <w:p w14:paraId="3827FC4C" w14:textId="77777777" w:rsidR="004774DA" w:rsidRPr="00B5251F" w:rsidRDefault="00BC1752" w:rsidP="004774DA">
      <w:pPr>
        <w:spacing w:before="240"/>
        <w:rPr>
          <w:sz w:val="23"/>
          <w:szCs w:val="23"/>
        </w:rPr>
      </w:pPr>
      <w:r w:rsidRPr="00B5251F">
        <w:rPr>
          <w:sz w:val="23"/>
          <w:szCs w:val="23"/>
        </w:rPr>
        <w:t xml:space="preserve">DES Outcome Fees are </w:t>
      </w:r>
      <w:r w:rsidR="00AB6B84" w:rsidRPr="00B5251F">
        <w:rPr>
          <w:sz w:val="23"/>
          <w:szCs w:val="23"/>
        </w:rPr>
        <w:t>paid</w:t>
      </w:r>
      <w:r w:rsidR="004774DA" w:rsidRPr="00B5251F">
        <w:rPr>
          <w:sz w:val="23"/>
          <w:szCs w:val="23"/>
        </w:rPr>
        <w:t xml:space="preserve"> </w:t>
      </w:r>
      <w:r w:rsidRPr="00B5251F">
        <w:rPr>
          <w:sz w:val="23"/>
          <w:szCs w:val="23"/>
        </w:rPr>
        <w:t xml:space="preserve">in recognition of the amount of work DES Providers </w:t>
      </w:r>
      <w:r w:rsidR="004774DA" w:rsidRPr="00B5251F">
        <w:rPr>
          <w:sz w:val="23"/>
          <w:szCs w:val="23"/>
        </w:rPr>
        <w:t>do to assist each p</w:t>
      </w:r>
      <w:r w:rsidRPr="00B5251F">
        <w:rPr>
          <w:sz w:val="23"/>
          <w:szCs w:val="23"/>
        </w:rPr>
        <w:t>articipant to find quality employment that suits their individual skills and interests</w:t>
      </w:r>
      <w:r w:rsidR="004774DA" w:rsidRPr="00B5251F">
        <w:rPr>
          <w:sz w:val="23"/>
          <w:szCs w:val="23"/>
        </w:rPr>
        <w:t>.</w:t>
      </w:r>
    </w:p>
    <w:p w14:paraId="7106BDE8" w14:textId="1A6C5E59" w:rsidR="00A70CFB" w:rsidRDefault="004774DA" w:rsidP="000856B5">
      <w:pPr>
        <w:spacing w:before="240"/>
        <w:rPr>
          <w:sz w:val="23"/>
          <w:szCs w:val="23"/>
        </w:rPr>
      </w:pPr>
      <w:r w:rsidRPr="00B5251F">
        <w:rPr>
          <w:sz w:val="23"/>
          <w:szCs w:val="23"/>
        </w:rPr>
        <w:t xml:space="preserve">Ongoing </w:t>
      </w:r>
      <w:r w:rsidR="00D3043E">
        <w:rPr>
          <w:sz w:val="23"/>
          <w:szCs w:val="23"/>
        </w:rPr>
        <w:t>s</w:t>
      </w:r>
      <w:r w:rsidRPr="008379FB">
        <w:rPr>
          <w:sz w:val="23"/>
          <w:szCs w:val="23"/>
        </w:rPr>
        <w:t>upport</w:t>
      </w:r>
      <w:r w:rsidR="008379FB" w:rsidRPr="008379FB">
        <w:rPr>
          <w:sz w:val="23"/>
          <w:szCs w:val="23"/>
        </w:rPr>
        <w:t xml:space="preserve"> </w:t>
      </w:r>
      <w:r w:rsidR="000856B5" w:rsidRPr="008379FB">
        <w:rPr>
          <w:sz w:val="23"/>
          <w:szCs w:val="23"/>
        </w:rPr>
        <w:t>for</w:t>
      </w:r>
      <w:r w:rsidR="000856B5" w:rsidRPr="00B5251F">
        <w:rPr>
          <w:sz w:val="23"/>
          <w:szCs w:val="23"/>
        </w:rPr>
        <w:t xml:space="preserve"> DES participants in the workplace can be provided </w:t>
      </w:r>
      <w:r w:rsidR="004448C7" w:rsidRPr="00B5251F">
        <w:rPr>
          <w:sz w:val="23"/>
          <w:szCs w:val="23"/>
        </w:rPr>
        <w:t>in a range of ways</w:t>
      </w:r>
      <w:r w:rsidR="00A70CFB">
        <w:rPr>
          <w:sz w:val="23"/>
          <w:szCs w:val="23"/>
        </w:rPr>
        <w:t>:</w:t>
      </w:r>
      <w:r w:rsidR="008379FB">
        <w:rPr>
          <w:sz w:val="23"/>
          <w:szCs w:val="23"/>
        </w:rPr>
        <w:t xml:space="preserve"> </w:t>
      </w:r>
    </w:p>
    <w:p w14:paraId="2AB0665E" w14:textId="03BF291C" w:rsidR="00A70CFB" w:rsidRPr="00A0638F" w:rsidRDefault="008379FB" w:rsidP="00A0638F">
      <w:pPr>
        <w:pStyle w:val="ListParagraph"/>
        <w:numPr>
          <w:ilvl w:val="0"/>
          <w:numId w:val="29"/>
        </w:numPr>
        <w:spacing w:before="240"/>
        <w:rPr>
          <w:sz w:val="23"/>
          <w:szCs w:val="23"/>
          <w:u w:val="single"/>
        </w:rPr>
      </w:pPr>
      <w:r w:rsidRPr="00A0638F">
        <w:rPr>
          <w:sz w:val="23"/>
          <w:szCs w:val="23"/>
        </w:rPr>
        <w:t>f</w:t>
      </w:r>
      <w:r w:rsidR="00AB6B84" w:rsidRPr="00A0638F">
        <w:rPr>
          <w:sz w:val="23"/>
          <w:szCs w:val="23"/>
        </w:rPr>
        <w:t xml:space="preserve">lexible ongoing support </w:t>
      </w:r>
      <w:r w:rsidRPr="00A0638F">
        <w:rPr>
          <w:sz w:val="23"/>
          <w:szCs w:val="23"/>
        </w:rPr>
        <w:t xml:space="preserve">is </w:t>
      </w:r>
      <w:r w:rsidR="00AB6B84" w:rsidRPr="00A0638F">
        <w:rPr>
          <w:sz w:val="23"/>
          <w:szCs w:val="23"/>
        </w:rPr>
        <w:t>paid at $400 for each i</w:t>
      </w:r>
      <w:r w:rsidR="004774DA" w:rsidRPr="00A0638F">
        <w:rPr>
          <w:sz w:val="23"/>
          <w:szCs w:val="23"/>
        </w:rPr>
        <w:t>nstance of</w:t>
      </w:r>
      <w:r w:rsidRPr="00A0638F">
        <w:rPr>
          <w:sz w:val="23"/>
          <w:szCs w:val="23"/>
        </w:rPr>
        <w:t xml:space="preserve"> support</w:t>
      </w:r>
      <w:r w:rsidR="00AB6B84" w:rsidRPr="00A0638F">
        <w:rPr>
          <w:sz w:val="23"/>
          <w:szCs w:val="23"/>
        </w:rPr>
        <w:t xml:space="preserve">, </w:t>
      </w:r>
      <w:r w:rsidRPr="00A0638F">
        <w:rPr>
          <w:sz w:val="23"/>
          <w:szCs w:val="23"/>
        </w:rPr>
        <w:t>up</w:t>
      </w:r>
      <w:r w:rsidR="00AB6B84" w:rsidRPr="00A0638F">
        <w:rPr>
          <w:sz w:val="23"/>
          <w:szCs w:val="23"/>
        </w:rPr>
        <w:t xml:space="preserve"> to six i</w:t>
      </w:r>
      <w:r w:rsidR="004774DA" w:rsidRPr="00A0638F">
        <w:rPr>
          <w:sz w:val="23"/>
          <w:szCs w:val="23"/>
        </w:rPr>
        <w:t>nstances in any six-month period</w:t>
      </w:r>
    </w:p>
    <w:p w14:paraId="4C53EC01" w14:textId="6638D3DD" w:rsidR="000856B5" w:rsidRPr="00A0638F" w:rsidRDefault="00AB6B84" w:rsidP="00A0638F">
      <w:pPr>
        <w:pStyle w:val="ListParagraph"/>
        <w:numPr>
          <w:ilvl w:val="0"/>
          <w:numId w:val="29"/>
        </w:numPr>
        <w:spacing w:before="240"/>
        <w:rPr>
          <w:sz w:val="23"/>
          <w:szCs w:val="23"/>
          <w:u w:val="single"/>
        </w:rPr>
      </w:pPr>
      <w:r w:rsidRPr="00A0638F">
        <w:rPr>
          <w:sz w:val="23"/>
          <w:szCs w:val="23"/>
        </w:rPr>
        <w:t>moderate and high ongoing s</w:t>
      </w:r>
      <w:r w:rsidR="000856B5" w:rsidRPr="00A0638F">
        <w:rPr>
          <w:sz w:val="23"/>
          <w:szCs w:val="23"/>
        </w:rPr>
        <w:t xml:space="preserve">upport in the workplace </w:t>
      </w:r>
      <w:r w:rsidR="00A70CFB" w:rsidRPr="00A0638F">
        <w:rPr>
          <w:sz w:val="23"/>
          <w:szCs w:val="23"/>
        </w:rPr>
        <w:t>attract</w:t>
      </w:r>
      <w:r w:rsidR="00A70CFB">
        <w:rPr>
          <w:sz w:val="23"/>
          <w:szCs w:val="23"/>
        </w:rPr>
        <w:t>s</w:t>
      </w:r>
      <w:r w:rsidR="00A70CFB" w:rsidRPr="00A0638F">
        <w:rPr>
          <w:sz w:val="23"/>
          <w:szCs w:val="23"/>
        </w:rPr>
        <w:t xml:space="preserve"> </w:t>
      </w:r>
      <w:r w:rsidR="004448C7" w:rsidRPr="00A0638F">
        <w:rPr>
          <w:sz w:val="23"/>
          <w:szCs w:val="23"/>
        </w:rPr>
        <w:t xml:space="preserve">fees of up to $13,200 annually. </w:t>
      </w:r>
      <w:r w:rsidR="00265D91">
        <w:rPr>
          <w:sz w:val="23"/>
          <w:szCs w:val="23"/>
        </w:rPr>
        <w:t>M</w:t>
      </w:r>
      <w:r w:rsidR="008379FB" w:rsidRPr="00A0638F">
        <w:rPr>
          <w:sz w:val="23"/>
          <w:szCs w:val="23"/>
        </w:rPr>
        <w:t xml:space="preserve">oderate ongoing </w:t>
      </w:r>
      <w:r w:rsidR="00E77FC1">
        <w:rPr>
          <w:sz w:val="23"/>
          <w:szCs w:val="23"/>
        </w:rPr>
        <w:t xml:space="preserve">support may include 12 instances over six months and high ongoing support </w:t>
      </w:r>
      <w:r w:rsidRPr="00A0638F">
        <w:rPr>
          <w:sz w:val="23"/>
          <w:szCs w:val="23"/>
        </w:rPr>
        <w:t xml:space="preserve">up to </w:t>
      </w:r>
      <w:r w:rsidR="00E77FC1">
        <w:rPr>
          <w:sz w:val="23"/>
          <w:szCs w:val="23"/>
        </w:rPr>
        <w:t>24</w:t>
      </w:r>
      <w:r w:rsidRPr="00A0638F">
        <w:rPr>
          <w:sz w:val="23"/>
          <w:szCs w:val="23"/>
        </w:rPr>
        <w:t xml:space="preserve"> instances </w:t>
      </w:r>
      <w:r w:rsidR="00A70CFB">
        <w:rPr>
          <w:sz w:val="23"/>
          <w:szCs w:val="23"/>
        </w:rPr>
        <w:t>in a six</w:t>
      </w:r>
      <w:r w:rsidR="004B38EB">
        <w:rPr>
          <w:sz w:val="23"/>
          <w:szCs w:val="23"/>
        </w:rPr>
        <w:t>-</w:t>
      </w:r>
      <w:r w:rsidR="00A70CFB">
        <w:rPr>
          <w:sz w:val="23"/>
          <w:szCs w:val="23"/>
        </w:rPr>
        <w:t>month period</w:t>
      </w:r>
      <w:r w:rsidR="00265D91">
        <w:rPr>
          <w:sz w:val="23"/>
          <w:szCs w:val="23"/>
        </w:rPr>
        <w:t>.</w:t>
      </w:r>
      <w:r w:rsidRPr="00A0638F">
        <w:rPr>
          <w:sz w:val="23"/>
          <w:szCs w:val="23"/>
        </w:rPr>
        <w:t xml:space="preserve"> </w:t>
      </w:r>
      <w:r w:rsidR="00265D91">
        <w:rPr>
          <w:sz w:val="23"/>
          <w:szCs w:val="23"/>
        </w:rPr>
        <w:t>T</w:t>
      </w:r>
      <w:r w:rsidR="004448C7" w:rsidRPr="00A0638F">
        <w:rPr>
          <w:sz w:val="23"/>
          <w:szCs w:val="23"/>
        </w:rPr>
        <w:t>he modes of contact and time sup</w:t>
      </w:r>
      <w:r w:rsidR="00CC3427" w:rsidRPr="00A0638F">
        <w:rPr>
          <w:sz w:val="23"/>
          <w:szCs w:val="23"/>
        </w:rPr>
        <w:t xml:space="preserve">porting a participant </w:t>
      </w:r>
      <w:r w:rsidR="00F658CA">
        <w:rPr>
          <w:sz w:val="23"/>
          <w:szCs w:val="23"/>
        </w:rPr>
        <w:t>are</w:t>
      </w:r>
      <w:r w:rsidR="00F658CA" w:rsidRPr="00A0638F">
        <w:rPr>
          <w:sz w:val="23"/>
          <w:szCs w:val="23"/>
        </w:rPr>
        <w:t xml:space="preserve"> </w:t>
      </w:r>
      <w:r w:rsidR="00CC3427" w:rsidRPr="00A0638F">
        <w:rPr>
          <w:sz w:val="23"/>
          <w:szCs w:val="23"/>
        </w:rPr>
        <w:t>not pre</w:t>
      </w:r>
      <w:r w:rsidR="004448C7" w:rsidRPr="00A0638F">
        <w:rPr>
          <w:sz w:val="23"/>
          <w:szCs w:val="23"/>
        </w:rPr>
        <w:t>scribed</w:t>
      </w:r>
      <w:r w:rsidRPr="00A0638F">
        <w:rPr>
          <w:sz w:val="23"/>
          <w:szCs w:val="23"/>
        </w:rPr>
        <w:t>.</w:t>
      </w:r>
    </w:p>
    <w:p w14:paraId="550A7BC2" w14:textId="77777777" w:rsidR="004448C7" w:rsidRPr="00B5251F" w:rsidRDefault="000856B5" w:rsidP="00A0638F">
      <w:pPr>
        <w:pStyle w:val="Heading3"/>
      </w:pPr>
      <w:bookmarkStart w:id="29" w:name="_Toc500342824"/>
      <w:bookmarkStart w:id="30" w:name="_Toc500401858"/>
      <w:r w:rsidRPr="00B5251F">
        <w:t>Work Based Personal Assistance</w:t>
      </w:r>
      <w:bookmarkEnd w:id="29"/>
      <w:bookmarkEnd w:id="30"/>
      <w:r w:rsidRPr="00B5251F">
        <w:t xml:space="preserve"> </w:t>
      </w:r>
    </w:p>
    <w:p w14:paraId="0E3AA8E2" w14:textId="4B012332" w:rsidR="000856B5" w:rsidRPr="00B5251F" w:rsidRDefault="004448C7" w:rsidP="000856B5">
      <w:pPr>
        <w:rPr>
          <w:sz w:val="23"/>
          <w:szCs w:val="23"/>
        </w:rPr>
      </w:pPr>
      <w:r w:rsidRPr="00B5251F">
        <w:rPr>
          <w:sz w:val="23"/>
          <w:szCs w:val="23"/>
        </w:rPr>
        <w:t>Work Based Personal Assistance is predominantly accessed through the NDIS. However, DES providers also offer Work Based Personal Assistance with f</w:t>
      </w:r>
      <w:r w:rsidR="000856B5" w:rsidRPr="00B5251F">
        <w:rPr>
          <w:sz w:val="23"/>
          <w:szCs w:val="23"/>
        </w:rPr>
        <w:t xml:space="preserve">ees </w:t>
      </w:r>
      <w:r w:rsidRPr="00B5251F">
        <w:rPr>
          <w:sz w:val="23"/>
          <w:szCs w:val="23"/>
        </w:rPr>
        <w:t xml:space="preserve">paid </w:t>
      </w:r>
      <w:r w:rsidR="000856B5" w:rsidRPr="00B5251F">
        <w:rPr>
          <w:sz w:val="23"/>
          <w:szCs w:val="23"/>
        </w:rPr>
        <w:t>at $35 per hour for Work Based Personal Assistance provided by the DES Provider and $45</w:t>
      </w:r>
      <w:r w:rsidR="00265D91">
        <w:rPr>
          <w:sz w:val="23"/>
          <w:szCs w:val="23"/>
        </w:rPr>
        <w:t xml:space="preserve"> </w:t>
      </w:r>
      <w:r w:rsidR="000856B5" w:rsidRPr="00B5251F">
        <w:rPr>
          <w:sz w:val="23"/>
          <w:szCs w:val="23"/>
        </w:rPr>
        <w:t xml:space="preserve">per hour for </w:t>
      </w:r>
      <w:r w:rsidR="00A70CFB">
        <w:rPr>
          <w:sz w:val="23"/>
          <w:szCs w:val="23"/>
        </w:rPr>
        <w:t>a</w:t>
      </w:r>
      <w:r w:rsidR="000856B5" w:rsidRPr="00B5251F">
        <w:rPr>
          <w:sz w:val="23"/>
          <w:szCs w:val="23"/>
        </w:rPr>
        <w:t>ssistance p</w:t>
      </w:r>
      <w:r w:rsidR="007D6D15">
        <w:rPr>
          <w:sz w:val="23"/>
          <w:szCs w:val="23"/>
        </w:rPr>
        <w:t>urchased from another provider.</w:t>
      </w:r>
    </w:p>
    <w:p w14:paraId="34BB2AAF" w14:textId="77777777" w:rsidR="00830D1C" w:rsidRPr="000B0EDB" w:rsidRDefault="00830D1C" w:rsidP="006B677C">
      <w:pPr>
        <w:spacing w:before="360" w:after="120" w:line="240" w:lineRule="auto"/>
        <w:contextualSpacing/>
        <w:outlineLvl w:val="0"/>
        <w:rPr>
          <w:rFonts w:ascii="Georgia" w:hAnsi="Georgia"/>
          <w:bCs/>
          <w:color w:val="24596E"/>
          <w:sz w:val="34"/>
          <w:szCs w:val="34"/>
        </w:rPr>
      </w:pPr>
      <w:bookmarkStart w:id="31" w:name="_Toc500401859"/>
      <w:r w:rsidRPr="005F59D5">
        <w:rPr>
          <w:rFonts w:ascii="Georgia" w:hAnsi="Georgia"/>
          <w:bCs/>
          <w:color w:val="24596E"/>
          <w:sz w:val="34"/>
          <w:szCs w:val="34"/>
        </w:rPr>
        <w:lastRenderedPageBreak/>
        <w:t>Supported employment and Australian Disability Enterprises</w:t>
      </w:r>
      <w:bookmarkEnd w:id="26"/>
      <w:bookmarkEnd w:id="31"/>
    </w:p>
    <w:p w14:paraId="0B614109" w14:textId="77777777" w:rsidR="005B5927" w:rsidRDefault="00830D1C" w:rsidP="006B677C">
      <w:pPr>
        <w:spacing w:before="360" w:after="120"/>
        <w:ind w:left="-11"/>
        <w:rPr>
          <w:sz w:val="23"/>
          <w:szCs w:val="23"/>
        </w:rPr>
      </w:pPr>
      <w:r w:rsidRPr="00192A97">
        <w:rPr>
          <w:sz w:val="23"/>
          <w:szCs w:val="23"/>
        </w:rPr>
        <w:t>The Government’s supported employment program for people with disability is the Disability Employment Assistance</w:t>
      </w:r>
      <w:r w:rsidR="00276561">
        <w:rPr>
          <w:sz w:val="23"/>
          <w:szCs w:val="23"/>
        </w:rPr>
        <w:t xml:space="preserve"> (DEA) p</w:t>
      </w:r>
      <w:r w:rsidRPr="00192A97">
        <w:rPr>
          <w:sz w:val="23"/>
          <w:szCs w:val="23"/>
        </w:rPr>
        <w:t xml:space="preserve">rogram. </w:t>
      </w:r>
    </w:p>
    <w:p w14:paraId="2D08B85C" w14:textId="4D989268" w:rsidR="00276561" w:rsidRDefault="00396CA6" w:rsidP="005B5927">
      <w:pPr>
        <w:spacing w:before="0"/>
        <w:ind w:left="-10"/>
        <w:rPr>
          <w:sz w:val="23"/>
          <w:szCs w:val="23"/>
        </w:rPr>
      </w:pPr>
      <w:r>
        <w:rPr>
          <w:sz w:val="23"/>
          <w:szCs w:val="23"/>
        </w:rPr>
        <w:t xml:space="preserve">DEA funding for </w:t>
      </w:r>
      <w:r w:rsidRPr="00276561">
        <w:rPr>
          <w:sz w:val="23"/>
          <w:szCs w:val="23"/>
        </w:rPr>
        <w:t xml:space="preserve">existing supported employees who are eligible for the NDIS </w:t>
      </w:r>
      <w:r w:rsidR="00A70CFB">
        <w:rPr>
          <w:sz w:val="23"/>
          <w:szCs w:val="23"/>
        </w:rPr>
        <w:t xml:space="preserve">is </w:t>
      </w:r>
      <w:r>
        <w:rPr>
          <w:sz w:val="23"/>
          <w:szCs w:val="23"/>
        </w:rPr>
        <w:t>transition</w:t>
      </w:r>
      <w:r w:rsidR="00A70CFB">
        <w:rPr>
          <w:sz w:val="23"/>
          <w:szCs w:val="23"/>
        </w:rPr>
        <w:t>ing</w:t>
      </w:r>
      <w:r>
        <w:rPr>
          <w:sz w:val="23"/>
          <w:szCs w:val="23"/>
        </w:rPr>
        <w:t xml:space="preserve"> to the NDIS.</w:t>
      </w:r>
      <w:r w:rsidRPr="00F970DD">
        <w:rPr>
          <w:sz w:val="23"/>
          <w:szCs w:val="23"/>
        </w:rPr>
        <w:t xml:space="preserve"> </w:t>
      </w:r>
      <w:r w:rsidR="00F970DD" w:rsidRPr="00F970DD">
        <w:rPr>
          <w:sz w:val="23"/>
          <w:szCs w:val="23"/>
        </w:rPr>
        <w:t>Under the DEA program, case-based funding, which has been in place since 2004, is provided according to an online assessment used by ADEs to record the work-related support needs of a supported employe</w:t>
      </w:r>
      <w:r w:rsidR="007D6D15">
        <w:rPr>
          <w:sz w:val="23"/>
          <w:szCs w:val="23"/>
        </w:rPr>
        <w:t>e to maintain their employment.</w:t>
      </w:r>
    </w:p>
    <w:p w14:paraId="42955CD7" w14:textId="77777777" w:rsidR="00F970DD" w:rsidRDefault="00396CA6" w:rsidP="00F970DD">
      <w:pPr>
        <w:ind w:left="-10"/>
        <w:rPr>
          <w:sz w:val="23"/>
          <w:szCs w:val="23"/>
        </w:rPr>
      </w:pPr>
      <w:r w:rsidRPr="00192A97">
        <w:rPr>
          <w:sz w:val="23"/>
          <w:szCs w:val="23"/>
        </w:rPr>
        <w:t xml:space="preserve">ADEs employ and </w:t>
      </w:r>
      <w:r>
        <w:rPr>
          <w:sz w:val="23"/>
          <w:szCs w:val="23"/>
        </w:rPr>
        <w:t>deliver support to</w:t>
      </w:r>
      <w:r w:rsidRPr="00192A97">
        <w:rPr>
          <w:sz w:val="23"/>
          <w:szCs w:val="23"/>
        </w:rPr>
        <w:t xml:space="preserve"> around 20,000 suppo</w:t>
      </w:r>
      <w:r>
        <w:rPr>
          <w:sz w:val="23"/>
          <w:szCs w:val="23"/>
        </w:rPr>
        <w:t xml:space="preserve">rted employees. </w:t>
      </w:r>
      <w:r w:rsidR="00276561">
        <w:rPr>
          <w:sz w:val="23"/>
          <w:szCs w:val="23"/>
        </w:rPr>
        <w:t>A</w:t>
      </w:r>
      <w:r w:rsidR="00F970DD">
        <w:rPr>
          <w:sz w:val="23"/>
          <w:szCs w:val="23"/>
        </w:rPr>
        <w:t>DEs</w:t>
      </w:r>
      <w:r w:rsidR="00276561">
        <w:rPr>
          <w:sz w:val="23"/>
          <w:szCs w:val="23"/>
        </w:rPr>
        <w:t xml:space="preserve"> employ people with moderate to severe disability to engage in a wide variety of work </w:t>
      </w:r>
      <w:r w:rsidR="00F970DD">
        <w:rPr>
          <w:sz w:val="23"/>
          <w:szCs w:val="23"/>
        </w:rPr>
        <w:t>and offer: social, behavioural and cognitive assistance; physical and personal care; communication and workplace environment assistance and adjustment; special medical assistance and other assistance to connect with other services</w:t>
      </w:r>
      <w:r w:rsidR="008379FB">
        <w:rPr>
          <w:sz w:val="23"/>
          <w:szCs w:val="23"/>
        </w:rPr>
        <w:t>.</w:t>
      </w:r>
    </w:p>
    <w:p w14:paraId="77177F84" w14:textId="77777777" w:rsidR="00F970DD" w:rsidRDefault="00F970DD" w:rsidP="00F970DD">
      <w:pPr>
        <w:ind w:left="-10"/>
        <w:rPr>
          <w:sz w:val="23"/>
          <w:szCs w:val="23"/>
        </w:rPr>
      </w:pPr>
      <w:r w:rsidRPr="00F970DD">
        <w:rPr>
          <w:sz w:val="23"/>
          <w:szCs w:val="23"/>
        </w:rPr>
        <w:t>ADEs have historically operated with funding f</w:t>
      </w:r>
      <w:r w:rsidR="00E01B96">
        <w:rPr>
          <w:sz w:val="23"/>
          <w:szCs w:val="23"/>
        </w:rPr>
        <w:t xml:space="preserve">or a capped number of clients. </w:t>
      </w:r>
      <w:r w:rsidR="00E01B96">
        <w:rPr>
          <w:sz w:val="23"/>
          <w:szCs w:val="23"/>
        </w:rPr>
        <w:br/>
      </w:r>
      <w:r w:rsidRPr="00F970DD">
        <w:rPr>
          <w:sz w:val="23"/>
          <w:szCs w:val="23"/>
        </w:rPr>
        <w:t xml:space="preserve">With opportunities for market expansion under the NDIS, ADEs are well positioned to </w:t>
      </w:r>
      <w:r w:rsidR="008379FB">
        <w:rPr>
          <w:sz w:val="23"/>
          <w:szCs w:val="23"/>
        </w:rPr>
        <w:t xml:space="preserve">attract more employees, </w:t>
      </w:r>
      <w:r w:rsidRPr="00F970DD">
        <w:rPr>
          <w:sz w:val="23"/>
          <w:szCs w:val="23"/>
        </w:rPr>
        <w:t>where their commercial businesse</w:t>
      </w:r>
      <w:r w:rsidR="007D6D15">
        <w:rPr>
          <w:sz w:val="23"/>
          <w:szCs w:val="23"/>
        </w:rPr>
        <w:t>s provide opportunity to do so.</w:t>
      </w:r>
    </w:p>
    <w:p w14:paraId="5B83DBDE" w14:textId="2C2B7310" w:rsidR="00830D1C" w:rsidRDefault="00830D1C" w:rsidP="007477F4">
      <w:pPr>
        <w:ind w:left="-10"/>
        <w:rPr>
          <w:sz w:val="23"/>
          <w:szCs w:val="23"/>
        </w:rPr>
      </w:pPr>
      <w:r w:rsidRPr="00192A97">
        <w:rPr>
          <w:sz w:val="23"/>
          <w:szCs w:val="23"/>
        </w:rPr>
        <w:t xml:space="preserve">The NDIS transforms the way in which the disability services market operates. </w:t>
      </w:r>
      <w:r w:rsidR="00C449D6">
        <w:rPr>
          <w:sz w:val="23"/>
          <w:szCs w:val="23"/>
        </w:rPr>
        <w:br/>
      </w:r>
      <w:r w:rsidRPr="00192A97">
        <w:rPr>
          <w:sz w:val="23"/>
          <w:szCs w:val="23"/>
        </w:rPr>
        <w:t>Participant choice and control is a central pillar of the NDIS, which will change the nature of the relationship between consumers and service providers. Due to the scale of the reform, the maturing of the new NDIS disability services market is expected to take up to ten years</w:t>
      </w:r>
      <w:r w:rsidR="006D6E02">
        <w:rPr>
          <w:sz w:val="23"/>
          <w:szCs w:val="23"/>
        </w:rPr>
        <w:t>.</w:t>
      </w:r>
    </w:p>
    <w:p w14:paraId="6C96C9A8" w14:textId="63626BE4" w:rsidR="005B5927" w:rsidRDefault="00262AF1" w:rsidP="00F970DD">
      <w:pPr>
        <w:spacing w:before="240" w:after="120"/>
        <w:ind w:left="-10"/>
        <w:rPr>
          <w:sz w:val="23"/>
          <w:szCs w:val="23"/>
        </w:rPr>
      </w:pPr>
      <w:r>
        <w:rPr>
          <w:sz w:val="23"/>
          <w:szCs w:val="23"/>
        </w:rPr>
        <w:t xml:space="preserve">By the end of 2017, over 8,000 supported employees are expected to have transitioned to the NDIS. </w:t>
      </w:r>
      <w:r w:rsidR="00CD0405">
        <w:rPr>
          <w:sz w:val="23"/>
          <w:szCs w:val="23"/>
        </w:rPr>
        <w:t>In total, around 19,000 supported employees of the existing 20,000 will be transitioned</w:t>
      </w:r>
      <w:r w:rsidR="00DD3205">
        <w:rPr>
          <w:sz w:val="23"/>
          <w:szCs w:val="23"/>
        </w:rPr>
        <w:t xml:space="preserve"> by the time the NDIS is at full scheme.</w:t>
      </w:r>
    </w:p>
    <w:p w14:paraId="6FC33574" w14:textId="19EA018F" w:rsidR="00276561" w:rsidRPr="00456ADB" w:rsidRDefault="00276561" w:rsidP="00F970DD">
      <w:pPr>
        <w:spacing w:before="240" w:after="120"/>
        <w:ind w:left="-10"/>
        <w:rPr>
          <w:sz w:val="23"/>
          <w:szCs w:val="23"/>
        </w:rPr>
      </w:pPr>
      <w:r w:rsidRPr="00456ADB">
        <w:rPr>
          <w:sz w:val="23"/>
          <w:szCs w:val="23"/>
        </w:rPr>
        <w:t>The NDIS is expected to reach full scheme by mid-2020 with the number of people receiving ‘employment support’ in full scheme expected to grow significantly</w:t>
      </w:r>
      <w:r w:rsidR="00DD3205">
        <w:rPr>
          <w:sz w:val="23"/>
          <w:szCs w:val="23"/>
        </w:rPr>
        <w:t xml:space="preserve"> beyond the existing number of people working in supported employment</w:t>
      </w:r>
      <w:r w:rsidRPr="00456ADB">
        <w:rPr>
          <w:sz w:val="23"/>
          <w:szCs w:val="23"/>
        </w:rPr>
        <w:t>.</w:t>
      </w:r>
    </w:p>
    <w:p w14:paraId="2EE6940F" w14:textId="30555434" w:rsidR="001A3AF1" w:rsidRDefault="00276561" w:rsidP="00976CC5">
      <w:pPr>
        <w:spacing w:before="240" w:after="120" w:line="264" w:lineRule="auto"/>
        <w:rPr>
          <w:color w:val="000000"/>
          <w:spacing w:val="0"/>
          <w:kern w:val="24"/>
          <w:sz w:val="23"/>
          <w:szCs w:val="23"/>
        </w:rPr>
      </w:pPr>
      <w:r w:rsidRPr="00456ADB">
        <w:rPr>
          <w:color w:val="000000"/>
          <w:spacing w:val="0"/>
          <w:kern w:val="24"/>
          <w:sz w:val="23"/>
          <w:szCs w:val="23"/>
        </w:rPr>
        <w:t xml:space="preserve">The </w:t>
      </w:r>
      <w:r w:rsidR="00B5251F">
        <w:rPr>
          <w:color w:val="000000"/>
          <w:spacing w:val="0"/>
          <w:kern w:val="24"/>
          <w:sz w:val="23"/>
          <w:szCs w:val="23"/>
        </w:rPr>
        <w:t>National Disability Insurance Agency (</w:t>
      </w:r>
      <w:r w:rsidRPr="00456ADB">
        <w:rPr>
          <w:color w:val="000000"/>
          <w:spacing w:val="0"/>
          <w:kern w:val="24"/>
          <w:sz w:val="23"/>
          <w:szCs w:val="23"/>
        </w:rPr>
        <w:t>NDIA</w:t>
      </w:r>
      <w:r w:rsidR="00B5251F">
        <w:rPr>
          <w:color w:val="000000"/>
          <w:spacing w:val="0"/>
          <w:kern w:val="24"/>
          <w:sz w:val="23"/>
          <w:szCs w:val="23"/>
        </w:rPr>
        <w:t>)</w:t>
      </w:r>
      <w:r w:rsidRPr="00456ADB">
        <w:rPr>
          <w:color w:val="000000"/>
          <w:spacing w:val="0"/>
          <w:kern w:val="24"/>
          <w:sz w:val="23"/>
          <w:szCs w:val="23"/>
        </w:rPr>
        <w:t xml:space="preserve"> is currently mirroring the </w:t>
      </w:r>
      <w:r w:rsidR="00C71114">
        <w:rPr>
          <w:color w:val="000000"/>
          <w:spacing w:val="0"/>
          <w:kern w:val="24"/>
          <w:sz w:val="23"/>
          <w:szCs w:val="23"/>
        </w:rPr>
        <w:t xml:space="preserve">ADE </w:t>
      </w:r>
      <w:r w:rsidR="005C1098">
        <w:rPr>
          <w:color w:val="000000"/>
          <w:spacing w:val="0"/>
          <w:kern w:val="24"/>
          <w:sz w:val="23"/>
          <w:szCs w:val="23"/>
        </w:rPr>
        <w:br/>
      </w:r>
      <w:r w:rsidRPr="00456ADB">
        <w:rPr>
          <w:color w:val="000000"/>
          <w:spacing w:val="0"/>
          <w:kern w:val="24"/>
          <w:sz w:val="23"/>
          <w:szCs w:val="23"/>
        </w:rPr>
        <w:t xml:space="preserve">case-based funding model and </w:t>
      </w:r>
      <w:r w:rsidR="00C71114">
        <w:rPr>
          <w:color w:val="000000"/>
          <w:spacing w:val="0"/>
          <w:kern w:val="24"/>
          <w:sz w:val="23"/>
          <w:szCs w:val="23"/>
        </w:rPr>
        <w:t xml:space="preserve">is considering whether </w:t>
      </w:r>
      <w:r w:rsidRPr="00456ADB">
        <w:rPr>
          <w:color w:val="000000"/>
          <w:spacing w:val="0"/>
          <w:kern w:val="24"/>
          <w:sz w:val="23"/>
          <w:szCs w:val="23"/>
        </w:rPr>
        <w:t xml:space="preserve">pricing </w:t>
      </w:r>
      <w:r w:rsidR="00C71114">
        <w:rPr>
          <w:color w:val="000000"/>
          <w:spacing w:val="0"/>
          <w:kern w:val="24"/>
          <w:sz w:val="23"/>
          <w:szCs w:val="23"/>
        </w:rPr>
        <w:t xml:space="preserve">controls </w:t>
      </w:r>
      <w:r w:rsidRPr="00456ADB">
        <w:rPr>
          <w:color w:val="000000"/>
          <w:spacing w:val="0"/>
          <w:kern w:val="24"/>
          <w:sz w:val="23"/>
          <w:szCs w:val="23"/>
        </w:rPr>
        <w:t xml:space="preserve">for employment support </w:t>
      </w:r>
      <w:r w:rsidR="009362F9">
        <w:rPr>
          <w:color w:val="000000"/>
          <w:spacing w:val="0"/>
          <w:kern w:val="24"/>
          <w:sz w:val="23"/>
          <w:szCs w:val="23"/>
        </w:rPr>
        <w:t>are</w:t>
      </w:r>
      <w:r w:rsidR="00C71114">
        <w:rPr>
          <w:color w:val="000000"/>
          <w:spacing w:val="0"/>
          <w:kern w:val="24"/>
          <w:sz w:val="23"/>
          <w:szCs w:val="23"/>
        </w:rPr>
        <w:t xml:space="preserve"> required</w:t>
      </w:r>
      <w:r w:rsidRPr="00456ADB">
        <w:rPr>
          <w:color w:val="000000"/>
          <w:spacing w:val="0"/>
          <w:kern w:val="24"/>
          <w:sz w:val="23"/>
          <w:szCs w:val="23"/>
        </w:rPr>
        <w:t>.</w:t>
      </w:r>
    </w:p>
    <w:p w14:paraId="4562D5D2" w14:textId="77777777" w:rsidR="00A0638F" w:rsidRDefault="00A0638F">
      <w:pPr>
        <w:spacing w:before="0" w:after="200" w:line="276" w:lineRule="auto"/>
        <w:rPr>
          <w:rFonts w:ascii="Georgia" w:eastAsiaTheme="majorEastAsia" w:hAnsi="Georgia" w:cstheme="majorBidi"/>
          <w:bCs/>
          <w:color w:val="005A70"/>
          <w:sz w:val="32"/>
          <w:szCs w:val="26"/>
        </w:rPr>
      </w:pPr>
      <w:r>
        <w:br w:type="page"/>
      </w:r>
    </w:p>
    <w:p w14:paraId="26114325" w14:textId="00A497DE" w:rsidR="001C7297" w:rsidRPr="005F59D5" w:rsidRDefault="001C7297" w:rsidP="005F59D5">
      <w:pPr>
        <w:pStyle w:val="Heading2"/>
      </w:pPr>
      <w:bookmarkStart w:id="32" w:name="_Toc500401860"/>
      <w:r w:rsidRPr="005F59D5">
        <w:lastRenderedPageBreak/>
        <w:t>Profile of supported employees</w:t>
      </w:r>
      <w:bookmarkEnd w:id="32"/>
    </w:p>
    <w:p w14:paraId="7F49ACD7" w14:textId="77777777" w:rsidR="002247FA" w:rsidRPr="00070205"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594"/>
        <w:rPr>
          <w:color w:val="3A5A62" w:themeColor="accent5" w:themeShade="80"/>
          <w:sz w:val="22"/>
          <w:szCs w:val="22"/>
        </w:rPr>
      </w:pPr>
      <w:r w:rsidRPr="00070205">
        <w:rPr>
          <w:iCs/>
          <w:color w:val="3A5A62" w:themeColor="accent5" w:themeShade="80"/>
          <w:sz w:val="22"/>
          <w:szCs w:val="22"/>
        </w:rPr>
        <w:t>70-75 per cent of supported employees have an intellectual disability</w:t>
      </w:r>
    </w:p>
    <w:p w14:paraId="4878C278" w14:textId="548C1313" w:rsidR="002247FA" w:rsidRPr="00070205"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594"/>
        <w:rPr>
          <w:color w:val="3A5A62" w:themeColor="accent5" w:themeShade="80"/>
          <w:sz w:val="22"/>
          <w:szCs w:val="22"/>
        </w:rPr>
      </w:pPr>
      <w:r w:rsidRPr="00070205">
        <w:rPr>
          <w:iCs/>
          <w:color w:val="3A5A62" w:themeColor="accent5" w:themeShade="80"/>
          <w:sz w:val="22"/>
          <w:szCs w:val="22"/>
        </w:rPr>
        <w:t>The average weekly wage for a supported employee is $121.72</w:t>
      </w:r>
    </w:p>
    <w:p w14:paraId="5BC953ED" w14:textId="77777777" w:rsidR="002247FA" w:rsidRPr="00DD3205"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594"/>
        <w:rPr>
          <w:color w:val="3A5A62" w:themeColor="accent5" w:themeShade="80"/>
          <w:sz w:val="22"/>
          <w:szCs w:val="22"/>
        </w:rPr>
      </w:pPr>
      <w:r w:rsidRPr="00070205">
        <w:rPr>
          <w:iCs/>
          <w:color w:val="3A5A62" w:themeColor="accent5" w:themeShade="80"/>
          <w:sz w:val="22"/>
          <w:szCs w:val="22"/>
        </w:rPr>
        <w:t>The average hourly rate is $5.61</w:t>
      </w:r>
      <w:r>
        <w:rPr>
          <w:iCs/>
          <w:color w:val="3A5A62" w:themeColor="accent5" w:themeShade="80"/>
          <w:sz w:val="22"/>
          <w:szCs w:val="22"/>
        </w:rPr>
        <w:t>,</w:t>
      </w:r>
      <w:r w:rsidRPr="00070205">
        <w:rPr>
          <w:iCs/>
          <w:color w:val="3A5A62" w:themeColor="accent5" w:themeShade="80"/>
          <w:sz w:val="22"/>
          <w:szCs w:val="22"/>
        </w:rPr>
        <w:t xml:space="preserve"> </w:t>
      </w:r>
      <w:r>
        <w:rPr>
          <w:iCs/>
          <w:color w:val="3A5A62" w:themeColor="accent5" w:themeShade="80"/>
          <w:sz w:val="22"/>
          <w:szCs w:val="22"/>
        </w:rPr>
        <w:t>with w</w:t>
      </w:r>
      <w:r w:rsidRPr="00070205">
        <w:rPr>
          <w:iCs/>
          <w:color w:val="3A5A62" w:themeColor="accent5" w:themeShade="80"/>
          <w:sz w:val="22"/>
          <w:szCs w:val="22"/>
        </w:rPr>
        <w:t xml:space="preserve">ages </w:t>
      </w:r>
      <w:r>
        <w:rPr>
          <w:iCs/>
          <w:color w:val="3A5A62" w:themeColor="accent5" w:themeShade="80"/>
          <w:sz w:val="22"/>
          <w:szCs w:val="22"/>
        </w:rPr>
        <w:t>ranging</w:t>
      </w:r>
      <w:r w:rsidRPr="00070205">
        <w:rPr>
          <w:iCs/>
          <w:color w:val="3A5A62" w:themeColor="accent5" w:themeShade="80"/>
          <w:sz w:val="22"/>
          <w:szCs w:val="22"/>
        </w:rPr>
        <w:t xml:space="preserve"> from $1.00 per hour to full award wage</w:t>
      </w:r>
    </w:p>
    <w:p w14:paraId="55A59F3C" w14:textId="77777777" w:rsidR="002247FA" w:rsidRPr="00070205"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594"/>
        <w:rPr>
          <w:color w:val="3A5A62" w:themeColor="accent5" w:themeShade="80"/>
          <w:sz w:val="22"/>
          <w:szCs w:val="22"/>
        </w:rPr>
      </w:pPr>
      <w:r w:rsidRPr="00070205">
        <w:rPr>
          <w:iCs/>
          <w:color w:val="3A5A62" w:themeColor="accent5" w:themeShade="80"/>
          <w:sz w:val="22"/>
          <w:szCs w:val="22"/>
        </w:rPr>
        <w:t>All supported employees qualify for DSP</w:t>
      </w:r>
    </w:p>
    <w:p w14:paraId="4DDAAF77" w14:textId="0C71AABB" w:rsidR="002247FA" w:rsidRPr="00872CFA"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594"/>
        <w:rPr>
          <w:color w:val="3A5A62" w:themeColor="accent5" w:themeShade="80"/>
          <w:sz w:val="22"/>
          <w:szCs w:val="22"/>
        </w:rPr>
      </w:pPr>
      <w:r w:rsidRPr="00070205">
        <w:rPr>
          <w:iCs/>
          <w:color w:val="3A5A62" w:themeColor="accent5" w:themeShade="80"/>
          <w:sz w:val="22"/>
          <w:szCs w:val="22"/>
        </w:rPr>
        <w:t xml:space="preserve">The pension income test free area (including for DSP) from 1 July 2017 is $168 </w:t>
      </w:r>
      <w:r w:rsidR="00F658CA">
        <w:rPr>
          <w:iCs/>
          <w:color w:val="3A5A62" w:themeColor="accent5" w:themeShade="80"/>
          <w:sz w:val="22"/>
          <w:szCs w:val="22"/>
        </w:rPr>
        <w:t>per</w:t>
      </w:r>
      <w:r w:rsidR="00F658CA" w:rsidRPr="00070205">
        <w:rPr>
          <w:iCs/>
          <w:color w:val="3A5A62" w:themeColor="accent5" w:themeShade="80"/>
          <w:sz w:val="22"/>
          <w:szCs w:val="22"/>
        </w:rPr>
        <w:t xml:space="preserve"> </w:t>
      </w:r>
      <w:r w:rsidRPr="00872CFA">
        <w:rPr>
          <w:iCs/>
          <w:color w:val="3A5A62" w:themeColor="accent5" w:themeShade="80"/>
          <w:sz w:val="22"/>
          <w:szCs w:val="22"/>
        </w:rPr>
        <w:t xml:space="preserve">fortnight for singles and $300 </w:t>
      </w:r>
      <w:r w:rsidR="00F658CA">
        <w:rPr>
          <w:iCs/>
          <w:color w:val="3A5A62" w:themeColor="accent5" w:themeShade="80"/>
          <w:sz w:val="22"/>
          <w:szCs w:val="22"/>
        </w:rPr>
        <w:t>per</w:t>
      </w:r>
      <w:r w:rsidR="00F658CA" w:rsidRPr="00872CFA">
        <w:rPr>
          <w:iCs/>
          <w:color w:val="3A5A62" w:themeColor="accent5" w:themeShade="80"/>
          <w:sz w:val="22"/>
          <w:szCs w:val="22"/>
        </w:rPr>
        <w:t xml:space="preserve"> </w:t>
      </w:r>
      <w:r w:rsidRPr="00872CFA">
        <w:rPr>
          <w:iCs/>
          <w:color w:val="3A5A62" w:themeColor="accent5" w:themeShade="80"/>
          <w:sz w:val="22"/>
          <w:szCs w:val="22"/>
        </w:rPr>
        <w:t>fortnight for couples combined</w:t>
      </w:r>
    </w:p>
    <w:p w14:paraId="598A4CEF" w14:textId="7FAF7629" w:rsidR="002247FA" w:rsidRPr="00872CFA"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594"/>
        <w:rPr>
          <w:color w:val="3A5A62" w:themeColor="accent5" w:themeShade="80"/>
          <w:sz w:val="22"/>
          <w:szCs w:val="22"/>
        </w:rPr>
      </w:pPr>
      <w:r w:rsidRPr="00872CFA">
        <w:rPr>
          <w:iCs/>
          <w:color w:val="3A5A62" w:themeColor="accent5" w:themeShade="80"/>
          <w:sz w:val="22"/>
          <w:szCs w:val="22"/>
        </w:rPr>
        <w:t xml:space="preserve">Supported employees must be able to work a minimum of </w:t>
      </w:r>
      <w:r w:rsidR="0017451F">
        <w:rPr>
          <w:iCs/>
          <w:color w:val="3A5A62" w:themeColor="accent5" w:themeShade="80"/>
          <w:sz w:val="22"/>
          <w:szCs w:val="22"/>
        </w:rPr>
        <w:t>eight</w:t>
      </w:r>
      <w:r w:rsidR="0017451F" w:rsidRPr="00872CFA">
        <w:rPr>
          <w:iCs/>
          <w:color w:val="3A5A62" w:themeColor="accent5" w:themeShade="80"/>
          <w:sz w:val="22"/>
          <w:szCs w:val="22"/>
        </w:rPr>
        <w:t xml:space="preserve"> </w:t>
      </w:r>
      <w:r w:rsidRPr="00872CFA">
        <w:rPr>
          <w:iCs/>
          <w:color w:val="3A5A62" w:themeColor="accent5" w:themeShade="80"/>
          <w:sz w:val="22"/>
          <w:szCs w:val="22"/>
        </w:rPr>
        <w:t>hours of work per week as determined by employer, employee and family and carers</w:t>
      </w:r>
    </w:p>
    <w:p w14:paraId="29B64B76" w14:textId="77777777" w:rsidR="002247FA" w:rsidRPr="00070205"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594"/>
        <w:rPr>
          <w:color w:val="3A5A62" w:themeColor="accent5" w:themeShade="80"/>
          <w:sz w:val="22"/>
          <w:szCs w:val="22"/>
        </w:rPr>
      </w:pPr>
      <w:r w:rsidRPr="00070205">
        <w:rPr>
          <w:iCs/>
          <w:color w:val="3A5A62" w:themeColor="accent5" w:themeShade="80"/>
          <w:sz w:val="22"/>
          <w:szCs w:val="22"/>
        </w:rPr>
        <w:t>The average hours worked are 23</w:t>
      </w:r>
      <w:r>
        <w:rPr>
          <w:iCs/>
          <w:color w:val="3A5A62" w:themeColor="accent5" w:themeShade="80"/>
          <w:sz w:val="22"/>
          <w:szCs w:val="22"/>
        </w:rPr>
        <w:t xml:space="preserve"> per week</w:t>
      </w:r>
    </w:p>
    <w:p w14:paraId="5179B127" w14:textId="48C011D3" w:rsidR="002247FA" w:rsidRPr="002247FA"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594"/>
        <w:rPr>
          <w:color w:val="3A5A62" w:themeColor="accent5" w:themeShade="80"/>
          <w:sz w:val="22"/>
          <w:szCs w:val="22"/>
        </w:rPr>
      </w:pPr>
      <w:r>
        <w:rPr>
          <w:iCs/>
          <w:color w:val="3A5A62" w:themeColor="accent5" w:themeShade="80"/>
          <w:sz w:val="22"/>
          <w:szCs w:val="22"/>
        </w:rPr>
        <w:t>Supported employee ages</w:t>
      </w:r>
      <w:r w:rsidRPr="00070205">
        <w:rPr>
          <w:iCs/>
          <w:color w:val="3A5A62" w:themeColor="accent5" w:themeShade="80"/>
          <w:sz w:val="22"/>
          <w:szCs w:val="22"/>
        </w:rPr>
        <w:t xml:space="preserve"> range from under 20</w:t>
      </w:r>
      <w:r w:rsidR="009362F9">
        <w:rPr>
          <w:iCs/>
          <w:color w:val="3A5A62" w:themeColor="accent5" w:themeShade="80"/>
          <w:sz w:val="22"/>
          <w:szCs w:val="22"/>
        </w:rPr>
        <w:t>,</w:t>
      </w:r>
      <w:r w:rsidRPr="00070205">
        <w:rPr>
          <w:iCs/>
          <w:color w:val="3A5A62" w:themeColor="accent5" w:themeShade="80"/>
          <w:sz w:val="22"/>
          <w:szCs w:val="22"/>
        </w:rPr>
        <w:t xml:space="preserve"> to over 65</w:t>
      </w:r>
      <w:r>
        <w:rPr>
          <w:iCs/>
          <w:color w:val="3A5A62" w:themeColor="accent5" w:themeShade="80"/>
          <w:sz w:val="22"/>
          <w:szCs w:val="22"/>
        </w:rPr>
        <w:t>, with</w:t>
      </w:r>
      <w:r w:rsidRPr="000B0EDB">
        <w:rPr>
          <w:iCs/>
          <w:color w:val="3A5A62" w:themeColor="accent5" w:themeShade="80"/>
          <w:sz w:val="22"/>
          <w:szCs w:val="22"/>
        </w:rPr>
        <w:t xml:space="preserve"> </w:t>
      </w:r>
      <w:r>
        <w:rPr>
          <w:iCs/>
          <w:color w:val="3A5A62" w:themeColor="accent5" w:themeShade="80"/>
          <w:sz w:val="22"/>
          <w:szCs w:val="22"/>
        </w:rPr>
        <w:t>41 the average age</w:t>
      </w:r>
      <w:r w:rsidR="00F658CA">
        <w:rPr>
          <w:iCs/>
          <w:color w:val="3A5A62" w:themeColor="accent5" w:themeShade="80"/>
          <w:sz w:val="22"/>
          <w:szCs w:val="22"/>
        </w:rPr>
        <w:t>, and</w:t>
      </w:r>
    </w:p>
    <w:p w14:paraId="448E035A" w14:textId="613FD157" w:rsidR="002247FA" w:rsidRPr="002247FA" w:rsidRDefault="002247FA" w:rsidP="002247FA">
      <w:pPr>
        <w:pStyle w:val="ListParagraph"/>
        <w:numPr>
          <w:ilvl w:val="0"/>
          <w:numId w:val="10"/>
        </w:numPr>
        <w:pBdr>
          <w:top w:val="single" w:sz="8" w:space="1" w:color="276E8B" w:themeColor="accent1" w:themeShade="BF"/>
          <w:left w:val="single" w:sz="8" w:space="4" w:color="276E8B" w:themeColor="accent1" w:themeShade="BF"/>
          <w:bottom w:val="single" w:sz="8" w:space="1" w:color="276E8B" w:themeColor="accent1" w:themeShade="BF"/>
          <w:right w:val="single" w:sz="8" w:space="4" w:color="276E8B" w:themeColor="accent1" w:themeShade="BF"/>
        </w:pBdr>
        <w:spacing w:line="276" w:lineRule="auto"/>
        <w:ind w:left="594"/>
        <w:rPr>
          <w:color w:val="3A5A62" w:themeColor="accent5" w:themeShade="80"/>
          <w:sz w:val="22"/>
          <w:szCs w:val="22"/>
        </w:rPr>
      </w:pPr>
      <w:r w:rsidRPr="002247FA">
        <w:rPr>
          <w:iCs/>
          <w:color w:val="3A5A62" w:themeColor="accent5" w:themeShade="80"/>
          <w:sz w:val="22"/>
          <w:szCs w:val="22"/>
        </w:rPr>
        <w:t>The average cost of employment support from the Government per supported employee is $11,800</w:t>
      </w:r>
      <w:r w:rsidR="00F658CA">
        <w:rPr>
          <w:iCs/>
          <w:color w:val="3A5A62" w:themeColor="accent5" w:themeShade="80"/>
          <w:sz w:val="22"/>
          <w:szCs w:val="22"/>
        </w:rPr>
        <w:t>.</w:t>
      </w:r>
    </w:p>
    <w:p w14:paraId="172379E6" w14:textId="77777777" w:rsidR="00976CC5" w:rsidRPr="002247FA" w:rsidRDefault="00FB0BB5" w:rsidP="00665A9D">
      <w:pPr>
        <w:pStyle w:val="Heading2"/>
        <w:rPr>
          <w:color w:val="3A5A62" w:themeColor="accent5" w:themeShade="80"/>
          <w:sz w:val="22"/>
          <w:szCs w:val="22"/>
        </w:rPr>
      </w:pPr>
      <w:r w:rsidRPr="002247FA">
        <w:br w:type="page"/>
      </w:r>
      <w:bookmarkStart w:id="33" w:name="_Toc500401861"/>
      <w:r w:rsidR="00976CC5" w:rsidRPr="002247FA">
        <w:lastRenderedPageBreak/>
        <w:t>S</w:t>
      </w:r>
      <w:r w:rsidR="00820C74" w:rsidRPr="002247FA">
        <w:t>upported employment sector funding</w:t>
      </w:r>
      <w:bookmarkEnd w:id="33"/>
    </w:p>
    <w:p w14:paraId="221CF267" w14:textId="4185DAF0" w:rsidR="00C449D6" w:rsidRPr="002B6A03" w:rsidRDefault="009F2EE0" w:rsidP="009F2EE0">
      <w:pPr>
        <w:spacing w:after="120"/>
        <w:rPr>
          <w:rFonts w:cs="Arial"/>
          <w:sz w:val="23"/>
          <w:szCs w:val="23"/>
        </w:rPr>
      </w:pPr>
      <w:r>
        <w:rPr>
          <w:rFonts w:cs="Arial"/>
          <w:sz w:val="23"/>
          <w:szCs w:val="23"/>
        </w:rPr>
        <w:t>For existing supported employees</w:t>
      </w:r>
      <w:r w:rsidR="00CC3427">
        <w:rPr>
          <w:rFonts w:cs="Arial"/>
          <w:sz w:val="23"/>
          <w:szCs w:val="23"/>
        </w:rPr>
        <w:t xml:space="preserve"> in ADEs</w:t>
      </w:r>
      <w:r w:rsidR="00C449D6">
        <w:rPr>
          <w:rFonts w:cs="Arial"/>
          <w:sz w:val="23"/>
          <w:szCs w:val="23"/>
        </w:rPr>
        <w:t>,</w:t>
      </w:r>
      <w:r>
        <w:rPr>
          <w:rFonts w:cs="Arial"/>
          <w:sz w:val="23"/>
          <w:szCs w:val="23"/>
        </w:rPr>
        <w:t xml:space="preserve"> </w:t>
      </w:r>
      <w:r w:rsidR="00CD0405">
        <w:rPr>
          <w:sz w:val="23"/>
          <w:szCs w:val="23"/>
        </w:rPr>
        <w:t xml:space="preserve">over </w:t>
      </w:r>
      <w:r w:rsidRPr="00AC4298">
        <w:rPr>
          <w:sz w:val="23"/>
          <w:szCs w:val="23"/>
        </w:rPr>
        <w:t>$1.3 billion</w:t>
      </w:r>
      <w:r w:rsidR="009362F9">
        <w:rPr>
          <w:sz w:val="23"/>
          <w:szCs w:val="23"/>
        </w:rPr>
        <w:t xml:space="preserve"> in funding is</w:t>
      </w:r>
      <w:r>
        <w:rPr>
          <w:sz w:val="23"/>
          <w:szCs w:val="23"/>
        </w:rPr>
        <w:t xml:space="preserve"> allocated between 2015-16 and 2019-20. </w:t>
      </w:r>
      <w:r w:rsidR="0050321B">
        <w:rPr>
          <w:sz w:val="23"/>
          <w:szCs w:val="23"/>
        </w:rPr>
        <w:t>Over $22</w:t>
      </w:r>
      <w:r w:rsidRPr="009A5701">
        <w:rPr>
          <w:sz w:val="23"/>
          <w:szCs w:val="23"/>
        </w:rPr>
        <w:t>0 million</w:t>
      </w:r>
      <w:r w:rsidRPr="00192A97">
        <w:rPr>
          <w:sz w:val="23"/>
          <w:szCs w:val="23"/>
        </w:rPr>
        <w:t xml:space="preserve"> per year </w:t>
      </w:r>
      <w:r>
        <w:rPr>
          <w:sz w:val="23"/>
          <w:szCs w:val="23"/>
        </w:rPr>
        <w:t xml:space="preserve">is available </w:t>
      </w:r>
      <w:r w:rsidRPr="00192A97">
        <w:rPr>
          <w:sz w:val="23"/>
          <w:szCs w:val="23"/>
        </w:rPr>
        <w:t xml:space="preserve">through the </w:t>
      </w:r>
      <w:r w:rsidR="009362F9">
        <w:rPr>
          <w:sz w:val="23"/>
          <w:szCs w:val="23"/>
        </w:rPr>
        <w:t>DEA</w:t>
      </w:r>
      <w:r w:rsidRPr="00192A97">
        <w:rPr>
          <w:sz w:val="23"/>
          <w:szCs w:val="23"/>
        </w:rPr>
        <w:t xml:space="preserve"> Program and associated initiatives</w:t>
      </w:r>
      <w:r w:rsidR="00C449D6">
        <w:rPr>
          <w:sz w:val="23"/>
          <w:szCs w:val="23"/>
        </w:rPr>
        <w:t>,</w:t>
      </w:r>
      <w:r w:rsidRPr="00192A97">
        <w:rPr>
          <w:sz w:val="23"/>
          <w:szCs w:val="23"/>
        </w:rPr>
        <w:t xml:space="preserve"> wh</w:t>
      </w:r>
      <w:r>
        <w:rPr>
          <w:sz w:val="23"/>
          <w:szCs w:val="23"/>
        </w:rPr>
        <w:t xml:space="preserve">ich deliver employment supports. </w:t>
      </w:r>
      <w:r w:rsidR="009362F9">
        <w:rPr>
          <w:sz w:val="23"/>
          <w:szCs w:val="23"/>
        </w:rPr>
        <w:t xml:space="preserve">Over </w:t>
      </w:r>
      <w:r w:rsidR="002B6A03">
        <w:rPr>
          <w:sz w:val="23"/>
          <w:szCs w:val="23"/>
        </w:rPr>
        <w:t>$180</w:t>
      </w:r>
      <w:r w:rsidR="002B6A03" w:rsidRPr="009A5701">
        <w:rPr>
          <w:sz w:val="23"/>
          <w:szCs w:val="23"/>
        </w:rPr>
        <w:t xml:space="preserve"> million</w:t>
      </w:r>
      <w:r w:rsidR="002B6A03" w:rsidRPr="00192A97">
        <w:rPr>
          <w:sz w:val="23"/>
          <w:szCs w:val="23"/>
        </w:rPr>
        <w:t xml:space="preserve"> </w:t>
      </w:r>
      <w:r w:rsidR="00396CA6">
        <w:rPr>
          <w:sz w:val="23"/>
          <w:szCs w:val="23"/>
        </w:rPr>
        <w:t>has been made</w:t>
      </w:r>
      <w:r w:rsidR="002B6A03">
        <w:rPr>
          <w:sz w:val="23"/>
          <w:szCs w:val="23"/>
        </w:rPr>
        <w:t xml:space="preserve"> available </w:t>
      </w:r>
      <w:r w:rsidR="002B6A03" w:rsidRPr="00192A97">
        <w:rPr>
          <w:sz w:val="23"/>
          <w:szCs w:val="23"/>
        </w:rPr>
        <w:t xml:space="preserve">in transitional funding support to assist the sector to adjust to higher wages, </w:t>
      </w:r>
      <w:r w:rsidR="009362F9">
        <w:rPr>
          <w:sz w:val="23"/>
          <w:szCs w:val="23"/>
        </w:rPr>
        <w:t xml:space="preserve">and </w:t>
      </w:r>
      <w:r w:rsidR="002B6A03" w:rsidRPr="00192A97">
        <w:rPr>
          <w:sz w:val="23"/>
          <w:szCs w:val="23"/>
        </w:rPr>
        <w:t>undertake business planning for the future a</w:t>
      </w:r>
      <w:r w:rsidR="007D6D15">
        <w:rPr>
          <w:sz w:val="23"/>
          <w:szCs w:val="23"/>
        </w:rPr>
        <w:t>nd the transition to the NDIS.</w:t>
      </w:r>
      <w:r w:rsidR="009C6512">
        <w:rPr>
          <w:sz w:val="23"/>
          <w:szCs w:val="23"/>
        </w:rPr>
        <w:t xml:space="preserve"> </w:t>
      </w:r>
      <w:r w:rsidR="007D6D15">
        <w:rPr>
          <w:sz w:val="23"/>
          <w:szCs w:val="23"/>
        </w:rPr>
        <w:t xml:space="preserve"> </w:t>
      </w:r>
    </w:p>
    <w:p w14:paraId="1FB17703" w14:textId="45D1A551" w:rsidR="00A43430" w:rsidRDefault="009F2EE0" w:rsidP="009F2EE0">
      <w:pPr>
        <w:rPr>
          <w:sz w:val="23"/>
          <w:szCs w:val="23"/>
        </w:rPr>
      </w:pPr>
      <w:r>
        <w:rPr>
          <w:sz w:val="23"/>
          <w:szCs w:val="23"/>
        </w:rPr>
        <w:t>Funds supporting ADEs to access business improvement advice have been fully committed</w:t>
      </w:r>
      <w:r w:rsidR="009362F9">
        <w:rPr>
          <w:sz w:val="23"/>
          <w:szCs w:val="23"/>
        </w:rPr>
        <w:t>. Use of</w:t>
      </w:r>
      <w:r>
        <w:rPr>
          <w:sz w:val="23"/>
          <w:szCs w:val="23"/>
        </w:rPr>
        <w:t xml:space="preserve"> wage supplementation has been low while industrial relations issues associated with wage assessment </w:t>
      </w:r>
      <w:r w:rsidR="00C232B8">
        <w:rPr>
          <w:sz w:val="23"/>
          <w:szCs w:val="23"/>
        </w:rPr>
        <w:t xml:space="preserve">are </w:t>
      </w:r>
      <w:r w:rsidR="00396CA6">
        <w:rPr>
          <w:sz w:val="23"/>
          <w:szCs w:val="23"/>
        </w:rPr>
        <w:t>under consideration by</w:t>
      </w:r>
      <w:r w:rsidR="007D6D15">
        <w:rPr>
          <w:sz w:val="23"/>
          <w:szCs w:val="23"/>
        </w:rPr>
        <w:t xml:space="preserve"> the Fair Work Commission. </w:t>
      </w:r>
    </w:p>
    <w:tbl>
      <w:tblPr>
        <w:tblpPr w:leftFromText="180" w:rightFromText="180" w:bottomFromText="155" w:vertAnchor="text"/>
        <w:tblW w:w="5125" w:type="pct"/>
        <w:tblCellMar>
          <w:left w:w="0" w:type="dxa"/>
          <w:right w:w="0" w:type="dxa"/>
        </w:tblCellMar>
        <w:tblLook w:val="04A0" w:firstRow="1" w:lastRow="0" w:firstColumn="1" w:lastColumn="0" w:noHBand="0" w:noVBand="1"/>
        <w:tblCaption w:val="Summary of Funding "/>
        <w:tblDescription w:val="This table shows a summary of funding for Service Delivery, which includes Disability Employment Assistance (CBF), Quality Assurance Payments and CBF Program Support. The total amount of funding for these services from 2015-16 to 2019-20 is roughly $1.1 billion. Below this is a summary of funding for Transitional Supports, which include BSWAT Wage Supplementation and Case Management, New Wage Tool (Varied SWS), Business Improvement. The total amount for funding these services is roughly $180 million"/>
      </w:tblPr>
      <w:tblGrid>
        <w:gridCol w:w="2176"/>
        <w:gridCol w:w="1087"/>
        <w:gridCol w:w="1087"/>
        <w:gridCol w:w="1089"/>
        <w:gridCol w:w="1089"/>
        <w:gridCol w:w="1093"/>
        <w:gridCol w:w="1610"/>
      </w:tblGrid>
      <w:tr w:rsidR="009F2EE0" w:rsidRPr="00961F34" w14:paraId="1DA777EF" w14:textId="77777777" w:rsidTr="00513CF0">
        <w:trPr>
          <w:trHeight w:val="564"/>
        </w:trPr>
        <w:tc>
          <w:tcPr>
            <w:tcW w:w="1178" w:type="pct"/>
            <w:tcBorders>
              <w:top w:val="single" w:sz="8" w:space="0" w:color="FFFFFF"/>
              <w:left w:val="single" w:sz="8" w:space="0" w:color="FFFFFF"/>
              <w:bottom w:val="single" w:sz="24" w:space="0" w:color="FFFFFF"/>
              <w:right w:val="single" w:sz="8" w:space="0" w:color="FFFFFF"/>
            </w:tcBorders>
            <w:shd w:val="clear" w:color="auto" w:fill="31849B"/>
            <w:tcMar>
              <w:top w:w="6" w:type="dxa"/>
              <w:left w:w="43" w:type="dxa"/>
              <w:bottom w:w="0" w:type="dxa"/>
              <w:right w:w="43" w:type="dxa"/>
            </w:tcMar>
            <w:hideMark/>
          </w:tcPr>
          <w:p w14:paraId="589DAA6E" w14:textId="77777777" w:rsidR="009F2EE0" w:rsidRPr="00961F34" w:rsidRDefault="009F2EE0" w:rsidP="00075EF7">
            <w:pPr>
              <w:spacing w:before="0" w:after="0" w:line="276" w:lineRule="auto"/>
              <w:rPr>
                <w:rFonts w:eastAsia="Calibri" w:cs="Arial"/>
                <w:spacing w:val="0"/>
                <w:sz w:val="22"/>
                <w:szCs w:val="22"/>
                <w:lang w:eastAsia="en-US"/>
              </w:rPr>
            </w:pPr>
            <w:r w:rsidRPr="00961F34">
              <w:rPr>
                <w:rFonts w:eastAsia="Calibri" w:cs="Arial"/>
                <w:b/>
                <w:bCs/>
                <w:spacing w:val="0"/>
                <w:sz w:val="22"/>
                <w:szCs w:val="22"/>
                <w:lang w:eastAsia="en-US"/>
              </w:rPr>
              <w:t> </w:t>
            </w:r>
          </w:p>
        </w:tc>
        <w:tc>
          <w:tcPr>
            <w:tcW w:w="589" w:type="pct"/>
            <w:tcBorders>
              <w:top w:val="single" w:sz="8" w:space="0" w:color="FFFFFF"/>
              <w:left w:val="nil"/>
              <w:bottom w:val="single" w:sz="24" w:space="0" w:color="FFFFFF"/>
              <w:right w:val="single" w:sz="8" w:space="0" w:color="FFFFFF"/>
            </w:tcBorders>
            <w:shd w:val="clear" w:color="auto" w:fill="31849B"/>
            <w:tcMar>
              <w:top w:w="15" w:type="dxa"/>
              <w:left w:w="15" w:type="dxa"/>
              <w:bottom w:w="0" w:type="dxa"/>
              <w:right w:w="15" w:type="dxa"/>
            </w:tcMar>
            <w:hideMark/>
          </w:tcPr>
          <w:p w14:paraId="33A01867"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2015-16</w:t>
            </w:r>
          </w:p>
          <w:p w14:paraId="1FD4E41D"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$m</w:t>
            </w:r>
          </w:p>
        </w:tc>
        <w:tc>
          <w:tcPr>
            <w:tcW w:w="589" w:type="pct"/>
            <w:tcBorders>
              <w:top w:val="single" w:sz="8" w:space="0" w:color="FFFFFF"/>
              <w:left w:val="nil"/>
              <w:bottom w:val="single" w:sz="24" w:space="0" w:color="FFFFFF"/>
              <w:right w:val="single" w:sz="8" w:space="0" w:color="FFFFFF"/>
            </w:tcBorders>
            <w:shd w:val="clear" w:color="auto" w:fill="31849B"/>
            <w:tcMar>
              <w:top w:w="15" w:type="dxa"/>
              <w:left w:w="15" w:type="dxa"/>
              <w:bottom w:w="0" w:type="dxa"/>
              <w:right w:w="15" w:type="dxa"/>
            </w:tcMar>
            <w:hideMark/>
          </w:tcPr>
          <w:p w14:paraId="453FE4F5"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2016-17</w:t>
            </w:r>
          </w:p>
          <w:p w14:paraId="3F3F5C3A"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$m</w:t>
            </w:r>
          </w:p>
        </w:tc>
        <w:tc>
          <w:tcPr>
            <w:tcW w:w="590" w:type="pct"/>
            <w:tcBorders>
              <w:top w:val="single" w:sz="8" w:space="0" w:color="FFFFFF"/>
              <w:left w:val="nil"/>
              <w:bottom w:val="single" w:sz="24" w:space="0" w:color="FFFFFF"/>
              <w:right w:val="single" w:sz="8" w:space="0" w:color="FFFFFF"/>
            </w:tcBorders>
            <w:shd w:val="clear" w:color="auto" w:fill="31849B"/>
            <w:tcMar>
              <w:top w:w="15" w:type="dxa"/>
              <w:left w:w="15" w:type="dxa"/>
              <w:bottom w:w="0" w:type="dxa"/>
              <w:right w:w="15" w:type="dxa"/>
            </w:tcMar>
            <w:hideMark/>
          </w:tcPr>
          <w:p w14:paraId="7CC1F302"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2017-18</w:t>
            </w:r>
          </w:p>
          <w:p w14:paraId="3794A10B"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$m</w:t>
            </w:r>
          </w:p>
        </w:tc>
        <w:tc>
          <w:tcPr>
            <w:tcW w:w="590" w:type="pct"/>
            <w:tcBorders>
              <w:top w:val="single" w:sz="8" w:space="0" w:color="FFFFFF"/>
              <w:left w:val="nil"/>
              <w:bottom w:val="single" w:sz="24" w:space="0" w:color="FFFFFF"/>
              <w:right w:val="single" w:sz="8" w:space="0" w:color="FFFFFF"/>
            </w:tcBorders>
            <w:shd w:val="clear" w:color="auto" w:fill="31849B"/>
            <w:tcMar>
              <w:top w:w="15" w:type="dxa"/>
              <w:left w:w="15" w:type="dxa"/>
              <w:bottom w:w="0" w:type="dxa"/>
              <w:right w:w="15" w:type="dxa"/>
            </w:tcMar>
            <w:hideMark/>
          </w:tcPr>
          <w:p w14:paraId="5BF2ECA6"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2018-19</w:t>
            </w:r>
          </w:p>
          <w:p w14:paraId="116D8B5A"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$m</w:t>
            </w:r>
          </w:p>
        </w:tc>
        <w:tc>
          <w:tcPr>
            <w:tcW w:w="592" w:type="pct"/>
            <w:tcBorders>
              <w:top w:val="single" w:sz="8" w:space="0" w:color="FFFFFF"/>
              <w:left w:val="nil"/>
              <w:bottom w:val="single" w:sz="24" w:space="0" w:color="FFFFFF"/>
              <w:right w:val="single" w:sz="8" w:space="0" w:color="FFFFFF"/>
            </w:tcBorders>
            <w:shd w:val="clear" w:color="auto" w:fill="31849B"/>
            <w:tcMar>
              <w:top w:w="15" w:type="dxa"/>
              <w:left w:w="15" w:type="dxa"/>
              <w:bottom w:w="0" w:type="dxa"/>
              <w:right w:w="15" w:type="dxa"/>
            </w:tcMar>
            <w:hideMark/>
          </w:tcPr>
          <w:p w14:paraId="3287B684"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2019-20</w:t>
            </w:r>
          </w:p>
          <w:p w14:paraId="1B71AFFC"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$m</w:t>
            </w:r>
          </w:p>
        </w:tc>
        <w:tc>
          <w:tcPr>
            <w:tcW w:w="873" w:type="pct"/>
            <w:tcBorders>
              <w:top w:val="single" w:sz="8" w:space="0" w:color="FFFFFF"/>
              <w:left w:val="nil"/>
              <w:bottom w:val="single" w:sz="24" w:space="0" w:color="FFFFFF"/>
              <w:right w:val="single" w:sz="8" w:space="0" w:color="FFFFFF"/>
            </w:tcBorders>
            <w:shd w:val="clear" w:color="auto" w:fill="31849B"/>
            <w:tcMar>
              <w:top w:w="6" w:type="dxa"/>
              <w:left w:w="43" w:type="dxa"/>
              <w:bottom w:w="0" w:type="dxa"/>
              <w:right w:w="43" w:type="dxa"/>
            </w:tcMar>
            <w:hideMark/>
          </w:tcPr>
          <w:p w14:paraId="73791BB4"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Total</w:t>
            </w:r>
          </w:p>
          <w:p w14:paraId="0828BB56" w14:textId="77777777" w:rsidR="009F2EE0" w:rsidRPr="00961F34" w:rsidRDefault="009F2EE0" w:rsidP="00075EF7">
            <w:pPr>
              <w:spacing w:before="0" w:after="0" w:line="276" w:lineRule="auto"/>
              <w:jc w:val="center"/>
              <w:rPr>
                <w:rFonts w:eastAsia="Calibri" w:cs="Arial"/>
                <w:spacing w:val="0"/>
                <w:sz w:val="22"/>
                <w:szCs w:val="22"/>
                <w:lang w:eastAsia="en-US"/>
              </w:rPr>
            </w:pPr>
            <w:r w:rsidRPr="00961F34">
              <w:rPr>
                <w:rFonts w:eastAsia="Calibri" w:cs="Arial"/>
                <w:b/>
                <w:bCs/>
                <w:spacing w:val="0"/>
                <w:sz w:val="22"/>
                <w:szCs w:val="22"/>
                <w:lang w:eastAsia="en-US"/>
              </w:rPr>
              <w:t>$m</w:t>
            </w:r>
          </w:p>
        </w:tc>
      </w:tr>
      <w:tr w:rsidR="009F2EE0" w:rsidRPr="00961F34" w14:paraId="65C14675" w14:textId="77777777" w:rsidTr="00A43430">
        <w:trPr>
          <w:trHeight w:val="189"/>
        </w:trPr>
        <w:tc>
          <w:tcPr>
            <w:tcW w:w="5000" w:type="pct"/>
            <w:gridSpan w:val="7"/>
            <w:tcBorders>
              <w:top w:val="nil"/>
              <w:left w:val="single" w:sz="8" w:space="0" w:color="FFFFFF"/>
              <w:bottom w:val="single" w:sz="8" w:space="0" w:color="FFFFFF"/>
              <w:right w:val="single" w:sz="8" w:space="0" w:color="FFFFFF"/>
            </w:tcBorders>
            <w:shd w:val="clear" w:color="auto" w:fill="A6A6A6"/>
            <w:tcMar>
              <w:top w:w="6" w:type="dxa"/>
              <w:left w:w="43" w:type="dxa"/>
              <w:bottom w:w="0" w:type="dxa"/>
              <w:right w:w="43" w:type="dxa"/>
            </w:tcMar>
            <w:hideMark/>
          </w:tcPr>
          <w:p w14:paraId="3CB0CD50" w14:textId="77777777" w:rsidR="009F2EE0" w:rsidRPr="00961F34" w:rsidRDefault="009F2EE0" w:rsidP="00075EF7">
            <w:pPr>
              <w:spacing w:before="0" w:after="200" w:line="276" w:lineRule="auto"/>
              <w:jc w:val="center"/>
              <w:rPr>
                <w:rFonts w:eastAsia="Calibri" w:cs="Arial"/>
                <w:b/>
                <w:bCs/>
                <w:spacing w:val="0"/>
                <w:sz w:val="22"/>
                <w:szCs w:val="22"/>
                <w:lang w:eastAsia="en-US"/>
              </w:rPr>
            </w:pPr>
            <w:r w:rsidRPr="00961F34">
              <w:rPr>
                <w:rFonts w:eastAsia="Calibri" w:cs="Arial"/>
                <w:b/>
                <w:bCs/>
                <w:spacing w:val="0"/>
                <w:sz w:val="22"/>
                <w:szCs w:val="22"/>
                <w:lang w:eastAsia="en-US"/>
              </w:rPr>
              <w:t>Service Delivery funding</w:t>
            </w:r>
            <w:r w:rsidR="002B6A03">
              <w:rPr>
                <w:rFonts w:eastAsia="Calibri" w:cs="Arial"/>
                <w:b/>
                <w:bCs/>
                <w:spacing w:val="0"/>
                <w:sz w:val="22"/>
                <w:szCs w:val="22"/>
                <w:lang w:eastAsia="en-US"/>
              </w:rPr>
              <w:t xml:space="preserve"> </w:t>
            </w:r>
          </w:p>
        </w:tc>
      </w:tr>
      <w:tr w:rsidR="009F2EE0" w:rsidRPr="00961F34" w14:paraId="4A9ED22D" w14:textId="77777777" w:rsidTr="00513CF0">
        <w:trPr>
          <w:trHeight w:val="470"/>
        </w:trPr>
        <w:tc>
          <w:tcPr>
            <w:tcW w:w="1178" w:type="pct"/>
            <w:tcBorders>
              <w:top w:val="nil"/>
              <w:left w:val="single" w:sz="8" w:space="0" w:color="FFFFFF"/>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42B8F2E3"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Disabil</w:t>
            </w:r>
            <w:r>
              <w:rPr>
                <w:rFonts w:eastAsia="Calibri" w:cs="Arial"/>
                <w:color w:val="000000"/>
                <w:spacing w:val="0"/>
                <w:sz w:val="22"/>
                <w:szCs w:val="22"/>
                <w:lang w:eastAsia="en-US"/>
              </w:rPr>
              <w:t>ity Employment Assistance (CBF)</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4C4AB605"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221.817</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6935C990"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211.263</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4F827ACB"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221.271</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5BADA3A6"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227.177</w:t>
            </w:r>
          </w:p>
        </w:tc>
        <w:tc>
          <w:tcPr>
            <w:tcW w:w="592"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2F6BF258"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232.173</w:t>
            </w:r>
          </w:p>
        </w:tc>
        <w:tc>
          <w:tcPr>
            <w:tcW w:w="873"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5B3CE80B"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1,113.701</w:t>
            </w:r>
          </w:p>
        </w:tc>
      </w:tr>
      <w:tr w:rsidR="009F2EE0" w:rsidRPr="00961F34" w14:paraId="59FCE21C" w14:textId="77777777" w:rsidTr="00513CF0">
        <w:trPr>
          <w:trHeight w:val="457"/>
        </w:trPr>
        <w:tc>
          <w:tcPr>
            <w:tcW w:w="1178" w:type="pct"/>
            <w:tcBorders>
              <w:top w:val="nil"/>
              <w:left w:val="single" w:sz="8" w:space="0" w:color="FFFFFF"/>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49F1DC91"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Quality Assurance Payments</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5EA786CF"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1.047</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5BEB8EC3"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1.096</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76D0A754"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1.077</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3DB02F36"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1.052</w:t>
            </w:r>
          </w:p>
        </w:tc>
        <w:tc>
          <w:tcPr>
            <w:tcW w:w="592"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2B100176"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1.076</w:t>
            </w:r>
          </w:p>
        </w:tc>
        <w:tc>
          <w:tcPr>
            <w:tcW w:w="873"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2014D35A"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5.348</w:t>
            </w:r>
          </w:p>
        </w:tc>
      </w:tr>
      <w:tr w:rsidR="009F2EE0" w:rsidRPr="00961F34" w14:paraId="73704484" w14:textId="77777777" w:rsidTr="00513CF0">
        <w:trPr>
          <w:trHeight w:val="343"/>
        </w:trPr>
        <w:tc>
          <w:tcPr>
            <w:tcW w:w="1178" w:type="pct"/>
            <w:tcBorders>
              <w:top w:val="nil"/>
              <w:left w:val="single" w:sz="8" w:space="0" w:color="FFFFFF"/>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557B31C6"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CBF Program Support</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72315E74"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10.415</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6B018D10"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0.78</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358D81A5"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3.000</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10B360E6"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0.000</w:t>
            </w:r>
          </w:p>
        </w:tc>
        <w:tc>
          <w:tcPr>
            <w:tcW w:w="592"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4C9915BF"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0.000</w:t>
            </w:r>
          </w:p>
        </w:tc>
        <w:tc>
          <w:tcPr>
            <w:tcW w:w="873"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27E41116"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14.195</w:t>
            </w:r>
          </w:p>
        </w:tc>
      </w:tr>
      <w:tr w:rsidR="009F2EE0" w:rsidRPr="00396CA6" w14:paraId="23B74AE8" w14:textId="77777777" w:rsidTr="00513CF0">
        <w:trPr>
          <w:trHeight w:val="287"/>
        </w:trPr>
        <w:tc>
          <w:tcPr>
            <w:tcW w:w="4127" w:type="pct"/>
            <w:gridSpan w:val="6"/>
            <w:tcBorders>
              <w:top w:val="nil"/>
              <w:left w:val="single" w:sz="8" w:space="0" w:color="FFFFFF"/>
              <w:bottom w:val="single" w:sz="8" w:space="0" w:color="FFFFFF"/>
              <w:right w:val="single" w:sz="8" w:space="0" w:color="FFFFFF"/>
            </w:tcBorders>
            <w:shd w:val="clear" w:color="auto" w:fill="D9D9D9"/>
            <w:tcMar>
              <w:top w:w="6" w:type="dxa"/>
              <w:left w:w="43" w:type="dxa"/>
              <w:bottom w:w="0" w:type="dxa"/>
              <w:right w:w="43" w:type="dxa"/>
            </w:tcMar>
            <w:hideMark/>
          </w:tcPr>
          <w:p w14:paraId="35017FC1"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Total</w:t>
            </w:r>
          </w:p>
        </w:tc>
        <w:tc>
          <w:tcPr>
            <w:tcW w:w="873" w:type="pct"/>
            <w:tcBorders>
              <w:top w:val="nil"/>
              <w:left w:val="nil"/>
              <w:bottom w:val="single" w:sz="8" w:space="0" w:color="FFFFFF"/>
              <w:right w:val="single" w:sz="8" w:space="0" w:color="FFFFFF"/>
            </w:tcBorders>
            <w:shd w:val="clear" w:color="auto" w:fill="D9D9D9"/>
            <w:tcMar>
              <w:top w:w="6" w:type="dxa"/>
              <w:left w:w="43" w:type="dxa"/>
              <w:bottom w:w="0" w:type="dxa"/>
              <w:right w:w="43" w:type="dxa"/>
            </w:tcMar>
            <w:hideMark/>
          </w:tcPr>
          <w:p w14:paraId="158ED613" w14:textId="77777777" w:rsidR="009F2EE0" w:rsidRPr="00AC4298" w:rsidRDefault="009F2EE0" w:rsidP="00075EF7">
            <w:pPr>
              <w:spacing w:before="0" w:after="120" w:line="276" w:lineRule="auto"/>
              <w:jc w:val="right"/>
              <w:rPr>
                <w:rFonts w:eastAsia="Calibri" w:cs="Arial"/>
                <w:color w:val="000000"/>
                <w:spacing w:val="0"/>
                <w:sz w:val="22"/>
                <w:szCs w:val="22"/>
                <w:lang w:eastAsia="en-US"/>
              </w:rPr>
            </w:pPr>
            <w:r w:rsidRPr="00AC4298">
              <w:rPr>
                <w:rFonts w:eastAsia="Calibri" w:cs="Arial"/>
                <w:color w:val="000000"/>
                <w:spacing w:val="0"/>
                <w:sz w:val="22"/>
                <w:szCs w:val="22"/>
                <w:lang w:eastAsia="en-US"/>
              </w:rPr>
              <w:t>1,</w:t>
            </w:r>
            <w:r w:rsidR="00B5251F" w:rsidRPr="00AC4298">
              <w:rPr>
                <w:rFonts w:eastAsia="Calibri" w:cs="Arial"/>
                <w:color w:val="000000"/>
                <w:spacing w:val="0"/>
                <w:sz w:val="22"/>
                <w:szCs w:val="22"/>
                <w:lang w:eastAsia="en-US"/>
              </w:rPr>
              <w:t>1</w:t>
            </w:r>
            <w:r w:rsidRPr="00AC4298">
              <w:rPr>
                <w:rFonts w:eastAsia="Calibri" w:cs="Arial"/>
                <w:color w:val="000000"/>
                <w:spacing w:val="0"/>
                <w:sz w:val="22"/>
                <w:szCs w:val="22"/>
                <w:lang w:eastAsia="en-US"/>
              </w:rPr>
              <w:t>33.24</w:t>
            </w:r>
          </w:p>
        </w:tc>
      </w:tr>
      <w:tr w:rsidR="009F2EE0" w:rsidRPr="00961F34" w14:paraId="19F37545" w14:textId="77777777" w:rsidTr="00A43430">
        <w:trPr>
          <w:trHeight w:val="236"/>
        </w:trPr>
        <w:tc>
          <w:tcPr>
            <w:tcW w:w="5000" w:type="pct"/>
            <w:gridSpan w:val="7"/>
            <w:tcBorders>
              <w:top w:val="nil"/>
              <w:left w:val="single" w:sz="8" w:space="0" w:color="FFFFFF"/>
              <w:bottom w:val="single" w:sz="8" w:space="0" w:color="FFFFFF"/>
              <w:right w:val="single" w:sz="8" w:space="0" w:color="FFFFFF"/>
            </w:tcBorders>
            <w:shd w:val="clear" w:color="auto" w:fill="A6A6A6"/>
            <w:tcMar>
              <w:top w:w="6" w:type="dxa"/>
              <w:left w:w="43" w:type="dxa"/>
              <w:bottom w:w="0" w:type="dxa"/>
              <w:right w:w="43" w:type="dxa"/>
            </w:tcMar>
            <w:hideMark/>
          </w:tcPr>
          <w:p w14:paraId="49C15C01" w14:textId="77777777" w:rsidR="009F2EE0" w:rsidRPr="00961F34" w:rsidRDefault="009F2EE0" w:rsidP="00075EF7">
            <w:pPr>
              <w:spacing w:before="0" w:after="120" w:line="276" w:lineRule="auto"/>
              <w:jc w:val="center"/>
              <w:rPr>
                <w:rFonts w:eastAsia="Calibri" w:cs="Arial"/>
                <w:b/>
                <w:bCs/>
                <w:color w:val="000000"/>
                <w:spacing w:val="0"/>
                <w:sz w:val="22"/>
                <w:szCs w:val="22"/>
                <w:lang w:eastAsia="en-US"/>
              </w:rPr>
            </w:pPr>
            <w:r w:rsidRPr="00961F34">
              <w:rPr>
                <w:rFonts w:eastAsia="Calibri" w:cs="Arial"/>
                <w:b/>
                <w:bCs/>
                <w:color w:val="000000"/>
                <w:spacing w:val="0"/>
                <w:sz w:val="22"/>
                <w:szCs w:val="22"/>
                <w:lang w:eastAsia="en-US"/>
              </w:rPr>
              <w:t>Transitional support  funding</w:t>
            </w:r>
          </w:p>
        </w:tc>
      </w:tr>
      <w:tr w:rsidR="009F2EE0" w:rsidRPr="00961F34" w14:paraId="116A4EAB" w14:textId="77777777" w:rsidTr="00513CF0">
        <w:trPr>
          <w:trHeight w:val="457"/>
        </w:trPr>
        <w:tc>
          <w:tcPr>
            <w:tcW w:w="1178" w:type="pct"/>
            <w:tcBorders>
              <w:top w:val="nil"/>
              <w:left w:val="single" w:sz="8" w:space="0" w:color="FFFFFF"/>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2BE6A8EA"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BSWAT Wage Supplementation</w:t>
            </w:r>
            <w:r w:rsidR="00CC3427">
              <w:rPr>
                <w:rFonts w:eastAsia="Calibri" w:cs="Arial"/>
                <w:color w:val="000000"/>
                <w:spacing w:val="0"/>
                <w:sz w:val="22"/>
                <w:szCs w:val="22"/>
                <w:lang w:eastAsia="en-US"/>
              </w:rPr>
              <w:t xml:space="preserve"> and Case Management</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4AEAF279"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6.861</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3264E127"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2.400</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631E5CCC"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26.390</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1EDAF0D4"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52.807</w:t>
            </w:r>
          </w:p>
        </w:tc>
        <w:tc>
          <w:tcPr>
            <w:tcW w:w="592"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5055AC03"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42.737</w:t>
            </w:r>
          </w:p>
        </w:tc>
        <w:tc>
          <w:tcPr>
            <w:tcW w:w="873"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01B4D55F"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131.195</w:t>
            </w:r>
          </w:p>
        </w:tc>
      </w:tr>
      <w:tr w:rsidR="009F2EE0" w:rsidRPr="00961F34" w14:paraId="7C58F58B" w14:textId="77777777" w:rsidTr="00513CF0">
        <w:trPr>
          <w:trHeight w:val="457"/>
        </w:trPr>
        <w:tc>
          <w:tcPr>
            <w:tcW w:w="1178" w:type="pct"/>
            <w:tcBorders>
              <w:top w:val="nil"/>
              <w:left w:val="single" w:sz="8" w:space="0" w:color="FFFFFF"/>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3658AF98"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New Wage Tool (Varied SWS)</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035530EA"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0.978</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76423A8D"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15.322</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65CD203E"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7.754</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095AE662"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7.777</w:t>
            </w:r>
          </w:p>
        </w:tc>
        <w:tc>
          <w:tcPr>
            <w:tcW w:w="592"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7F44FABD"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0.000</w:t>
            </w:r>
          </w:p>
        </w:tc>
        <w:tc>
          <w:tcPr>
            <w:tcW w:w="873"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14542D42" w14:textId="353F07F2" w:rsidR="009F2EE0" w:rsidRPr="00961F34" w:rsidRDefault="009F2EE0" w:rsidP="00CD0405">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31.</w:t>
            </w:r>
            <w:r w:rsidR="00CD0405">
              <w:rPr>
                <w:rFonts w:eastAsia="Calibri" w:cs="Arial"/>
                <w:color w:val="000000"/>
                <w:spacing w:val="0"/>
                <w:sz w:val="22"/>
                <w:szCs w:val="22"/>
                <w:lang w:eastAsia="en-US"/>
              </w:rPr>
              <w:t>831</w:t>
            </w:r>
          </w:p>
        </w:tc>
      </w:tr>
      <w:tr w:rsidR="009F2EE0" w:rsidRPr="00961F34" w14:paraId="086CAAD9" w14:textId="77777777" w:rsidTr="00513CF0">
        <w:trPr>
          <w:trHeight w:val="457"/>
        </w:trPr>
        <w:tc>
          <w:tcPr>
            <w:tcW w:w="1178" w:type="pct"/>
            <w:tcBorders>
              <w:top w:val="nil"/>
              <w:left w:val="single" w:sz="8" w:space="0" w:color="FFFFFF"/>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7BD0DB04"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Business Improvement</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166F1CAB"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8.986</w:t>
            </w:r>
          </w:p>
        </w:tc>
        <w:tc>
          <w:tcPr>
            <w:tcW w:w="589"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3FAB9B78"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6.014</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35783225"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1.008</w:t>
            </w:r>
          </w:p>
        </w:tc>
        <w:tc>
          <w:tcPr>
            <w:tcW w:w="590"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5F289054"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1.014</w:t>
            </w:r>
          </w:p>
        </w:tc>
        <w:tc>
          <w:tcPr>
            <w:tcW w:w="592"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3235CD05"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0.000</w:t>
            </w:r>
          </w:p>
        </w:tc>
        <w:tc>
          <w:tcPr>
            <w:tcW w:w="873" w:type="pct"/>
            <w:tcBorders>
              <w:top w:val="nil"/>
              <w:left w:val="nil"/>
              <w:bottom w:val="single" w:sz="8" w:space="0" w:color="FFFFFF"/>
              <w:right w:val="single" w:sz="8" w:space="0" w:color="FFFFFF"/>
            </w:tcBorders>
            <w:shd w:val="clear" w:color="auto" w:fill="E7EAEB"/>
            <w:tcMar>
              <w:top w:w="6" w:type="dxa"/>
              <w:left w:w="43" w:type="dxa"/>
              <w:bottom w:w="0" w:type="dxa"/>
              <w:right w:w="43" w:type="dxa"/>
            </w:tcMar>
            <w:vAlign w:val="center"/>
            <w:hideMark/>
          </w:tcPr>
          <w:p w14:paraId="5506FEE0" w14:textId="77777777"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17.022</w:t>
            </w:r>
          </w:p>
        </w:tc>
      </w:tr>
      <w:tr w:rsidR="009F2EE0" w:rsidRPr="00961F34" w14:paraId="76BE0870" w14:textId="77777777" w:rsidTr="00513CF0">
        <w:trPr>
          <w:trHeight w:val="318"/>
        </w:trPr>
        <w:tc>
          <w:tcPr>
            <w:tcW w:w="4127" w:type="pct"/>
            <w:gridSpan w:val="6"/>
            <w:tcBorders>
              <w:top w:val="nil"/>
              <w:left w:val="single" w:sz="8" w:space="0" w:color="FFFFFF"/>
              <w:bottom w:val="single" w:sz="8" w:space="0" w:color="FFFFFF"/>
              <w:right w:val="single" w:sz="8" w:space="0" w:color="FFFFFF"/>
            </w:tcBorders>
            <w:shd w:val="clear" w:color="auto" w:fill="D9D9D9"/>
            <w:tcMar>
              <w:top w:w="6" w:type="dxa"/>
              <w:left w:w="43" w:type="dxa"/>
              <w:bottom w:w="0" w:type="dxa"/>
              <w:right w:w="43" w:type="dxa"/>
            </w:tcMar>
            <w:hideMark/>
          </w:tcPr>
          <w:p w14:paraId="4BE307A5" w14:textId="604C04B3" w:rsidR="009F2EE0" w:rsidRPr="00961F34" w:rsidRDefault="009F2EE0" w:rsidP="00075EF7">
            <w:pPr>
              <w:spacing w:before="0" w:after="120" w:line="276" w:lineRule="auto"/>
              <w:jc w:val="right"/>
              <w:rPr>
                <w:rFonts w:eastAsia="Calibri" w:cs="Arial"/>
                <w:color w:val="000000"/>
                <w:spacing w:val="0"/>
                <w:sz w:val="22"/>
                <w:szCs w:val="22"/>
                <w:lang w:eastAsia="en-US"/>
              </w:rPr>
            </w:pPr>
            <w:r w:rsidRPr="00961F34">
              <w:rPr>
                <w:rFonts w:eastAsia="Calibri" w:cs="Arial"/>
                <w:color w:val="000000"/>
                <w:spacing w:val="0"/>
                <w:sz w:val="22"/>
                <w:szCs w:val="22"/>
                <w:lang w:eastAsia="en-US"/>
              </w:rPr>
              <w:t>Total</w:t>
            </w:r>
          </w:p>
        </w:tc>
        <w:tc>
          <w:tcPr>
            <w:tcW w:w="873" w:type="pct"/>
            <w:tcBorders>
              <w:top w:val="nil"/>
              <w:left w:val="nil"/>
              <w:bottom w:val="single" w:sz="8" w:space="0" w:color="FFFFFF"/>
              <w:right w:val="single" w:sz="8" w:space="0" w:color="FFFFFF"/>
            </w:tcBorders>
            <w:shd w:val="clear" w:color="auto" w:fill="D9D9D9"/>
            <w:tcMar>
              <w:top w:w="6" w:type="dxa"/>
              <w:left w:w="43" w:type="dxa"/>
              <w:bottom w:w="0" w:type="dxa"/>
              <w:right w:w="43" w:type="dxa"/>
            </w:tcMar>
            <w:hideMark/>
          </w:tcPr>
          <w:p w14:paraId="5FA92359" w14:textId="4E20A2C2" w:rsidR="009F2EE0" w:rsidRPr="00961F34" w:rsidRDefault="00CD0405" w:rsidP="00075EF7">
            <w:pPr>
              <w:spacing w:before="0" w:after="120" w:line="276" w:lineRule="auto"/>
              <w:jc w:val="right"/>
              <w:rPr>
                <w:rFonts w:eastAsia="Calibri" w:cs="Arial"/>
                <w:color w:val="000000"/>
                <w:spacing w:val="0"/>
                <w:sz w:val="22"/>
                <w:szCs w:val="22"/>
                <w:lang w:eastAsia="en-US"/>
              </w:rPr>
            </w:pPr>
            <w:r>
              <w:rPr>
                <w:rFonts w:eastAsia="Calibri" w:cs="Arial"/>
                <w:color w:val="000000"/>
                <w:spacing w:val="0"/>
                <w:sz w:val="22"/>
                <w:szCs w:val="22"/>
                <w:lang w:eastAsia="en-US"/>
              </w:rPr>
              <w:t>180.048</w:t>
            </w:r>
          </w:p>
        </w:tc>
      </w:tr>
    </w:tbl>
    <w:p w14:paraId="42999F23" w14:textId="24B36997" w:rsidR="009362F9" w:rsidRDefault="00513CF0" w:rsidP="00A43430">
      <w:pPr>
        <w:jc w:val="center"/>
        <w:rPr>
          <w:sz w:val="23"/>
          <w:szCs w:val="23"/>
          <w:u w:val="single"/>
        </w:rPr>
      </w:pPr>
      <w:r w:rsidRPr="00513CF0">
        <w:rPr>
          <w:noProof/>
        </w:rPr>
        <w:drawing>
          <wp:inline distT="0" distB="0" distL="0" distR="0" wp14:anchorId="5D84C396" wp14:editId="7ACE1097">
            <wp:extent cx="5335200" cy="1778400"/>
            <wp:effectExtent l="0" t="0" r="0" b="0"/>
            <wp:docPr id="11" name="Picture 11" descr="Two intersecting circles.&#10;Circle 1 reads: $11,800 a year (employment support)&#10;Circle 2 reads: $2,500 (transitional support)" title="Average cost of employment support and transitional funds available on per person 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0122\AppData\Local\Microsoft\Windows\INetCache\Content.Outlook\GT1ON9JB\Image page 13 (0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5200" cy="1778400"/>
                    </a:xfrm>
                    <a:prstGeom prst="rect">
                      <a:avLst/>
                    </a:prstGeom>
                    <a:noFill/>
                    <a:ln>
                      <a:noFill/>
                    </a:ln>
                  </pic:spPr>
                </pic:pic>
              </a:graphicData>
            </a:graphic>
          </wp:inline>
        </w:drawing>
      </w:r>
      <w:r w:rsidR="009362F9">
        <w:rPr>
          <w:sz w:val="23"/>
          <w:szCs w:val="23"/>
          <w:u w:val="single"/>
        </w:rPr>
        <w:br w:type="page"/>
      </w:r>
    </w:p>
    <w:p w14:paraId="1A7ADEEE" w14:textId="77777777" w:rsidR="00976CC5" w:rsidRPr="00192A97" w:rsidRDefault="00976CC5" w:rsidP="00A0638F">
      <w:pPr>
        <w:pStyle w:val="Heading3"/>
      </w:pPr>
      <w:bookmarkStart w:id="34" w:name="_Toc500342828"/>
      <w:bookmarkStart w:id="35" w:name="_Toc500401862"/>
      <w:r w:rsidRPr="00192A97">
        <w:lastRenderedPageBreak/>
        <w:t>Supported employment funding</w:t>
      </w:r>
      <w:bookmarkEnd w:id="34"/>
      <w:bookmarkEnd w:id="35"/>
      <w:r w:rsidRPr="00192A97">
        <w:t xml:space="preserve"> </w:t>
      </w:r>
    </w:p>
    <w:p w14:paraId="76C7026F" w14:textId="010D7229" w:rsidR="00E24957" w:rsidRDefault="00976CC5" w:rsidP="00976CC5">
      <w:pPr>
        <w:rPr>
          <w:sz w:val="23"/>
          <w:szCs w:val="23"/>
        </w:rPr>
      </w:pPr>
      <w:r w:rsidRPr="00192A97">
        <w:rPr>
          <w:sz w:val="23"/>
          <w:szCs w:val="23"/>
        </w:rPr>
        <w:t>Currently ADEs are funded for a capped number of places, with a price per place for each person with a disability</w:t>
      </w:r>
      <w:r w:rsidR="00C232B8">
        <w:rPr>
          <w:sz w:val="23"/>
          <w:szCs w:val="23"/>
        </w:rPr>
        <w:t xml:space="preserve">. </w:t>
      </w:r>
      <w:r w:rsidR="00895984">
        <w:rPr>
          <w:sz w:val="23"/>
          <w:szCs w:val="23"/>
        </w:rPr>
        <w:t>This case-</w:t>
      </w:r>
      <w:r w:rsidRPr="00192A97">
        <w:rPr>
          <w:sz w:val="23"/>
          <w:szCs w:val="23"/>
        </w:rPr>
        <w:t xml:space="preserve">based funding is paid monthly in arrears to the ADE while the supported employee remains in employment.  </w:t>
      </w:r>
    </w:p>
    <w:tbl>
      <w:tblPr>
        <w:tblW w:w="7800" w:type="dxa"/>
        <w:tblCellMar>
          <w:left w:w="0" w:type="dxa"/>
          <w:right w:w="0" w:type="dxa"/>
        </w:tblCellMar>
        <w:tblLook w:val="0420" w:firstRow="1" w:lastRow="0" w:firstColumn="0" w:lastColumn="0" w:noHBand="0" w:noVBand="1"/>
        <w:tblCaption w:val="Table of current case-based funding for ADES"/>
        <w:tblDescription w:val="Breakdown of funds under case-based funding:&#10;Intake fee - $634&#10;Employment Assistance Fee - $634 per month, for up to 12 months&#10;Employee Maintenance Fees range from DMI Level 1 to DMI Level 4.&#10;DMI Level 1 - $375 per month&#10;DMI Level 2 - $634 per month&#10;DMI Level 3 - $953 per month&#10;DMI Level 4 - $1,264 per month"/>
      </w:tblPr>
      <w:tblGrid>
        <w:gridCol w:w="4040"/>
        <w:gridCol w:w="1880"/>
        <w:gridCol w:w="1880"/>
      </w:tblGrid>
      <w:tr w:rsidR="00E24957" w:rsidRPr="00E24957" w14:paraId="60034AF9" w14:textId="77777777" w:rsidTr="00E24957">
        <w:trPr>
          <w:trHeight w:val="525"/>
        </w:trPr>
        <w:tc>
          <w:tcPr>
            <w:tcW w:w="4040" w:type="dxa"/>
            <w:tcBorders>
              <w:top w:val="single" w:sz="8" w:space="0" w:color="FFFFFF"/>
              <w:left w:val="single" w:sz="8" w:space="0" w:color="FFFFFF"/>
              <w:bottom w:val="single" w:sz="24" w:space="0" w:color="FFFFFF"/>
              <w:right w:val="single" w:sz="8" w:space="0" w:color="FFFFFF"/>
            </w:tcBorders>
            <w:shd w:val="clear" w:color="auto" w:fill="00B0B9"/>
            <w:tcMar>
              <w:top w:w="76" w:type="dxa"/>
              <w:left w:w="151" w:type="dxa"/>
              <w:bottom w:w="76" w:type="dxa"/>
              <w:right w:w="151" w:type="dxa"/>
            </w:tcMar>
            <w:hideMark/>
          </w:tcPr>
          <w:p w14:paraId="4BB56272" w14:textId="77777777" w:rsidR="00E24957" w:rsidRPr="00E24957" w:rsidRDefault="00E24957" w:rsidP="00E24957">
            <w:pPr>
              <w:spacing w:before="0" w:after="0" w:line="240" w:lineRule="auto"/>
              <w:rPr>
                <w:rFonts w:cs="Arial"/>
                <w:spacing w:val="0"/>
                <w:sz w:val="36"/>
                <w:szCs w:val="36"/>
              </w:rPr>
            </w:pPr>
            <w:r w:rsidRPr="00E24957">
              <w:rPr>
                <w:rFonts w:cs="Arial"/>
                <w:b/>
                <w:bCs/>
                <w:color w:val="FFFFFF" w:themeColor="light1"/>
                <w:spacing w:val="0"/>
                <w:kern w:val="24"/>
                <w:sz w:val="22"/>
                <w:szCs w:val="22"/>
              </w:rPr>
              <w:t>Current case-based funding core fees – 2017-18</w:t>
            </w:r>
          </w:p>
        </w:tc>
        <w:tc>
          <w:tcPr>
            <w:tcW w:w="3760" w:type="dxa"/>
            <w:gridSpan w:val="2"/>
            <w:tcBorders>
              <w:top w:val="single" w:sz="8" w:space="0" w:color="FFFFFF"/>
              <w:left w:val="single" w:sz="8" w:space="0" w:color="FFFFFF"/>
              <w:bottom w:val="single" w:sz="24" w:space="0" w:color="FFFFFF"/>
              <w:right w:val="single" w:sz="8" w:space="0" w:color="FFFFFF"/>
            </w:tcBorders>
            <w:shd w:val="clear" w:color="auto" w:fill="00B0B9"/>
            <w:tcMar>
              <w:top w:w="76" w:type="dxa"/>
              <w:left w:w="151" w:type="dxa"/>
              <w:bottom w:w="76" w:type="dxa"/>
              <w:right w:w="151" w:type="dxa"/>
            </w:tcMar>
            <w:hideMark/>
          </w:tcPr>
          <w:p w14:paraId="088E8EA7" w14:textId="77777777" w:rsidR="00E24957" w:rsidRPr="00E24957" w:rsidRDefault="00E24957" w:rsidP="00E24957">
            <w:pPr>
              <w:spacing w:before="0" w:after="0" w:line="240" w:lineRule="auto"/>
              <w:rPr>
                <w:rFonts w:cs="Arial"/>
                <w:spacing w:val="0"/>
                <w:sz w:val="36"/>
                <w:szCs w:val="36"/>
              </w:rPr>
            </w:pPr>
            <w:r w:rsidRPr="00E24957">
              <w:rPr>
                <w:rFonts w:cs="Arial"/>
                <w:b/>
                <w:bCs/>
                <w:color w:val="FFFFFF" w:themeColor="light1"/>
                <w:spacing w:val="0"/>
                <w:kern w:val="24"/>
                <w:sz w:val="22"/>
                <w:szCs w:val="22"/>
              </w:rPr>
              <w:t>Amount (GST exclusive)</w:t>
            </w:r>
          </w:p>
        </w:tc>
      </w:tr>
      <w:tr w:rsidR="00E24957" w:rsidRPr="00E24957" w14:paraId="33C81655" w14:textId="77777777" w:rsidTr="00E24957">
        <w:trPr>
          <w:trHeight w:val="225"/>
        </w:trPr>
        <w:tc>
          <w:tcPr>
            <w:tcW w:w="4040" w:type="dxa"/>
            <w:tcBorders>
              <w:top w:val="single" w:sz="24"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79601609" w14:textId="77777777" w:rsidR="00E24957" w:rsidRPr="00E24957" w:rsidRDefault="00E24957" w:rsidP="00E24957">
            <w:pPr>
              <w:spacing w:before="0" w:after="0" w:line="240" w:lineRule="auto"/>
              <w:rPr>
                <w:rFonts w:cs="Arial"/>
                <w:spacing w:val="0"/>
                <w:sz w:val="36"/>
                <w:szCs w:val="36"/>
              </w:rPr>
            </w:pPr>
            <w:r w:rsidRPr="00E24957">
              <w:rPr>
                <w:rFonts w:cs="Arial"/>
                <w:color w:val="000000" w:themeColor="dark1"/>
                <w:spacing w:val="0"/>
                <w:kern w:val="24"/>
                <w:sz w:val="22"/>
                <w:szCs w:val="22"/>
              </w:rPr>
              <w:t>Intake Fee</w:t>
            </w:r>
          </w:p>
        </w:tc>
        <w:tc>
          <w:tcPr>
            <w:tcW w:w="3760" w:type="dxa"/>
            <w:gridSpan w:val="2"/>
            <w:tcBorders>
              <w:top w:val="single" w:sz="24"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763A4077"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$634</w:t>
            </w:r>
          </w:p>
        </w:tc>
      </w:tr>
      <w:tr w:rsidR="00E24957" w:rsidRPr="00E24957" w14:paraId="1E2B8B18" w14:textId="77777777" w:rsidTr="00E24957">
        <w:trPr>
          <w:trHeight w:val="782"/>
        </w:trPr>
        <w:tc>
          <w:tcPr>
            <w:tcW w:w="4040" w:type="dxa"/>
            <w:tcBorders>
              <w:top w:val="single" w:sz="8" w:space="0" w:color="FFFFFF"/>
              <w:left w:val="single" w:sz="8" w:space="0" w:color="FFFFFF"/>
              <w:bottom w:val="single" w:sz="8" w:space="0" w:color="FFFFFF"/>
              <w:right w:val="single" w:sz="8" w:space="0" w:color="FFFFFF"/>
            </w:tcBorders>
            <w:shd w:val="clear" w:color="auto" w:fill="E7F2F3"/>
            <w:tcMar>
              <w:top w:w="76" w:type="dxa"/>
              <w:left w:w="151" w:type="dxa"/>
              <w:bottom w:w="76" w:type="dxa"/>
              <w:right w:w="151" w:type="dxa"/>
            </w:tcMar>
            <w:hideMark/>
          </w:tcPr>
          <w:p w14:paraId="1E0D9385" w14:textId="77777777" w:rsidR="00E24957" w:rsidRPr="00E24957" w:rsidRDefault="00E24957" w:rsidP="00E24957">
            <w:pPr>
              <w:spacing w:before="0" w:after="0" w:line="240" w:lineRule="auto"/>
              <w:rPr>
                <w:rFonts w:cs="Arial"/>
                <w:spacing w:val="0"/>
                <w:sz w:val="36"/>
                <w:szCs w:val="36"/>
              </w:rPr>
            </w:pPr>
            <w:r w:rsidRPr="00E24957">
              <w:rPr>
                <w:rFonts w:cs="Arial"/>
                <w:color w:val="000000" w:themeColor="dark1"/>
                <w:spacing w:val="0"/>
                <w:kern w:val="24"/>
                <w:sz w:val="22"/>
                <w:szCs w:val="22"/>
              </w:rPr>
              <w:t>Employment Assistance Fee (or Pre-DMI Fee)</w:t>
            </w:r>
            <w:r w:rsidRPr="00E24957">
              <w:rPr>
                <w:rFonts w:cs="Arial"/>
                <w:color w:val="000000" w:themeColor="dark1"/>
                <w:spacing w:val="0"/>
                <w:kern w:val="24"/>
                <w:sz w:val="22"/>
                <w:szCs w:val="22"/>
              </w:rPr>
              <w:br/>
              <w:t>(per month, for up to 12 months)</w:t>
            </w:r>
          </w:p>
        </w:tc>
        <w:tc>
          <w:tcPr>
            <w:tcW w:w="3760" w:type="dxa"/>
            <w:gridSpan w:val="2"/>
            <w:tcBorders>
              <w:top w:val="single" w:sz="8" w:space="0" w:color="FFFFFF"/>
              <w:left w:val="single" w:sz="8" w:space="0" w:color="FFFFFF"/>
              <w:bottom w:val="single" w:sz="8" w:space="0" w:color="FFFFFF"/>
              <w:right w:val="single" w:sz="8" w:space="0" w:color="FFFFFF"/>
            </w:tcBorders>
            <w:shd w:val="clear" w:color="auto" w:fill="E7F2F3"/>
            <w:tcMar>
              <w:top w:w="76" w:type="dxa"/>
              <w:left w:w="151" w:type="dxa"/>
              <w:bottom w:w="76" w:type="dxa"/>
              <w:right w:w="151" w:type="dxa"/>
            </w:tcMar>
            <w:hideMark/>
          </w:tcPr>
          <w:p w14:paraId="09E12A97"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$634</w:t>
            </w:r>
            <w:r w:rsidRPr="00E24957">
              <w:rPr>
                <w:rFonts w:cs="Arial"/>
                <w:color w:val="000000" w:themeColor="dark1"/>
                <w:spacing w:val="0"/>
                <w:kern w:val="24"/>
                <w:sz w:val="22"/>
                <w:szCs w:val="22"/>
              </w:rPr>
              <w:br/>
              <w:t>(up to a maximum of $7,608)</w:t>
            </w:r>
          </w:p>
        </w:tc>
      </w:tr>
      <w:tr w:rsidR="00E24957" w:rsidRPr="00E24957" w14:paraId="56480BBE" w14:textId="77777777" w:rsidTr="00E24957">
        <w:trPr>
          <w:trHeight w:val="541"/>
        </w:trPr>
        <w:tc>
          <w:tcPr>
            <w:tcW w:w="4040" w:type="dxa"/>
            <w:tcBorders>
              <w:top w:val="single" w:sz="8"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0783DFF4" w14:textId="77777777" w:rsidR="00E24957" w:rsidRPr="00E24957" w:rsidRDefault="00E24957" w:rsidP="00E24957">
            <w:pPr>
              <w:spacing w:before="0" w:after="0" w:line="240" w:lineRule="auto"/>
              <w:rPr>
                <w:rFonts w:cs="Arial"/>
                <w:spacing w:val="0"/>
                <w:sz w:val="36"/>
                <w:szCs w:val="36"/>
              </w:rPr>
            </w:pPr>
            <w:r w:rsidRPr="00E24957">
              <w:rPr>
                <w:rFonts w:cs="Arial"/>
                <w:color w:val="000000" w:themeColor="dark1"/>
                <w:spacing w:val="0"/>
                <w:kern w:val="24"/>
                <w:sz w:val="22"/>
                <w:szCs w:val="22"/>
              </w:rPr>
              <w:t>Employment Maintenance Fee</w:t>
            </w:r>
          </w:p>
        </w:tc>
        <w:tc>
          <w:tcPr>
            <w:tcW w:w="1880" w:type="dxa"/>
            <w:tcBorders>
              <w:top w:val="single" w:sz="8"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69334B03"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Amount Per Month</w:t>
            </w:r>
          </w:p>
        </w:tc>
        <w:tc>
          <w:tcPr>
            <w:tcW w:w="1880" w:type="dxa"/>
            <w:tcBorders>
              <w:top w:val="single" w:sz="8"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6FD194D8"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Amount Per Annum</w:t>
            </w:r>
          </w:p>
        </w:tc>
      </w:tr>
      <w:tr w:rsidR="00E24957" w:rsidRPr="00E24957" w14:paraId="79B6B268" w14:textId="77777777" w:rsidTr="00E24957">
        <w:trPr>
          <w:trHeight w:val="239"/>
        </w:trPr>
        <w:tc>
          <w:tcPr>
            <w:tcW w:w="4040" w:type="dxa"/>
            <w:tcBorders>
              <w:top w:val="single" w:sz="8" w:space="0" w:color="FFFFFF"/>
              <w:left w:val="single" w:sz="8" w:space="0" w:color="FFFFFF"/>
              <w:bottom w:val="single" w:sz="8" w:space="0" w:color="FFFFFF"/>
              <w:right w:val="single" w:sz="8" w:space="0" w:color="FFFFFF"/>
            </w:tcBorders>
            <w:shd w:val="clear" w:color="auto" w:fill="E7F2F3"/>
            <w:tcMar>
              <w:top w:w="76" w:type="dxa"/>
              <w:left w:w="151" w:type="dxa"/>
              <w:bottom w:w="76" w:type="dxa"/>
              <w:right w:w="151" w:type="dxa"/>
            </w:tcMar>
            <w:hideMark/>
          </w:tcPr>
          <w:p w14:paraId="24F759CF" w14:textId="77777777" w:rsidR="00E24957" w:rsidRPr="00E24957" w:rsidRDefault="00E24957" w:rsidP="00E24957">
            <w:pPr>
              <w:spacing w:before="0" w:after="0" w:line="240" w:lineRule="auto"/>
              <w:rPr>
                <w:rFonts w:cs="Arial"/>
                <w:spacing w:val="0"/>
                <w:sz w:val="36"/>
                <w:szCs w:val="36"/>
              </w:rPr>
            </w:pPr>
            <w:r>
              <w:rPr>
                <w:rFonts w:cs="Arial"/>
                <w:color w:val="000000" w:themeColor="dark1"/>
                <w:spacing w:val="0"/>
                <w:kern w:val="24"/>
                <w:sz w:val="22"/>
                <w:szCs w:val="22"/>
              </w:rPr>
              <w:t>DMI</w:t>
            </w:r>
            <w:r>
              <w:rPr>
                <w:rStyle w:val="FootnoteReference"/>
                <w:rFonts w:cs="Arial"/>
                <w:color w:val="000000" w:themeColor="dark1"/>
                <w:spacing w:val="0"/>
                <w:kern w:val="24"/>
                <w:sz w:val="22"/>
                <w:szCs w:val="22"/>
              </w:rPr>
              <w:footnoteReference w:id="1"/>
            </w:r>
            <w:r>
              <w:rPr>
                <w:rFonts w:cs="Arial"/>
                <w:color w:val="000000" w:themeColor="dark1"/>
                <w:spacing w:val="0"/>
                <w:kern w:val="24"/>
                <w:sz w:val="22"/>
                <w:szCs w:val="22"/>
              </w:rPr>
              <w:t xml:space="preserve"> </w:t>
            </w:r>
            <w:r w:rsidRPr="00E24957">
              <w:rPr>
                <w:rFonts w:cs="Arial"/>
                <w:color w:val="000000" w:themeColor="dark1"/>
                <w:spacing w:val="0"/>
                <w:kern w:val="24"/>
                <w:sz w:val="22"/>
                <w:szCs w:val="22"/>
              </w:rPr>
              <w:t>Level 1</w:t>
            </w:r>
          </w:p>
        </w:tc>
        <w:tc>
          <w:tcPr>
            <w:tcW w:w="1880" w:type="dxa"/>
            <w:tcBorders>
              <w:top w:val="single" w:sz="8" w:space="0" w:color="FFFFFF"/>
              <w:left w:val="single" w:sz="8" w:space="0" w:color="FFFFFF"/>
              <w:bottom w:val="single" w:sz="8" w:space="0" w:color="FFFFFF"/>
              <w:right w:val="single" w:sz="8" w:space="0" w:color="FFFFFF"/>
            </w:tcBorders>
            <w:shd w:val="clear" w:color="auto" w:fill="E7F2F3"/>
            <w:tcMar>
              <w:top w:w="76" w:type="dxa"/>
              <w:left w:w="151" w:type="dxa"/>
              <w:bottom w:w="76" w:type="dxa"/>
              <w:right w:w="151" w:type="dxa"/>
            </w:tcMar>
            <w:hideMark/>
          </w:tcPr>
          <w:p w14:paraId="403D0F40"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$375</w:t>
            </w:r>
          </w:p>
        </w:tc>
        <w:tc>
          <w:tcPr>
            <w:tcW w:w="1880" w:type="dxa"/>
            <w:tcBorders>
              <w:top w:val="single" w:sz="8" w:space="0" w:color="FFFFFF"/>
              <w:left w:val="single" w:sz="8" w:space="0" w:color="FFFFFF"/>
              <w:bottom w:val="single" w:sz="8" w:space="0" w:color="FFFFFF"/>
              <w:right w:val="single" w:sz="8" w:space="0" w:color="FFFFFF"/>
            </w:tcBorders>
            <w:shd w:val="clear" w:color="auto" w:fill="E7F2F3"/>
            <w:tcMar>
              <w:top w:w="76" w:type="dxa"/>
              <w:left w:w="151" w:type="dxa"/>
              <w:bottom w:w="76" w:type="dxa"/>
              <w:right w:w="151" w:type="dxa"/>
            </w:tcMar>
            <w:hideMark/>
          </w:tcPr>
          <w:p w14:paraId="017ED4CF"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$4,500</w:t>
            </w:r>
          </w:p>
        </w:tc>
      </w:tr>
      <w:tr w:rsidR="00E24957" w:rsidRPr="00E24957" w14:paraId="611FAE61" w14:textId="77777777" w:rsidTr="00E24957">
        <w:trPr>
          <w:trHeight w:val="245"/>
        </w:trPr>
        <w:tc>
          <w:tcPr>
            <w:tcW w:w="4040" w:type="dxa"/>
            <w:tcBorders>
              <w:top w:val="single" w:sz="8"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70E73C3C" w14:textId="77777777" w:rsidR="00E24957" w:rsidRPr="00E24957" w:rsidRDefault="00E24957" w:rsidP="00E24957">
            <w:pPr>
              <w:spacing w:before="0" w:after="0" w:line="240" w:lineRule="auto"/>
              <w:rPr>
                <w:rFonts w:cs="Arial"/>
                <w:spacing w:val="0"/>
                <w:sz w:val="36"/>
                <w:szCs w:val="36"/>
              </w:rPr>
            </w:pPr>
            <w:r>
              <w:rPr>
                <w:rFonts w:cs="Arial"/>
                <w:color w:val="000000" w:themeColor="dark1"/>
                <w:spacing w:val="0"/>
                <w:kern w:val="24"/>
                <w:sz w:val="22"/>
                <w:szCs w:val="22"/>
              </w:rPr>
              <w:t xml:space="preserve">DMI </w:t>
            </w:r>
            <w:r w:rsidRPr="00E24957">
              <w:rPr>
                <w:rFonts w:cs="Arial"/>
                <w:color w:val="000000" w:themeColor="dark1"/>
                <w:spacing w:val="0"/>
                <w:kern w:val="24"/>
                <w:sz w:val="22"/>
                <w:szCs w:val="22"/>
              </w:rPr>
              <w:t>Level 2</w:t>
            </w:r>
          </w:p>
        </w:tc>
        <w:tc>
          <w:tcPr>
            <w:tcW w:w="1880" w:type="dxa"/>
            <w:tcBorders>
              <w:top w:val="single" w:sz="8"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71FECA4C"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$634</w:t>
            </w:r>
          </w:p>
        </w:tc>
        <w:tc>
          <w:tcPr>
            <w:tcW w:w="1880" w:type="dxa"/>
            <w:tcBorders>
              <w:top w:val="single" w:sz="8"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56A3B33A"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$7,608</w:t>
            </w:r>
          </w:p>
        </w:tc>
      </w:tr>
      <w:tr w:rsidR="00E24957" w:rsidRPr="00E24957" w14:paraId="7F2EDD23" w14:textId="77777777" w:rsidTr="00E24957">
        <w:trPr>
          <w:trHeight w:val="251"/>
        </w:trPr>
        <w:tc>
          <w:tcPr>
            <w:tcW w:w="4040" w:type="dxa"/>
            <w:tcBorders>
              <w:top w:val="single" w:sz="8" w:space="0" w:color="FFFFFF"/>
              <w:left w:val="single" w:sz="8" w:space="0" w:color="FFFFFF"/>
              <w:bottom w:val="single" w:sz="8" w:space="0" w:color="FFFFFF"/>
              <w:right w:val="single" w:sz="8" w:space="0" w:color="FFFFFF"/>
            </w:tcBorders>
            <w:shd w:val="clear" w:color="auto" w:fill="E7F2F3"/>
            <w:tcMar>
              <w:top w:w="76" w:type="dxa"/>
              <w:left w:w="151" w:type="dxa"/>
              <w:bottom w:w="76" w:type="dxa"/>
              <w:right w:w="151" w:type="dxa"/>
            </w:tcMar>
            <w:hideMark/>
          </w:tcPr>
          <w:p w14:paraId="1771B82D" w14:textId="77777777" w:rsidR="00E24957" w:rsidRPr="00E24957" w:rsidRDefault="00E24957" w:rsidP="00E24957">
            <w:pPr>
              <w:spacing w:before="0" w:after="0" w:line="240" w:lineRule="auto"/>
              <w:rPr>
                <w:rFonts w:cs="Arial"/>
                <w:spacing w:val="0"/>
                <w:sz w:val="36"/>
                <w:szCs w:val="36"/>
              </w:rPr>
            </w:pPr>
            <w:r>
              <w:rPr>
                <w:rFonts w:cs="Arial"/>
                <w:color w:val="000000" w:themeColor="dark1"/>
                <w:spacing w:val="0"/>
                <w:kern w:val="24"/>
                <w:sz w:val="22"/>
                <w:szCs w:val="22"/>
              </w:rPr>
              <w:t xml:space="preserve">DMI </w:t>
            </w:r>
            <w:r w:rsidRPr="00E24957">
              <w:rPr>
                <w:rFonts w:cs="Arial"/>
                <w:color w:val="000000" w:themeColor="dark1"/>
                <w:spacing w:val="0"/>
                <w:kern w:val="24"/>
                <w:sz w:val="22"/>
                <w:szCs w:val="22"/>
              </w:rPr>
              <w:t>Level 3</w:t>
            </w:r>
          </w:p>
        </w:tc>
        <w:tc>
          <w:tcPr>
            <w:tcW w:w="1880" w:type="dxa"/>
            <w:tcBorders>
              <w:top w:val="single" w:sz="8" w:space="0" w:color="FFFFFF"/>
              <w:left w:val="single" w:sz="8" w:space="0" w:color="FFFFFF"/>
              <w:bottom w:val="single" w:sz="8" w:space="0" w:color="FFFFFF"/>
              <w:right w:val="single" w:sz="8" w:space="0" w:color="FFFFFF"/>
            </w:tcBorders>
            <w:shd w:val="clear" w:color="auto" w:fill="E7F2F3"/>
            <w:tcMar>
              <w:top w:w="76" w:type="dxa"/>
              <w:left w:w="151" w:type="dxa"/>
              <w:bottom w:w="76" w:type="dxa"/>
              <w:right w:w="151" w:type="dxa"/>
            </w:tcMar>
            <w:hideMark/>
          </w:tcPr>
          <w:p w14:paraId="00B35045"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$953</w:t>
            </w:r>
          </w:p>
        </w:tc>
        <w:tc>
          <w:tcPr>
            <w:tcW w:w="1880" w:type="dxa"/>
            <w:tcBorders>
              <w:top w:val="single" w:sz="8" w:space="0" w:color="FFFFFF"/>
              <w:left w:val="single" w:sz="8" w:space="0" w:color="FFFFFF"/>
              <w:bottom w:val="single" w:sz="8" w:space="0" w:color="FFFFFF"/>
              <w:right w:val="single" w:sz="8" w:space="0" w:color="FFFFFF"/>
            </w:tcBorders>
            <w:shd w:val="clear" w:color="auto" w:fill="E7F2F3"/>
            <w:tcMar>
              <w:top w:w="76" w:type="dxa"/>
              <w:left w:w="151" w:type="dxa"/>
              <w:bottom w:w="76" w:type="dxa"/>
              <w:right w:w="151" w:type="dxa"/>
            </w:tcMar>
            <w:hideMark/>
          </w:tcPr>
          <w:p w14:paraId="7A1B2A33"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$11,436</w:t>
            </w:r>
          </w:p>
        </w:tc>
      </w:tr>
      <w:tr w:rsidR="00E24957" w:rsidRPr="00E24957" w14:paraId="2E633475" w14:textId="77777777" w:rsidTr="00E24957">
        <w:trPr>
          <w:trHeight w:val="243"/>
        </w:trPr>
        <w:tc>
          <w:tcPr>
            <w:tcW w:w="4040" w:type="dxa"/>
            <w:tcBorders>
              <w:top w:val="single" w:sz="8"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43E681C6" w14:textId="77777777" w:rsidR="00E24957" w:rsidRPr="00E24957" w:rsidRDefault="00E24957" w:rsidP="00E24957">
            <w:pPr>
              <w:spacing w:before="0" w:after="0" w:line="240" w:lineRule="auto"/>
              <w:rPr>
                <w:rFonts w:cs="Arial"/>
                <w:spacing w:val="0"/>
                <w:sz w:val="36"/>
                <w:szCs w:val="36"/>
              </w:rPr>
            </w:pPr>
            <w:r>
              <w:rPr>
                <w:rFonts w:cs="Arial"/>
                <w:color w:val="000000" w:themeColor="dark1"/>
                <w:spacing w:val="0"/>
                <w:kern w:val="24"/>
                <w:sz w:val="22"/>
                <w:szCs w:val="22"/>
              </w:rPr>
              <w:t xml:space="preserve">DMI </w:t>
            </w:r>
            <w:r w:rsidRPr="00E24957">
              <w:rPr>
                <w:rFonts w:cs="Arial"/>
                <w:color w:val="000000" w:themeColor="dark1"/>
                <w:spacing w:val="0"/>
                <w:kern w:val="24"/>
                <w:sz w:val="22"/>
                <w:szCs w:val="22"/>
              </w:rPr>
              <w:t>Level 4</w:t>
            </w:r>
          </w:p>
        </w:tc>
        <w:tc>
          <w:tcPr>
            <w:tcW w:w="1880" w:type="dxa"/>
            <w:tcBorders>
              <w:top w:val="single" w:sz="8"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7D0D5EB8"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$1,264</w:t>
            </w:r>
          </w:p>
        </w:tc>
        <w:tc>
          <w:tcPr>
            <w:tcW w:w="1880" w:type="dxa"/>
            <w:tcBorders>
              <w:top w:val="single" w:sz="8" w:space="0" w:color="FFFFFF"/>
              <w:left w:val="single" w:sz="8" w:space="0" w:color="FFFFFF"/>
              <w:bottom w:val="single" w:sz="8" w:space="0" w:color="FFFFFF"/>
              <w:right w:val="single" w:sz="8" w:space="0" w:color="FFFFFF"/>
            </w:tcBorders>
            <w:shd w:val="clear" w:color="auto" w:fill="CBE4E6"/>
            <w:tcMar>
              <w:top w:w="76" w:type="dxa"/>
              <w:left w:w="151" w:type="dxa"/>
              <w:bottom w:w="76" w:type="dxa"/>
              <w:right w:w="151" w:type="dxa"/>
            </w:tcMar>
            <w:hideMark/>
          </w:tcPr>
          <w:p w14:paraId="04F7B83A" w14:textId="77777777" w:rsidR="00E24957" w:rsidRPr="00E24957" w:rsidRDefault="00E24957" w:rsidP="00E24957">
            <w:pPr>
              <w:spacing w:before="0" w:after="0" w:line="240" w:lineRule="auto"/>
              <w:jc w:val="right"/>
              <w:rPr>
                <w:rFonts w:cs="Arial"/>
                <w:spacing w:val="0"/>
                <w:sz w:val="36"/>
                <w:szCs w:val="36"/>
              </w:rPr>
            </w:pPr>
            <w:r w:rsidRPr="00E24957">
              <w:rPr>
                <w:rFonts w:cs="Arial"/>
                <w:color w:val="000000" w:themeColor="dark1"/>
                <w:spacing w:val="0"/>
                <w:kern w:val="24"/>
                <w:sz w:val="22"/>
                <w:szCs w:val="22"/>
              </w:rPr>
              <w:t>$15,168</w:t>
            </w:r>
          </w:p>
        </w:tc>
      </w:tr>
    </w:tbl>
    <w:p w14:paraId="2EE02680" w14:textId="77777777" w:rsidR="00976CC5" w:rsidRDefault="00976CC5" w:rsidP="00976CC5">
      <w:pPr>
        <w:rPr>
          <w:sz w:val="23"/>
          <w:szCs w:val="23"/>
        </w:rPr>
      </w:pPr>
      <w:r w:rsidRPr="00192A97">
        <w:rPr>
          <w:sz w:val="23"/>
          <w:szCs w:val="23"/>
        </w:rPr>
        <w:t>There are a number of supplementary payments to AD</w:t>
      </w:r>
      <w:r w:rsidR="00895984">
        <w:rPr>
          <w:sz w:val="23"/>
          <w:szCs w:val="23"/>
        </w:rPr>
        <w:t>Es</w:t>
      </w:r>
      <w:r w:rsidR="00C232B8">
        <w:rPr>
          <w:sz w:val="23"/>
          <w:szCs w:val="23"/>
        </w:rPr>
        <w:t>,</w:t>
      </w:r>
      <w:r w:rsidR="00895984">
        <w:rPr>
          <w:sz w:val="23"/>
          <w:szCs w:val="23"/>
        </w:rPr>
        <w:t xml:space="preserve"> which are additional to </w:t>
      </w:r>
      <w:r w:rsidR="00C232B8">
        <w:rPr>
          <w:sz w:val="23"/>
          <w:szCs w:val="23"/>
        </w:rPr>
        <w:br/>
      </w:r>
      <w:r w:rsidR="00895984">
        <w:rPr>
          <w:sz w:val="23"/>
          <w:szCs w:val="23"/>
        </w:rPr>
        <w:t>case-</w:t>
      </w:r>
      <w:r w:rsidR="007D6D15">
        <w:rPr>
          <w:sz w:val="23"/>
          <w:szCs w:val="23"/>
        </w:rPr>
        <w:t>based funding.</w:t>
      </w:r>
    </w:p>
    <w:tbl>
      <w:tblPr>
        <w:tblW w:w="6420" w:type="dxa"/>
        <w:tblCellMar>
          <w:left w:w="0" w:type="dxa"/>
          <w:right w:w="0" w:type="dxa"/>
        </w:tblCellMar>
        <w:tblLook w:val="04A0" w:firstRow="1" w:lastRow="0" w:firstColumn="1" w:lastColumn="0" w:noHBand="0" w:noVBand="1"/>
        <w:tblCaption w:val="Table of Current Rural and Remote Service Supplement"/>
        <w:tblDescription w:val="Supplement is determined by ARIA classifications which are highly accessible (nil supplement), accessible ($1,509 per month), moderately accessible ($3,017 per month), remote ($4,526 per month) and very remote ($6,029 per month). "/>
      </w:tblPr>
      <w:tblGrid>
        <w:gridCol w:w="1583"/>
        <w:gridCol w:w="1879"/>
        <w:gridCol w:w="1517"/>
        <w:gridCol w:w="1441"/>
      </w:tblGrid>
      <w:tr w:rsidR="00E24957" w:rsidRPr="00E24957" w14:paraId="6CB0A13C" w14:textId="77777777" w:rsidTr="00E24957">
        <w:trPr>
          <w:trHeight w:val="1067"/>
        </w:trPr>
        <w:tc>
          <w:tcPr>
            <w:tcW w:w="1560" w:type="dxa"/>
            <w:vMerge w:val="restart"/>
            <w:tcBorders>
              <w:top w:val="single" w:sz="8" w:space="0" w:color="FFFFFF"/>
              <w:left w:val="single" w:sz="8" w:space="0" w:color="FFFFFF"/>
              <w:bottom w:val="single" w:sz="24" w:space="0" w:color="FFFFFF"/>
              <w:right w:val="single" w:sz="8" w:space="0" w:color="FFFFFF"/>
            </w:tcBorders>
            <w:shd w:val="clear" w:color="auto" w:fill="00B0B9"/>
            <w:tcMar>
              <w:top w:w="15" w:type="dxa"/>
              <w:left w:w="113" w:type="dxa"/>
              <w:bottom w:w="0" w:type="dxa"/>
              <w:right w:w="113" w:type="dxa"/>
            </w:tcMar>
            <w:vAlign w:val="center"/>
            <w:hideMark/>
          </w:tcPr>
          <w:p w14:paraId="6831C69A" w14:textId="77777777" w:rsidR="00E24957" w:rsidRPr="00E24957" w:rsidRDefault="00E24957" w:rsidP="00E24957">
            <w:pPr>
              <w:rPr>
                <w:sz w:val="23"/>
                <w:szCs w:val="23"/>
              </w:rPr>
            </w:pPr>
            <w:r w:rsidRPr="00E24957">
              <w:rPr>
                <w:b/>
                <w:bCs/>
                <w:sz w:val="23"/>
                <w:szCs w:val="23"/>
              </w:rPr>
              <w:t>Current Rural and Remote Service Supplement</w:t>
            </w:r>
          </w:p>
        </w:tc>
        <w:tc>
          <w:tcPr>
            <w:tcW w:w="1880" w:type="dxa"/>
            <w:tcBorders>
              <w:top w:val="single" w:sz="8" w:space="0" w:color="FFFFFF"/>
              <w:left w:val="single" w:sz="8" w:space="0" w:color="FFFFFF"/>
              <w:bottom w:val="single" w:sz="24" w:space="0" w:color="FFFFFF"/>
              <w:right w:val="single" w:sz="8" w:space="0" w:color="FFFFFF"/>
            </w:tcBorders>
            <w:shd w:val="clear" w:color="auto" w:fill="00B0B9"/>
            <w:tcMar>
              <w:top w:w="15" w:type="dxa"/>
              <w:left w:w="113" w:type="dxa"/>
              <w:bottom w:w="0" w:type="dxa"/>
              <w:right w:w="113" w:type="dxa"/>
            </w:tcMar>
            <w:hideMark/>
          </w:tcPr>
          <w:p w14:paraId="589CF46F" w14:textId="77777777" w:rsidR="00E24957" w:rsidRPr="00E24957" w:rsidRDefault="00E24957" w:rsidP="00E24957">
            <w:pPr>
              <w:rPr>
                <w:sz w:val="23"/>
                <w:szCs w:val="23"/>
              </w:rPr>
            </w:pPr>
            <w:r w:rsidRPr="00E24957">
              <w:rPr>
                <w:b/>
                <w:bCs/>
                <w:sz w:val="23"/>
                <w:szCs w:val="23"/>
              </w:rPr>
              <w:t>ARIA Classification:</w:t>
            </w:r>
          </w:p>
        </w:tc>
        <w:tc>
          <w:tcPr>
            <w:tcW w:w="1540" w:type="dxa"/>
            <w:tcBorders>
              <w:top w:val="single" w:sz="8" w:space="0" w:color="FFFFFF"/>
              <w:left w:val="single" w:sz="8" w:space="0" w:color="FFFFFF"/>
              <w:bottom w:val="single" w:sz="24" w:space="0" w:color="FFFFFF"/>
              <w:right w:val="single" w:sz="8" w:space="0" w:color="FFFFFF"/>
            </w:tcBorders>
            <w:shd w:val="clear" w:color="auto" w:fill="00B0B9"/>
            <w:tcMar>
              <w:top w:w="15" w:type="dxa"/>
              <w:left w:w="113" w:type="dxa"/>
              <w:bottom w:w="0" w:type="dxa"/>
              <w:right w:w="113" w:type="dxa"/>
            </w:tcMar>
            <w:hideMark/>
          </w:tcPr>
          <w:p w14:paraId="185A3525" w14:textId="77777777" w:rsidR="00E24957" w:rsidRPr="00E24957" w:rsidRDefault="00E24957" w:rsidP="00E24957">
            <w:pPr>
              <w:rPr>
                <w:sz w:val="23"/>
                <w:szCs w:val="23"/>
              </w:rPr>
            </w:pPr>
            <w:r w:rsidRPr="00E24957">
              <w:rPr>
                <w:b/>
                <w:bCs/>
                <w:sz w:val="23"/>
                <w:szCs w:val="23"/>
              </w:rPr>
              <w:t>Amount Per Month</w:t>
            </w:r>
          </w:p>
        </w:tc>
        <w:tc>
          <w:tcPr>
            <w:tcW w:w="1460" w:type="dxa"/>
            <w:tcBorders>
              <w:top w:val="single" w:sz="8" w:space="0" w:color="FFFFFF"/>
              <w:left w:val="single" w:sz="8" w:space="0" w:color="FFFFFF"/>
              <w:bottom w:val="single" w:sz="24" w:space="0" w:color="FFFFFF"/>
              <w:right w:val="single" w:sz="8" w:space="0" w:color="FFFFFF"/>
            </w:tcBorders>
            <w:shd w:val="clear" w:color="auto" w:fill="00B0B9"/>
            <w:tcMar>
              <w:top w:w="15" w:type="dxa"/>
              <w:left w:w="113" w:type="dxa"/>
              <w:bottom w:w="0" w:type="dxa"/>
              <w:right w:w="113" w:type="dxa"/>
            </w:tcMar>
            <w:hideMark/>
          </w:tcPr>
          <w:p w14:paraId="57B598B8" w14:textId="77777777" w:rsidR="00E24957" w:rsidRPr="00E24957" w:rsidRDefault="00E24957" w:rsidP="00E24957">
            <w:pPr>
              <w:rPr>
                <w:sz w:val="23"/>
                <w:szCs w:val="23"/>
              </w:rPr>
            </w:pPr>
            <w:r w:rsidRPr="00E24957">
              <w:rPr>
                <w:b/>
                <w:bCs/>
                <w:sz w:val="23"/>
                <w:szCs w:val="23"/>
              </w:rPr>
              <w:t>Amount Per Annum</w:t>
            </w:r>
          </w:p>
        </w:tc>
      </w:tr>
      <w:tr w:rsidR="00E24957" w:rsidRPr="00E24957" w14:paraId="1166E953" w14:textId="77777777" w:rsidTr="00E24957">
        <w:trPr>
          <w:trHeight w:val="332"/>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4F266532" w14:textId="77777777" w:rsidR="00E24957" w:rsidRPr="00E24957" w:rsidRDefault="00E24957" w:rsidP="00E24957">
            <w:pPr>
              <w:rPr>
                <w:sz w:val="23"/>
                <w:szCs w:val="23"/>
              </w:rPr>
            </w:pPr>
          </w:p>
        </w:tc>
        <w:tc>
          <w:tcPr>
            <w:tcW w:w="1880" w:type="dxa"/>
            <w:tcBorders>
              <w:top w:val="single" w:sz="24" w:space="0" w:color="FFFFFF"/>
              <w:left w:val="single" w:sz="24" w:space="0" w:color="FFFFFF"/>
              <w:bottom w:val="single" w:sz="8" w:space="0" w:color="FFFFFF"/>
              <w:right w:val="single" w:sz="8" w:space="0" w:color="FFFFFF"/>
            </w:tcBorders>
            <w:shd w:val="clear" w:color="auto" w:fill="CBE4E6"/>
            <w:tcMar>
              <w:top w:w="15" w:type="dxa"/>
              <w:left w:w="113" w:type="dxa"/>
              <w:bottom w:w="0" w:type="dxa"/>
              <w:right w:w="113" w:type="dxa"/>
            </w:tcMar>
            <w:hideMark/>
          </w:tcPr>
          <w:p w14:paraId="0F05064F" w14:textId="77777777" w:rsidR="00E24957" w:rsidRPr="00E24957" w:rsidRDefault="00E24957" w:rsidP="00E24957">
            <w:pPr>
              <w:rPr>
                <w:sz w:val="23"/>
                <w:szCs w:val="23"/>
              </w:rPr>
            </w:pPr>
            <w:r w:rsidRPr="00E24957">
              <w:rPr>
                <w:sz w:val="23"/>
                <w:szCs w:val="23"/>
              </w:rPr>
              <w:t>Highly Accessible:</w:t>
            </w:r>
          </w:p>
        </w:tc>
        <w:tc>
          <w:tcPr>
            <w:tcW w:w="1540" w:type="dxa"/>
            <w:tcBorders>
              <w:top w:val="single" w:sz="24" w:space="0" w:color="FFFFFF"/>
              <w:left w:val="single" w:sz="8" w:space="0" w:color="FFFFFF"/>
              <w:bottom w:val="single" w:sz="8" w:space="0" w:color="FFFFFF"/>
              <w:right w:val="single" w:sz="8" w:space="0" w:color="FFFFFF"/>
            </w:tcBorders>
            <w:shd w:val="clear" w:color="auto" w:fill="CBE4E6"/>
            <w:tcMar>
              <w:top w:w="15" w:type="dxa"/>
              <w:left w:w="113" w:type="dxa"/>
              <w:bottom w:w="0" w:type="dxa"/>
              <w:right w:w="113" w:type="dxa"/>
            </w:tcMar>
            <w:hideMark/>
          </w:tcPr>
          <w:p w14:paraId="4ECFC1B1" w14:textId="77777777" w:rsidR="00E24957" w:rsidRPr="00E24957" w:rsidRDefault="00E24957" w:rsidP="00E24957">
            <w:pPr>
              <w:rPr>
                <w:sz w:val="23"/>
                <w:szCs w:val="23"/>
              </w:rPr>
            </w:pPr>
            <w:r w:rsidRPr="00E24957">
              <w:rPr>
                <w:sz w:val="23"/>
                <w:szCs w:val="23"/>
              </w:rPr>
              <w:t>Nil.</w:t>
            </w:r>
          </w:p>
        </w:tc>
        <w:tc>
          <w:tcPr>
            <w:tcW w:w="1460" w:type="dxa"/>
            <w:tcBorders>
              <w:top w:val="single" w:sz="24" w:space="0" w:color="FFFFFF"/>
              <w:left w:val="single" w:sz="8" w:space="0" w:color="FFFFFF"/>
              <w:bottom w:val="single" w:sz="8" w:space="0" w:color="FFFFFF"/>
              <w:right w:val="single" w:sz="8" w:space="0" w:color="FFFFFF"/>
            </w:tcBorders>
            <w:shd w:val="clear" w:color="auto" w:fill="CBE4E6"/>
            <w:tcMar>
              <w:top w:w="15" w:type="dxa"/>
              <w:left w:w="113" w:type="dxa"/>
              <w:bottom w:w="0" w:type="dxa"/>
              <w:right w:w="113" w:type="dxa"/>
            </w:tcMar>
            <w:hideMark/>
          </w:tcPr>
          <w:p w14:paraId="13467799" w14:textId="77777777" w:rsidR="00E24957" w:rsidRPr="00E24957" w:rsidRDefault="00E24957" w:rsidP="00E24957">
            <w:pPr>
              <w:rPr>
                <w:sz w:val="23"/>
                <w:szCs w:val="23"/>
              </w:rPr>
            </w:pPr>
            <w:r w:rsidRPr="00E24957">
              <w:rPr>
                <w:sz w:val="23"/>
                <w:szCs w:val="23"/>
              </w:rPr>
              <w:t>Nil.</w:t>
            </w:r>
          </w:p>
        </w:tc>
      </w:tr>
      <w:tr w:rsidR="00E24957" w:rsidRPr="00E24957" w14:paraId="7316F554" w14:textId="77777777" w:rsidTr="00E24957">
        <w:trPr>
          <w:trHeight w:val="332"/>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3411C63B" w14:textId="77777777" w:rsidR="00E24957" w:rsidRPr="00E24957" w:rsidRDefault="00E24957" w:rsidP="00E24957">
            <w:pPr>
              <w:rPr>
                <w:sz w:val="23"/>
                <w:szCs w:val="23"/>
              </w:rPr>
            </w:pPr>
          </w:p>
        </w:tc>
        <w:tc>
          <w:tcPr>
            <w:tcW w:w="1880" w:type="dxa"/>
            <w:tcBorders>
              <w:top w:val="single" w:sz="8" w:space="0" w:color="FFFFFF"/>
              <w:left w:val="single" w:sz="24" w:space="0" w:color="FFFFFF"/>
              <w:bottom w:val="single" w:sz="8" w:space="0" w:color="FFFFFF"/>
              <w:right w:val="single" w:sz="8" w:space="0" w:color="FFFFFF"/>
            </w:tcBorders>
            <w:shd w:val="clear" w:color="auto" w:fill="E7F2F3"/>
            <w:tcMar>
              <w:top w:w="15" w:type="dxa"/>
              <w:left w:w="113" w:type="dxa"/>
              <w:bottom w:w="0" w:type="dxa"/>
              <w:right w:w="113" w:type="dxa"/>
            </w:tcMar>
            <w:hideMark/>
          </w:tcPr>
          <w:p w14:paraId="28EE9E4D" w14:textId="77777777" w:rsidR="00E24957" w:rsidRPr="00E24957" w:rsidRDefault="00E24957" w:rsidP="00E24957">
            <w:pPr>
              <w:rPr>
                <w:sz w:val="23"/>
                <w:szCs w:val="23"/>
              </w:rPr>
            </w:pPr>
            <w:r w:rsidRPr="00E24957">
              <w:rPr>
                <w:sz w:val="23"/>
                <w:szCs w:val="23"/>
              </w:rPr>
              <w:t>Accessible:</w:t>
            </w:r>
          </w:p>
        </w:tc>
        <w:tc>
          <w:tcPr>
            <w:tcW w:w="1540" w:type="dxa"/>
            <w:tcBorders>
              <w:top w:val="single" w:sz="8" w:space="0" w:color="FFFFFF"/>
              <w:left w:val="single" w:sz="8" w:space="0" w:color="FFFFFF"/>
              <w:bottom w:val="single" w:sz="8" w:space="0" w:color="FFFFFF"/>
              <w:right w:val="single" w:sz="8" w:space="0" w:color="FFFFFF"/>
            </w:tcBorders>
            <w:shd w:val="clear" w:color="auto" w:fill="E7F2F3"/>
            <w:tcMar>
              <w:top w:w="15" w:type="dxa"/>
              <w:left w:w="113" w:type="dxa"/>
              <w:bottom w:w="0" w:type="dxa"/>
              <w:right w:w="113" w:type="dxa"/>
            </w:tcMar>
            <w:hideMark/>
          </w:tcPr>
          <w:p w14:paraId="653BB3C8" w14:textId="77777777" w:rsidR="00E24957" w:rsidRPr="00E24957" w:rsidRDefault="00E24957" w:rsidP="00E24957">
            <w:pPr>
              <w:rPr>
                <w:sz w:val="23"/>
                <w:szCs w:val="23"/>
              </w:rPr>
            </w:pPr>
            <w:r w:rsidRPr="00E24957">
              <w:rPr>
                <w:sz w:val="23"/>
                <w:szCs w:val="23"/>
              </w:rPr>
              <w:t>$1,509</w:t>
            </w:r>
          </w:p>
        </w:tc>
        <w:tc>
          <w:tcPr>
            <w:tcW w:w="1460" w:type="dxa"/>
            <w:tcBorders>
              <w:top w:val="single" w:sz="8" w:space="0" w:color="FFFFFF"/>
              <w:left w:val="single" w:sz="8" w:space="0" w:color="FFFFFF"/>
              <w:bottom w:val="single" w:sz="8" w:space="0" w:color="FFFFFF"/>
              <w:right w:val="single" w:sz="8" w:space="0" w:color="FFFFFF"/>
            </w:tcBorders>
            <w:shd w:val="clear" w:color="auto" w:fill="E7F2F3"/>
            <w:tcMar>
              <w:top w:w="15" w:type="dxa"/>
              <w:left w:w="113" w:type="dxa"/>
              <w:bottom w:w="0" w:type="dxa"/>
              <w:right w:w="113" w:type="dxa"/>
            </w:tcMar>
            <w:hideMark/>
          </w:tcPr>
          <w:p w14:paraId="3E6CE842" w14:textId="77777777" w:rsidR="00E24957" w:rsidRPr="00E24957" w:rsidRDefault="00E24957" w:rsidP="00E24957">
            <w:pPr>
              <w:rPr>
                <w:sz w:val="23"/>
                <w:szCs w:val="23"/>
              </w:rPr>
            </w:pPr>
            <w:r w:rsidRPr="00E24957">
              <w:rPr>
                <w:sz w:val="23"/>
                <w:szCs w:val="23"/>
              </w:rPr>
              <w:t>$18,108</w:t>
            </w:r>
          </w:p>
        </w:tc>
      </w:tr>
      <w:tr w:rsidR="00E24957" w:rsidRPr="00E24957" w14:paraId="25B6F47C" w14:textId="77777777" w:rsidTr="00E24957">
        <w:trPr>
          <w:trHeight w:val="665"/>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52CE910C" w14:textId="77777777" w:rsidR="00E24957" w:rsidRPr="00E24957" w:rsidRDefault="00E24957" w:rsidP="00E24957">
            <w:pPr>
              <w:rPr>
                <w:sz w:val="23"/>
                <w:szCs w:val="23"/>
              </w:rPr>
            </w:pPr>
          </w:p>
        </w:tc>
        <w:tc>
          <w:tcPr>
            <w:tcW w:w="1880" w:type="dxa"/>
            <w:tcBorders>
              <w:top w:val="single" w:sz="8" w:space="0" w:color="FFFFFF"/>
              <w:left w:val="single" w:sz="24" w:space="0" w:color="FFFFFF"/>
              <w:bottom w:val="single" w:sz="8" w:space="0" w:color="FFFFFF"/>
              <w:right w:val="single" w:sz="8" w:space="0" w:color="FFFFFF"/>
            </w:tcBorders>
            <w:shd w:val="clear" w:color="auto" w:fill="CBE4E6"/>
            <w:tcMar>
              <w:top w:w="15" w:type="dxa"/>
              <w:left w:w="113" w:type="dxa"/>
              <w:bottom w:w="0" w:type="dxa"/>
              <w:right w:w="113" w:type="dxa"/>
            </w:tcMar>
            <w:hideMark/>
          </w:tcPr>
          <w:p w14:paraId="599F6B2D" w14:textId="77777777" w:rsidR="00E24957" w:rsidRPr="00E24957" w:rsidRDefault="00E24957" w:rsidP="00E24957">
            <w:pPr>
              <w:rPr>
                <w:sz w:val="23"/>
                <w:szCs w:val="23"/>
              </w:rPr>
            </w:pPr>
            <w:r w:rsidRPr="00E24957">
              <w:rPr>
                <w:sz w:val="23"/>
                <w:szCs w:val="23"/>
              </w:rPr>
              <w:t>Moderately Accessible:</w:t>
            </w:r>
          </w:p>
        </w:tc>
        <w:tc>
          <w:tcPr>
            <w:tcW w:w="1540" w:type="dxa"/>
            <w:tcBorders>
              <w:top w:val="single" w:sz="8" w:space="0" w:color="FFFFFF"/>
              <w:left w:val="single" w:sz="8" w:space="0" w:color="FFFFFF"/>
              <w:bottom w:val="single" w:sz="8" w:space="0" w:color="FFFFFF"/>
              <w:right w:val="single" w:sz="8" w:space="0" w:color="FFFFFF"/>
            </w:tcBorders>
            <w:shd w:val="clear" w:color="auto" w:fill="CBE4E6"/>
            <w:tcMar>
              <w:top w:w="15" w:type="dxa"/>
              <w:left w:w="113" w:type="dxa"/>
              <w:bottom w:w="0" w:type="dxa"/>
              <w:right w:w="113" w:type="dxa"/>
            </w:tcMar>
            <w:hideMark/>
          </w:tcPr>
          <w:p w14:paraId="53DF73D0" w14:textId="77777777" w:rsidR="00E24957" w:rsidRPr="00E24957" w:rsidRDefault="00E24957" w:rsidP="00E24957">
            <w:pPr>
              <w:rPr>
                <w:sz w:val="23"/>
                <w:szCs w:val="23"/>
              </w:rPr>
            </w:pPr>
            <w:r w:rsidRPr="00E24957">
              <w:rPr>
                <w:sz w:val="23"/>
                <w:szCs w:val="23"/>
              </w:rPr>
              <w:t>$3,017</w:t>
            </w:r>
          </w:p>
        </w:tc>
        <w:tc>
          <w:tcPr>
            <w:tcW w:w="1460" w:type="dxa"/>
            <w:tcBorders>
              <w:top w:val="single" w:sz="8" w:space="0" w:color="FFFFFF"/>
              <w:left w:val="single" w:sz="8" w:space="0" w:color="FFFFFF"/>
              <w:bottom w:val="single" w:sz="8" w:space="0" w:color="FFFFFF"/>
              <w:right w:val="single" w:sz="8" w:space="0" w:color="FFFFFF"/>
            </w:tcBorders>
            <w:shd w:val="clear" w:color="auto" w:fill="CBE4E6"/>
            <w:tcMar>
              <w:top w:w="15" w:type="dxa"/>
              <w:left w:w="113" w:type="dxa"/>
              <w:bottom w:w="0" w:type="dxa"/>
              <w:right w:w="113" w:type="dxa"/>
            </w:tcMar>
            <w:hideMark/>
          </w:tcPr>
          <w:p w14:paraId="3E6AE3EE" w14:textId="77777777" w:rsidR="00E24957" w:rsidRPr="00E24957" w:rsidRDefault="00E24957" w:rsidP="00E24957">
            <w:pPr>
              <w:rPr>
                <w:sz w:val="23"/>
                <w:szCs w:val="23"/>
              </w:rPr>
            </w:pPr>
            <w:r w:rsidRPr="00E24957">
              <w:rPr>
                <w:sz w:val="23"/>
                <w:szCs w:val="23"/>
              </w:rPr>
              <w:t>$36,204</w:t>
            </w:r>
          </w:p>
        </w:tc>
      </w:tr>
      <w:tr w:rsidR="00E24957" w:rsidRPr="00E24957" w14:paraId="23D83296" w14:textId="77777777" w:rsidTr="00E24957">
        <w:trPr>
          <w:trHeight w:val="332"/>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6CDF669" w14:textId="77777777" w:rsidR="00E24957" w:rsidRPr="00E24957" w:rsidRDefault="00E24957" w:rsidP="00E24957">
            <w:pPr>
              <w:rPr>
                <w:sz w:val="23"/>
                <w:szCs w:val="23"/>
              </w:rPr>
            </w:pPr>
          </w:p>
        </w:tc>
        <w:tc>
          <w:tcPr>
            <w:tcW w:w="1880" w:type="dxa"/>
            <w:tcBorders>
              <w:top w:val="single" w:sz="8" w:space="0" w:color="FFFFFF"/>
              <w:left w:val="single" w:sz="24" w:space="0" w:color="FFFFFF"/>
              <w:bottom w:val="single" w:sz="8" w:space="0" w:color="FFFFFF"/>
              <w:right w:val="single" w:sz="8" w:space="0" w:color="FFFFFF"/>
            </w:tcBorders>
            <w:shd w:val="clear" w:color="auto" w:fill="E7F2F3"/>
            <w:tcMar>
              <w:top w:w="15" w:type="dxa"/>
              <w:left w:w="113" w:type="dxa"/>
              <w:bottom w:w="0" w:type="dxa"/>
              <w:right w:w="113" w:type="dxa"/>
            </w:tcMar>
            <w:hideMark/>
          </w:tcPr>
          <w:p w14:paraId="56731148" w14:textId="77777777" w:rsidR="00E24957" w:rsidRPr="00E24957" w:rsidRDefault="00E24957" w:rsidP="00E24957">
            <w:pPr>
              <w:rPr>
                <w:sz w:val="23"/>
                <w:szCs w:val="23"/>
              </w:rPr>
            </w:pPr>
            <w:r w:rsidRPr="00E24957">
              <w:rPr>
                <w:sz w:val="23"/>
                <w:szCs w:val="23"/>
              </w:rPr>
              <w:t>Remote:</w:t>
            </w:r>
          </w:p>
        </w:tc>
        <w:tc>
          <w:tcPr>
            <w:tcW w:w="1540" w:type="dxa"/>
            <w:tcBorders>
              <w:top w:val="single" w:sz="8" w:space="0" w:color="FFFFFF"/>
              <w:left w:val="single" w:sz="8" w:space="0" w:color="FFFFFF"/>
              <w:bottom w:val="single" w:sz="8" w:space="0" w:color="FFFFFF"/>
              <w:right w:val="single" w:sz="8" w:space="0" w:color="FFFFFF"/>
            </w:tcBorders>
            <w:shd w:val="clear" w:color="auto" w:fill="E7F2F3"/>
            <w:tcMar>
              <w:top w:w="15" w:type="dxa"/>
              <w:left w:w="113" w:type="dxa"/>
              <w:bottom w:w="0" w:type="dxa"/>
              <w:right w:w="113" w:type="dxa"/>
            </w:tcMar>
            <w:hideMark/>
          </w:tcPr>
          <w:p w14:paraId="176AC9CE" w14:textId="77777777" w:rsidR="00E24957" w:rsidRPr="00E24957" w:rsidRDefault="00E24957" w:rsidP="00E24957">
            <w:pPr>
              <w:rPr>
                <w:sz w:val="23"/>
                <w:szCs w:val="23"/>
              </w:rPr>
            </w:pPr>
            <w:r w:rsidRPr="00E24957">
              <w:rPr>
                <w:sz w:val="23"/>
                <w:szCs w:val="23"/>
              </w:rPr>
              <w:t>$4,526</w:t>
            </w:r>
          </w:p>
        </w:tc>
        <w:tc>
          <w:tcPr>
            <w:tcW w:w="1460" w:type="dxa"/>
            <w:tcBorders>
              <w:top w:val="single" w:sz="8" w:space="0" w:color="FFFFFF"/>
              <w:left w:val="single" w:sz="8" w:space="0" w:color="FFFFFF"/>
              <w:bottom w:val="single" w:sz="8" w:space="0" w:color="FFFFFF"/>
              <w:right w:val="single" w:sz="8" w:space="0" w:color="FFFFFF"/>
            </w:tcBorders>
            <w:shd w:val="clear" w:color="auto" w:fill="E7F2F3"/>
            <w:tcMar>
              <w:top w:w="15" w:type="dxa"/>
              <w:left w:w="113" w:type="dxa"/>
              <w:bottom w:w="0" w:type="dxa"/>
              <w:right w:w="113" w:type="dxa"/>
            </w:tcMar>
            <w:hideMark/>
          </w:tcPr>
          <w:p w14:paraId="76CCA4B9" w14:textId="77777777" w:rsidR="00E24957" w:rsidRPr="00E24957" w:rsidRDefault="00E24957" w:rsidP="00E24957">
            <w:pPr>
              <w:rPr>
                <w:sz w:val="23"/>
                <w:szCs w:val="23"/>
              </w:rPr>
            </w:pPr>
            <w:r w:rsidRPr="00E24957">
              <w:rPr>
                <w:sz w:val="23"/>
                <w:szCs w:val="23"/>
              </w:rPr>
              <w:t>$54,312</w:t>
            </w:r>
          </w:p>
        </w:tc>
      </w:tr>
      <w:tr w:rsidR="00E24957" w:rsidRPr="00E24957" w14:paraId="73720212" w14:textId="77777777" w:rsidTr="00E24957">
        <w:trPr>
          <w:trHeight w:val="332"/>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38197531" w14:textId="77777777" w:rsidR="00E24957" w:rsidRPr="00E24957" w:rsidRDefault="00E24957" w:rsidP="00E24957">
            <w:pPr>
              <w:rPr>
                <w:sz w:val="23"/>
                <w:szCs w:val="23"/>
              </w:rPr>
            </w:pPr>
          </w:p>
        </w:tc>
        <w:tc>
          <w:tcPr>
            <w:tcW w:w="1880" w:type="dxa"/>
            <w:tcBorders>
              <w:top w:val="single" w:sz="8" w:space="0" w:color="FFFFFF"/>
              <w:left w:val="single" w:sz="24" w:space="0" w:color="FFFFFF"/>
              <w:bottom w:val="single" w:sz="8" w:space="0" w:color="FFFFFF"/>
              <w:right w:val="single" w:sz="8" w:space="0" w:color="FFFFFF"/>
            </w:tcBorders>
            <w:shd w:val="clear" w:color="auto" w:fill="CBE4E6"/>
            <w:tcMar>
              <w:top w:w="15" w:type="dxa"/>
              <w:left w:w="113" w:type="dxa"/>
              <w:bottom w:w="0" w:type="dxa"/>
              <w:right w:w="113" w:type="dxa"/>
            </w:tcMar>
            <w:hideMark/>
          </w:tcPr>
          <w:p w14:paraId="43B1A454" w14:textId="77777777" w:rsidR="00E24957" w:rsidRPr="00E24957" w:rsidRDefault="00E24957" w:rsidP="00E24957">
            <w:pPr>
              <w:rPr>
                <w:sz w:val="23"/>
                <w:szCs w:val="23"/>
              </w:rPr>
            </w:pPr>
            <w:r w:rsidRPr="00E24957">
              <w:rPr>
                <w:sz w:val="23"/>
                <w:szCs w:val="23"/>
              </w:rPr>
              <w:t>Very Remote:</w:t>
            </w:r>
          </w:p>
        </w:tc>
        <w:tc>
          <w:tcPr>
            <w:tcW w:w="1540" w:type="dxa"/>
            <w:tcBorders>
              <w:top w:val="single" w:sz="8" w:space="0" w:color="FFFFFF"/>
              <w:left w:val="single" w:sz="8" w:space="0" w:color="FFFFFF"/>
              <w:bottom w:val="single" w:sz="8" w:space="0" w:color="FFFFFF"/>
              <w:right w:val="single" w:sz="8" w:space="0" w:color="FFFFFF"/>
            </w:tcBorders>
            <w:shd w:val="clear" w:color="auto" w:fill="CBE4E6"/>
            <w:tcMar>
              <w:top w:w="15" w:type="dxa"/>
              <w:left w:w="113" w:type="dxa"/>
              <w:bottom w:w="0" w:type="dxa"/>
              <w:right w:w="113" w:type="dxa"/>
            </w:tcMar>
            <w:hideMark/>
          </w:tcPr>
          <w:p w14:paraId="10FA07F4" w14:textId="77777777" w:rsidR="00E24957" w:rsidRPr="00E24957" w:rsidRDefault="00E24957" w:rsidP="00E24957">
            <w:pPr>
              <w:rPr>
                <w:sz w:val="23"/>
                <w:szCs w:val="23"/>
              </w:rPr>
            </w:pPr>
            <w:r w:rsidRPr="00E24957">
              <w:rPr>
                <w:sz w:val="23"/>
                <w:szCs w:val="23"/>
              </w:rPr>
              <w:t>$6,029</w:t>
            </w:r>
          </w:p>
        </w:tc>
        <w:tc>
          <w:tcPr>
            <w:tcW w:w="1460" w:type="dxa"/>
            <w:tcBorders>
              <w:top w:val="single" w:sz="8" w:space="0" w:color="FFFFFF"/>
              <w:left w:val="single" w:sz="8" w:space="0" w:color="FFFFFF"/>
              <w:bottom w:val="single" w:sz="8" w:space="0" w:color="FFFFFF"/>
              <w:right w:val="single" w:sz="8" w:space="0" w:color="FFFFFF"/>
            </w:tcBorders>
            <w:shd w:val="clear" w:color="auto" w:fill="CBE4E6"/>
            <w:tcMar>
              <w:top w:w="15" w:type="dxa"/>
              <w:left w:w="113" w:type="dxa"/>
              <w:bottom w:w="0" w:type="dxa"/>
              <w:right w:w="113" w:type="dxa"/>
            </w:tcMar>
            <w:hideMark/>
          </w:tcPr>
          <w:p w14:paraId="630FE285" w14:textId="77777777" w:rsidR="00E24957" w:rsidRPr="00E24957" w:rsidRDefault="00E24957" w:rsidP="00E24957">
            <w:pPr>
              <w:rPr>
                <w:sz w:val="23"/>
                <w:szCs w:val="23"/>
              </w:rPr>
            </w:pPr>
            <w:r w:rsidRPr="00E24957">
              <w:rPr>
                <w:sz w:val="23"/>
                <w:szCs w:val="23"/>
              </w:rPr>
              <w:t>$72,348</w:t>
            </w:r>
          </w:p>
        </w:tc>
      </w:tr>
    </w:tbl>
    <w:p w14:paraId="77C6731B" w14:textId="77777777" w:rsidR="00E24957" w:rsidRDefault="001A3AF1" w:rsidP="001A3AF1">
      <w:pPr>
        <w:spacing w:before="0" w:after="200" w:line="276" w:lineRule="auto"/>
        <w:rPr>
          <w:sz w:val="23"/>
          <w:szCs w:val="23"/>
        </w:rPr>
      </w:pPr>
      <w:r>
        <w:rPr>
          <w:sz w:val="23"/>
          <w:szCs w:val="23"/>
        </w:rPr>
        <w:br w:type="page"/>
      </w:r>
      <w:r w:rsidR="00E24957">
        <w:rPr>
          <w:sz w:val="23"/>
          <w:szCs w:val="23"/>
        </w:rPr>
        <w:lastRenderedPageBreak/>
        <w:t xml:space="preserve">Work-based personal assistance also attracts an additional fee for services. </w:t>
      </w:r>
    </w:p>
    <w:tbl>
      <w:tblPr>
        <w:tblW w:w="6420" w:type="dxa"/>
        <w:tblCellMar>
          <w:left w:w="0" w:type="dxa"/>
          <w:right w:w="0" w:type="dxa"/>
        </w:tblCellMar>
        <w:tblLook w:val="04A0" w:firstRow="1" w:lastRow="0" w:firstColumn="1" w:lastColumn="0" w:noHBand="0" w:noVBand="1"/>
        <w:tblCaption w:val="Work Based Personal Assistance (2015-2018)"/>
        <w:tblDescription w:val="Either $31.82 per hour for personal assistance provided by an Approved Support Worker from within the Outlet, or $40.91 per hour for personal assistance purchased from a second agency, of up to 10 hours per week."/>
      </w:tblPr>
      <w:tblGrid>
        <w:gridCol w:w="1580"/>
        <w:gridCol w:w="4840"/>
      </w:tblGrid>
      <w:tr w:rsidR="00E24957" w:rsidRPr="00E24957" w14:paraId="61C8AB4C" w14:textId="77777777" w:rsidTr="00E24957">
        <w:trPr>
          <w:trHeight w:val="2153"/>
        </w:trPr>
        <w:tc>
          <w:tcPr>
            <w:tcW w:w="1580" w:type="dxa"/>
            <w:tcBorders>
              <w:top w:val="single" w:sz="8" w:space="0" w:color="FFFFFF"/>
              <w:left w:val="single" w:sz="8" w:space="0" w:color="FFFFFF"/>
              <w:bottom w:val="single" w:sz="24" w:space="0" w:color="FFFFFF"/>
              <w:right w:val="single" w:sz="18" w:space="0" w:color="FFFFFF"/>
            </w:tcBorders>
            <w:shd w:val="clear" w:color="auto" w:fill="00B0B9"/>
            <w:tcMar>
              <w:top w:w="15" w:type="dxa"/>
              <w:left w:w="113" w:type="dxa"/>
              <w:bottom w:w="0" w:type="dxa"/>
              <w:right w:w="113" w:type="dxa"/>
            </w:tcMar>
            <w:hideMark/>
          </w:tcPr>
          <w:p w14:paraId="133ADBB5" w14:textId="77777777" w:rsidR="00E24957" w:rsidRPr="00E24957" w:rsidRDefault="00E24957" w:rsidP="00E24957">
            <w:pPr>
              <w:spacing w:after="120" w:line="276" w:lineRule="auto"/>
              <w:jc w:val="center"/>
              <w:rPr>
                <w:rFonts w:cs="Arial"/>
                <w:spacing w:val="0"/>
                <w:sz w:val="36"/>
                <w:szCs w:val="36"/>
              </w:rPr>
            </w:pPr>
            <w:r w:rsidRPr="00E24957">
              <w:rPr>
                <w:rFonts w:cs="Arial"/>
                <w:b/>
                <w:bCs/>
                <w:color w:val="FFFFFF" w:themeColor="light1"/>
                <w:spacing w:val="0"/>
                <w:kern w:val="24"/>
                <w:sz w:val="20"/>
                <w:szCs w:val="20"/>
              </w:rPr>
              <w:t>Work Based Personal Assistance (2015-2018)</w:t>
            </w:r>
          </w:p>
        </w:tc>
        <w:tc>
          <w:tcPr>
            <w:tcW w:w="4840" w:type="dxa"/>
            <w:tcBorders>
              <w:top w:val="single" w:sz="8" w:space="0" w:color="FFFFFF"/>
              <w:left w:val="single" w:sz="18" w:space="0" w:color="FFFFFF"/>
              <w:bottom w:val="single" w:sz="24" w:space="0" w:color="FFFFFF"/>
              <w:right w:val="single" w:sz="8" w:space="0" w:color="FFFFFF"/>
            </w:tcBorders>
            <w:shd w:val="clear" w:color="auto" w:fill="CBE4E6"/>
            <w:tcMar>
              <w:top w:w="15" w:type="dxa"/>
              <w:left w:w="113" w:type="dxa"/>
              <w:bottom w:w="0" w:type="dxa"/>
              <w:right w:w="113" w:type="dxa"/>
            </w:tcMar>
            <w:hideMark/>
          </w:tcPr>
          <w:p w14:paraId="540B5CD5" w14:textId="77777777" w:rsidR="00E24957" w:rsidRPr="00E24957" w:rsidRDefault="00E24957" w:rsidP="00E24957">
            <w:pPr>
              <w:spacing w:before="0" w:after="0" w:line="276" w:lineRule="auto"/>
              <w:jc w:val="center"/>
              <w:rPr>
                <w:rFonts w:cs="Arial"/>
                <w:spacing w:val="0"/>
                <w:sz w:val="36"/>
                <w:szCs w:val="36"/>
              </w:rPr>
            </w:pPr>
            <w:r w:rsidRPr="00E24957">
              <w:rPr>
                <w:rFonts w:cs="Arial"/>
                <w:color w:val="000000" w:themeColor="text1"/>
                <w:spacing w:val="0"/>
                <w:kern w:val="24"/>
                <w:sz w:val="20"/>
                <w:szCs w:val="20"/>
              </w:rPr>
              <w:t xml:space="preserve">Either: </w:t>
            </w:r>
          </w:p>
          <w:p w14:paraId="52F54C6B" w14:textId="155C0D98" w:rsidR="00E24957" w:rsidRPr="00E24957" w:rsidRDefault="004B38EB" w:rsidP="00E24957">
            <w:pPr>
              <w:numPr>
                <w:ilvl w:val="0"/>
                <w:numId w:val="17"/>
              </w:numPr>
              <w:spacing w:before="0" w:after="0" w:line="276" w:lineRule="auto"/>
              <w:ind w:left="994"/>
              <w:contextualSpacing/>
              <w:rPr>
                <w:rFonts w:cs="Arial"/>
                <w:spacing w:val="0"/>
                <w:sz w:val="20"/>
                <w:szCs w:val="36"/>
              </w:rPr>
            </w:pPr>
            <w:r>
              <w:rPr>
                <w:rFonts w:cs="Arial"/>
                <w:color w:val="000000" w:themeColor="text1"/>
                <w:spacing w:val="0"/>
                <w:kern w:val="24"/>
                <w:sz w:val="20"/>
                <w:szCs w:val="20"/>
              </w:rPr>
              <w:t xml:space="preserve">$35 </w:t>
            </w:r>
            <w:r w:rsidR="00E24957" w:rsidRPr="00E24957">
              <w:rPr>
                <w:rFonts w:cs="Arial"/>
                <w:color w:val="000000" w:themeColor="text1"/>
                <w:spacing w:val="0"/>
                <w:kern w:val="24"/>
                <w:sz w:val="20"/>
                <w:szCs w:val="20"/>
              </w:rPr>
              <w:t>per hour where the work based personal assistance is provided by an Approved Support Worker from within the Outlet</w:t>
            </w:r>
          </w:p>
          <w:p w14:paraId="27817412" w14:textId="77777777" w:rsidR="00E24957" w:rsidRPr="00E24957" w:rsidRDefault="00E24957" w:rsidP="00E24957">
            <w:pPr>
              <w:spacing w:before="0" w:after="0" w:line="276" w:lineRule="auto"/>
              <w:jc w:val="center"/>
              <w:rPr>
                <w:rFonts w:cs="Arial"/>
                <w:spacing w:val="0"/>
                <w:sz w:val="36"/>
                <w:szCs w:val="36"/>
              </w:rPr>
            </w:pPr>
            <w:r w:rsidRPr="00E24957">
              <w:rPr>
                <w:rFonts w:cs="Arial"/>
                <w:color w:val="000000" w:themeColor="text1"/>
                <w:spacing w:val="0"/>
                <w:kern w:val="24"/>
                <w:sz w:val="20"/>
                <w:szCs w:val="20"/>
              </w:rPr>
              <w:t>or</w:t>
            </w:r>
          </w:p>
          <w:p w14:paraId="2C4EB028" w14:textId="6A662894" w:rsidR="00E24957" w:rsidRPr="00E24957" w:rsidRDefault="004B38EB" w:rsidP="00E24957">
            <w:pPr>
              <w:numPr>
                <w:ilvl w:val="0"/>
                <w:numId w:val="18"/>
              </w:numPr>
              <w:spacing w:before="0" w:after="0" w:line="276" w:lineRule="auto"/>
              <w:ind w:left="994"/>
              <w:contextualSpacing/>
              <w:rPr>
                <w:rFonts w:cs="Arial"/>
                <w:spacing w:val="0"/>
                <w:sz w:val="20"/>
                <w:szCs w:val="36"/>
              </w:rPr>
            </w:pPr>
            <w:r>
              <w:rPr>
                <w:rFonts w:cs="Arial"/>
                <w:color w:val="000000" w:themeColor="text1"/>
                <w:spacing w:val="0"/>
                <w:kern w:val="24"/>
                <w:sz w:val="20"/>
                <w:szCs w:val="20"/>
              </w:rPr>
              <w:t>$45</w:t>
            </w:r>
            <w:r w:rsidR="00E24957" w:rsidRPr="00E24957">
              <w:rPr>
                <w:rFonts w:cs="Arial"/>
                <w:color w:val="000000" w:themeColor="text1"/>
                <w:spacing w:val="0"/>
                <w:kern w:val="24"/>
                <w:sz w:val="20"/>
                <w:szCs w:val="20"/>
              </w:rPr>
              <w:t xml:space="preserve"> per hour where the work based personal assistance is purchased from a second agency, </w:t>
            </w:r>
            <w:r w:rsidR="00D3043E">
              <w:rPr>
                <w:rFonts w:cs="Arial"/>
                <w:color w:val="000000" w:themeColor="text1"/>
                <w:spacing w:val="0"/>
                <w:kern w:val="24"/>
                <w:sz w:val="20"/>
                <w:szCs w:val="20"/>
              </w:rPr>
              <w:t xml:space="preserve">and </w:t>
            </w:r>
            <w:r w:rsidR="00E24957" w:rsidRPr="00E24957">
              <w:rPr>
                <w:rFonts w:cs="Arial"/>
                <w:color w:val="000000" w:themeColor="text1"/>
                <w:spacing w:val="0"/>
                <w:kern w:val="24"/>
                <w:sz w:val="20"/>
                <w:szCs w:val="20"/>
              </w:rPr>
              <w:t>is provided up to a maximum of 10 hours per week.</w:t>
            </w:r>
          </w:p>
        </w:tc>
      </w:tr>
    </w:tbl>
    <w:p w14:paraId="6A60685C" w14:textId="77777777" w:rsidR="00204020" w:rsidRDefault="00204020">
      <w:pPr>
        <w:spacing w:before="0" w:after="200" w:line="276" w:lineRule="auto"/>
        <w:rPr>
          <w:rFonts w:ascii="Georgia" w:hAnsi="Georgia"/>
          <w:bCs/>
          <w:color w:val="24596E"/>
          <w:sz w:val="34"/>
          <w:szCs w:val="34"/>
        </w:rPr>
      </w:pPr>
      <w:r>
        <w:rPr>
          <w:rFonts w:ascii="Georgia" w:hAnsi="Georgia"/>
          <w:bCs/>
          <w:color w:val="24596E"/>
          <w:sz w:val="34"/>
          <w:szCs w:val="34"/>
        </w:rPr>
        <w:br w:type="page"/>
      </w:r>
      <w:bookmarkStart w:id="36" w:name="_GoBack"/>
      <w:bookmarkEnd w:id="36"/>
    </w:p>
    <w:p w14:paraId="0F9084E4" w14:textId="29F1BABC" w:rsidR="0066391A" w:rsidRPr="005F59D5" w:rsidRDefault="00B372A6" w:rsidP="005F59D5">
      <w:pPr>
        <w:spacing w:before="360" w:after="120" w:line="240" w:lineRule="auto"/>
        <w:contextualSpacing/>
        <w:outlineLvl w:val="0"/>
        <w:rPr>
          <w:rFonts w:ascii="Georgia" w:hAnsi="Georgia"/>
          <w:bCs/>
          <w:color w:val="24596E"/>
          <w:sz w:val="34"/>
          <w:szCs w:val="34"/>
        </w:rPr>
      </w:pPr>
      <w:bookmarkStart w:id="37" w:name="_Toc500401863"/>
      <w:r>
        <w:rPr>
          <w:rFonts w:ascii="Georgia" w:hAnsi="Georgia"/>
          <w:bCs/>
          <w:color w:val="24596E"/>
          <w:sz w:val="34"/>
          <w:szCs w:val="34"/>
        </w:rPr>
        <w:lastRenderedPageBreak/>
        <w:t>K</w:t>
      </w:r>
      <w:r w:rsidR="00830D1C" w:rsidRPr="005F59D5">
        <w:rPr>
          <w:rFonts w:ascii="Georgia" w:hAnsi="Georgia"/>
          <w:bCs/>
          <w:color w:val="24596E"/>
          <w:sz w:val="34"/>
          <w:szCs w:val="34"/>
        </w:rPr>
        <w:t xml:space="preserve">ey differences between </w:t>
      </w:r>
      <w:r>
        <w:rPr>
          <w:rFonts w:ascii="Georgia" w:hAnsi="Georgia"/>
          <w:bCs/>
          <w:color w:val="24596E"/>
          <w:sz w:val="34"/>
          <w:szCs w:val="34"/>
        </w:rPr>
        <w:t xml:space="preserve">the current operation of </w:t>
      </w:r>
      <w:r w:rsidR="00830D1C" w:rsidRPr="005F59D5">
        <w:rPr>
          <w:rFonts w:ascii="Georgia" w:hAnsi="Georgia"/>
          <w:bCs/>
          <w:color w:val="24596E"/>
          <w:sz w:val="34"/>
          <w:szCs w:val="34"/>
        </w:rPr>
        <w:t>open and supported employment in Australia</w:t>
      </w:r>
      <w:bookmarkEnd w:id="37"/>
      <w:r w:rsidR="00830D1C" w:rsidRPr="005F59D5">
        <w:rPr>
          <w:rFonts w:ascii="Georgia" w:hAnsi="Georgia"/>
          <w:bCs/>
          <w:color w:val="24596E"/>
          <w:sz w:val="34"/>
          <w:szCs w:val="34"/>
        </w:rPr>
        <w:t xml:space="preserve"> </w:t>
      </w:r>
    </w:p>
    <w:p w14:paraId="3646CEC8" w14:textId="77777777" w:rsidR="009A2F00" w:rsidRDefault="009A2F00" w:rsidP="009A2F00">
      <w:pPr>
        <w:rPr>
          <w:b/>
        </w:rPr>
        <w:sectPr w:rsidR="009A2F00" w:rsidSect="0041730F">
          <w:type w:val="continuous"/>
          <w:pgSz w:w="11906" w:h="16838"/>
          <w:pgMar w:top="81" w:right="1440" w:bottom="1134" w:left="1440" w:header="0" w:footer="708" w:gutter="0"/>
          <w:cols w:space="708"/>
          <w:docGrid w:linePitch="360"/>
        </w:sectPr>
      </w:pPr>
      <w:r>
        <w:rPr>
          <w:b/>
          <w:noProof/>
        </w:rPr>
        <mc:AlternateContent>
          <mc:Choice Requires="wps">
            <w:drawing>
              <wp:anchor distT="0" distB="0" distL="114300" distR="114300" simplePos="0" relativeHeight="251667456" behindDoc="0" locked="0" layoutInCell="1" allowOverlap="1" wp14:anchorId="05298EB0" wp14:editId="67001E05">
                <wp:simplePos x="0" y="0"/>
                <wp:positionH relativeFrom="column">
                  <wp:posOffset>3009901</wp:posOffset>
                </wp:positionH>
                <wp:positionV relativeFrom="paragraph">
                  <wp:posOffset>279399</wp:posOffset>
                </wp:positionV>
                <wp:extent cx="2990850" cy="9525"/>
                <wp:effectExtent l="0" t="0" r="19050" b="28575"/>
                <wp:wrapNone/>
                <wp:docPr id="1" name="Straight Connector 1" title="Connector around writing"/>
                <wp:cNvGraphicFramePr/>
                <a:graphic xmlns:a="http://schemas.openxmlformats.org/drawingml/2006/main">
                  <a:graphicData uri="http://schemas.microsoft.com/office/word/2010/wordprocessingShape">
                    <wps:wsp>
                      <wps:cNvCnPr/>
                      <wps:spPr>
                        <a:xfrm flipV="1">
                          <a:off x="0" y="0"/>
                          <a:ext cx="2990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3CDE9" id="Straight Connector 1" o:spid="_x0000_s1026" alt="Title: Connector around writing"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22pt" to="47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" strokecolor="black [3200]"/>
            </w:pict>
          </mc:Fallback>
        </mc:AlternateContent>
      </w:r>
    </w:p>
    <w:p w14:paraId="5577B216" w14:textId="77777777" w:rsidR="009A2F00" w:rsidRDefault="009A2F00" w:rsidP="00A0638F">
      <w:pPr>
        <w:pBdr>
          <w:top w:val="single" w:sz="4" w:space="1" w:color="auto"/>
          <w:left w:val="single" w:sz="4" w:space="4" w:color="auto"/>
          <w:bottom w:val="single" w:sz="4" w:space="1" w:color="auto"/>
          <w:right w:val="single" w:sz="4" w:space="4" w:color="auto"/>
          <w:between w:val="single" w:sz="4" w:space="1" w:color="auto"/>
        </w:pBdr>
        <w:spacing w:line="240" w:lineRule="auto"/>
        <w:rPr>
          <w:b/>
        </w:rPr>
      </w:pPr>
      <w:r w:rsidRPr="001F6EA3">
        <w:rPr>
          <w:b/>
        </w:rPr>
        <w:t>Supported Employment – Australian Disability Enterprises</w:t>
      </w:r>
    </w:p>
    <w:p w14:paraId="6BF7D141" w14:textId="77777777" w:rsidR="009A2F00" w:rsidRPr="00A0638F" w:rsidRDefault="009A2F00" w:rsidP="004F0F7E">
      <w:pPr>
        <w:pBdr>
          <w:top w:val="single" w:sz="4" w:space="1" w:color="auto"/>
          <w:left w:val="single" w:sz="4" w:space="4" w:color="auto"/>
          <w:bottom w:val="single" w:sz="4" w:space="1" w:color="auto"/>
          <w:right w:val="single" w:sz="4" w:space="4" w:color="auto"/>
        </w:pBdr>
        <w:rPr>
          <w:rFonts w:cs="Arial"/>
          <w:sz w:val="22"/>
          <w:szCs w:val="22"/>
        </w:rPr>
      </w:pPr>
      <w:r w:rsidRPr="00A0638F">
        <w:rPr>
          <w:rFonts w:eastAsia="+mn-ea" w:cs="Arial"/>
          <w:b/>
          <w:bCs/>
          <w:kern w:val="24"/>
          <w:sz w:val="22"/>
          <w:szCs w:val="22"/>
        </w:rPr>
        <w:t>ADEs receive funding to assist directly employing people with disability and particularly to provide the supports those people need at work.</w:t>
      </w:r>
    </w:p>
    <w:p w14:paraId="1D238D99" w14:textId="7D7B58FF" w:rsidR="009A2F00" w:rsidRPr="00A0638F" w:rsidRDefault="009A2F00" w:rsidP="00A0638F">
      <w:pPr>
        <w:pBdr>
          <w:top w:val="single" w:sz="4" w:space="1" w:color="auto"/>
          <w:left w:val="single" w:sz="4" w:space="4" w:color="auto"/>
          <w:bottom w:val="single" w:sz="4" w:space="1" w:color="auto"/>
          <w:right w:val="single" w:sz="4" w:space="4" w:color="auto"/>
        </w:pBdr>
        <w:spacing w:before="240" w:after="0" w:line="240" w:lineRule="auto"/>
        <w:rPr>
          <w:rFonts w:cs="Arial"/>
          <w:sz w:val="22"/>
          <w:szCs w:val="22"/>
        </w:rPr>
      </w:pPr>
      <w:r w:rsidRPr="00A0638F">
        <w:rPr>
          <w:rFonts w:eastAsia="+mn-ea" w:cs="Arial"/>
          <w:kern w:val="24"/>
          <w:sz w:val="22"/>
          <w:szCs w:val="22"/>
        </w:rPr>
        <w:t xml:space="preserve">ADEs act as a link, </w:t>
      </w:r>
      <w:r w:rsidRPr="00A0638F">
        <w:rPr>
          <w:rFonts w:eastAsia="+mn-ea" w:cs="Arial"/>
          <w:b/>
          <w:bCs/>
          <w:kern w:val="24"/>
          <w:sz w:val="22"/>
          <w:szCs w:val="22"/>
        </w:rPr>
        <w:t xml:space="preserve">helping people with moderate to severe disability </w:t>
      </w:r>
      <w:r w:rsidRPr="00A0638F">
        <w:rPr>
          <w:rFonts w:eastAsia="+mn-ea" w:cs="Arial"/>
          <w:kern w:val="24"/>
          <w:sz w:val="22"/>
          <w:szCs w:val="22"/>
        </w:rPr>
        <w:t>gain training and experience to confidently step into open employment or to continue in supported employment if they choose.</w:t>
      </w:r>
    </w:p>
    <w:p w14:paraId="77FBD81B" w14:textId="77777777" w:rsidR="009A2F00" w:rsidRPr="00A0638F" w:rsidRDefault="009A2F00" w:rsidP="00A0638F">
      <w:pPr>
        <w:pBdr>
          <w:top w:val="single" w:sz="4" w:space="1" w:color="auto"/>
          <w:left w:val="single" w:sz="4" w:space="4" w:color="auto"/>
          <w:bottom w:val="single" w:sz="4" w:space="1" w:color="auto"/>
          <w:right w:val="single" w:sz="4" w:space="4" w:color="auto"/>
        </w:pBdr>
        <w:spacing w:before="240" w:after="0" w:line="240" w:lineRule="auto"/>
        <w:rPr>
          <w:rFonts w:cs="Arial"/>
          <w:sz w:val="22"/>
          <w:szCs w:val="22"/>
        </w:rPr>
      </w:pPr>
      <w:r w:rsidRPr="00A0638F">
        <w:rPr>
          <w:rFonts w:eastAsia="+mn-ea" w:cs="Arial"/>
          <w:kern w:val="24"/>
          <w:sz w:val="22"/>
          <w:szCs w:val="22"/>
        </w:rPr>
        <w:t>ADEs create employment opportunities through</w:t>
      </w:r>
      <w:r w:rsidRPr="00A0638F">
        <w:rPr>
          <w:rFonts w:eastAsia="+mn-ea" w:cs="Arial"/>
          <w:b/>
          <w:bCs/>
          <w:kern w:val="24"/>
          <w:sz w:val="22"/>
          <w:szCs w:val="22"/>
        </w:rPr>
        <w:t xml:space="preserve"> designing jobs around the individual abilities </w:t>
      </w:r>
      <w:r w:rsidRPr="00A0638F">
        <w:rPr>
          <w:rFonts w:eastAsia="+mn-ea" w:cs="Arial"/>
          <w:bCs/>
          <w:kern w:val="24"/>
          <w:sz w:val="22"/>
          <w:szCs w:val="22"/>
        </w:rPr>
        <w:t>of</w:t>
      </w:r>
      <w:r w:rsidRPr="00A0638F">
        <w:rPr>
          <w:rFonts w:eastAsia="+mn-ea" w:cs="Arial"/>
          <w:b/>
          <w:bCs/>
          <w:kern w:val="24"/>
          <w:sz w:val="22"/>
          <w:szCs w:val="22"/>
        </w:rPr>
        <w:t xml:space="preserve"> </w:t>
      </w:r>
      <w:r w:rsidRPr="00A0638F">
        <w:rPr>
          <w:rFonts w:eastAsia="+mn-ea" w:cs="Arial"/>
          <w:kern w:val="24"/>
          <w:sz w:val="22"/>
          <w:szCs w:val="22"/>
        </w:rPr>
        <w:t xml:space="preserve">people with disability. ADEs provide significant workplace modifications to accommodate the abilities of their workforce. </w:t>
      </w:r>
      <w:r w:rsidRPr="00A0638F">
        <w:rPr>
          <w:rFonts w:eastAsia="+mn-ea" w:cs="Arial"/>
          <w:b/>
          <w:kern w:val="24"/>
          <w:sz w:val="22"/>
          <w:szCs w:val="22"/>
        </w:rPr>
        <w:t>The majority of an ADE’s workforce has a disability.</w:t>
      </w:r>
    </w:p>
    <w:p w14:paraId="139E867D" w14:textId="77777777" w:rsidR="009A2F00" w:rsidRPr="00A0638F" w:rsidRDefault="009A2F00" w:rsidP="00A0638F">
      <w:pPr>
        <w:pBdr>
          <w:top w:val="single" w:sz="4" w:space="1" w:color="auto"/>
          <w:left w:val="single" w:sz="4" w:space="4" w:color="auto"/>
          <w:bottom w:val="single" w:sz="4" w:space="1" w:color="auto"/>
          <w:right w:val="single" w:sz="4" w:space="4" w:color="auto"/>
        </w:pBdr>
        <w:spacing w:before="240" w:after="0" w:line="240" w:lineRule="auto"/>
        <w:rPr>
          <w:rFonts w:cs="Arial"/>
          <w:sz w:val="22"/>
          <w:szCs w:val="22"/>
        </w:rPr>
      </w:pPr>
      <w:r w:rsidRPr="00A0638F">
        <w:rPr>
          <w:rFonts w:eastAsia="+mn-ea" w:cs="Arial"/>
          <w:kern w:val="24"/>
          <w:sz w:val="22"/>
          <w:szCs w:val="22"/>
        </w:rPr>
        <w:t xml:space="preserve">Once placed </w:t>
      </w:r>
      <w:r w:rsidRPr="00A0638F">
        <w:rPr>
          <w:rFonts w:eastAsia="+mn-ea" w:cs="Arial"/>
          <w:b/>
          <w:bCs/>
          <w:kern w:val="24"/>
          <w:sz w:val="22"/>
          <w:szCs w:val="22"/>
        </w:rPr>
        <w:t>in an ADE</w:t>
      </w:r>
      <w:r w:rsidRPr="00A0638F">
        <w:rPr>
          <w:rFonts w:eastAsia="+mn-ea" w:cs="Arial"/>
          <w:kern w:val="24"/>
          <w:sz w:val="22"/>
          <w:szCs w:val="22"/>
        </w:rPr>
        <w:t xml:space="preserve">, </w:t>
      </w:r>
      <w:r w:rsidRPr="00A0638F">
        <w:rPr>
          <w:rFonts w:eastAsia="+mn-ea" w:cs="Arial"/>
          <w:b/>
          <w:bCs/>
          <w:kern w:val="24"/>
          <w:sz w:val="22"/>
          <w:szCs w:val="22"/>
        </w:rPr>
        <w:t>a supported employee generally immediately commences in a job role</w:t>
      </w:r>
      <w:r w:rsidRPr="00A0638F">
        <w:rPr>
          <w:rFonts w:eastAsia="+mn-ea" w:cs="Arial"/>
          <w:kern w:val="24"/>
          <w:sz w:val="22"/>
          <w:szCs w:val="22"/>
        </w:rPr>
        <w:t xml:space="preserve">. </w:t>
      </w:r>
    </w:p>
    <w:p w14:paraId="439A147E" w14:textId="00586432" w:rsidR="009A2F00" w:rsidRPr="00A0638F" w:rsidRDefault="009A2F00" w:rsidP="004F0F7E">
      <w:pPr>
        <w:pBdr>
          <w:top w:val="single" w:sz="4" w:space="1" w:color="auto"/>
          <w:left w:val="single" w:sz="4" w:space="4" w:color="auto"/>
          <w:bottom w:val="single" w:sz="4" w:space="1" w:color="auto"/>
          <w:right w:val="single" w:sz="4" w:space="4" w:color="auto"/>
        </w:pBdr>
        <w:spacing w:before="240" w:after="0" w:line="240" w:lineRule="auto"/>
        <w:rPr>
          <w:rFonts w:cs="Arial"/>
          <w:sz w:val="22"/>
          <w:szCs w:val="22"/>
        </w:rPr>
      </w:pPr>
      <w:r w:rsidRPr="00A0638F">
        <w:rPr>
          <w:rFonts w:eastAsia="+mn-ea" w:cs="Arial"/>
          <w:kern w:val="24"/>
          <w:sz w:val="22"/>
          <w:szCs w:val="22"/>
        </w:rPr>
        <w:t xml:space="preserve">An ADE will adjust a supported employee’s daily job tasks to suit their abilities, meaning </w:t>
      </w:r>
      <w:r w:rsidR="007E5C20">
        <w:rPr>
          <w:rFonts w:eastAsia="+mn-ea" w:cs="Arial"/>
          <w:kern w:val="24"/>
          <w:sz w:val="22"/>
          <w:szCs w:val="22"/>
        </w:rPr>
        <w:t>an equivalent open employment</w:t>
      </w:r>
      <w:r w:rsidRPr="00A0638F">
        <w:rPr>
          <w:rFonts w:eastAsia="+mn-ea" w:cs="Arial"/>
          <w:kern w:val="24"/>
          <w:sz w:val="22"/>
          <w:szCs w:val="22"/>
        </w:rPr>
        <w:t xml:space="preserve"> job role may not be completed by </w:t>
      </w:r>
      <w:r w:rsidR="007E5C20">
        <w:rPr>
          <w:rFonts w:eastAsia="+mn-ea" w:cs="Arial"/>
          <w:kern w:val="24"/>
          <w:sz w:val="22"/>
          <w:szCs w:val="22"/>
        </w:rPr>
        <w:t>one</w:t>
      </w:r>
      <w:r w:rsidR="007E5C20" w:rsidRPr="00A0638F">
        <w:rPr>
          <w:rFonts w:eastAsia="+mn-ea" w:cs="Arial"/>
          <w:kern w:val="24"/>
          <w:sz w:val="22"/>
          <w:szCs w:val="22"/>
        </w:rPr>
        <w:t xml:space="preserve"> </w:t>
      </w:r>
      <w:r w:rsidRPr="00A0638F">
        <w:rPr>
          <w:rFonts w:eastAsia="+mn-ea" w:cs="Arial"/>
          <w:kern w:val="24"/>
          <w:sz w:val="22"/>
          <w:szCs w:val="22"/>
        </w:rPr>
        <w:t xml:space="preserve">ADE employee. </w:t>
      </w:r>
    </w:p>
    <w:p w14:paraId="091110A0" w14:textId="333796FC" w:rsidR="009A2F00" w:rsidRPr="005E7E31" w:rsidRDefault="00F658CA" w:rsidP="00A0638F">
      <w:pPr>
        <w:pBdr>
          <w:top w:val="single" w:sz="4" w:space="1" w:color="auto"/>
          <w:left w:val="single" w:sz="4" w:space="4" w:color="auto"/>
          <w:bottom w:val="single" w:sz="4" w:space="1" w:color="auto"/>
          <w:right w:val="single" w:sz="4" w:space="4" w:color="auto"/>
        </w:pBdr>
        <w:spacing w:before="240" w:after="0" w:line="240" w:lineRule="auto"/>
        <w:rPr>
          <w:b/>
        </w:rPr>
      </w:pPr>
      <w:r w:rsidRPr="00A0638F">
        <w:rPr>
          <w:rFonts w:eastAsia="+mn-ea" w:cs="Arial"/>
          <w:noProof/>
          <w:kern w:val="24"/>
          <w:sz w:val="22"/>
          <w:szCs w:val="22"/>
        </w:rPr>
        <mc:AlternateContent>
          <mc:Choice Requires="wps">
            <w:drawing>
              <wp:anchor distT="0" distB="0" distL="114300" distR="114300" simplePos="0" relativeHeight="251668480" behindDoc="0" locked="0" layoutInCell="1" allowOverlap="1" wp14:anchorId="15771F3F" wp14:editId="22A7AFA8">
                <wp:simplePos x="0" y="0"/>
                <wp:positionH relativeFrom="column">
                  <wp:posOffset>-75261</wp:posOffset>
                </wp:positionH>
                <wp:positionV relativeFrom="paragraph">
                  <wp:posOffset>1268481</wp:posOffset>
                </wp:positionV>
                <wp:extent cx="2981739" cy="7951"/>
                <wp:effectExtent l="0" t="0" r="28575" b="30480"/>
                <wp:wrapNone/>
                <wp:docPr id="7" name="Straight Connector 7" title="Connector around writing"/>
                <wp:cNvGraphicFramePr/>
                <a:graphic xmlns:a="http://schemas.openxmlformats.org/drawingml/2006/main">
                  <a:graphicData uri="http://schemas.microsoft.com/office/word/2010/wordprocessingShape">
                    <wps:wsp>
                      <wps:cNvCnPr/>
                      <wps:spPr>
                        <a:xfrm flipV="1">
                          <a:off x="0" y="0"/>
                          <a:ext cx="2981739"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DDF09" id="Straight Connector 7" o:spid="_x0000_s1026" alt="Title: Connector around writing"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99.9pt" to="228.8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" strokecolor="black [3200]"/>
            </w:pict>
          </mc:Fallback>
        </mc:AlternateContent>
      </w:r>
      <w:r w:rsidR="009A2F00" w:rsidRPr="00A0638F">
        <w:rPr>
          <w:rFonts w:eastAsia="+mn-ea" w:cs="Arial"/>
          <w:kern w:val="24"/>
          <w:sz w:val="22"/>
          <w:szCs w:val="22"/>
        </w:rPr>
        <w:t xml:space="preserve">A supported employee will often receive </w:t>
      </w:r>
      <w:r w:rsidR="009A2F00" w:rsidRPr="00A0638F">
        <w:rPr>
          <w:rFonts w:eastAsia="+mn-ea" w:cs="Arial"/>
          <w:b/>
          <w:bCs/>
          <w:kern w:val="24"/>
          <w:sz w:val="22"/>
          <w:szCs w:val="22"/>
        </w:rPr>
        <w:t xml:space="preserve">daily access to employment and personal care supports </w:t>
      </w:r>
      <w:r w:rsidR="009A2F00" w:rsidRPr="00A0638F">
        <w:rPr>
          <w:rFonts w:eastAsia="+mn-ea" w:cs="Arial"/>
          <w:kern w:val="24"/>
          <w:sz w:val="22"/>
          <w:szCs w:val="22"/>
        </w:rPr>
        <w:t xml:space="preserve">by support staff embedded within (and employed by) the ADE. This allows for a </w:t>
      </w:r>
      <w:r w:rsidR="009A2F00" w:rsidRPr="00A0638F">
        <w:rPr>
          <w:rFonts w:eastAsia="+mn-ea" w:cs="Arial"/>
          <w:b/>
          <w:bCs/>
          <w:kern w:val="24"/>
          <w:sz w:val="22"/>
          <w:szCs w:val="22"/>
        </w:rPr>
        <w:t xml:space="preserve">greater intensity and frequency of support </w:t>
      </w:r>
      <w:r w:rsidR="009A2F00" w:rsidRPr="00A0638F">
        <w:rPr>
          <w:rFonts w:eastAsia="+mn-ea" w:cs="Arial"/>
          <w:kern w:val="24"/>
          <w:sz w:val="22"/>
          <w:szCs w:val="22"/>
        </w:rPr>
        <w:t>that can be provided to individuals</w:t>
      </w:r>
      <w:r w:rsidR="00D3043E">
        <w:rPr>
          <w:rFonts w:eastAsia="+mn-ea" w:cs="Arial"/>
          <w:kern w:val="24"/>
          <w:sz w:val="22"/>
          <w:szCs w:val="22"/>
        </w:rPr>
        <w:t>.</w:t>
      </w:r>
      <w:r w:rsidR="009A2F00">
        <w:rPr>
          <w:rFonts w:eastAsia="+mn-ea" w:cs="Arial"/>
          <w:kern w:val="24"/>
          <w:sz w:val="23"/>
          <w:szCs w:val="23"/>
        </w:rPr>
        <w:br w:type="column"/>
      </w:r>
      <w:r w:rsidR="009A2F00" w:rsidRPr="001F6EA3">
        <w:rPr>
          <w:b/>
        </w:rPr>
        <w:t xml:space="preserve">Open Employment – </w:t>
      </w:r>
      <w:r w:rsidR="009A2F00">
        <w:rPr>
          <w:b/>
        </w:rPr>
        <w:br/>
      </w:r>
      <w:r w:rsidR="009A2F00" w:rsidRPr="001F6EA3">
        <w:rPr>
          <w:b/>
        </w:rPr>
        <w:t>Disability Employment Services</w:t>
      </w:r>
    </w:p>
    <w:p w14:paraId="6EB77E59" w14:textId="472FD23D" w:rsidR="009A2F00" w:rsidRPr="00A0638F" w:rsidRDefault="009A2F00" w:rsidP="009A2F00">
      <w:pPr>
        <w:pBdr>
          <w:top w:val="single" w:sz="4" w:space="1" w:color="auto"/>
          <w:left w:val="single" w:sz="4" w:space="4" w:color="auto"/>
          <w:bottom w:val="single" w:sz="4" w:space="1" w:color="auto"/>
          <w:right w:val="single" w:sz="4" w:space="4" w:color="auto"/>
        </w:pBdr>
        <w:spacing w:before="240" w:after="0" w:line="240" w:lineRule="auto"/>
        <w:rPr>
          <w:rFonts w:cs="Arial"/>
          <w:sz w:val="22"/>
          <w:szCs w:val="22"/>
        </w:rPr>
      </w:pPr>
      <w:r w:rsidRPr="00A0638F">
        <w:rPr>
          <w:b/>
          <w:noProof/>
          <w:sz w:val="22"/>
          <w:szCs w:val="22"/>
        </w:rPr>
        <mc:AlternateContent>
          <mc:Choice Requires="wps">
            <w:drawing>
              <wp:anchor distT="0" distB="0" distL="114300" distR="114300" simplePos="0" relativeHeight="251669504" behindDoc="0" locked="0" layoutInCell="1" allowOverlap="1" wp14:anchorId="5D189F3B" wp14:editId="0A8B1BC7">
                <wp:simplePos x="0" y="0"/>
                <wp:positionH relativeFrom="column">
                  <wp:posOffset>-76200</wp:posOffset>
                </wp:positionH>
                <wp:positionV relativeFrom="paragraph">
                  <wp:posOffset>131169</wp:posOffset>
                </wp:positionV>
                <wp:extent cx="2981325" cy="7951"/>
                <wp:effectExtent l="0" t="0" r="28575" b="30480"/>
                <wp:wrapNone/>
                <wp:docPr id="8" name="Straight Connector 8" title="Connector around writing"/>
                <wp:cNvGraphicFramePr/>
                <a:graphic xmlns:a="http://schemas.openxmlformats.org/drawingml/2006/main">
                  <a:graphicData uri="http://schemas.microsoft.com/office/word/2010/wordprocessingShape">
                    <wps:wsp>
                      <wps:cNvCnPr/>
                      <wps:spPr>
                        <a:xfrm flipV="1">
                          <a:off x="0" y="0"/>
                          <a:ext cx="2981325"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CEA5F" id="Straight Connector 8" o:spid="_x0000_s1026" alt="Title: Connector around writing"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35pt" to="22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" strokecolor="black [3200]"/>
            </w:pict>
          </mc:Fallback>
        </mc:AlternateContent>
      </w:r>
      <w:r w:rsidRPr="00A0638F">
        <w:rPr>
          <w:b/>
          <w:sz w:val="22"/>
          <w:szCs w:val="22"/>
        </w:rPr>
        <w:t>DES providers are not funded</w:t>
      </w:r>
      <w:r w:rsidRPr="00A0638F">
        <w:rPr>
          <w:rFonts w:eastAsia="+mn-ea" w:cs="Arial"/>
          <w:b/>
          <w:bCs/>
          <w:kern w:val="24"/>
          <w:sz w:val="22"/>
          <w:szCs w:val="22"/>
        </w:rPr>
        <w:t xml:space="preserve"> to directly employ people with disabilities looking for </w:t>
      </w:r>
      <w:r w:rsidR="005C1098" w:rsidRPr="005C1098">
        <w:rPr>
          <w:rFonts w:eastAsia="+mn-ea" w:cs="Arial"/>
          <w:b/>
          <w:bCs/>
          <w:kern w:val="24"/>
          <w:sz w:val="22"/>
          <w:szCs w:val="22"/>
        </w:rPr>
        <w:t>work;</w:t>
      </w:r>
      <w:r w:rsidRPr="00A0638F">
        <w:rPr>
          <w:rFonts w:eastAsia="+mn-ea" w:cs="Arial"/>
          <w:b/>
          <w:bCs/>
          <w:kern w:val="24"/>
          <w:sz w:val="22"/>
          <w:szCs w:val="22"/>
        </w:rPr>
        <w:t xml:space="preserve"> rather they are funded to help those people gain employment readiness</w:t>
      </w:r>
      <w:r w:rsidR="004F0F7E" w:rsidRPr="00A0638F">
        <w:rPr>
          <w:rFonts w:eastAsia="+mn-ea" w:cs="Arial"/>
          <w:b/>
          <w:bCs/>
          <w:kern w:val="24"/>
          <w:sz w:val="22"/>
          <w:szCs w:val="22"/>
        </w:rPr>
        <w:t>,</w:t>
      </w:r>
      <w:r w:rsidRPr="00A0638F">
        <w:rPr>
          <w:rFonts w:eastAsia="+mn-ea" w:cs="Arial"/>
          <w:b/>
          <w:bCs/>
          <w:kern w:val="24"/>
          <w:sz w:val="22"/>
          <w:szCs w:val="22"/>
        </w:rPr>
        <w:t xml:space="preserve"> to then </w:t>
      </w:r>
      <w:r w:rsidR="004F0F7E" w:rsidRPr="00A0638F">
        <w:rPr>
          <w:rFonts w:eastAsia="+mn-ea" w:cs="Arial"/>
          <w:b/>
          <w:bCs/>
          <w:kern w:val="24"/>
          <w:sz w:val="22"/>
          <w:szCs w:val="22"/>
        </w:rPr>
        <w:t xml:space="preserve">gain </w:t>
      </w:r>
      <w:r w:rsidRPr="00A0638F">
        <w:rPr>
          <w:rFonts w:eastAsia="+mn-ea" w:cs="Arial"/>
          <w:b/>
          <w:bCs/>
          <w:kern w:val="24"/>
          <w:sz w:val="22"/>
          <w:szCs w:val="22"/>
        </w:rPr>
        <w:t>employment with employers looking for workers in the open labour market.</w:t>
      </w:r>
    </w:p>
    <w:p w14:paraId="10770D54" w14:textId="13DB9620" w:rsidR="009A2F00" w:rsidRPr="00A0638F" w:rsidRDefault="009A2F00" w:rsidP="00A0638F">
      <w:pPr>
        <w:pBdr>
          <w:top w:val="single" w:sz="4" w:space="1" w:color="auto"/>
          <w:left w:val="single" w:sz="4" w:space="4" w:color="auto"/>
          <w:bottom w:val="single" w:sz="4" w:space="1" w:color="auto"/>
          <w:right w:val="single" w:sz="4" w:space="4" w:color="auto"/>
        </w:pBdr>
        <w:spacing w:line="240" w:lineRule="auto"/>
        <w:rPr>
          <w:rFonts w:eastAsia="+mn-ea" w:cs="Arial"/>
          <w:b/>
          <w:bCs/>
          <w:kern w:val="24"/>
          <w:sz w:val="22"/>
          <w:szCs w:val="22"/>
        </w:rPr>
      </w:pPr>
      <w:r w:rsidRPr="00A0638F">
        <w:rPr>
          <w:rFonts w:eastAsia="+mn-ea" w:cs="Arial"/>
          <w:kern w:val="24"/>
          <w:sz w:val="22"/>
          <w:szCs w:val="22"/>
        </w:rPr>
        <w:t xml:space="preserve">Generally a job will not be redesigned for a DES participant, rather </w:t>
      </w:r>
      <w:r w:rsidR="004F0F7E" w:rsidRPr="00A0638F">
        <w:rPr>
          <w:rFonts w:eastAsia="+mn-ea" w:cs="Arial"/>
          <w:kern w:val="24"/>
          <w:sz w:val="22"/>
          <w:szCs w:val="22"/>
        </w:rPr>
        <w:t xml:space="preserve">a </w:t>
      </w:r>
      <w:r w:rsidRPr="00A0638F">
        <w:rPr>
          <w:rFonts w:eastAsia="+mn-ea" w:cs="Arial"/>
          <w:kern w:val="24"/>
          <w:sz w:val="22"/>
          <w:szCs w:val="22"/>
        </w:rPr>
        <w:t xml:space="preserve">DES provider will </w:t>
      </w:r>
      <w:r w:rsidRPr="00A0638F">
        <w:rPr>
          <w:rFonts w:eastAsia="+mn-ea" w:cs="Arial"/>
          <w:b/>
          <w:bCs/>
          <w:kern w:val="24"/>
          <w:sz w:val="22"/>
          <w:szCs w:val="22"/>
        </w:rPr>
        <w:t>focus on finding a ‘good job match’</w:t>
      </w:r>
      <w:r w:rsidRPr="00A0638F">
        <w:rPr>
          <w:rFonts w:eastAsia="+mn-ea" w:cs="Arial"/>
          <w:kern w:val="24"/>
          <w:sz w:val="22"/>
          <w:szCs w:val="22"/>
        </w:rPr>
        <w:t xml:space="preserve"> for the participant’s abilities. A</w:t>
      </w:r>
      <w:r w:rsidR="004F0F7E" w:rsidRPr="00A0638F">
        <w:rPr>
          <w:rFonts w:eastAsia="+mn-ea" w:cs="Arial"/>
          <w:kern w:val="24"/>
          <w:sz w:val="22"/>
          <w:szCs w:val="22"/>
        </w:rPr>
        <w:t> </w:t>
      </w:r>
      <w:r w:rsidRPr="00A0638F">
        <w:rPr>
          <w:rFonts w:eastAsia="+mn-ea" w:cs="Arial"/>
          <w:kern w:val="24"/>
          <w:sz w:val="22"/>
          <w:szCs w:val="22"/>
        </w:rPr>
        <w:t xml:space="preserve">DES participant may also access wage subsidies available through </w:t>
      </w:r>
      <w:r w:rsidRPr="00A0638F">
        <w:rPr>
          <w:rFonts w:eastAsia="+mn-ea" w:cs="Arial"/>
          <w:i/>
          <w:kern w:val="24"/>
          <w:sz w:val="22"/>
          <w:szCs w:val="22"/>
        </w:rPr>
        <w:t>jobactive.</w:t>
      </w:r>
    </w:p>
    <w:p w14:paraId="4246FFB2" w14:textId="7100E41A" w:rsidR="004F0F7E" w:rsidRPr="00A0638F" w:rsidRDefault="004F0F7E" w:rsidP="004F0F7E">
      <w:pPr>
        <w:pBdr>
          <w:top w:val="single" w:sz="4" w:space="1" w:color="auto"/>
          <w:left w:val="single" w:sz="4" w:space="4" w:color="auto"/>
          <w:bottom w:val="single" w:sz="4" w:space="1" w:color="auto"/>
          <w:right w:val="single" w:sz="4" w:space="4" w:color="auto"/>
        </w:pBdr>
        <w:spacing w:line="240" w:lineRule="auto"/>
        <w:rPr>
          <w:rFonts w:eastAsia="+mn-ea" w:cs="Arial"/>
          <w:b/>
          <w:bCs/>
          <w:kern w:val="24"/>
          <w:sz w:val="22"/>
          <w:szCs w:val="22"/>
        </w:rPr>
      </w:pPr>
      <w:r w:rsidRPr="00A0638F">
        <w:rPr>
          <w:rFonts w:eastAsia="+mn-ea" w:cs="Arial"/>
          <w:kern w:val="24"/>
          <w:sz w:val="22"/>
          <w:szCs w:val="22"/>
        </w:rPr>
        <w:t xml:space="preserve">A DES participant is </w:t>
      </w:r>
      <w:r w:rsidRPr="00A0638F">
        <w:rPr>
          <w:rFonts w:eastAsia="+mn-ea" w:cs="Arial"/>
          <w:b/>
          <w:kern w:val="24"/>
          <w:sz w:val="22"/>
          <w:szCs w:val="22"/>
        </w:rPr>
        <w:t>generally not working with a majority of staff with disability</w:t>
      </w:r>
      <w:r w:rsidR="005C1098">
        <w:rPr>
          <w:rFonts w:eastAsia="+mn-ea" w:cs="Arial"/>
          <w:kern w:val="24"/>
          <w:sz w:val="22"/>
          <w:szCs w:val="22"/>
        </w:rPr>
        <w:t>,</w:t>
      </w:r>
      <w:r w:rsidRPr="00A0638F">
        <w:rPr>
          <w:rFonts w:eastAsia="+mn-ea" w:cs="Arial"/>
          <w:kern w:val="24"/>
          <w:sz w:val="22"/>
          <w:szCs w:val="22"/>
        </w:rPr>
        <w:t xml:space="preserve"> but rather in a mainstream workplace.</w:t>
      </w:r>
    </w:p>
    <w:p w14:paraId="38CC21A3" w14:textId="77777777" w:rsidR="009A2F00" w:rsidRPr="00A0638F" w:rsidRDefault="009A2F00" w:rsidP="00A0638F">
      <w:pPr>
        <w:pBdr>
          <w:top w:val="single" w:sz="4" w:space="1" w:color="auto"/>
          <w:left w:val="single" w:sz="4" w:space="4" w:color="auto"/>
          <w:bottom w:val="single" w:sz="4" w:space="1" w:color="auto"/>
          <w:right w:val="single" w:sz="4" w:space="4" w:color="auto"/>
        </w:pBdr>
        <w:spacing w:line="240" w:lineRule="auto"/>
        <w:rPr>
          <w:rFonts w:eastAsia="+mn-ea" w:cs="Arial"/>
          <w:b/>
          <w:bCs/>
          <w:kern w:val="24"/>
          <w:sz w:val="22"/>
          <w:szCs w:val="22"/>
        </w:rPr>
      </w:pPr>
      <w:r w:rsidRPr="00A0638F">
        <w:rPr>
          <w:rFonts w:eastAsia="+mn-ea" w:cs="Arial"/>
          <w:b/>
          <w:bCs/>
          <w:kern w:val="24"/>
          <w:sz w:val="22"/>
          <w:szCs w:val="22"/>
        </w:rPr>
        <w:t>On entry to DES, a participant is generally not yet employed</w:t>
      </w:r>
      <w:r w:rsidRPr="00A0638F">
        <w:rPr>
          <w:rFonts w:eastAsia="+mn-ea" w:cs="Arial"/>
          <w:kern w:val="24"/>
          <w:sz w:val="22"/>
          <w:szCs w:val="22"/>
        </w:rPr>
        <w:t xml:space="preserve">. </w:t>
      </w:r>
    </w:p>
    <w:p w14:paraId="6A22F1A3" w14:textId="77777777" w:rsidR="009A2F00" w:rsidRPr="00A0638F" w:rsidRDefault="009A2F00" w:rsidP="009A2F00">
      <w:pPr>
        <w:pBdr>
          <w:top w:val="single" w:sz="4" w:space="1" w:color="auto"/>
          <w:left w:val="single" w:sz="4" w:space="4" w:color="auto"/>
          <w:bottom w:val="single" w:sz="4" w:space="1" w:color="auto"/>
          <w:right w:val="single" w:sz="4" w:space="4" w:color="auto"/>
        </w:pBdr>
        <w:spacing w:line="240" w:lineRule="auto"/>
        <w:rPr>
          <w:rFonts w:eastAsia="+mn-ea" w:cs="Arial"/>
          <w:b/>
          <w:bCs/>
          <w:kern w:val="24"/>
          <w:sz w:val="22"/>
          <w:szCs w:val="22"/>
        </w:rPr>
      </w:pPr>
      <w:r w:rsidRPr="00A0638F">
        <w:rPr>
          <w:rFonts w:eastAsia="+mn-ea" w:cs="Arial"/>
          <w:kern w:val="24"/>
          <w:sz w:val="22"/>
          <w:szCs w:val="22"/>
        </w:rPr>
        <w:t>A participant can receive services and assistance to prepare for work, build workplace skills, undertake training, find work, change jobs, and access workplace modifications. Most DES participants who achieve employment exit the program as independent workers.</w:t>
      </w:r>
    </w:p>
    <w:p w14:paraId="599CEDD4" w14:textId="783DEE43" w:rsidR="009A2F00" w:rsidRPr="00A0638F" w:rsidRDefault="009A2F00" w:rsidP="009A2F00">
      <w:pPr>
        <w:pBdr>
          <w:top w:val="single" w:sz="4" w:space="1" w:color="auto"/>
          <w:left w:val="single" w:sz="4" w:space="4" w:color="auto"/>
          <w:bottom w:val="single" w:sz="4" w:space="1" w:color="auto"/>
          <w:right w:val="single" w:sz="4" w:space="4" w:color="auto"/>
        </w:pBdr>
        <w:spacing w:line="240" w:lineRule="auto"/>
        <w:rPr>
          <w:rFonts w:eastAsia="+mn-ea" w:cs="Arial"/>
          <w:b/>
          <w:bCs/>
          <w:kern w:val="24"/>
          <w:sz w:val="22"/>
          <w:szCs w:val="22"/>
        </w:rPr>
      </w:pPr>
      <w:r w:rsidRPr="00A0638F">
        <w:rPr>
          <w:rFonts w:eastAsia="+mn-ea" w:cs="Arial"/>
          <w:kern w:val="24"/>
          <w:sz w:val="22"/>
          <w:szCs w:val="22"/>
        </w:rPr>
        <w:t xml:space="preserve">Once a DES employment placement has been made, </w:t>
      </w:r>
      <w:r w:rsidRPr="00A0638F">
        <w:rPr>
          <w:rFonts w:eastAsia="+mn-ea" w:cs="Arial"/>
          <w:b/>
          <w:bCs/>
          <w:kern w:val="24"/>
          <w:sz w:val="22"/>
          <w:szCs w:val="22"/>
        </w:rPr>
        <w:t>a DES provider may provide varying levels of ongoing employment support</w:t>
      </w:r>
      <w:r w:rsidRPr="00A0638F">
        <w:rPr>
          <w:rFonts w:eastAsia="+mn-ea" w:cs="Arial"/>
          <w:kern w:val="24"/>
          <w:sz w:val="22"/>
          <w:szCs w:val="22"/>
        </w:rPr>
        <w:t xml:space="preserve"> and personal assistance to DES participants (i.e. flexible, moderate or high ongoing support). </w:t>
      </w:r>
      <w:r w:rsidRPr="00A0638F">
        <w:rPr>
          <w:rFonts w:eastAsia="+mn-ea" w:cs="Arial"/>
          <w:b/>
          <w:bCs/>
          <w:kern w:val="24"/>
          <w:sz w:val="22"/>
          <w:szCs w:val="22"/>
        </w:rPr>
        <w:t xml:space="preserve">Support contacts are usually </w:t>
      </w:r>
      <w:r w:rsidRPr="00A0638F">
        <w:rPr>
          <w:rFonts w:eastAsia="+mn-ea" w:cs="Arial"/>
          <w:b/>
          <w:bCs/>
          <w:kern w:val="24"/>
          <w:sz w:val="22"/>
          <w:szCs w:val="22"/>
          <w:u w:val="single"/>
        </w:rPr>
        <w:t>not</w:t>
      </w:r>
      <w:r w:rsidRPr="00A0638F">
        <w:rPr>
          <w:rFonts w:eastAsia="+mn-ea" w:cs="Arial"/>
          <w:b/>
          <w:bCs/>
          <w:kern w:val="24"/>
          <w:sz w:val="22"/>
          <w:szCs w:val="22"/>
        </w:rPr>
        <w:t xml:space="preserve"> provided on a daily basis</w:t>
      </w:r>
      <w:r w:rsidRPr="00A0638F">
        <w:rPr>
          <w:rFonts w:eastAsia="+mn-ea" w:cs="Arial"/>
          <w:kern w:val="24"/>
          <w:sz w:val="22"/>
          <w:szCs w:val="22"/>
        </w:rPr>
        <w:t>.</w:t>
      </w:r>
    </w:p>
    <w:p w14:paraId="745CC244" w14:textId="77777777" w:rsidR="009A2F00" w:rsidRDefault="009A2F00" w:rsidP="00B5251F">
      <w:pPr>
        <w:spacing w:before="0" w:after="200" w:line="276" w:lineRule="auto"/>
        <w:rPr>
          <w:rFonts w:ascii="Georgia" w:hAnsi="Georgia"/>
          <w:bCs/>
          <w:color w:val="24596E"/>
          <w:sz w:val="34"/>
          <w:szCs w:val="34"/>
        </w:rPr>
        <w:sectPr w:rsidR="009A2F00" w:rsidSect="009A2F00">
          <w:headerReference w:type="even" r:id="rId21"/>
          <w:headerReference w:type="default" r:id="rId22"/>
          <w:footerReference w:type="default" r:id="rId23"/>
          <w:headerReference w:type="first" r:id="rId24"/>
          <w:footerReference w:type="first" r:id="rId25"/>
          <w:type w:val="continuous"/>
          <w:pgSz w:w="11906" w:h="16838" w:code="9"/>
          <w:pgMar w:top="993" w:right="1133" w:bottom="426" w:left="1134" w:header="567" w:footer="305" w:gutter="0"/>
          <w:pgNumType w:start="1"/>
          <w:cols w:num="2" w:space="708"/>
          <w:titlePg/>
          <w:docGrid w:linePitch="360"/>
        </w:sectPr>
      </w:pPr>
    </w:p>
    <w:p w14:paraId="24B7828D" w14:textId="49347CE4" w:rsidR="00F658CA" w:rsidRDefault="00F658CA">
      <w:pPr>
        <w:spacing w:before="0" w:after="200" w:line="276" w:lineRule="auto"/>
        <w:rPr>
          <w:rFonts w:ascii="Georgia" w:hAnsi="Georgia"/>
          <w:bCs/>
          <w:color w:val="24596E"/>
          <w:sz w:val="34"/>
          <w:szCs w:val="34"/>
        </w:rPr>
      </w:pPr>
      <w:r>
        <w:rPr>
          <w:rFonts w:ascii="Georgia" w:hAnsi="Georgia"/>
          <w:bCs/>
          <w:color w:val="24596E"/>
          <w:sz w:val="34"/>
          <w:szCs w:val="34"/>
        </w:rPr>
        <w:br w:type="page"/>
      </w:r>
    </w:p>
    <w:p w14:paraId="2595AC42" w14:textId="7AEA7A65" w:rsidR="004C06EF" w:rsidRPr="00373B9F" w:rsidRDefault="009F2EE0" w:rsidP="00DE7477">
      <w:pPr>
        <w:pStyle w:val="Heading2"/>
      </w:pPr>
      <w:bookmarkStart w:id="38" w:name="_Toc497823552"/>
      <w:bookmarkStart w:id="39" w:name="_Toc500401864"/>
      <w:r>
        <w:lastRenderedPageBreak/>
        <w:t>C</w:t>
      </w:r>
      <w:r w:rsidR="00E44489" w:rsidRPr="005F59D5">
        <w:t>hallenges faced by the supported employment</w:t>
      </w:r>
      <w:r w:rsidR="0066391A" w:rsidRPr="005F59D5">
        <w:t xml:space="preserve"> s</w:t>
      </w:r>
      <w:r w:rsidR="00E44489" w:rsidRPr="005F59D5">
        <w:t>ector</w:t>
      </w:r>
      <w:bookmarkEnd w:id="38"/>
      <w:bookmarkEnd w:id="39"/>
      <w:r w:rsidR="00E44489" w:rsidRPr="005F59D5">
        <w:t xml:space="preserve"> </w:t>
      </w:r>
    </w:p>
    <w:p w14:paraId="79FE15B2" w14:textId="77777777" w:rsidR="006169C0" w:rsidRDefault="004C06EF" w:rsidP="006169C0">
      <w:pPr>
        <w:spacing w:before="240" w:after="60" w:line="240" w:lineRule="auto"/>
        <w:rPr>
          <w:sz w:val="23"/>
          <w:szCs w:val="23"/>
        </w:rPr>
      </w:pPr>
      <w:r>
        <w:rPr>
          <w:sz w:val="23"/>
          <w:szCs w:val="23"/>
        </w:rPr>
        <w:t xml:space="preserve">The current disability employment landscape </w:t>
      </w:r>
      <w:r w:rsidR="00895984" w:rsidRPr="00895984">
        <w:rPr>
          <w:sz w:val="23"/>
          <w:szCs w:val="23"/>
        </w:rPr>
        <w:t xml:space="preserve">presents three challenges </w:t>
      </w:r>
      <w:r>
        <w:rPr>
          <w:sz w:val="23"/>
          <w:szCs w:val="23"/>
        </w:rPr>
        <w:t>fo</w:t>
      </w:r>
      <w:r w:rsidRPr="004C06EF">
        <w:rPr>
          <w:sz w:val="23"/>
          <w:szCs w:val="23"/>
        </w:rPr>
        <w:t xml:space="preserve">r supported employees and the </w:t>
      </w:r>
      <w:r w:rsidR="00373B9F">
        <w:rPr>
          <w:sz w:val="23"/>
          <w:szCs w:val="23"/>
        </w:rPr>
        <w:t>businesses</w:t>
      </w:r>
      <w:r>
        <w:rPr>
          <w:sz w:val="23"/>
          <w:szCs w:val="23"/>
        </w:rPr>
        <w:t xml:space="preserve"> that </w:t>
      </w:r>
      <w:r w:rsidR="00373B9F">
        <w:rPr>
          <w:sz w:val="23"/>
          <w:szCs w:val="23"/>
        </w:rPr>
        <w:t xml:space="preserve">employ and </w:t>
      </w:r>
      <w:r>
        <w:rPr>
          <w:sz w:val="23"/>
          <w:szCs w:val="23"/>
        </w:rPr>
        <w:t>suppo</w:t>
      </w:r>
      <w:r w:rsidR="00895984">
        <w:rPr>
          <w:sz w:val="23"/>
          <w:szCs w:val="23"/>
        </w:rPr>
        <w:t>rt them.</w:t>
      </w:r>
      <w:r>
        <w:rPr>
          <w:sz w:val="23"/>
          <w:szCs w:val="23"/>
        </w:rPr>
        <w:t xml:space="preserve"> </w:t>
      </w:r>
    </w:p>
    <w:p w14:paraId="239356EF" w14:textId="77777777" w:rsidR="006169C0" w:rsidRPr="006169C0" w:rsidRDefault="006169C0" w:rsidP="006169C0">
      <w:pPr>
        <w:spacing w:before="240" w:after="60" w:line="240" w:lineRule="auto"/>
        <w:jc w:val="center"/>
        <w:rPr>
          <w:sz w:val="23"/>
          <w:szCs w:val="23"/>
        </w:rPr>
      </w:pPr>
      <w:r>
        <w:rPr>
          <w:rFonts w:ascii="Georgia" w:hAnsi="Georgia"/>
          <w:bCs/>
          <w:noProof/>
          <w:color w:val="005A70"/>
          <w:sz w:val="30"/>
          <w:szCs w:val="30"/>
        </w:rPr>
        <w:drawing>
          <wp:inline distT="0" distB="0" distL="0" distR="0" wp14:anchorId="68B38233" wp14:editId="4996DE18">
            <wp:extent cx="3842028" cy="1715880"/>
            <wp:effectExtent l="0" t="0" r="0" b="0"/>
            <wp:docPr id="5" name="Picture 5" descr="1) Transition of employment supports to NDIS&#10;2) Industrial based challenge to wage setting&#10;3) Market pressures" title="Venn Diagram of challenges for the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5552" cy="1726386"/>
                    </a:xfrm>
                    <a:prstGeom prst="rect">
                      <a:avLst/>
                    </a:prstGeom>
                    <a:noFill/>
                  </pic:spPr>
                </pic:pic>
              </a:graphicData>
            </a:graphic>
          </wp:inline>
        </w:drawing>
      </w:r>
    </w:p>
    <w:p w14:paraId="667ADFAB" w14:textId="6F5E5917" w:rsidR="0066391A" w:rsidRPr="005C1098" w:rsidRDefault="0066391A" w:rsidP="00A0638F">
      <w:pPr>
        <w:pStyle w:val="Heading3"/>
      </w:pPr>
      <w:bookmarkStart w:id="40" w:name="_Toc500342831"/>
      <w:bookmarkStart w:id="41" w:name="_Toc500401865"/>
      <w:r w:rsidRPr="005C1098">
        <w:t xml:space="preserve">Transition of employment supports to </w:t>
      </w:r>
      <w:r w:rsidR="00D3043E">
        <w:t xml:space="preserve">the </w:t>
      </w:r>
      <w:r w:rsidRPr="005C1098">
        <w:t>NDIS</w:t>
      </w:r>
      <w:bookmarkEnd w:id="40"/>
      <w:bookmarkEnd w:id="41"/>
    </w:p>
    <w:p w14:paraId="41EF1979" w14:textId="4EF2822A" w:rsidR="00204020" w:rsidRPr="00A0638F" w:rsidRDefault="00B5251F" w:rsidP="00A0638F">
      <w:pPr>
        <w:spacing w:before="0" w:after="120" w:line="240" w:lineRule="auto"/>
        <w:rPr>
          <w:sz w:val="23"/>
          <w:szCs w:val="23"/>
        </w:rPr>
      </w:pPr>
      <w:r w:rsidRPr="00A0638F">
        <w:rPr>
          <w:rFonts w:asciiTheme="minorHAnsi" w:hAnsiTheme="minorHAnsi" w:cstheme="minorHAnsi"/>
          <w:sz w:val="23"/>
          <w:szCs w:val="23"/>
        </w:rPr>
        <w:t>The NDIA</w:t>
      </w:r>
      <w:r w:rsidR="00204020" w:rsidRPr="00A0638F">
        <w:rPr>
          <w:rFonts w:asciiTheme="minorHAnsi" w:hAnsiTheme="minorHAnsi" w:cstheme="minorHAnsi"/>
          <w:sz w:val="23"/>
          <w:szCs w:val="23"/>
        </w:rPr>
        <w:t xml:space="preserve"> is currently replicating DSS case-based funding for assessed support levels for existing ADE workers, regardless of hours worked. </w:t>
      </w:r>
      <w:r w:rsidRPr="00A0638F">
        <w:rPr>
          <w:rFonts w:asciiTheme="minorHAnsi" w:hAnsiTheme="minorHAnsi" w:cstheme="minorHAnsi"/>
          <w:sz w:val="23"/>
          <w:szCs w:val="23"/>
        </w:rPr>
        <w:t xml:space="preserve">The </w:t>
      </w:r>
      <w:r w:rsidR="00C71114" w:rsidRPr="00A0638F">
        <w:rPr>
          <w:rFonts w:asciiTheme="minorHAnsi" w:hAnsiTheme="minorHAnsi" w:cstheme="minorHAnsi"/>
          <w:sz w:val="23"/>
          <w:szCs w:val="23"/>
        </w:rPr>
        <w:t xml:space="preserve">allocation of funds in individual participant plans </w:t>
      </w:r>
      <w:r w:rsidRPr="00A0638F">
        <w:rPr>
          <w:rFonts w:asciiTheme="minorHAnsi" w:hAnsiTheme="minorHAnsi" w:cstheme="minorHAnsi"/>
          <w:sz w:val="23"/>
          <w:szCs w:val="23"/>
        </w:rPr>
        <w:t xml:space="preserve">does not yet accommodate all case-based costs (e.g. remote services </w:t>
      </w:r>
      <w:r w:rsidRPr="00A0638F">
        <w:rPr>
          <w:sz w:val="23"/>
          <w:szCs w:val="23"/>
        </w:rPr>
        <w:t>delivery).</w:t>
      </w:r>
    </w:p>
    <w:p w14:paraId="7D23B334" w14:textId="5CCBED18" w:rsidR="00204020" w:rsidRPr="00A0638F" w:rsidRDefault="00204020" w:rsidP="00A0638F">
      <w:pPr>
        <w:spacing w:before="0" w:after="120" w:line="240" w:lineRule="auto"/>
        <w:rPr>
          <w:sz w:val="23"/>
          <w:szCs w:val="23"/>
        </w:rPr>
      </w:pPr>
      <w:r w:rsidRPr="00A0638F">
        <w:rPr>
          <w:sz w:val="23"/>
          <w:szCs w:val="23"/>
        </w:rPr>
        <w:t xml:space="preserve">The future market will be ‘demand driven’ meaning ADEs </w:t>
      </w:r>
      <w:r w:rsidR="00BA2463" w:rsidRPr="00A0638F">
        <w:rPr>
          <w:sz w:val="23"/>
          <w:szCs w:val="23"/>
        </w:rPr>
        <w:t xml:space="preserve">and other organisations </w:t>
      </w:r>
      <w:r w:rsidRPr="00A0638F">
        <w:rPr>
          <w:sz w:val="23"/>
          <w:szCs w:val="23"/>
        </w:rPr>
        <w:t xml:space="preserve">must market themselves as providers of employment for all NDIS participants who have a component in their package to purchase </w:t>
      </w:r>
      <w:r w:rsidR="00BA2463" w:rsidRPr="00A0638F">
        <w:rPr>
          <w:sz w:val="23"/>
          <w:szCs w:val="23"/>
        </w:rPr>
        <w:t xml:space="preserve">employment </w:t>
      </w:r>
      <w:r w:rsidRPr="00A0638F">
        <w:rPr>
          <w:sz w:val="23"/>
          <w:szCs w:val="23"/>
        </w:rPr>
        <w:t>supports</w:t>
      </w:r>
      <w:r w:rsidR="005C1098">
        <w:rPr>
          <w:sz w:val="23"/>
          <w:szCs w:val="23"/>
        </w:rPr>
        <w:t>.</w:t>
      </w:r>
      <w:r w:rsidRPr="00A0638F">
        <w:rPr>
          <w:sz w:val="23"/>
          <w:szCs w:val="23"/>
        </w:rPr>
        <w:t xml:space="preserve"> </w:t>
      </w:r>
    </w:p>
    <w:p w14:paraId="5D9ED59D" w14:textId="665123AC" w:rsidR="007E5C20" w:rsidRDefault="009C6512" w:rsidP="00A0638F">
      <w:pPr>
        <w:spacing w:before="0" w:after="120" w:line="240" w:lineRule="auto"/>
        <w:rPr>
          <w:sz w:val="23"/>
          <w:szCs w:val="23"/>
        </w:rPr>
      </w:pPr>
      <w:r>
        <w:rPr>
          <w:sz w:val="23"/>
          <w:szCs w:val="23"/>
        </w:rPr>
        <w:t>T</w:t>
      </w:r>
      <w:r w:rsidR="00204020" w:rsidRPr="00A0638F">
        <w:rPr>
          <w:sz w:val="23"/>
          <w:szCs w:val="23"/>
        </w:rPr>
        <w:t xml:space="preserve">he </w:t>
      </w:r>
      <w:r>
        <w:rPr>
          <w:sz w:val="23"/>
          <w:szCs w:val="23"/>
        </w:rPr>
        <w:t xml:space="preserve">Government </w:t>
      </w:r>
      <w:r w:rsidR="00204020" w:rsidRPr="00A0638F">
        <w:rPr>
          <w:sz w:val="23"/>
          <w:szCs w:val="23"/>
        </w:rPr>
        <w:t>envisages a more open market</w:t>
      </w:r>
      <w:r>
        <w:rPr>
          <w:sz w:val="23"/>
          <w:szCs w:val="23"/>
        </w:rPr>
        <w:t xml:space="preserve"> in a mature NDIS</w:t>
      </w:r>
      <w:r w:rsidR="00204020" w:rsidRPr="00A0638F">
        <w:rPr>
          <w:sz w:val="23"/>
          <w:szCs w:val="23"/>
        </w:rPr>
        <w:t xml:space="preserve">, </w:t>
      </w:r>
      <w:r>
        <w:rPr>
          <w:sz w:val="23"/>
          <w:szCs w:val="23"/>
        </w:rPr>
        <w:t xml:space="preserve">and stronger </w:t>
      </w:r>
      <w:r w:rsidR="00204020" w:rsidRPr="00A0638F">
        <w:rPr>
          <w:sz w:val="23"/>
          <w:szCs w:val="23"/>
        </w:rPr>
        <w:t xml:space="preserve">pathways </w:t>
      </w:r>
      <w:r>
        <w:rPr>
          <w:sz w:val="23"/>
          <w:szCs w:val="23"/>
        </w:rPr>
        <w:t xml:space="preserve">may be established </w:t>
      </w:r>
      <w:r w:rsidR="00204020" w:rsidRPr="00A0638F">
        <w:rPr>
          <w:sz w:val="23"/>
          <w:szCs w:val="23"/>
        </w:rPr>
        <w:t>between ‘open’ and ‘supported’ employmen</w:t>
      </w:r>
      <w:r>
        <w:rPr>
          <w:sz w:val="23"/>
          <w:szCs w:val="23"/>
        </w:rPr>
        <w:t>t</w:t>
      </w:r>
      <w:r w:rsidR="00204020" w:rsidRPr="00A0638F">
        <w:rPr>
          <w:sz w:val="23"/>
          <w:szCs w:val="23"/>
        </w:rPr>
        <w:t>.</w:t>
      </w:r>
    </w:p>
    <w:p w14:paraId="3175CE77" w14:textId="77777777" w:rsidR="007E5C20" w:rsidRPr="00A0638F" w:rsidRDefault="007E5C20" w:rsidP="00A0638F">
      <w:pPr>
        <w:spacing w:before="0" w:after="120" w:line="240" w:lineRule="auto"/>
        <w:rPr>
          <w:sz w:val="23"/>
          <w:szCs w:val="23"/>
        </w:rPr>
      </w:pPr>
      <w:r w:rsidRPr="00B713BB">
        <w:rPr>
          <w:sz w:val="23"/>
          <w:szCs w:val="23"/>
        </w:rPr>
        <w:t>In an open NDIS market, the need for supported employment pricing controls is not yet resolved.</w:t>
      </w:r>
    </w:p>
    <w:p w14:paraId="0F7E6A53" w14:textId="77777777" w:rsidR="0066391A" w:rsidRPr="005C1098" w:rsidRDefault="00204020" w:rsidP="00A0638F">
      <w:pPr>
        <w:pStyle w:val="Heading3"/>
      </w:pPr>
      <w:bookmarkStart w:id="42" w:name="_Toc500342832"/>
      <w:bookmarkStart w:id="43" w:name="_Toc500401866"/>
      <w:r w:rsidRPr="005C1098">
        <w:t>Industrial relations based</w:t>
      </w:r>
      <w:r w:rsidR="0066391A" w:rsidRPr="005C1098">
        <w:t xml:space="preserve"> challenge to wage setting</w:t>
      </w:r>
      <w:bookmarkEnd w:id="42"/>
      <w:bookmarkEnd w:id="43"/>
    </w:p>
    <w:p w14:paraId="42A5A70A" w14:textId="77777777" w:rsidR="007477F4" w:rsidRPr="00A0638F" w:rsidRDefault="007477F4" w:rsidP="00A0638F">
      <w:pPr>
        <w:spacing w:before="0" w:after="120" w:line="240" w:lineRule="auto"/>
        <w:rPr>
          <w:rFonts w:cs="Arial"/>
          <w:sz w:val="23"/>
          <w:szCs w:val="23"/>
        </w:rPr>
      </w:pPr>
      <w:r w:rsidRPr="00A0638F">
        <w:rPr>
          <w:sz w:val="23"/>
          <w:szCs w:val="23"/>
        </w:rPr>
        <w:t xml:space="preserve">In recent years, ADEs have experienced uncertainty about the way they calculate wages due to the ceasing of the use of the Business Services Wage Assessment Tool </w:t>
      </w:r>
      <w:r w:rsidR="0057118B" w:rsidRPr="00A0638F">
        <w:rPr>
          <w:sz w:val="23"/>
          <w:szCs w:val="23"/>
        </w:rPr>
        <w:t xml:space="preserve">(BSWAT) </w:t>
      </w:r>
      <w:r w:rsidRPr="00A0638F">
        <w:rPr>
          <w:sz w:val="23"/>
          <w:szCs w:val="23"/>
        </w:rPr>
        <w:t xml:space="preserve">in 2015. </w:t>
      </w:r>
    </w:p>
    <w:p w14:paraId="68060C90" w14:textId="3DA24C09" w:rsidR="007477F4" w:rsidRPr="00A0638F" w:rsidRDefault="007477F4" w:rsidP="00A0638F">
      <w:pPr>
        <w:spacing w:before="0" w:after="120" w:line="240" w:lineRule="auto"/>
        <w:rPr>
          <w:sz w:val="23"/>
          <w:szCs w:val="23"/>
        </w:rPr>
      </w:pPr>
      <w:r w:rsidRPr="00A0638F">
        <w:rPr>
          <w:sz w:val="23"/>
          <w:szCs w:val="23"/>
        </w:rPr>
        <w:t xml:space="preserve">The finding of the Full Federal Court of Australia in December 2012, of indirect discrimination </w:t>
      </w:r>
      <w:r w:rsidR="00396CA6" w:rsidRPr="00A0638F">
        <w:rPr>
          <w:sz w:val="23"/>
          <w:szCs w:val="23"/>
        </w:rPr>
        <w:t xml:space="preserve">in </w:t>
      </w:r>
      <w:r w:rsidRPr="00A0638F">
        <w:rPr>
          <w:sz w:val="23"/>
          <w:szCs w:val="23"/>
        </w:rPr>
        <w:t xml:space="preserve">the use of the </w:t>
      </w:r>
      <w:r w:rsidR="0057118B" w:rsidRPr="00A0638F">
        <w:rPr>
          <w:sz w:val="23"/>
          <w:szCs w:val="23"/>
        </w:rPr>
        <w:t>BSWAT</w:t>
      </w:r>
      <w:r w:rsidRPr="00A0638F">
        <w:rPr>
          <w:sz w:val="23"/>
          <w:szCs w:val="23"/>
        </w:rPr>
        <w:t xml:space="preserve"> </w:t>
      </w:r>
      <w:r w:rsidR="007E5C20">
        <w:rPr>
          <w:sz w:val="23"/>
          <w:szCs w:val="23"/>
        </w:rPr>
        <w:t xml:space="preserve">for two supported employees </w:t>
      </w:r>
      <w:r w:rsidRPr="00A0638F">
        <w:rPr>
          <w:sz w:val="23"/>
          <w:szCs w:val="23"/>
        </w:rPr>
        <w:t xml:space="preserve">in </w:t>
      </w:r>
      <w:r w:rsidRPr="00A0638F">
        <w:rPr>
          <w:i/>
          <w:sz w:val="23"/>
          <w:szCs w:val="23"/>
        </w:rPr>
        <w:t>Nojin</w:t>
      </w:r>
      <w:r w:rsidR="001C0AB1">
        <w:rPr>
          <w:i/>
          <w:sz w:val="23"/>
          <w:szCs w:val="23"/>
        </w:rPr>
        <w:t> </w:t>
      </w:r>
      <w:r w:rsidRPr="00A0638F">
        <w:rPr>
          <w:i/>
          <w:sz w:val="23"/>
          <w:szCs w:val="23"/>
        </w:rPr>
        <w:t>v</w:t>
      </w:r>
      <w:r w:rsidR="001C0AB1">
        <w:rPr>
          <w:i/>
          <w:sz w:val="23"/>
          <w:szCs w:val="23"/>
        </w:rPr>
        <w:t> </w:t>
      </w:r>
      <w:r w:rsidRPr="00A0638F">
        <w:rPr>
          <w:i/>
          <w:sz w:val="23"/>
          <w:szCs w:val="23"/>
        </w:rPr>
        <w:t>the</w:t>
      </w:r>
      <w:r w:rsidR="001C0AB1">
        <w:rPr>
          <w:i/>
          <w:sz w:val="23"/>
          <w:szCs w:val="23"/>
        </w:rPr>
        <w:t> </w:t>
      </w:r>
      <w:r w:rsidRPr="00A0638F">
        <w:rPr>
          <w:i/>
          <w:sz w:val="23"/>
          <w:szCs w:val="23"/>
        </w:rPr>
        <w:t>Commonwealth</w:t>
      </w:r>
      <w:r w:rsidRPr="00A0638F">
        <w:rPr>
          <w:sz w:val="23"/>
          <w:szCs w:val="23"/>
        </w:rPr>
        <w:t xml:space="preserve"> </w:t>
      </w:r>
      <w:r w:rsidR="00C81ADE">
        <w:rPr>
          <w:sz w:val="23"/>
          <w:szCs w:val="23"/>
        </w:rPr>
        <w:t xml:space="preserve">may have </w:t>
      </w:r>
      <w:r w:rsidRPr="00A0638F">
        <w:rPr>
          <w:sz w:val="23"/>
          <w:szCs w:val="23"/>
        </w:rPr>
        <w:t xml:space="preserve">implications for the use of </w:t>
      </w:r>
      <w:r w:rsidR="00C81ADE">
        <w:rPr>
          <w:sz w:val="23"/>
          <w:szCs w:val="23"/>
        </w:rPr>
        <w:t>other</w:t>
      </w:r>
      <w:r w:rsidRPr="00A0638F">
        <w:rPr>
          <w:sz w:val="23"/>
          <w:szCs w:val="23"/>
        </w:rPr>
        <w:t xml:space="preserve"> wage tools</w:t>
      </w:r>
      <w:r w:rsidR="0057118B" w:rsidRPr="00A0638F">
        <w:rPr>
          <w:sz w:val="23"/>
          <w:szCs w:val="23"/>
        </w:rPr>
        <w:t>.</w:t>
      </w:r>
    </w:p>
    <w:p w14:paraId="4B1CD9A9" w14:textId="21577573" w:rsidR="003F554C" w:rsidRPr="00A0638F" w:rsidRDefault="007477F4" w:rsidP="00A0638F">
      <w:pPr>
        <w:spacing w:before="0" w:after="120" w:line="240" w:lineRule="auto"/>
        <w:rPr>
          <w:rFonts w:cs="Arial"/>
          <w:sz w:val="23"/>
          <w:szCs w:val="23"/>
        </w:rPr>
      </w:pPr>
      <w:r w:rsidRPr="00A0638F">
        <w:rPr>
          <w:sz w:val="23"/>
          <w:szCs w:val="23"/>
        </w:rPr>
        <w:t>The Fair Work Commission</w:t>
      </w:r>
      <w:r w:rsidRPr="00A0638F">
        <w:rPr>
          <w:rFonts w:cs="Arial"/>
          <w:sz w:val="23"/>
          <w:szCs w:val="23"/>
        </w:rPr>
        <w:t xml:space="preserve"> is considering the removal of all competency-based wage tools through the Modern Award </w:t>
      </w:r>
      <w:r w:rsidR="00D3043E">
        <w:rPr>
          <w:rFonts w:cs="Arial"/>
          <w:sz w:val="23"/>
          <w:szCs w:val="23"/>
        </w:rPr>
        <w:t>R</w:t>
      </w:r>
      <w:r w:rsidRPr="00A0638F">
        <w:rPr>
          <w:rFonts w:cs="Arial"/>
          <w:sz w:val="23"/>
          <w:szCs w:val="23"/>
        </w:rPr>
        <w:t xml:space="preserve">eview to the </w:t>
      </w:r>
      <w:r w:rsidRPr="00A0638F">
        <w:rPr>
          <w:rFonts w:cs="Arial"/>
          <w:i/>
          <w:sz w:val="23"/>
          <w:szCs w:val="23"/>
        </w:rPr>
        <w:t>Supported Employment Services Award 2010</w:t>
      </w:r>
      <w:r w:rsidRPr="00A0638F">
        <w:rPr>
          <w:rFonts w:cs="Arial"/>
          <w:sz w:val="23"/>
          <w:szCs w:val="23"/>
        </w:rPr>
        <w:t>, the relevant industrial award for</w:t>
      </w:r>
      <w:r w:rsidR="007E5C20">
        <w:rPr>
          <w:rFonts w:cs="Arial"/>
          <w:sz w:val="23"/>
          <w:szCs w:val="23"/>
        </w:rPr>
        <w:t xml:space="preserve"> enterprises offering</w:t>
      </w:r>
      <w:r w:rsidRPr="00A0638F">
        <w:rPr>
          <w:rFonts w:cs="Arial"/>
          <w:sz w:val="23"/>
          <w:szCs w:val="23"/>
        </w:rPr>
        <w:t xml:space="preserve"> supported employment. </w:t>
      </w:r>
    </w:p>
    <w:p w14:paraId="2CD71112" w14:textId="77777777" w:rsidR="0066391A" w:rsidRPr="005C1098" w:rsidRDefault="00E15FDD" w:rsidP="00A0638F">
      <w:pPr>
        <w:pStyle w:val="Heading3"/>
      </w:pPr>
      <w:bookmarkStart w:id="44" w:name="_Toc500342833"/>
      <w:bookmarkStart w:id="45" w:name="_Toc500401867"/>
      <w:r w:rsidRPr="005C1098">
        <w:t>Business pressures</w:t>
      </w:r>
      <w:bookmarkEnd w:id="44"/>
      <w:bookmarkEnd w:id="45"/>
    </w:p>
    <w:p w14:paraId="21FF4722" w14:textId="6AA82761" w:rsidR="005C1098" w:rsidRDefault="0066391A" w:rsidP="005C1098">
      <w:pPr>
        <w:spacing w:before="0" w:after="120" w:line="240" w:lineRule="auto"/>
        <w:rPr>
          <w:sz w:val="23"/>
          <w:szCs w:val="23"/>
        </w:rPr>
      </w:pPr>
      <w:r w:rsidRPr="001C0AB1">
        <w:rPr>
          <w:sz w:val="23"/>
          <w:szCs w:val="23"/>
        </w:rPr>
        <w:t>ADEs are subject to significant challenges apart from wage pressures</w:t>
      </w:r>
      <w:r w:rsidR="007E5C20" w:rsidRPr="001C0AB1">
        <w:rPr>
          <w:sz w:val="23"/>
          <w:szCs w:val="23"/>
        </w:rPr>
        <w:t>.</w:t>
      </w:r>
      <w:r w:rsidR="00D3043E" w:rsidRPr="001C0AB1">
        <w:rPr>
          <w:sz w:val="23"/>
          <w:szCs w:val="23"/>
        </w:rPr>
        <w:t xml:space="preserve"> </w:t>
      </w:r>
      <w:r w:rsidR="007F4C15">
        <w:rPr>
          <w:sz w:val="23"/>
          <w:szCs w:val="23"/>
        </w:rPr>
        <w:t xml:space="preserve">Some </w:t>
      </w:r>
      <w:r w:rsidR="00453AB3" w:rsidRPr="003F554C">
        <w:rPr>
          <w:sz w:val="23"/>
          <w:szCs w:val="23"/>
        </w:rPr>
        <w:t>ADEs</w:t>
      </w:r>
      <w:r w:rsidR="007F4C15">
        <w:rPr>
          <w:sz w:val="23"/>
          <w:szCs w:val="23"/>
        </w:rPr>
        <w:t xml:space="preserve"> are </w:t>
      </w:r>
      <w:r w:rsidRPr="003F554C">
        <w:rPr>
          <w:sz w:val="23"/>
          <w:szCs w:val="23"/>
        </w:rPr>
        <w:t xml:space="preserve">engaged in </w:t>
      </w:r>
      <w:r w:rsidR="007477F4">
        <w:rPr>
          <w:sz w:val="23"/>
          <w:szCs w:val="23"/>
        </w:rPr>
        <w:t xml:space="preserve">declining industries at risk of </w:t>
      </w:r>
      <w:r w:rsidR="00961F34" w:rsidRPr="007477F4">
        <w:rPr>
          <w:sz w:val="23"/>
          <w:szCs w:val="23"/>
        </w:rPr>
        <w:t>d</w:t>
      </w:r>
      <w:r w:rsidRPr="007477F4">
        <w:rPr>
          <w:sz w:val="23"/>
          <w:szCs w:val="23"/>
        </w:rPr>
        <w:t>igitalisation</w:t>
      </w:r>
      <w:r w:rsidR="002434BC">
        <w:rPr>
          <w:sz w:val="23"/>
          <w:szCs w:val="23"/>
        </w:rPr>
        <w:t>,</w:t>
      </w:r>
      <w:r w:rsidR="00961F34" w:rsidRPr="007477F4">
        <w:rPr>
          <w:sz w:val="23"/>
          <w:szCs w:val="23"/>
        </w:rPr>
        <w:t xml:space="preserve"> </w:t>
      </w:r>
      <w:r w:rsidR="008379FB">
        <w:rPr>
          <w:sz w:val="23"/>
          <w:szCs w:val="23"/>
        </w:rPr>
        <w:t>off-shore</w:t>
      </w:r>
      <w:r w:rsidRPr="007477F4">
        <w:rPr>
          <w:sz w:val="23"/>
          <w:szCs w:val="23"/>
        </w:rPr>
        <w:t xml:space="preserve"> processing</w:t>
      </w:r>
      <w:r w:rsidR="002434BC">
        <w:rPr>
          <w:sz w:val="23"/>
          <w:szCs w:val="23"/>
        </w:rPr>
        <w:t>,</w:t>
      </w:r>
      <w:r w:rsidR="00961F34" w:rsidRPr="007477F4">
        <w:rPr>
          <w:sz w:val="23"/>
          <w:szCs w:val="23"/>
        </w:rPr>
        <w:t xml:space="preserve"> </w:t>
      </w:r>
      <w:r w:rsidR="005C1098">
        <w:rPr>
          <w:sz w:val="23"/>
          <w:szCs w:val="23"/>
        </w:rPr>
        <w:t xml:space="preserve">and </w:t>
      </w:r>
      <w:r w:rsidRPr="007477F4">
        <w:rPr>
          <w:sz w:val="23"/>
          <w:szCs w:val="23"/>
        </w:rPr>
        <w:t>mechanisation and automation</w:t>
      </w:r>
      <w:r w:rsidR="002434BC">
        <w:rPr>
          <w:sz w:val="23"/>
          <w:szCs w:val="23"/>
        </w:rPr>
        <w:t>, while m</w:t>
      </w:r>
      <w:r w:rsidR="00961F34">
        <w:rPr>
          <w:sz w:val="23"/>
          <w:szCs w:val="23"/>
        </w:rPr>
        <w:t>any</w:t>
      </w:r>
      <w:r w:rsidRPr="003F554C">
        <w:rPr>
          <w:sz w:val="23"/>
          <w:szCs w:val="23"/>
        </w:rPr>
        <w:t xml:space="preserve"> ADEs operate with small profit margins.</w:t>
      </w:r>
    </w:p>
    <w:p w14:paraId="29639F1B" w14:textId="2A64E372" w:rsidR="002434BC" w:rsidRDefault="0066391A" w:rsidP="001C0AB1">
      <w:pPr>
        <w:spacing w:before="0" w:after="120" w:line="240" w:lineRule="auto"/>
        <w:rPr>
          <w:sz w:val="23"/>
          <w:szCs w:val="23"/>
        </w:rPr>
      </w:pPr>
      <w:r w:rsidRPr="00A0638F">
        <w:rPr>
          <w:sz w:val="23"/>
          <w:szCs w:val="23"/>
        </w:rPr>
        <w:t>Regional and remote ADEs are likely to be at greater risk of viability challenges from other locational economic factors</w:t>
      </w:r>
      <w:r w:rsidR="002434BC">
        <w:rPr>
          <w:sz w:val="23"/>
          <w:szCs w:val="23"/>
        </w:rPr>
        <w:t>, including u</w:t>
      </w:r>
      <w:r w:rsidRPr="003F554C">
        <w:rPr>
          <w:sz w:val="23"/>
          <w:szCs w:val="23"/>
        </w:rPr>
        <w:t>nemployment</w:t>
      </w:r>
      <w:r w:rsidR="002434BC">
        <w:rPr>
          <w:sz w:val="23"/>
          <w:szCs w:val="23"/>
        </w:rPr>
        <w:t xml:space="preserve">, </w:t>
      </w:r>
      <w:r w:rsidR="00961F34">
        <w:rPr>
          <w:sz w:val="23"/>
          <w:szCs w:val="23"/>
        </w:rPr>
        <w:t>participation rates</w:t>
      </w:r>
      <w:r w:rsidR="002434BC">
        <w:rPr>
          <w:sz w:val="23"/>
          <w:szCs w:val="23"/>
        </w:rPr>
        <w:t xml:space="preserve">, </w:t>
      </w:r>
      <w:r w:rsidR="00961F34">
        <w:rPr>
          <w:sz w:val="23"/>
          <w:szCs w:val="23"/>
        </w:rPr>
        <w:t>local i</w:t>
      </w:r>
      <w:r w:rsidRPr="00961F34">
        <w:rPr>
          <w:sz w:val="23"/>
          <w:szCs w:val="23"/>
        </w:rPr>
        <w:t>ndustry concentration</w:t>
      </w:r>
      <w:r w:rsidR="002434BC">
        <w:rPr>
          <w:sz w:val="23"/>
          <w:szCs w:val="23"/>
        </w:rPr>
        <w:t xml:space="preserve">, and </w:t>
      </w:r>
      <w:r w:rsidRPr="00961F34">
        <w:rPr>
          <w:sz w:val="23"/>
          <w:szCs w:val="23"/>
        </w:rPr>
        <w:t>relative economic disadvantage</w:t>
      </w:r>
      <w:r w:rsidR="007477F4">
        <w:rPr>
          <w:sz w:val="23"/>
          <w:szCs w:val="23"/>
        </w:rPr>
        <w:t>.</w:t>
      </w:r>
      <w:r w:rsidR="002434BC">
        <w:rPr>
          <w:sz w:val="23"/>
          <w:szCs w:val="23"/>
        </w:rPr>
        <w:br w:type="page"/>
      </w:r>
    </w:p>
    <w:p w14:paraId="1A02321B" w14:textId="77777777" w:rsidR="00670646" w:rsidRPr="007F4C15" w:rsidRDefault="00670646" w:rsidP="00DE7477">
      <w:pPr>
        <w:pStyle w:val="Heading2"/>
      </w:pPr>
      <w:bookmarkStart w:id="46" w:name="_Toc500401868"/>
      <w:r w:rsidRPr="007F4C15">
        <w:lastRenderedPageBreak/>
        <w:t xml:space="preserve">Opportunities </w:t>
      </w:r>
      <w:r w:rsidR="00631B54" w:rsidRPr="007F4C15">
        <w:t>for the s</w:t>
      </w:r>
      <w:r w:rsidRPr="007F4C15">
        <w:t xml:space="preserve">upported </w:t>
      </w:r>
      <w:r w:rsidR="00631B54" w:rsidRPr="007F4C15">
        <w:t>e</w:t>
      </w:r>
      <w:r w:rsidRPr="007F4C15">
        <w:t>mployment</w:t>
      </w:r>
      <w:r w:rsidR="00631B54" w:rsidRPr="007F4C15">
        <w:t xml:space="preserve"> s</w:t>
      </w:r>
      <w:r w:rsidRPr="007F4C15">
        <w:t>ector</w:t>
      </w:r>
      <w:bookmarkEnd w:id="46"/>
      <w:r w:rsidRPr="007F4C15">
        <w:t xml:space="preserve"> </w:t>
      </w:r>
    </w:p>
    <w:p w14:paraId="614900A9" w14:textId="2DF633A5" w:rsidR="00670646" w:rsidRDefault="008F75C4" w:rsidP="00670646">
      <w:pPr>
        <w:rPr>
          <w:sz w:val="23"/>
          <w:szCs w:val="23"/>
        </w:rPr>
      </w:pPr>
      <w:r w:rsidRPr="007F4C15">
        <w:rPr>
          <w:sz w:val="23"/>
          <w:szCs w:val="23"/>
        </w:rPr>
        <w:t xml:space="preserve">The rollout of the NDIS to full scheme presents opportunities </w:t>
      </w:r>
      <w:r w:rsidR="00075EF7">
        <w:rPr>
          <w:sz w:val="23"/>
          <w:szCs w:val="23"/>
        </w:rPr>
        <w:t xml:space="preserve">for existing and new businesses </w:t>
      </w:r>
      <w:r w:rsidRPr="007F4C15">
        <w:rPr>
          <w:sz w:val="23"/>
          <w:szCs w:val="23"/>
        </w:rPr>
        <w:t>to expand and diversify</w:t>
      </w:r>
      <w:r w:rsidR="005C1098">
        <w:rPr>
          <w:sz w:val="23"/>
          <w:szCs w:val="23"/>
        </w:rPr>
        <w:t>,</w:t>
      </w:r>
      <w:r w:rsidRPr="007F4C15">
        <w:rPr>
          <w:sz w:val="23"/>
          <w:szCs w:val="23"/>
        </w:rPr>
        <w:t xml:space="preserve"> </w:t>
      </w:r>
      <w:r w:rsidR="00075EF7">
        <w:rPr>
          <w:sz w:val="23"/>
          <w:szCs w:val="23"/>
        </w:rPr>
        <w:t>as the</w:t>
      </w:r>
      <w:r w:rsidR="00B53048">
        <w:rPr>
          <w:sz w:val="23"/>
          <w:szCs w:val="23"/>
        </w:rPr>
        <w:t>y</w:t>
      </w:r>
      <w:r w:rsidR="00075EF7">
        <w:rPr>
          <w:sz w:val="23"/>
          <w:szCs w:val="23"/>
        </w:rPr>
        <w:t xml:space="preserve"> offer </w:t>
      </w:r>
      <w:r w:rsidR="00075EF7" w:rsidRPr="007F4C15">
        <w:rPr>
          <w:sz w:val="23"/>
          <w:szCs w:val="23"/>
        </w:rPr>
        <w:t xml:space="preserve">greater choice in employment settings and supports </w:t>
      </w:r>
      <w:r w:rsidR="00606F2B">
        <w:rPr>
          <w:sz w:val="23"/>
          <w:szCs w:val="23"/>
        </w:rPr>
        <w:t>available to NDIS participants</w:t>
      </w:r>
      <w:r w:rsidR="00586478">
        <w:rPr>
          <w:sz w:val="23"/>
          <w:szCs w:val="23"/>
        </w:rPr>
        <w:t>.</w:t>
      </w:r>
    </w:p>
    <w:p w14:paraId="48AB3ED7" w14:textId="0147D7F7" w:rsidR="00075EF7" w:rsidRPr="007F4C15" w:rsidRDefault="00606F2B" w:rsidP="00075EF7">
      <w:pPr>
        <w:jc w:val="center"/>
        <w:rPr>
          <w:sz w:val="23"/>
          <w:szCs w:val="23"/>
        </w:rPr>
      </w:pPr>
      <w:r>
        <w:rPr>
          <w:noProof/>
          <w:sz w:val="23"/>
          <w:szCs w:val="23"/>
        </w:rPr>
        <w:drawing>
          <wp:inline distT="0" distB="0" distL="0" distR="0" wp14:anchorId="680BA31D" wp14:editId="6F05AE73">
            <wp:extent cx="4237355" cy="2023745"/>
            <wp:effectExtent l="0" t="0" r="0" b="0"/>
            <wp:docPr id="9" name="Picture 9" descr="Circle 1: removal of capped places&#10;Circle 2: New employers / providers and opportunity to innovate&#10;Circle 3: Employment supports as a flexible suite of services" title="Venn Diagram of Opportunities for the supported employment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37355" cy="2023745"/>
                    </a:xfrm>
                    <a:prstGeom prst="rect">
                      <a:avLst/>
                    </a:prstGeom>
                    <a:noFill/>
                  </pic:spPr>
                </pic:pic>
              </a:graphicData>
            </a:graphic>
          </wp:inline>
        </w:drawing>
      </w:r>
    </w:p>
    <w:p w14:paraId="6C96AA13" w14:textId="77777777" w:rsidR="00B53048" w:rsidRDefault="00B53048" w:rsidP="00A0638F">
      <w:pPr>
        <w:pStyle w:val="Heading3"/>
        <w:rPr>
          <w:rFonts w:asciiTheme="minorHAnsi" w:hAnsiTheme="minorHAnsi"/>
          <w:spacing w:val="0"/>
        </w:rPr>
      </w:pPr>
      <w:bookmarkStart w:id="47" w:name="_Toc500342835"/>
      <w:bookmarkStart w:id="48" w:name="_Toc500401869"/>
      <w:r>
        <w:t>Removal of capped places</w:t>
      </w:r>
      <w:bookmarkEnd w:id="47"/>
      <w:bookmarkEnd w:id="48"/>
      <w:r>
        <w:t xml:space="preserve"> </w:t>
      </w:r>
    </w:p>
    <w:p w14:paraId="1C5D9D6D" w14:textId="358DD7B8" w:rsidR="00B53048" w:rsidRPr="00A0638F" w:rsidRDefault="00B53048" w:rsidP="00A0638F">
      <w:pPr>
        <w:spacing w:before="0"/>
        <w:rPr>
          <w:sz w:val="23"/>
          <w:szCs w:val="23"/>
        </w:rPr>
      </w:pPr>
      <w:r w:rsidRPr="00A0638F">
        <w:rPr>
          <w:sz w:val="23"/>
          <w:szCs w:val="23"/>
        </w:rPr>
        <w:t>Supported employment places will no longer be capped under the NDIS</w:t>
      </w:r>
      <w:r w:rsidR="00606F2B">
        <w:rPr>
          <w:sz w:val="23"/>
          <w:szCs w:val="23"/>
        </w:rPr>
        <w:t xml:space="preserve">. </w:t>
      </w:r>
      <w:r w:rsidRPr="00A0638F">
        <w:rPr>
          <w:sz w:val="23"/>
          <w:szCs w:val="23"/>
        </w:rPr>
        <w:t>This means increased opportunities for business</w:t>
      </w:r>
      <w:r w:rsidR="00D3043E">
        <w:rPr>
          <w:sz w:val="23"/>
          <w:szCs w:val="23"/>
        </w:rPr>
        <w:t>es</w:t>
      </w:r>
      <w:r w:rsidRPr="00A0638F">
        <w:rPr>
          <w:sz w:val="23"/>
          <w:szCs w:val="23"/>
        </w:rPr>
        <w:t xml:space="preserve"> wishing to offer employment to more participants and/or specialise in delivering employment supports for this growing cohort.</w:t>
      </w:r>
    </w:p>
    <w:p w14:paraId="4E6D1478" w14:textId="28B1D3F0" w:rsidR="00B53048" w:rsidRDefault="00B53048" w:rsidP="00A0638F">
      <w:pPr>
        <w:pStyle w:val="Heading3"/>
      </w:pPr>
      <w:bookmarkStart w:id="49" w:name="_Toc500342836"/>
      <w:bookmarkStart w:id="50" w:name="_Toc500401870"/>
      <w:r>
        <w:t>New employers/providers and opportunity to innovate</w:t>
      </w:r>
      <w:bookmarkEnd w:id="49"/>
      <w:bookmarkEnd w:id="50"/>
    </w:p>
    <w:p w14:paraId="13CA014C" w14:textId="694D0D66" w:rsidR="00B53048" w:rsidRPr="00A0638F" w:rsidRDefault="00B53048" w:rsidP="00A0638F">
      <w:pPr>
        <w:spacing w:before="0"/>
        <w:rPr>
          <w:sz w:val="23"/>
          <w:szCs w:val="23"/>
        </w:rPr>
      </w:pPr>
      <w:r w:rsidRPr="00A0638F">
        <w:rPr>
          <w:sz w:val="23"/>
          <w:szCs w:val="23"/>
        </w:rPr>
        <w:t>There will be increased opportunity for new providers to offer employment and deliver employment supports</w:t>
      </w:r>
      <w:r w:rsidR="00B5251F" w:rsidRPr="00A0638F">
        <w:rPr>
          <w:sz w:val="23"/>
          <w:szCs w:val="23"/>
        </w:rPr>
        <w:t>.</w:t>
      </w:r>
      <w:r w:rsidRPr="00A0638F">
        <w:rPr>
          <w:sz w:val="23"/>
          <w:szCs w:val="23"/>
        </w:rPr>
        <w:t xml:space="preserve"> Employers and support providers will not be constrained by the employment settings and support models that operated under case-based funding</w:t>
      </w:r>
      <w:r w:rsidR="00B5251F" w:rsidRPr="00A0638F">
        <w:rPr>
          <w:sz w:val="23"/>
          <w:szCs w:val="23"/>
        </w:rPr>
        <w:t>.</w:t>
      </w:r>
    </w:p>
    <w:p w14:paraId="6EEB2DB1" w14:textId="3E87EEE0" w:rsidR="00A873BD" w:rsidRPr="00A0638F" w:rsidRDefault="00B53048" w:rsidP="00A0638F">
      <w:pPr>
        <w:spacing w:before="0"/>
        <w:rPr>
          <w:sz w:val="23"/>
          <w:szCs w:val="23"/>
        </w:rPr>
      </w:pPr>
      <w:r w:rsidRPr="00A0638F">
        <w:rPr>
          <w:sz w:val="23"/>
          <w:szCs w:val="23"/>
        </w:rPr>
        <w:t>Existing and new providers will have opportunities to engage in innovative service delivery.</w:t>
      </w:r>
    </w:p>
    <w:p w14:paraId="71A0A104" w14:textId="77777777" w:rsidR="00B53048" w:rsidRDefault="00B53048" w:rsidP="00A0638F">
      <w:pPr>
        <w:pStyle w:val="Heading3"/>
      </w:pPr>
      <w:bookmarkStart w:id="51" w:name="_Toc500342837"/>
      <w:bookmarkStart w:id="52" w:name="_Toc500401871"/>
      <w:r>
        <w:t>Employment supports as a flexible suit</w:t>
      </w:r>
      <w:r w:rsidR="008379FB">
        <w:t>e</w:t>
      </w:r>
      <w:r>
        <w:t xml:space="preserve"> of services</w:t>
      </w:r>
      <w:bookmarkEnd w:id="51"/>
      <w:bookmarkEnd w:id="52"/>
      <w:r>
        <w:t xml:space="preserve"> </w:t>
      </w:r>
    </w:p>
    <w:p w14:paraId="3A4E019A" w14:textId="1FE01F52" w:rsidR="00B53048" w:rsidRPr="00A0638F" w:rsidRDefault="00B53048" w:rsidP="00A0638F">
      <w:pPr>
        <w:spacing w:before="0"/>
        <w:rPr>
          <w:sz w:val="23"/>
          <w:szCs w:val="23"/>
        </w:rPr>
      </w:pPr>
      <w:r w:rsidRPr="00A0638F">
        <w:rPr>
          <w:sz w:val="23"/>
          <w:szCs w:val="23"/>
        </w:rPr>
        <w:t xml:space="preserve">Opportunities to deliver an expanded suite </w:t>
      </w:r>
      <w:r w:rsidR="008379FB" w:rsidRPr="00A0638F">
        <w:rPr>
          <w:sz w:val="23"/>
          <w:szCs w:val="23"/>
        </w:rPr>
        <w:t xml:space="preserve">of </w:t>
      </w:r>
      <w:r w:rsidRPr="00A0638F">
        <w:rPr>
          <w:sz w:val="23"/>
          <w:szCs w:val="23"/>
        </w:rPr>
        <w:t>services to supported employees will be possible, acknowledging many ADEs already offer a broad range of services</w:t>
      </w:r>
      <w:r w:rsidR="00606F2B">
        <w:rPr>
          <w:sz w:val="23"/>
          <w:szCs w:val="23"/>
        </w:rPr>
        <w:t>.</w:t>
      </w:r>
      <w:r w:rsidRPr="00A0638F">
        <w:rPr>
          <w:sz w:val="23"/>
          <w:szCs w:val="23"/>
        </w:rPr>
        <w:t xml:space="preserve"> </w:t>
      </w:r>
    </w:p>
    <w:p w14:paraId="5DA04131" w14:textId="77777777" w:rsidR="006169C0" w:rsidRPr="00A0638F" w:rsidRDefault="00B53048" w:rsidP="00A0638F">
      <w:pPr>
        <w:spacing w:before="0"/>
        <w:rPr>
          <w:sz w:val="23"/>
          <w:szCs w:val="23"/>
        </w:rPr>
      </w:pPr>
      <w:r w:rsidRPr="00A0638F">
        <w:rPr>
          <w:sz w:val="23"/>
          <w:szCs w:val="23"/>
        </w:rPr>
        <w:t>Some businesses may choose to explore the provision of more seamless service transition between supported and open employment, as a perso</w:t>
      </w:r>
      <w:r w:rsidR="006169C0" w:rsidRPr="00A0638F">
        <w:rPr>
          <w:sz w:val="23"/>
          <w:szCs w:val="23"/>
        </w:rPr>
        <w:t>n’s capacity to work improves.</w:t>
      </w:r>
    </w:p>
    <w:p w14:paraId="67F1E33E" w14:textId="77777777" w:rsidR="006169C0" w:rsidRDefault="006169C0">
      <w:pPr>
        <w:spacing w:before="0" w:after="200" w:line="276" w:lineRule="auto"/>
        <w:rPr>
          <w:sz w:val="23"/>
          <w:szCs w:val="23"/>
        </w:rPr>
      </w:pPr>
      <w:r>
        <w:rPr>
          <w:sz w:val="23"/>
          <w:szCs w:val="23"/>
        </w:rPr>
        <w:br w:type="page"/>
      </w:r>
    </w:p>
    <w:p w14:paraId="45A7B7AF" w14:textId="77777777" w:rsidR="00EB343E" w:rsidRPr="00493BDD" w:rsidRDefault="00EB343E" w:rsidP="00E33EA7">
      <w:pPr>
        <w:pStyle w:val="Heading1"/>
        <w:rPr>
          <w:sz w:val="34"/>
          <w:szCs w:val="34"/>
        </w:rPr>
      </w:pPr>
      <w:bookmarkStart w:id="53" w:name="_Toc500401872"/>
      <w:r w:rsidRPr="00493BDD">
        <w:rPr>
          <w:sz w:val="34"/>
          <w:szCs w:val="34"/>
        </w:rPr>
        <w:lastRenderedPageBreak/>
        <w:t xml:space="preserve">What will the supported employment landscape look like </w:t>
      </w:r>
      <w:r w:rsidR="00396CA6">
        <w:rPr>
          <w:sz w:val="34"/>
          <w:szCs w:val="34"/>
        </w:rPr>
        <w:t>at</w:t>
      </w:r>
      <w:r w:rsidRPr="00493BDD">
        <w:rPr>
          <w:sz w:val="34"/>
          <w:szCs w:val="34"/>
        </w:rPr>
        <w:t xml:space="preserve"> full scheme </w:t>
      </w:r>
      <w:r w:rsidR="00396CA6">
        <w:rPr>
          <w:sz w:val="34"/>
          <w:szCs w:val="34"/>
        </w:rPr>
        <w:t xml:space="preserve">roll out </w:t>
      </w:r>
      <w:r w:rsidRPr="00493BDD">
        <w:rPr>
          <w:sz w:val="34"/>
          <w:szCs w:val="34"/>
        </w:rPr>
        <w:t>of the NDIS?</w:t>
      </w:r>
      <w:bookmarkEnd w:id="53"/>
    </w:p>
    <w:p w14:paraId="4E3E9F92" w14:textId="77777777" w:rsidR="004E54E2" w:rsidRPr="00493BDD" w:rsidRDefault="006B4C3C" w:rsidP="004E54E2">
      <w:pPr>
        <w:rPr>
          <w:bCs/>
          <w:sz w:val="23"/>
          <w:szCs w:val="23"/>
        </w:rPr>
      </w:pPr>
      <w:r w:rsidRPr="006B4C3C">
        <w:rPr>
          <w:sz w:val="23"/>
          <w:szCs w:val="23"/>
        </w:rPr>
        <w:t>In consultation with supported employees, their families and carers, employers, advocates and other interested stakeholder</w:t>
      </w:r>
      <w:r w:rsidR="00373B9F">
        <w:rPr>
          <w:sz w:val="23"/>
          <w:szCs w:val="23"/>
        </w:rPr>
        <w:t>s, the Government will consider</w:t>
      </w:r>
      <w:r w:rsidRPr="006B4C3C">
        <w:rPr>
          <w:sz w:val="23"/>
          <w:szCs w:val="23"/>
        </w:rPr>
        <w:t xml:space="preserve"> policy options to underpin a strong future for</w:t>
      </w:r>
      <w:r w:rsidR="00082A31">
        <w:rPr>
          <w:sz w:val="23"/>
          <w:szCs w:val="23"/>
        </w:rPr>
        <w:t xml:space="preserve"> supported employment, </w:t>
      </w:r>
      <w:r w:rsidRPr="006B4C3C">
        <w:rPr>
          <w:sz w:val="23"/>
          <w:szCs w:val="23"/>
        </w:rPr>
        <w:t>guided b</w:t>
      </w:r>
      <w:r>
        <w:rPr>
          <w:sz w:val="23"/>
          <w:szCs w:val="23"/>
        </w:rPr>
        <w:t xml:space="preserve">y the following </w:t>
      </w:r>
      <w:r w:rsidRPr="006B4C3C">
        <w:rPr>
          <w:sz w:val="23"/>
          <w:szCs w:val="23"/>
        </w:rPr>
        <w:t>foundational principles:</w:t>
      </w:r>
    </w:p>
    <w:p w14:paraId="537C8C90" w14:textId="77777777" w:rsidR="004E54E2" w:rsidRPr="00AD24E7" w:rsidRDefault="004E54E2" w:rsidP="00712B97">
      <w:pPr>
        <w:pStyle w:val="ListParagraph"/>
        <w:numPr>
          <w:ilvl w:val="0"/>
          <w:numId w:val="9"/>
        </w:numPr>
        <w:rPr>
          <w:sz w:val="23"/>
          <w:szCs w:val="23"/>
        </w:rPr>
      </w:pPr>
      <w:r w:rsidRPr="00493BDD">
        <w:rPr>
          <w:b/>
          <w:sz w:val="23"/>
          <w:szCs w:val="23"/>
        </w:rPr>
        <w:t>An ‘employment first’ approach</w:t>
      </w:r>
      <w:r w:rsidRPr="00493BDD">
        <w:rPr>
          <w:sz w:val="23"/>
          <w:szCs w:val="23"/>
        </w:rPr>
        <w:t xml:space="preserve"> </w:t>
      </w:r>
      <w:r w:rsidRPr="00493BDD">
        <w:rPr>
          <w:b/>
          <w:sz w:val="23"/>
          <w:szCs w:val="23"/>
        </w:rPr>
        <w:t>for all NDIS participants of working age</w:t>
      </w:r>
      <w:r w:rsidRPr="00493BDD">
        <w:rPr>
          <w:sz w:val="23"/>
          <w:szCs w:val="23"/>
        </w:rPr>
        <w:t xml:space="preserve"> – strengthening employment </w:t>
      </w:r>
      <w:r w:rsidR="006B4C3C">
        <w:rPr>
          <w:sz w:val="23"/>
          <w:szCs w:val="23"/>
        </w:rPr>
        <w:t xml:space="preserve">outcomes for </w:t>
      </w:r>
      <w:r w:rsidRPr="00493BDD">
        <w:rPr>
          <w:sz w:val="23"/>
          <w:szCs w:val="23"/>
        </w:rPr>
        <w:t xml:space="preserve">people with disability, </w:t>
      </w:r>
      <w:r w:rsidR="006B4C3C">
        <w:rPr>
          <w:sz w:val="23"/>
          <w:szCs w:val="23"/>
        </w:rPr>
        <w:t xml:space="preserve">with support from </w:t>
      </w:r>
      <w:r w:rsidRPr="00493BDD">
        <w:rPr>
          <w:sz w:val="23"/>
          <w:szCs w:val="23"/>
        </w:rPr>
        <w:t>their families and carers</w:t>
      </w:r>
      <w:r w:rsidR="006B4C3C">
        <w:rPr>
          <w:sz w:val="23"/>
          <w:szCs w:val="23"/>
        </w:rPr>
        <w:t xml:space="preserve">, educators and NDIS </w:t>
      </w:r>
      <w:r w:rsidR="00B372A6">
        <w:rPr>
          <w:sz w:val="23"/>
          <w:szCs w:val="23"/>
        </w:rPr>
        <w:t xml:space="preserve">Local Area Coordinators and </w:t>
      </w:r>
      <w:r w:rsidR="006B4C3C">
        <w:rPr>
          <w:sz w:val="23"/>
          <w:szCs w:val="23"/>
        </w:rPr>
        <w:t xml:space="preserve">planners, so that </w:t>
      </w:r>
      <w:r w:rsidRPr="00493BDD">
        <w:rPr>
          <w:sz w:val="23"/>
          <w:szCs w:val="23"/>
        </w:rPr>
        <w:t xml:space="preserve">employment opportunities </w:t>
      </w:r>
      <w:r w:rsidR="006B4C3C">
        <w:rPr>
          <w:sz w:val="23"/>
          <w:szCs w:val="23"/>
        </w:rPr>
        <w:t xml:space="preserve">are </w:t>
      </w:r>
      <w:r w:rsidRPr="00493BDD">
        <w:rPr>
          <w:sz w:val="23"/>
          <w:szCs w:val="23"/>
        </w:rPr>
        <w:t xml:space="preserve">available through </w:t>
      </w:r>
      <w:r w:rsidR="00082A31">
        <w:rPr>
          <w:sz w:val="23"/>
          <w:szCs w:val="23"/>
        </w:rPr>
        <w:t xml:space="preserve">a </w:t>
      </w:r>
      <w:r w:rsidRPr="00493BDD">
        <w:rPr>
          <w:sz w:val="23"/>
          <w:szCs w:val="23"/>
        </w:rPr>
        <w:t>range of pathways which suit their working preferences.</w:t>
      </w:r>
    </w:p>
    <w:p w14:paraId="6C29590F" w14:textId="77777777" w:rsidR="00AD24E7" w:rsidRPr="00AD24E7" w:rsidRDefault="00AD24E7" w:rsidP="00AD24E7">
      <w:pPr>
        <w:pStyle w:val="ListParagraph"/>
        <w:rPr>
          <w:sz w:val="23"/>
          <w:szCs w:val="23"/>
        </w:rPr>
      </w:pPr>
    </w:p>
    <w:p w14:paraId="094A921C" w14:textId="77777777" w:rsidR="00AD24E7" w:rsidRPr="00AD24E7" w:rsidRDefault="004E54E2" w:rsidP="00712B97">
      <w:pPr>
        <w:pStyle w:val="ListParagraph"/>
        <w:numPr>
          <w:ilvl w:val="0"/>
          <w:numId w:val="9"/>
        </w:numPr>
        <w:rPr>
          <w:sz w:val="23"/>
          <w:szCs w:val="23"/>
        </w:rPr>
      </w:pPr>
      <w:r w:rsidRPr="00AD24E7">
        <w:rPr>
          <w:b/>
          <w:sz w:val="23"/>
          <w:szCs w:val="23"/>
        </w:rPr>
        <w:t>A diversity of employers provid</w:t>
      </w:r>
      <w:r w:rsidR="00204020">
        <w:rPr>
          <w:b/>
          <w:sz w:val="23"/>
          <w:szCs w:val="23"/>
        </w:rPr>
        <w:t>ing</w:t>
      </w:r>
      <w:r w:rsidRPr="00AD24E7">
        <w:rPr>
          <w:b/>
          <w:sz w:val="23"/>
          <w:szCs w:val="23"/>
        </w:rPr>
        <w:t xml:space="preserve"> employment supports</w:t>
      </w:r>
      <w:r w:rsidRPr="00AD24E7">
        <w:rPr>
          <w:sz w:val="23"/>
          <w:szCs w:val="23"/>
        </w:rPr>
        <w:t xml:space="preserve"> – building market capacity for new employers in the market offering labour-hire, social enterprise cooperatives and other diverse employment models.</w:t>
      </w:r>
    </w:p>
    <w:p w14:paraId="0CD3E0D1" w14:textId="77777777" w:rsidR="00AD24E7" w:rsidRPr="00AD24E7" w:rsidRDefault="00AD24E7" w:rsidP="00AD24E7">
      <w:pPr>
        <w:pStyle w:val="ListParagraph"/>
        <w:rPr>
          <w:sz w:val="23"/>
          <w:szCs w:val="23"/>
        </w:rPr>
      </w:pPr>
    </w:p>
    <w:p w14:paraId="37645E95" w14:textId="5D96B23C" w:rsidR="00493BDD" w:rsidRPr="00493BDD" w:rsidRDefault="006B4C3C" w:rsidP="00712B97">
      <w:pPr>
        <w:pStyle w:val="ListParagraph"/>
        <w:numPr>
          <w:ilvl w:val="0"/>
          <w:numId w:val="9"/>
        </w:numPr>
        <w:rPr>
          <w:sz w:val="23"/>
          <w:szCs w:val="23"/>
        </w:rPr>
      </w:pPr>
      <w:r>
        <w:rPr>
          <w:b/>
          <w:sz w:val="23"/>
          <w:szCs w:val="23"/>
        </w:rPr>
        <w:t xml:space="preserve">Strong </w:t>
      </w:r>
      <w:r w:rsidR="004E54E2" w:rsidRPr="00493BDD">
        <w:rPr>
          <w:b/>
          <w:sz w:val="23"/>
          <w:szCs w:val="23"/>
        </w:rPr>
        <w:t>and viable disability enterprises</w:t>
      </w:r>
      <w:r>
        <w:rPr>
          <w:b/>
          <w:sz w:val="23"/>
          <w:szCs w:val="23"/>
        </w:rPr>
        <w:t xml:space="preserve"> </w:t>
      </w:r>
      <w:r>
        <w:rPr>
          <w:sz w:val="23"/>
          <w:szCs w:val="23"/>
        </w:rPr>
        <w:t xml:space="preserve">– </w:t>
      </w:r>
      <w:r w:rsidR="00082A31">
        <w:rPr>
          <w:sz w:val="23"/>
          <w:szCs w:val="23"/>
        </w:rPr>
        <w:t xml:space="preserve">with </w:t>
      </w:r>
      <w:r w:rsidR="003B65CF">
        <w:rPr>
          <w:sz w:val="23"/>
          <w:szCs w:val="23"/>
        </w:rPr>
        <w:t xml:space="preserve">ADE </w:t>
      </w:r>
      <w:r>
        <w:rPr>
          <w:sz w:val="23"/>
          <w:szCs w:val="23"/>
        </w:rPr>
        <w:t>t</w:t>
      </w:r>
      <w:r w:rsidR="00082A31">
        <w:rPr>
          <w:sz w:val="23"/>
          <w:szCs w:val="23"/>
        </w:rPr>
        <w:t>ransition and reform</w:t>
      </w:r>
      <w:r w:rsidR="00807CB7">
        <w:rPr>
          <w:sz w:val="23"/>
          <w:szCs w:val="23"/>
        </w:rPr>
        <w:t xml:space="preserve"> </w:t>
      </w:r>
      <w:r w:rsidR="00082A31">
        <w:rPr>
          <w:sz w:val="23"/>
          <w:szCs w:val="23"/>
        </w:rPr>
        <w:t>supported through</w:t>
      </w:r>
      <w:r w:rsidR="004E54E2" w:rsidRPr="00493BDD">
        <w:rPr>
          <w:sz w:val="23"/>
          <w:szCs w:val="23"/>
        </w:rPr>
        <w:t xml:space="preserve"> sustainable NDIS </w:t>
      </w:r>
      <w:r w:rsidR="00C71114">
        <w:rPr>
          <w:sz w:val="23"/>
          <w:szCs w:val="23"/>
        </w:rPr>
        <w:t xml:space="preserve">funding in participant plans and </w:t>
      </w:r>
      <w:r w:rsidR="004E54E2" w:rsidRPr="00493BDD">
        <w:rPr>
          <w:sz w:val="23"/>
          <w:szCs w:val="23"/>
        </w:rPr>
        <w:t xml:space="preserve">pricing </w:t>
      </w:r>
      <w:r w:rsidR="00C71114">
        <w:rPr>
          <w:sz w:val="23"/>
          <w:szCs w:val="23"/>
        </w:rPr>
        <w:t xml:space="preserve">controls </w:t>
      </w:r>
      <w:r w:rsidR="004E54E2" w:rsidRPr="00493BDD">
        <w:rPr>
          <w:sz w:val="23"/>
          <w:szCs w:val="23"/>
        </w:rPr>
        <w:t>for employment supports.</w:t>
      </w:r>
    </w:p>
    <w:p w14:paraId="208D5DDC" w14:textId="77777777" w:rsidR="00AD24E7" w:rsidRPr="00AD24E7" w:rsidRDefault="00AD24E7" w:rsidP="00AD24E7">
      <w:pPr>
        <w:pStyle w:val="ListParagraph"/>
        <w:rPr>
          <w:sz w:val="23"/>
          <w:szCs w:val="23"/>
        </w:rPr>
      </w:pPr>
    </w:p>
    <w:p w14:paraId="6A5691B1" w14:textId="17AA91DA" w:rsidR="004E54E2" w:rsidRDefault="004E54E2" w:rsidP="00712B97">
      <w:pPr>
        <w:pStyle w:val="ListParagraph"/>
        <w:numPr>
          <w:ilvl w:val="0"/>
          <w:numId w:val="9"/>
        </w:numPr>
        <w:rPr>
          <w:sz w:val="23"/>
          <w:szCs w:val="23"/>
        </w:rPr>
      </w:pPr>
      <w:r w:rsidRPr="00E33EA7">
        <w:rPr>
          <w:b/>
          <w:sz w:val="23"/>
          <w:szCs w:val="23"/>
        </w:rPr>
        <w:t>Employees and employers have certainty about industrial wage se</w:t>
      </w:r>
      <w:r w:rsidR="003B65CF">
        <w:rPr>
          <w:b/>
          <w:sz w:val="23"/>
          <w:szCs w:val="23"/>
        </w:rPr>
        <w:t>tting</w:t>
      </w:r>
      <w:r w:rsidR="00B5251F">
        <w:rPr>
          <w:sz w:val="23"/>
          <w:szCs w:val="23"/>
        </w:rPr>
        <w:t xml:space="preserve"> – r</w:t>
      </w:r>
      <w:r w:rsidRPr="00493BDD">
        <w:rPr>
          <w:sz w:val="23"/>
          <w:szCs w:val="23"/>
        </w:rPr>
        <w:t>esolution of matters before the Fair Work Commission provides confidence to ADE businesses and new employers in the market when accessing available industrial provisions designed to promote the employment of people with disability.</w:t>
      </w:r>
    </w:p>
    <w:p w14:paraId="45AC4ECC" w14:textId="77777777" w:rsidR="0041730F" w:rsidRPr="0041730F" w:rsidRDefault="0041730F" w:rsidP="0041730F">
      <w:pPr>
        <w:pStyle w:val="ListParagraph"/>
        <w:rPr>
          <w:sz w:val="23"/>
          <w:szCs w:val="23"/>
        </w:rPr>
      </w:pPr>
    </w:p>
    <w:p w14:paraId="05AA0E13" w14:textId="77777777" w:rsidR="0041730F" w:rsidRDefault="0041730F" w:rsidP="0041730F">
      <w:pPr>
        <w:pStyle w:val="ListParagraph"/>
        <w:rPr>
          <w:sz w:val="23"/>
          <w:szCs w:val="23"/>
        </w:rPr>
      </w:pPr>
    </w:p>
    <w:p w14:paraId="16202C2A" w14:textId="64B719D4" w:rsidR="00082A31" w:rsidRPr="0084192E" w:rsidRDefault="00082A31" w:rsidP="00082A31">
      <w:pPr>
        <w:pStyle w:val="Heading1"/>
        <w:spacing w:before="120"/>
        <w:rPr>
          <w:rFonts w:asciiTheme="minorHAnsi" w:hAnsiTheme="minorHAnsi" w:cstheme="minorHAnsi"/>
          <w:b/>
          <w:i/>
          <w:color w:val="3494BA" w:themeColor="accent1"/>
          <w:sz w:val="28"/>
          <w:szCs w:val="24"/>
        </w:rPr>
      </w:pPr>
      <w:bookmarkStart w:id="54" w:name="_Toc497468103"/>
      <w:bookmarkStart w:id="55" w:name="_Toc497480346"/>
      <w:bookmarkStart w:id="56" w:name="_Toc497823556"/>
      <w:bookmarkStart w:id="57" w:name="_Toc497893481"/>
      <w:bookmarkStart w:id="58" w:name="_Toc497893919"/>
      <w:bookmarkStart w:id="59" w:name="_Toc500401873"/>
      <w:r w:rsidRPr="0084192E">
        <w:rPr>
          <w:rFonts w:asciiTheme="minorHAnsi" w:hAnsiTheme="minorHAnsi" w:cstheme="minorHAnsi"/>
          <w:b/>
          <w:sz w:val="28"/>
          <w:szCs w:val="24"/>
        </w:rPr>
        <w:t>Have your say on the guiding principles</w:t>
      </w:r>
      <w:bookmarkEnd w:id="54"/>
      <w:bookmarkEnd w:id="55"/>
      <w:bookmarkEnd w:id="56"/>
      <w:bookmarkEnd w:id="57"/>
      <w:bookmarkEnd w:id="58"/>
      <w:bookmarkEnd w:id="59"/>
      <w:r w:rsidRPr="0084192E">
        <w:rPr>
          <w:rFonts w:asciiTheme="minorHAnsi" w:hAnsiTheme="minorHAnsi" w:cstheme="minorHAnsi"/>
          <w:b/>
          <w:i/>
          <w:color w:val="3494BA" w:themeColor="accent1"/>
          <w:sz w:val="28"/>
          <w:szCs w:val="24"/>
        </w:rPr>
        <w:t xml:space="preserve"> </w:t>
      </w:r>
    </w:p>
    <w:p w14:paraId="5F66D5B8" w14:textId="7B837CCB" w:rsidR="00606F2B" w:rsidRPr="0084192E" w:rsidRDefault="00606F2B" w:rsidP="006C2255">
      <w:pPr>
        <w:pStyle w:val="ListParagraph"/>
        <w:numPr>
          <w:ilvl w:val="0"/>
          <w:numId w:val="16"/>
        </w:num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rPr>
          <w:b/>
          <w:i/>
          <w:color w:val="002060"/>
          <w:sz w:val="26"/>
          <w:szCs w:val="22"/>
          <w:lang w:eastAsia="en-US"/>
        </w:rPr>
      </w:pPr>
      <w:r w:rsidRPr="0084192E">
        <w:rPr>
          <w:b/>
          <w:i/>
          <w:color w:val="002060"/>
          <w:sz w:val="26"/>
          <w:szCs w:val="22"/>
          <w:lang w:eastAsia="en-US"/>
        </w:rPr>
        <w:t>Are there other principles, which should guide the Government’s policy direction for supported employment?</w:t>
      </w:r>
    </w:p>
    <w:p w14:paraId="5A156634" w14:textId="77777777" w:rsidR="00606F2B" w:rsidRPr="00606F2B" w:rsidRDefault="00606F2B" w:rsidP="00606F2B">
      <w:pPr>
        <w:pStyle w:val="ListParagraph"/>
      </w:pPr>
    </w:p>
    <w:p w14:paraId="29275153" w14:textId="77777777" w:rsidR="00493BDD" w:rsidRPr="00493BDD" w:rsidRDefault="00493BDD">
      <w:pPr>
        <w:spacing w:before="0" w:after="200" w:line="276" w:lineRule="auto"/>
        <w:rPr>
          <w:sz w:val="23"/>
          <w:szCs w:val="23"/>
        </w:rPr>
        <w:sectPr w:rsidR="00493BDD" w:rsidRPr="00493BDD" w:rsidSect="0041730F">
          <w:headerReference w:type="even" r:id="rId28"/>
          <w:headerReference w:type="default" r:id="rId29"/>
          <w:footerReference w:type="default" r:id="rId30"/>
          <w:headerReference w:type="first" r:id="rId31"/>
          <w:type w:val="continuous"/>
          <w:pgSz w:w="11906" w:h="16838" w:code="9"/>
          <w:pgMar w:top="623" w:right="1133" w:bottom="426" w:left="1134" w:header="0" w:footer="305" w:gutter="0"/>
          <w:pgNumType w:start="16"/>
          <w:cols w:space="708"/>
          <w:titlePg/>
          <w:docGrid w:linePitch="360"/>
        </w:sectPr>
      </w:pPr>
    </w:p>
    <w:p w14:paraId="6467AFB9" w14:textId="77777777" w:rsidR="00670646" w:rsidRPr="00082A31" w:rsidRDefault="00670646" w:rsidP="00BD0E33">
      <w:pPr>
        <w:pStyle w:val="Heading1"/>
        <w:spacing w:before="240"/>
        <w:rPr>
          <w:sz w:val="34"/>
          <w:szCs w:val="34"/>
        </w:rPr>
      </w:pPr>
      <w:bookmarkStart w:id="60" w:name="_Toc500401874"/>
      <w:r w:rsidRPr="00082A31">
        <w:rPr>
          <w:sz w:val="34"/>
          <w:szCs w:val="34"/>
        </w:rPr>
        <w:lastRenderedPageBreak/>
        <w:t>Transition to the future landscape</w:t>
      </w:r>
      <w:bookmarkEnd w:id="60"/>
    </w:p>
    <w:p w14:paraId="78CD2C7D" w14:textId="004970B1" w:rsidR="00B5251F" w:rsidRDefault="00670646" w:rsidP="00B5251F">
      <w:pPr>
        <w:spacing w:before="0" w:after="0"/>
        <w:rPr>
          <w:sz w:val="22"/>
          <w:szCs w:val="22"/>
        </w:rPr>
      </w:pPr>
      <w:r w:rsidRPr="00820C74">
        <w:rPr>
          <w:sz w:val="22"/>
          <w:szCs w:val="22"/>
        </w:rPr>
        <w:t>The diagram below sho</w:t>
      </w:r>
      <w:r w:rsidR="00B5251F">
        <w:rPr>
          <w:sz w:val="22"/>
          <w:szCs w:val="22"/>
        </w:rPr>
        <w:t>ws the expected movement of</w:t>
      </w:r>
      <w:r w:rsidRPr="00820C74">
        <w:rPr>
          <w:sz w:val="22"/>
          <w:szCs w:val="22"/>
        </w:rPr>
        <w:t xml:space="preserve"> employees, including the increase of employees accessing employment supports in the NDIS and the expected </w:t>
      </w:r>
      <w:r w:rsidR="00BD0E33" w:rsidRPr="00820C74">
        <w:rPr>
          <w:sz w:val="22"/>
          <w:szCs w:val="22"/>
        </w:rPr>
        <w:t>opportunities for employer/providers</w:t>
      </w:r>
      <w:r w:rsidRPr="00820C74">
        <w:rPr>
          <w:sz w:val="22"/>
          <w:szCs w:val="22"/>
        </w:rPr>
        <w:t xml:space="preserve">. These examples demonstrate what is already occurring in the NDIS, and where there is real opportunity for growth and diversification among </w:t>
      </w:r>
      <w:r w:rsidR="00606F2B">
        <w:rPr>
          <w:sz w:val="22"/>
          <w:szCs w:val="22"/>
        </w:rPr>
        <w:t xml:space="preserve">current </w:t>
      </w:r>
      <w:r w:rsidRPr="00820C74">
        <w:rPr>
          <w:sz w:val="22"/>
          <w:szCs w:val="22"/>
        </w:rPr>
        <w:t>businesses and fo</w:t>
      </w:r>
      <w:r w:rsidR="00BD0E33" w:rsidRPr="00820C74">
        <w:rPr>
          <w:sz w:val="22"/>
          <w:szCs w:val="22"/>
        </w:rPr>
        <w:t>r new employer/providers</w:t>
      </w:r>
      <w:r w:rsidRPr="00820C74">
        <w:rPr>
          <w:sz w:val="22"/>
          <w:szCs w:val="22"/>
        </w:rPr>
        <w:t xml:space="preserve"> in the market.</w:t>
      </w:r>
      <w:bookmarkStart w:id="61" w:name="_Toc497823558"/>
      <w:r w:rsidR="00BD0E33" w:rsidRPr="00820C74">
        <w:rPr>
          <w:sz w:val="22"/>
          <w:szCs w:val="22"/>
        </w:rPr>
        <w:t xml:space="preserve"> </w:t>
      </w:r>
      <w:r w:rsidR="00793DDE">
        <w:rPr>
          <w:sz w:val="22"/>
          <w:szCs w:val="22"/>
        </w:rPr>
        <w:t xml:space="preserve">Consultation </w:t>
      </w:r>
      <w:r w:rsidR="00B5251F">
        <w:rPr>
          <w:sz w:val="22"/>
          <w:szCs w:val="22"/>
        </w:rPr>
        <w:t xml:space="preserve">will assist to refine what the transition to the </w:t>
      </w:r>
      <w:r w:rsidR="00B5251F" w:rsidRPr="00B5251F">
        <w:rPr>
          <w:sz w:val="22"/>
          <w:szCs w:val="22"/>
        </w:rPr>
        <w:t>future landscape</w:t>
      </w:r>
      <w:r w:rsidR="00B5251F">
        <w:rPr>
          <w:sz w:val="22"/>
          <w:szCs w:val="22"/>
        </w:rPr>
        <w:t xml:space="preserve"> could look like. </w:t>
      </w:r>
    </w:p>
    <w:bookmarkEnd w:id="61"/>
    <w:p w14:paraId="7230A0E8" w14:textId="77777777" w:rsidR="00431E16" w:rsidRPr="00493BDD" w:rsidRDefault="00431E16" w:rsidP="00882D9C">
      <w:pPr>
        <w:spacing w:before="0" w:after="200" w:line="276" w:lineRule="auto"/>
        <w:jc w:val="center"/>
        <w:rPr>
          <w:rFonts w:ascii="Georgia" w:eastAsiaTheme="majorEastAsia" w:hAnsi="Georgia" w:cstheme="majorBidi"/>
          <w:bCs/>
          <w:color w:val="24596E"/>
          <w:sz w:val="34"/>
          <w:szCs w:val="34"/>
        </w:rPr>
        <w:sectPr w:rsidR="00431E16" w:rsidRPr="00493BDD" w:rsidSect="0041730F">
          <w:pgSz w:w="16838" w:h="11906" w:orient="landscape"/>
          <w:pgMar w:top="1080" w:right="1440" w:bottom="709" w:left="1276" w:header="0" w:footer="424" w:gutter="0"/>
          <w:cols w:space="708"/>
          <w:titlePg/>
          <w:docGrid w:linePitch="360"/>
        </w:sectPr>
      </w:pPr>
      <w:r>
        <w:rPr>
          <w:noProof/>
        </w:rPr>
        <w:drawing>
          <wp:inline distT="0" distB="0" distL="0" distR="0" wp14:anchorId="1AA2AC6D" wp14:editId="418E4D30">
            <wp:extent cx="7443767" cy="4702354"/>
            <wp:effectExtent l="0" t="0" r="5080" b="3175"/>
            <wp:docPr id="12" name="Picture 12" descr="This diagram shows how in the future, existing and new supported employees in the NDIS might move from an ADE into other social enterprises, new supported employers, open employment through DES providers, or out of employment into other social activities / supports." title="Diagram of possible employment pathways in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030" t="3144" r="743" b="2142"/>
                    <a:stretch/>
                  </pic:blipFill>
                  <pic:spPr bwMode="auto">
                    <a:xfrm>
                      <a:off x="0" y="0"/>
                      <a:ext cx="7537090" cy="4761308"/>
                    </a:xfrm>
                    <a:prstGeom prst="rect">
                      <a:avLst/>
                    </a:prstGeom>
                    <a:ln>
                      <a:noFill/>
                    </a:ln>
                    <a:extLst>
                      <a:ext uri="{53640926-AAD7-44D8-BBD7-CCE9431645EC}">
                        <a14:shadowObscured xmlns:a14="http://schemas.microsoft.com/office/drawing/2010/main"/>
                      </a:ext>
                    </a:extLst>
                  </pic:spPr>
                </pic:pic>
              </a:graphicData>
            </a:graphic>
          </wp:inline>
        </w:drawing>
      </w:r>
    </w:p>
    <w:p w14:paraId="4E99DAE4" w14:textId="77777777" w:rsidR="00EB343E" w:rsidRPr="005F59D5" w:rsidRDefault="00EB343E" w:rsidP="00070EE3">
      <w:pPr>
        <w:pStyle w:val="Heading1"/>
        <w:rPr>
          <w:sz w:val="34"/>
          <w:szCs w:val="34"/>
        </w:rPr>
      </w:pPr>
      <w:bookmarkStart w:id="62" w:name="_Toc500401875"/>
      <w:r w:rsidRPr="005F59D5">
        <w:rPr>
          <w:sz w:val="34"/>
          <w:szCs w:val="34"/>
        </w:rPr>
        <w:lastRenderedPageBreak/>
        <w:t>Discussion Topics</w:t>
      </w:r>
      <w:bookmarkEnd w:id="62"/>
    </w:p>
    <w:p w14:paraId="7F6F4B58" w14:textId="77777777" w:rsidR="004E54E2" w:rsidRPr="00E33EA7" w:rsidRDefault="004E54E2" w:rsidP="00F0204A">
      <w:pPr>
        <w:pStyle w:val="Heading2"/>
      </w:pPr>
      <w:bookmarkStart w:id="63" w:name="_Toc500401876"/>
      <w:r w:rsidRPr="00E33EA7">
        <w:t>Strategies to support employment participation for people with disability</w:t>
      </w:r>
      <w:bookmarkEnd w:id="63"/>
      <w:r w:rsidRPr="00E33EA7">
        <w:t xml:space="preserve"> </w:t>
      </w:r>
    </w:p>
    <w:p w14:paraId="6BAA6C19" w14:textId="4E56B305" w:rsidR="00DC1CE4" w:rsidRDefault="00DC1CE4" w:rsidP="00265D91">
      <w:pPr>
        <w:pStyle w:val="Heading3"/>
      </w:pPr>
      <w:bookmarkStart w:id="64" w:name="_Toc500342843"/>
      <w:bookmarkStart w:id="65" w:name="_Toc500401877"/>
      <w:r w:rsidRPr="00456ADB">
        <w:t>What employee experiences may look like in the future</w:t>
      </w:r>
      <w:bookmarkEnd w:id="64"/>
      <w:bookmarkEnd w:id="65"/>
    </w:p>
    <w:p w14:paraId="0401E21D" w14:textId="40D25E0F" w:rsidR="00BA0997" w:rsidRPr="00456ADB" w:rsidRDefault="00882C6C" w:rsidP="00691646">
      <w:pPr>
        <w:spacing w:before="0" w:after="0"/>
        <w:contextualSpacing/>
        <w:rPr>
          <w:sz w:val="23"/>
          <w:szCs w:val="23"/>
        </w:rPr>
      </w:pPr>
      <w:r>
        <w:rPr>
          <w:sz w:val="23"/>
          <w:szCs w:val="23"/>
        </w:rPr>
        <w:t>At</w:t>
      </w:r>
      <w:r w:rsidR="00DC1CE4" w:rsidRPr="00456ADB">
        <w:rPr>
          <w:sz w:val="23"/>
          <w:szCs w:val="23"/>
        </w:rPr>
        <w:t xml:space="preserve"> full scheme NDIS, </w:t>
      </w:r>
      <w:r w:rsidR="00BA6F64">
        <w:rPr>
          <w:sz w:val="23"/>
          <w:szCs w:val="23"/>
        </w:rPr>
        <w:t xml:space="preserve">participants who are in supported </w:t>
      </w:r>
      <w:r w:rsidR="00DC1CE4" w:rsidRPr="00456ADB">
        <w:rPr>
          <w:sz w:val="23"/>
          <w:szCs w:val="23"/>
        </w:rPr>
        <w:t>employ</w:t>
      </w:r>
      <w:r w:rsidR="00BA6F64">
        <w:rPr>
          <w:sz w:val="23"/>
          <w:szCs w:val="23"/>
        </w:rPr>
        <w:t>ment</w:t>
      </w:r>
      <w:r w:rsidR="00DC1CE4" w:rsidRPr="00456ADB">
        <w:rPr>
          <w:sz w:val="23"/>
          <w:szCs w:val="23"/>
        </w:rPr>
        <w:t xml:space="preserve"> are both a consumer of </w:t>
      </w:r>
      <w:r w:rsidR="00BA6F64">
        <w:rPr>
          <w:sz w:val="23"/>
          <w:szCs w:val="23"/>
        </w:rPr>
        <w:t xml:space="preserve">employment-related </w:t>
      </w:r>
      <w:r w:rsidR="00DC1CE4" w:rsidRPr="00456ADB">
        <w:rPr>
          <w:sz w:val="23"/>
          <w:szCs w:val="23"/>
        </w:rPr>
        <w:t xml:space="preserve">supports and an employee of a business. </w:t>
      </w:r>
      <w:r w:rsidR="00BA6F64">
        <w:rPr>
          <w:sz w:val="23"/>
          <w:szCs w:val="23"/>
        </w:rPr>
        <w:t xml:space="preserve">However, the NDIS also allows participants of the scheme ‘choice and control’ over who they work for, and which employer best supports them to reach their maximum potential in work. </w:t>
      </w:r>
      <w:r w:rsidR="00DC1CE4" w:rsidRPr="00456ADB">
        <w:rPr>
          <w:sz w:val="23"/>
          <w:szCs w:val="23"/>
        </w:rPr>
        <w:t xml:space="preserve">Where ADEs continue to operate a similar model, supported employees may continue to access those supports from their employers. </w:t>
      </w:r>
      <w:r w:rsidR="001B4182">
        <w:rPr>
          <w:sz w:val="23"/>
          <w:szCs w:val="23"/>
        </w:rPr>
        <w:t>However,</w:t>
      </w:r>
      <w:r w:rsidR="00DC1CE4" w:rsidRPr="00456ADB">
        <w:rPr>
          <w:sz w:val="23"/>
          <w:szCs w:val="23"/>
        </w:rPr>
        <w:t xml:space="preserve"> in an emerging market, it is also likely that some employees will choose to access their supports from other providers.</w:t>
      </w:r>
      <w:bookmarkStart w:id="66" w:name="_Toc395536190"/>
    </w:p>
    <w:p w14:paraId="574C1CB8" w14:textId="77777777" w:rsidR="00B17219" w:rsidRPr="00456ADB" w:rsidRDefault="000E60AF" w:rsidP="00691646">
      <w:pPr>
        <w:spacing w:after="120"/>
        <w:rPr>
          <w:sz w:val="23"/>
          <w:szCs w:val="23"/>
        </w:rPr>
      </w:pPr>
      <w:r w:rsidRPr="00456ADB">
        <w:rPr>
          <w:sz w:val="23"/>
          <w:szCs w:val="23"/>
        </w:rPr>
        <w:t xml:space="preserve">In the early stages of NDIS transition, employee experiences </w:t>
      </w:r>
      <w:r w:rsidR="007D62A6" w:rsidRPr="00456ADB">
        <w:rPr>
          <w:sz w:val="23"/>
          <w:szCs w:val="23"/>
        </w:rPr>
        <w:t>have included</w:t>
      </w:r>
      <w:r w:rsidR="00B17219" w:rsidRPr="00456ADB">
        <w:rPr>
          <w:sz w:val="23"/>
          <w:szCs w:val="23"/>
        </w:rPr>
        <w:t>:</w:t>
      </w:r>
    </w:p>
    <w:p w14:paraId="1DF6A2CD" w14:textId="75FFEB1D" w:rsidR="00D233C8" w:rsidRPr="00E0515D" w:rsidRDefault="00D233C8" w:rsidP="00712B97">
      <w:pPr>
        <w:numPr>
          <w:ilvl w:val="0"/>
          <w:numId w:val="2"/>
        </w:numPr>
        <w:spacing w:before="0" w:after="0" w:line="240" w:lineRule="auto"/>
        <w:ind w:left="714" w:hanging="357"/>
        <w:contextualSpacing/>
        <w:rPr>
          <w:sz w:val="23"/>
          <w:szCs w:val="23"/>
        </w:rPr>
      </w:pPr>
      <w:r w:rsidRPr="00456ADB">
        <w:rPr>
          <w:sz w:val="23"/>
          <w:szCs w:val="23"/>
        </w:rPr>
        <w:t>c</w:t>
      </w:r>
      <w:r w:rsidR="00B17219" w:rsidRPr="00456ADB">
        <w:rPr>
          <w:sz w:val="23"/>
          <w:szCs w:val="23"/>
        </w:rPr>
        <w:t xml:space="preserve">urrent ADE </w:t>
      </w:r>
      <w:r w:rsidRPr="00456ADB">
        <w:rPr>
          <w:sz w:val="23"/>
          <w:szCs w:val="23"/>
        </w:rPr>
        <w:t>employees</w:t>
      </w:r>
      <w:r w:rsidR="00B17219" w:rsidRPr="00456ADB">
        <w:rPr>
          <w:sz w:val="23"/>
          <w:szCs w:val="23"/>
        </w:rPr>
        <w:t xml:space="preserve"> who choose to remain in their current employment</w:t>
      </w:r>
    </w:p>
    <w:p w14:paraId="19D051CA" w14:textId="77777777" w:rsidR="00E0515D" w:rsidRPr="00F7344E" w:rsidRDefault="00E0515D" w:rsidP="00E0515D">
      <w:pPr>
        <w:spacing w:before="0" w:after="0" w:line="240" w:lineRule="auto"/>
        <w:ind w:left="714"/>
        <w:contextualSpacing/>
        <w:rPr>
          <w:sz w:val="23"/>
          <w:szCs w:val="23"/>
        </w:rPr>
      </w:pPr>
    </w:p>
    <w:p w14:paraId="67DE7883" w14:textId="6E25A8B7" w:rsidR="00D233C8" w:rsidRPr="00E0515D" w:rsidRDefault="00D233C8" w:rsidP="00712B97">
      <w:pPr>
        <w:numPr>
          <w:ilvl w:val="0"/>
          <w:numId w:val="2"/>
        </w:numPr>
        <w:spacing w:before="0" w:after="0" w:line="240" w:lineRule="auto"/>
        <w:ind w:left="714" w:hanging="357"/>
        <w:contextualSpacing/>
        <w:rPr>
          <w:sz w:val="23"/>
          <w:szCs w:val="23"/>
        </w:rPr>
      </w:pPr>
      <w:r w:rsidRPr="00456ADB">
        <w:rPr>
          <w:sz w:val="23"/>
          <w:szCs w:val="23"/>
        </w:rPr>
        <w:t>c</w:t>
      </w:r>
      <w:r w:rsidR="00B17219" w:rsidRPr="00456ADB">
        <w:rPr>
          <w:sz w:val="23"/>
          <w:szCs w:val="23"/>
        </w:rPr>
        <w:t xml:space="preserve">urrent ADE </w:t>
      </w:r>
      <w:r w:rsidRPr="00456ADB">
        <w:rPr>
          <w:sz w:val="23"/>
          <w:szCs w:val="23"/>
        </w:rPr>
        <w:t>employees</w:t>
      </w:r>
      <w:r w:rsidR="00B17219" w:rsidRPr="00456ADB">
        <w:rPr>
          <w:sz w:val="23"/>
          <w:szCs w:val="23"/>
        </w:rPr>
        <w:t xml:space="preserve"> who transition to new employment</w:t>
      </w:r>
      <w:r w:rsidR="00B372A6">
        <w:rPr>
          <w:sz w:val="23"/>
          <w:szCs w:val="23"/>
        </w:rPr>
        <w:t xml:space="preserve"> opportunities (either supported employment or open employment)</w:t>
      </w:r>
      <w:r w:rsidR="00B17219" w:rsidRPr="00456ADB">
        <w:rPr>
          <w:sz w:val="23"/>
          <w:szCs w:val="23"/>
        </w:rPr>
        <w:t>, because of their preference or because the ADE no longer provides employment supports in the NDIS</w:t>
      </w:r>
    </w:p>
    <w:p w14:paraId="5CC23A64" w14:textId="77777777" w:rsidR="00E0515D" w:rsidRPr="00F7344E" w:rsidRDefault="00E0515D" w:rsidP="00E0515D">
      <w:pPr>
        <w:spacing w:before="0" w:after="0" w:line="240" w:lineRule="auto"/>
        <w:ind w:left="714"/>
        <w:contextualSpacing/>
        <w:rPr>
          <w:sz w:val="23"/>
          <w:szCs w:val="23"/>
        </w:rPr>
      </w:pPr>
    </w:p>
    <w:p w14:paraId="2246F163" w14:textId="35C67116" w:rsidR="00D233C8" w:rsidRPr="00E0515D" w:rsidRDefault="00D233C8" w:rsidP="00712B97">
      <w:pPr>
        <w:numPr>
          <w:ilvl w:val="0"/>
          <w:numId w:val="2"/>
        </w:numPr>
        <w:spacing w:before="0" w:after="0" w:line="240" w:lineRule="auto"/>
        <w:ind w:left="714" w:hanging="357"/>
        <w:contextualSpacing/>
        <w:rPr>
          <w:sz w:val="23"/>
          <w:szCs w:val="23"/>
        </w:rPr>
      </w:pPr>
      <w:r w:rsidRPr="00456ADB">
        <w:rPr>
          <w:sz w:val="23"/>
          <w:szCs w:val="23"/>
        </w:rPr>
        <w:t>c</w:t>
      </w:r>
      <w:r w:rsidR="00B17219" w:rsidRPr="00456ADB">
        <w:rPr>
          <w:sz w:val="23"/>
          <w:szCs w:val="23"/>
        </w:rPr>
        <w:t xml:space="preserve">urrent ADE </w:t>
      </w:r>
      <w:r w:rsidRPr="00456ADB">
        <w:rPr>
          <w:sz w:val="23"/>
          <w:szCs w:val="23"/>
        </w:rPr>
        <w:t>employees</w:t>
      </w:r>
      <w:r w:rsidR="00B17219" w:rsidRPr="00456ADB">
        <w:rPr>
          <w:sz w:val="23"/>
          <w:szCs w:val="23"/>
        </w:rPr>
        <w:t xml:space="preserve"> who transition to non-employment options</w:t>
      </w:r>
    </w:p>
    <w:p w14:paraId="16A71B64" w14:textId="77777777" w:rsidR="00E0515D" w:rsidRPr="00F7344E" w:rsidRDefault="00E0515D" w:rsidP="00E0515D">
      <w:pPr>
        <w:spacing w:before="0" w:after="0" w:line="240" w:lineRule="auto"/>
        <w:ind w:left="714"/>
        <w:contextualSpacing/>
        <w:rPr>
          <w:color w:val="FF0000"/>
          <w:sz w:val="23"/>
          <w:szCs w:val="23"/>
        </w:rPr>
      </w:pPr>
    </w:p>
    <w:p w14:paraId="23D27630" w14:textId="617B975B" w:rsidR="00373B9F" w:rsidRPr="00373B9F" w:rsidRDefault="00D233C8" w:rsidP="00373B9F">
      <w:pPr>
        <w:numPr>
          <w:ilvl w:val="0"/>
          <w:numId w:val="2"/>
        </w:numPr>
        <w:spacing w:before="0" w:after="0" w:line="240" w:lineRule="auto"/>
        <w:ind w:left="714" w:hanging="357"/>
        <w:contextualSpacing/>
        <w:rPr>
          <w:color w:val="FF0000"/>
          <w:sz w:val="23"/>
          <w:szCs w:val="23"/>
        </w:rPr>
      </w:pPr>
      <w:r w:rsidRPr="00E0515D">
        <w:rPr>
          <w:sz w:val="23"/>
          <w:szCs w:val="23"/>
        </w:rPr>
        <w:t>NDIS p</w:t>
      </w:r>
      <w:r w:rsidR="00B17219" w:rsidRPr="00E0515D">
        <w:rPr>
          <w:sz w:val="23"/>
          <w:szCs w:val="23"/>
        </w:rPr>
        <w:t xml:space="preserve">articipants who are not currently employed </w:t>
      </w:r>
      <w:r w:rsidR="007D62A6" w:rsidRPr="00E0515D">
        <w:rPr>
          <w:sz w:val="23"/>
          <w:szCs w:val="23"/>
        </w:rPr>
        <w:t xml:space="preserve">and have approached the </w:t>
      </w:r>
      <w:r w:rsidR="00B17219" w:rsidRPr="00E0515D">
        <w:rPr>
          <w:sz w:val="23"/>
          <w:szCs w:val="23"/>
        </w:rPr>
        <w:t>NDIS</w:t>
      </w:r>
      <w:r w:rsidR="007D62A6" w:rsidRPr="00E0515D">
        <w:rPr>
          <w:sz w:val="23"/>
          <w:szCs w:val="23"/>
        </w:rPr>
        <w:t xml:space="preserve"> for employment supports</w:t>
      </w:r>
      <w:r w:rsidR="001B4182">
        <w:rPr>
          <w:sz w:val="23"/>
          <w:szCs w:val="23"/>
        </w:rPr>
        <w:t>,</w:t>
      </w:r>
      <w:r w:rsidR="00265D91">
        <w:rPr>
          <w:sz w:val="23"/>
          <w:szCs w:val="23"/>
        </w:rPr>
        <w:t xml:space="preserve"> and</w:t>
      </w:r>
      <w:r w:rsidR="00E0515D">
        <w:rPr>
          <w:sz w:val="23"/>
          <w:szCs w:val="23"/>
        </w:rPr>
        <w:t xml:space="preserve"> </w:t>
      </w:r>
    </w:p>
    <w:p w14:paraId="5C0CE561" w14:textId="77777777" w:rsidR="00373B9F" w:rsidRPr="00F7344E" w:rsidRDefault="00373B9F" w:rsidP="00373B9F">
      <w:pPr>
        <w:spacing w:before="0" w:after="0" w:line="240" w:lineRule="auto"/>
        <w:ind w:left="714"/>
        <w:contextualSpacing/>
        <w:rPr>
          <w:color w:val="FF0000"/>
          <w:sz w:val="23"/>
          <w:szCs w:val="23"/>
        </w:rPr>
      </w:pPr>
    </w:p>
    <w:p w14:paraId="75C8A130" w14:textId="77777777" w:rsidR="00203E35" w:rsidRPr="00820C74" w:rsidRDefault="00203E35" w:rsidP="00203E35">
      <w:pPr>
        <w:numPr>
          <w:ilvl w:val="0"/>
          <w:numId w:val="2"/>
        </w:numPr>
        <w:spacing w:before="0" w:after="0" w:line="240" w:lineRule="auto"/>
        <w:ind w:left="714" w:hanging="357"/>
        <w:contextualSpacing/>
        <w:rPr>
          <w:sz w:val="23"/>
          <w:szCs w:val="23"/>
        </w:rPr>
      </w:pPr>
      <w:r w:rsidRPr="00820C74">
        <w:rPr>
          <w:sz w:val="23"/>
          <w:szCs w:val="23"/>
        </w:rPr>
        <w:t>a modest number of ADE employees have commence</w:t>
      </w:r>
      <w:r w:rsidR="00302578" w:rsidRPr="00820C74">
        <w:rPr>
          <w:sz w:val="23"/>
          <w:szCs w:val="23"/>
        </w:rPr>
        <w:t>d</w:t>
      </w:r>
      <w:r w:rsidRPr="00820C74">
        <w:rPr>
          <w:sz w:val="23"/>
          <w:szCs w:val="23"/>
        </w:rPr>
        <w:t xml:space="preserve"> in DES and participate concurrently in both programs. </w:t>
      </w:r>
    </w:p>
    <w:p w14:paraId="2CDC9E4F" w14:textId="77777777" w:rsidR="006E06D0" w:rsidRPr="00456ADB" w:rsidRDefault="006E06D0" w:rsidP="00265D91">
      <w:pPr>
        <w:pStyle w:val="Heading3"/>
      </w:pPr>
      <w:bookmarkStart w:id="67" w:name="_Toc500342844"/>
      <w:bookmarkStart w:id="68" w:name="_Toc500401878"/>
      <w:r w:rsidRPr="00456ADB">
        <w:t>Challenges in getting there</w:t>
      </w:r>
      <w:bookmarkEnd w:id="67"/>
      <w:bookmarkEnd w:id="68"/>
      <w:r w:rsidRPr="00456ADB">
        <w:t xml:space="preserve"> </w:t>
      </w:r>
    </w:p>
    <w:p w14:paraId="26B1F785" w14:textId="27811FA5" w:rsidR="006E06D0" w:rsidRDefault="00A3618B" w:rsidP="00923E97">
      <w:pPr>
        <w:rPr>
          <w:sz w:val="23"/>
          <w:szCs w:val="23"/>
        </w:rPr>
      </w:pPr>
      <w:r w:rsidRPr="00456ADB">
        <w:rPr>
          <w:sz w:val="23"/>
          <w:szCs w:val="23"/>
        </w:rPr>
        <w:t xml:space="preserve">How people with disability understand </w:t>
      </w:r>
      <w:r w:rsidR="00BA6F64">
        <w:rPr>
          <w:sz w:val="23"/>
          <w:szCs w:val="23"/>
        </w:rPr>
        <w:t xml:space="preserve">and are best able to exercise </w:t>
      </w:r>
      <w:r w:rsidRPr="00456ADB">
        <w:rPr>
          <w:sz w:val="23"/>
          <w:szCs w:val="23"/>
        </w:rPr>
        <w:t xml:space="preserve">choice and control is a key challenge for the NDIS. </w:t>
      </w:r>
      <w:r w:rsidR="00DC1CE4" w:rsidRPr="00456ADB">
        <w:rPr>
          <w:sz w:val="23"/>
          <w:szCs w:val="23"/>
        </w:rPr>
        <w:t xml:space="preserve">Understanding the intersections between the employment relationship and the consumer relationship is crucial. </w:t>
      </w:r>
    </w:p>
    <w:p w14:paraId="14717359" w14:textId="77777777" w:rsidR="00E0515D" w:rsidRDefault="00E0515D" w:rsidP="00923E97">
      <w:pPr>
        <w:rPr>
          <w:sz w:val="23"/>
          <w:szCs w:val="23"/>
        </w:rPr>
      </w:pPr>
      <w:r>
        <w:rPr>
          <w:sz w:val="23"/>
          <w:szCs w:val="23"/>
        </w:rPr>
        <w:t>While ADEs actively support and promote employee transition to open employment, the number of supported employees that move into</w:t>
      </w:r>
      <w:r w:rsidR="00082A31">
        <w:rPr>
          <w:sz w:val="23"/>
          <w:szCs w:val="23"/>
        </w:rPr>
        <w:t xml:space="preserve"> open employment is small. T</w:t>
      </w:r>
      <w:r>
        <w:rPr>
          <w:sz w:val="23"/>
          <w:szCs w:val="23"/>
        </w:rPr>
        <w:t xml:space="preserve">he number </w:t>
      </w:r>
      <w:r w:rsidR="00082A31">
        <w:rPr>
          <w:sz w:val="23"/>
          <w:szCs w:val="23"/>
        </w:rPr>
        <w:t xml:space="preserve">of supported employees </w:t>
      </w:r>
      <w:r>
        <w:rPr>
          <w:sz w:val="23"/>
          <w:szCs w:val="23"/>
        </w:rPr>
        <w:t xml:space="preserve">that remain </w:t>
      </w:r>
      <w:r w:rsidR="00882C6C">
        <w:rPr>
          <w:sz w:val="23"/>
          <w:szCs w:val="23"/>
        </w:rPr>
        <w:t xml:space="preserve">after moving </w:t>
      </w:r>
      <w:r>
        <w:rPr>
          <w:sz w:val="23"/>
          <w:szCs w:val="23"/>
        </w:rPr>
        <w:t>in</w:t>
      </w:r>
      <w:r w:rsidR="00882C6C">
        <w:rPr>
          <w:sz w:val="23"/>
          <w:szCs w:val="23"/>
        </w:rPr>
        <w:t>to</w:t>
      </w:r>
      <w:r>
        <w:rPr>
          <w:sz w:val="23"/>
          <w:szCs w:val="23"/>
        </w:rPr>
        <w:t xml:space="preserve"> open employment is smaller still.</w:t>
      </w:r>
    </w:p>
    <w:p w14:paraId="5F62E27D" w14:textId="616F3B17" w:rsidR="00B372A6" w:rsidRDefault="00203E35" w:rsidP="00491D63">
      <w:pPr>
        <w:spacing w:before="240" w:after="0"/>
        <w:contextualSpacing/>
        <w:rPr>
          <w:sz w:val="23"/>
          <w:szCs w:val="23"/>
        </w:rPr>
      </w:pPr>
      <w:r w:rsidRPr="00820C74">
        <w:rPr>
          <w:sz w:val="23"/>
          <w:szCs w:val="23"/>
        </w:rPr>
        <w:t xml:space="preserve">Allowing flexible complementary servicing between DES and ADEs has provided some employees with the security of </w:t>
      </w:r>
      <w:r w:rsidR="0017451F">
        <w:rPr>
          <w:sz w:val="23"/>
          <w:szCs w:val="23"/>
        </w:rPr>
        <w:t xml:space="preserve">maintaining </w:t>
      </w:r>
      <w:r w:rsidRPr="00820C74">
        <w:rPr>
          <w:sz w:val="23"/>
          <w:szCs w:val="23"/>
        </w:rPr>
        <w:t>ADE employment while they look for open employment. To ensure participation in DES is appropriate, ADE employees must meet the usual eligibility requirements for DES including having an Employment Services Assessment (ESAt)</w:t>
      </w:r>
      <w:r w:rsidR="007D36FA">
        <w:rPr>
          <w:sz w:val="23"/>
          <w:szCs w:val="23"/>
        </w:rPr>
        <w:t xml:space="preserve"> or Job Capacity Assessment (JCA)</w:t>
      </w:r>
      <w:r w:rsidRPr="00820C74">
        <w:rPr>
          <w:sz w:val="23"/>
          <w:szCs w:val="23"/>
        </w:rPr>
        <w:t xml:space="preserve"> which confirms they have the capacity to work for at least</w:t>
      </w:r>
      <w:r w:rsidR="0017451F">
        <w:rPr>
          <w:sz w:val="23"/>
          <w:szCs w:val="23"/>
        </w:rPr>
        <w:t xml:space="preserve"> eight</w:t>
      </w:r>
      <w:r w:rsidRPr="00820C74">
        <w:rPr>
          <w:sz w:val="23"/>
          <w:szCs w:val="23"/>
        </w:rPr>
        <w:t xml:space="preserve"> hours per week in open employment with support from a DES provider. The take-up of </w:t>
      </w:r>
      <w:r w:rsidR="0033460D">
        <w:rPr>
          <w:sz w:val="23"/>
          <w:szCs w:val="23"/>
        </w:rPr>
        <w:t>complementary servicing</w:t>
      </w:r>
      <w:r w:rsidRPr="00820C74">
        <w:rPr>
          <w:sz w:val="23"/>
          <w:szCs w:val="23"/>
        </w:rPr>
        <w:t xml:space="preserve"> has been modest</w:t>
      </w:r>
      <w:r w:rsidR="0017451F">
        <w:rPr>
          <w:sz w:val="23"/>
          <w:szCs w:val="23"/>
        </w:rPr>
        <w:t>,</w:t>
      </w:r>
      <w:r w:rsidRPr="00820C74">
        <w:rPr>
          <w:sz w:val="23"/>
          <w:szCs w:val="23"/>
        </w:rPr>
        <w:t xml:space="preserve"> suggesting work could be done to better promote or target this option more effectively for eligible supported employees.</w:t>
      </w:r>
      <w:r w:rsidR="00B372A6">
        <w:rPr>
          <w:sz w:val="23"/>
          <w:szCs w:val="23"/>
        </w:rPr>
        <w:br/>
      </w:r>
    </w:p>
    <w:p w14:paraId="4B6103D0" w14:textId="7977DD99" w:rsidR="00820E6F" w:rsidRDefault="00B372A6" w:rsidP="008F35F3">
      <w:pPr>
        <w:spacing w:before="240" w:after="0"/>
        <w:contextualSpacing/>
        <w:rPr>
          <w:rFonts w:asciiTheme="minorHAnsi" w:hAnsiTheme="minorHAnsi" w:cstheme="minorHAnsi"/>
          <w:i/>
          <w:color w:val="3494BA" w:themeColor="accent1"/>
          <w:sz w:val="23"/>
          <w:szCs w:val="23"/>
        </w:rPr>
      </w:pPr>
      <w:r>
        <w:rPr>
          <w:sz w:val="23"/>
          <w:szCs w:val="23"/>
        </w:rPr>
        <w:t xml:space="preserve">Work could also be done to look at transitional options to support participants </w:t>
      </w:r>
      <w:r w:rsidR="00517570">
        <w:rPr>
          <w:sz w:val="23"/>
          <w:szCs w:val="23"/>
        </w:rPr>
        <w:t>who</w:t>
      </w:r>
      <w:r>
        <w:rPr>
          <w:sz w:val="23"/>
          <w:szCs w:val="23"/>
        </w:rPr>
        <w:t xml:space="preserve"> may not be DES eligible but would like support to explore open employment</w:t>
      </w:r>
      <w:r w:rsidR="00BA2463">
        <w:rPr>
          <w:sz w:val="23"/>
          <w:szCs w:val="23"/>
        </w:rPr>
        <w:t xml:space="preserve"> options</w:t>
      </w:r>
      <w:r>
        <w:rPr>
          <w:sz w:val="23"/>
          <w:szCs w:val="23"/>
        </w:rPr>
        <w:t xml:space="preserve">. </w:t>
      </w:r>
      <w:r w:rsidR="00820E6F">
        <w:rPr>
          <w:rFonts w:asciiTheme="minorHAnsi" w:hAnsiTheme="minorHAnsi" w:cstheme="minorHAnsi"/>
          <w:i/>
          <w:color w:val="3494BA" w:themeColor="accent1"/>
          <w:sz w:val="23"/>
          <w:szCs w:val="23"/>
        </w:rPr>
        <w:br w:type="page"/>
      </w:r>
    </w:p>
    <w:p w14:paraId="394642C9" w14:textId="6EB0A36E" w:rsidR="003D0A26" w:rsidRPr="003D0A26" w:rsidRDefault="00DC0E5B" w:rsidP="003D0A26">
      <w:pPr>
        <w:pStyle w:val="Heading1"/>
        <w:spacing w:before="120"/>
        <w:rPr>
          <w:rFonts w:asciiTheme="minorHAnsi" w:hAnsiTheme="minorHAnsi" w:cstheme="minorHAnsi"/>
          <w:b/>
          <w:sz w:val="30"/>
          <w:szCs w:val="24"/>
        </w:rPr>
      </w:pPr>
      <w:bookmarkStart w:id="69" w:name="_Toc500401879"/>
      <w:r w:rsidRPr="003D0A26">
        <w:rPr>
          <w:rFonts w:asciiTheme="minorHAnsi" w:hAnsiTheme="minorHAnsi" w:cstheme="minorHAnsi"/>
          <w:b/>
          <w:sz w:val="30"/>
          <w:szCs w:val="24"/>
        </w:rPr>
        <w:lastRenderedPageBreak/>
        <w:t>Have your say</w:t>
      </w:r>
      <w:bookmarkEnd w:id="66"/>
      <w:r w:rsidR="00EA113F" w:rsidRPr="003D0A26">
        <w:rPr>
          <w:rFonts w:asciiTheme="minorHAnsi" w:hAnsiTheme="minorHAnsi" w:cstheme="minorHAnsi"/>
          <w:b/>
          <w:sz w:val="30"/>
          <w:szCs w:val="24"/>
        </w:rPr>
        <w:t xml:space="preserve"> - </w:t>
      </w:r>
      <w:r w:rsidRPr="003D0A26">
        <w:rPr>
          <w:rFonts w:asciiTheme="minorHAnsi" w:hAnsiTheme="minorHAnsi" w:cstheme="minorHAnsi"/>
          <w:b/>
          <w:sz w:val="30"/>
          <w:szCs w:val="24"/>
        </w:rPr>
        <w:t>Discussion questions</w:t>
      </w:r>
      <w:bookmarkEnd w:id="69"/>
      <w:r w:rsidRPr="003D0A26">
        <w:rPr>
          <w:rFonts w:asciiTheme="minorHAnsi" w:hAnsiTheme="minorHAnsi" w:cstheme="minorHAnsi"/>
          <w:b/>
          <w:sz w:val="30"/>
          <w:szCs w:val="24"/>
        </w:rPr>
        <w:t xml:space="preserve"> </w:t>
      </w:r>
    </w:p>
    <w:p w14:paraId="1B363270" w14:textId="14A92D94" w:rsidR="0017451F" w:rsidRPr="003D0A26" w:rsidRDefault="0017451F" w:rsidP="00A0638F">
      <w:pPr>
        <w:pStyle w:val="ListParagraph"/>
        <w:numPr>
          <w:ilvl w:val="0"/>
          <w:numId w:val="16"/>
        </w:num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rPr>
          <w:b/>
          <w:i/>
          <w:color w:val="002060"/>
          <w:sz w:val="26"/>
          <w:szCs w:val="22"/>
          <w:lang w:eastAsia="en-US"/>
        </w:rPr>
      </w:pPr>
      <w:r w:rsidRPr="003D0A26">
        <w:rPr>
          <w:b/>
          <w:i/>
          <w:color w:val="002060"/>
          <w:sz w:val="26"/>
          <w:szCs w:val="22"/>
          <w:lang w:eastAsia="en-US"/>
        </w:rPr>
        <w:t>What is a ‘good’ participation outcome for a supported employee and how can good outcomes be measured?</w:t>
      </w:r>
    </w:p>
    <w:p w14:paraId="696EABD8" w14:textId="77777777" w:rsidR="001B4025" w:rsidRPr="003D0A26" w:rsidRDefault="001B4025" w:rsidP="006C2255">
      <w:p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ind w:left="360"/>
        <w:rPr>
          <w:b/>
          <w:i/>
          <w:color w:val="002060"/>
          <w:sz w:val="8"/>
          <w:szCs w:val="22"/>
          <w:lang w:eastAsia="en-US"/>
        </w:rPr>
      </w:pPr>
    </w:p>
    <w:p w14:paraId="07CFFB15" w14:textId="6842E596" w:rsidR="0017451F" w:rsidRPr="003D0A26" w:rsidRDefault="0017451F" w:rsidP="00A0638F">
      <w:pPr>
        <w:pStyle w:val="ListParagraph"/>
        <w:numPr>
          <w:ilvl w:val="0"/>
          <w:numId w:val="16"/>
        </w:num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rPr>
          <w:b/>
          <w:i/>
          <w:color w:val="002060"/>
          <w:sz w:val="26"/>
          <w:szCs w:val="22"/>
          <w:lang w:eastAsia="en-US"/>
        </w:rPr>
      </w:pPr>
      <w:r w:rsidRPr="003D0A26">
        <w:rPr>
          <w:b/>
          <w:i/>
          <w:color w:val="002060"/>
          <w:sz w:val="26"/>
          <w:szCs w:val="22"/>
          <w:lang w:eastAsia="en-US"/>
        </w:rPr>
        <w:t xml:space="preserve">What do supported employees most value about working in an ADE? </w:t>
      </w:r>
    </w:p>
    <w:p w14:paraId="1EA2D64D" w14:textId="77777777" w:rsidR="006C2255" w:rsidRPr="003D0A26" w:rsidRDefault="006C2255" w:rsidP="006C2255">
      <w:p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ind w:left="360"/>
        <w:rPr>
          <w:b/>
          <w:i/>
          <w:color w:val="002060"/>
          <w:sz w:val="8"/>
          <w:szCs w:val="22"/>
          <w:lang w:eastAsia="en-US"/>
        </w:rPr>
      </w:pPr>
    </w:p>
    <w:p w14:paraId="3F083572" w14:textId="13722FDC" w:rsidR="0017451F" w:rsidRPr="003D0A26" w:rsidRDefault="0017451F" w:rsidP="00A0638F">
      <w:pPr>
        <w:pStyle w:val="ListParagraph"/>
        <w:numPr>
          <w:ilvl w:val="0"/>
          <w:numId w:val="16"/>
        </w:num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rPr>
          <w:b/>
          <w:i/>
          <w:color w:val="002060"/>
          <w:sz w:val="26"/>
          <w:szCs w:val="22"/>
          <w:lang w:eastAsia="en-US"/>
        </w:rPr>
      </w:pPr>
      <w:r w:rsidRPr="003D0A26">
        <w:rPr>
          <w:b/>
          <w:i/>
          <w:color w:val="002060"/>
          <w:sz w:val="26"/>
          <w:szCs w:val="22"/>
          <w:lang w:eastAsia="en-US"/>
        </w:rPr>
        <w:t xml:space="preserve">Why do most supported employees transition back to supported employment from open employment? </w:t>
      </w:r>
    </w:p>
    <w:p w14:paraId="76D24582" w14:textId="77777777" w:rsidR="006C2255" w:rsidRPr="003D0A26" w:rsidRDefault="006C2255" w:rsidP="006C2255">
      <w:p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ind w:left="360"/>
        <w:rPr>
          <w:b/>
          <w:i/>
          <w:color w:val="002060"/>
          <w:sz w:val="8"/>
          <w:szCs w:val="22"/>
          <w:lang w:eastAsia="en-US"/>
        </w:rPr>
      </w:pPr>
    </w:p>
    <w:p w14:paraId="7C1A5544" w14:textId="7176D4E5" w:rsidR="0017451F" w:rsidRPr="003D0A26" w:rsidRDefault="0017451F" w:rsidP="00A0638F">
      <w:pPr>
        <w:pStyle w:val="ListParagraph"/>
        <w:numPr>
          <w:ilvl w:val="0"/>
          <w:numId w:val="16"/>
        </w:num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rPr>
          <w:b/>
          <w:i/>
          <w:color w:val="002060"/>
          <w:sz w:val="26"/>
          <w:szCs w:val="22"/>
          <w:lang w:eastAsia="en-US"/>
        </w:rPr>
      </w:pPr>
      <w:r w:rsidRPr="003D0A26">
        <w:rPr>
          <w:b/>
          <w:i/>
          <w:color w:val="002060"/>
          <w:sz w:val="26"/>
          <w:szCs w:val="22"/>
          <w:lang w:eastAsia="en-US"/>
        </w:rPr>
        <w:t>How can more supported employees be provided the opportunity to choose open employment?</w:t>
      </w:r>
    </w:p>
    <w:p w14:paraId="1719905A" w14:textId="77777777" w:rsidR="006C2255" w:rsidRPr="003D0A26" w:rsidRDefault="006C2255" w:rsidP="006C2255">
      <w:p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ind w:left="360"/>
        <w:rPr>
          <w:b/>
          <w:i/>
          <w:color w:val="002060"/>
          <w:sz w:val="8"/>
          <w:szCs w:val="22"/>
          <w:lang w:eastAsia="en-US"/>
        </w:rPr>
      </w:pPr>
    </w:p>
    <w:p w14:paraId="3199B27A" w14:textId="498F3CBA" w:rsidR="0017451F" w:rsidRPr="003D0A26" w:rsidRDefault="0017451F" w:rsidP="00A0638F">
      <w:pPr>
        <w:pStyle w:val="ListParagraph"/>
        <w:numPr>
          <w:ilvl w:val="0"/>
          <w:numId w:val="16"/>
        </w:num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rPr>
          <w:b/>
          <w:i/>
          <w:color w:val="002060"/>
          <w:sz w:val="26"/>
          <w:szCs w:val="22"/>
          <w:lang w:eastAsia="en-US"/>
        </w:rPr>
      </w:pPr>
      <w:r w:rsidRPr="003D0A26">
        <w:rPr>
          <w:b/>
          <w:i/>
          <w:color w:val="002060"/>
          <w:sz w:val="26"/>
          <w:szCs w:val="22"/>
          <w:lang w:eastAsia="en-US"/>
        </w:rPr>
        <w:t>Why is participant access to concurrent DES and ADE support services so low?</w:t>
      </w:r>
    </w:p>
    <w:p w14:paraId="6B697A68" w14:textId="77777777" w:rsidR="006C2255" w:rsidRPr="003D0A26" w:rsidRDefault="006C2255" w:rsidP="006C2255">
      <w:p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ind w:left="360"/>
        <w:rPr>
          <w:b/>
          <w:i/>
          <w:color w:val="002060"/>
          <w:sz w:val="8"/>
          <w:szCs w:val="22"/>
          <w:lang w:eastAsia="en-US"/>
        </w:rPr>
      </w:pPr>
    </w:p>
    <w:p w14:paraId="4C5D42B3" w14:textId="09675E0D" w:rsidR="0017451F" w:rsidRPr="003D0A26" w:rsidRDefault="0017451F" w:rsidP="00A0638F">
      <w:pPr>
        <w:pStyle w:val="ListParagraph"/>
        <w:numPr>
          <w:ilvl w:val="0"/>
          <w:numId w:val="16"/>
        </w:num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rPr>
          <w:b/>
          <w:i/>
          <w:color w:val="002060"/>
          <w:sz w:val="26"/>
          <w:szCs w:val="22"/>
          <w:lang w:eastAsia="en-US"/>
        </w:rPr>
      </w:pPr>
      <w:r w:rsidRPr="003D0A26">
        <w:rPr>
          <w:b/>
          <w:i/>
          <w:color w:val="002060"/>
          <w:sz w:val="26"/>
          <w:szCs w:val="22"/>
          <w:lang w:eastAsia="en-US"/>
        </w:rPr>
        <w:t>What is the role a supported employer can play in building employee capacity for transition to open employment?</w:t>
      </w:r>
    </w:p>
    <w:p w14:paraId="7059EC14" w14:textId="77777777" w:rsidR="006C2255" w:rsidRPr="003D0A26" w:rsidRDefault="006C2255" w:rsidP="006C2255">
      <w:p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ind w:left="360"/>
        <w:rPr>
          <w:b/>
          <w:i/>
          <w:color w:val="002060"/>
          <w:sz w:val="8"/>
          <w:szCs w:val="22"/>
          <w:lang w:eastAsia="en-US"/>
        </w:rPr>
      </w:pPr>
    </w:p>
    <w:p w14:paraId="42885EA3" w14:textId="30D0BFD7" w:rsidR="00AE4AD0" w:rsidRDefault="0017451F" w:rsidP="00AE4AD0">
      <w:pPr>
        <w:pStyle w:val="ListParagraph"/>
        <w:numPr>
          <w:ilvl w:val="0"/>
          <w:numId w:val="16"/>
        </w:num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rPr>
          <w:b/>
          <w:i/>
          <w:color w:val="002060"/>
          <w:sz w:val="26"/>
          <w:szCs w:val="22"/>
          <w:lang w:eastAsia="en-US"/>
        </w:rPr>
      </w:pPr>
      <w:r w:rsidRPr="003D0A26">
        <w:rPr>
          <w:b/>
          <w:i/>
          <w:color w:val="002060"/>
          <w:sz w:val="26"/>
          <w:szCs w:val="22"/>
          <w:lang w:eastAsia="en-US"/>
        </w:rPr>
        <w:t>What will attract NDIS participants to employment opportunities in the future?</w:t>
      </w:r>
    </w:p>
    <w:p w14:paraId="535C6F40" w14:textId="77777777" w:rsidR="00AE4AD0" w:rsidRPr="00AE4AD0" w:rsidRDefault="00AE4AD0" w:rsidP="00AE4AD0">
      <w:pPr>
        <w:pBdr>
          <w:top w:val="single" w:sz="4" w:space="1" w:color="3494BA" w:themeColor="accent1"/>
          <w:left w:val="single" w:sz="4" w:space="4" w:color="3494BA" w:themeColor="accent1"/>
          <w:bottom w:val="single" w:sz="4" w:space="1" w:color="3494BA" w:themeColor="accent1"/>
          <w:right w:val="single" w:sz="4" w:space="4" w:color="3494BA" w:themeColor="accent1"/>
        </w:pBdr>
        <w:shd w:val="clear" w:color="auto" w:fill="E6EEF0" w:themeFill="accent5" w:themeFillTint="33"/>
        <w:spacing w:line="276" w:lineRule="auto"/>
        <w:ind w:left="360"/>
        <w:rPr>
          <w:b/>
          <w:i/>
          <w:color w:val="002060"/>
          <w:sz w:val="26"/>
          <w:szCs w:val="22"/>
          <w:lang w:eastAsia="en-US"/>
        </w:rPr>
      </w:pPr>
    </w:p>
    <w:p w14:paraId="458DD61C" w14:textId="77777777" w:rsidR="00820E6F" w:rsidRDefault="00820E6F">
      <w:pPr>
        <w:spacing w:before="0" w:after="200" w:line="276" w:lineRule="auto"/>
        <w:rPr>
          <w:rFonts w:ascii="Georgia" w:eastAsiaTheme="majorEastAsia" w:hAnsi="Georgia" w:cstheme="majorBidi"/>
          <w:bCs/>
          <w:color w:val="005A70"/>
          <w:sz w:val="32"/>
          <w:szCs w:val="26"/>
        </w:rPr>
      </w:pPr>
      <w:r>
        <w:br w:type="page"/>
      </w:r>
    </w:p>
    <w:p w14:paraId="02DF3BD1" w14:textId="432420E2" w:rsidR="00DC1CE4" w:rsidRPr="00E33EA7" w:rsidRDefault="00DC1CE4" w:rsidP="00DC1CE4">
      <w:pPr>
        <w:pStyle w:val="Heading2"/>
      </w:pPr>
      <w:bookmarkStart w:id="70" w:name="_Toc500401880"/>
      <w:r w:rsidRPr="00E33EA7">
        <w:lastRenderedPageBreak/>
        <w:t xml:space="preserve">Strategies to support employer/providers to </w:t>
      </w:r>
      <w:r w:rsidR="00517570">
        <w:t>offer</w:t>
      </w:r>
      <w:r w:rsidRPr="00E33EA7">
        <w:t xml:space="preserve"> effective employment opportunities</w:t>
      </w:r>
      <w:bookmarkEnd w:id="70"/>
    </w:p>
    <w:p w14:paraId="49067334" w14:textId="77777777" w:rsidR="00DC1CE4" w:rsidRPr="00456ADB" w:rsidRDefault="00DC1CE4" w:rsidP="00A0638F">
      <w:pPr>
        <w:pStyle w:val="Heading3"/>
      </w:pPr>
      <w:bookmarkStart w:id="71" w:name="_Toc500342847"/>
      <w:bookmarkStart w:id="72" w:name="_Toc500401881"/>
      <w:r w:rsidRPr="00456ADB">
        <w:t>What employer/provider experiences may look like in the future</w:t>
      </w:r>
      <w:bookmarkEnd w:id="71"/>
      <w:bookmarkEnd w:id="72"/>
    </w:p>
    <w:p w14:paraId="177E672A" w14:textId="65CA88A2" w:rsidR="00C10637" w:rsidRPr="00456ADB" w:rsidRDefault="00123E4E" w:rsidP="0080560B">
      <w:pPr>
        <w:rPr>
          <w:sz w:val="23"/>
          <w:szCs w:val="23"/>
        </w:rPr>
      </w:pPr>
      <w:r w:rsidRPr="00456ADB">
        <w:rPr>
          <w:sz w:val="23"/>
          <w:szCs w:val="23"/>
        </w:rPr>
        <w:t>In the future the</w:t>
      </w:r>
      <w:r w:rsidR="00BA0997" w:rsidRPr="00456ADB">
        <w:rPr>
          <w:sz w:val="23"/>
          <w:szCs w:val="23"/>
        </w:rPr>
        <w:t>re will continue to be opportunit</w:t>
      </w:r>
      <w:r w:rsidR="00882C6C">
        <w:rPr>
          <w:sz w:val="23"/>
          <w:szCs w:val="23"/>
        </w:rPr>
        <w:t>ies</w:t>
      </w:r>
      <w:r w:rsidRPr="00456ADB">
        <w:rPr>
          <w:sz w:val="23"/>
          <w:szCs w:val="23"/>
        </w:rPr>
        <w:t xml:space="preserve"> for current ADEs and new </w:t>
      </w:r>
      <w:r w:rsidR="00F7344E">
        <w:rPr>
          <w:sz w:val="23"/>
          <w:szCs w:val="23"/>
        </w:rPr>
        <w:t xml:space="preserve">NDIS sector </w:t>
      </w:r>
      <w:r w:rsidRPr="00456ADB">
        <w:rPr>
          <w:sz w:val="23"/>
          <w:szCs w:val="23"/>
        </w:rPr>
        <w:t xml:space="preserve">market entrants to </w:t>
      </w:r>
      <w:r w:rsidR="00BA0997" w:rsidRPr="00456ADB">
        <w:rPr>
          <w:sz w:val="23"/>
          <w:szCs w:val="23"/>
        </w:rPr>
        <w:t>employ people with disability and/or offer the supports that enable them to participate in employment.</w:t>
      </w:r>
    </w:p>
    <w:p w14:paraId="6748757F" w14:textId="75944F10" w:rsidR="00C10637" w:rsidRPr="00456ADB" w:rsidRDefault="00BA0997" w:rsidP="0080560B">
      <w:pPr>
        <w:rPr>
          <w:sz w:val="23"/>
          <w:szCs w:val="23"/>
        </w:rPr>
      </w:pPr>
      <w:r w:rsidRPr="00456ADB">
        <w:rPr>
          <w:sz w:val="23"/>
          <w:szCs w:val="23"/>
        </w:rPr>
        <w:t xml:space="preserve">ADE experience in the NDIS to date shows that not all ADEs will choose to operate as </w:t>
      </w:r>
      <w:r w:rsidR="00C10637" w:rsidRPr="00456ADB">
        <w:rPr>
          <w:sz w:val="23"/>
          <w:szCs w:val="23"/>
        </w:rPr>
        <w:t>they have done in the past</w:t>
      </w:r>
      <w:r w:rsidRPr="00456ADB">
        <w:rPr>
          <w:sz w:val="23"/>
          <w:szCs w:val="23"/>
        </w:rPr>
        <w:t>.</w:t>
      </w:r>
    </w:p>
    <w:p w14:paraId="61D06EAA" w14:textId="77777777" w:rsidR="00453AB3" w:rsidRPr="00456ADB" w:rsidRDefault="00453AB3" w:rsidP="00A0638F">
      <w:pPr>
        <w:pStyle w:val="Heading3"/>
      </w:pPr>
      <w:bookmarkStart w:id="73" w:name="_Toc500342848"/>
      <w:bookmarkStart w:id="74" w:name="_Toc500401882"/>
      <w:r w:rsidRPr="00456ADB">
        <w:t>ADE Reform</w:t>
      </w:r>
      <w:bookmarkEnd w:id="73"/>
      <w:bookmarkEnd w:id="74"/>
    </w:p>
    <w:p w14:paraId="14324E52" w14:textId="55AA17AA" w:rsidR="00C10637" w:rsidRPr="00456ADB" w:rsidRDefault="00C10637" w:rsidP="0080560B">
      <w:pPr>
        <w:rPr>
          <w:sz w:val="23"/>
          <w:szCs w:val="23"/>
        </w:rPr>
      </w:pPr>
      <w:r w:rsidRPr="00456ADB">
        <w:rPr>
          <w:sz w:val="23"/>
          <w:szCs w:val="23"/>
        </w:rPr>
        <w:t>Some ADEs have accessed funds to seek business improvement advice, including advice on</w:t>
      </w:r>
      <w:r w:rsidR="0086175F">
        <w:rPr>
          <w:sz w:val="23"/>
          <w:szCs w:val="23"/>
        </w:rPr>
        <w:t xml:space="preserve"> how to reform their businesses. For example</w:t>
      </w:r>
      <w:r w:rsidR="00FB12A9">
        <w:rPr>
          <w:sz w:val="23"/>
          <w:szCs w:val="23"/>
        </w:rPr>
        <w:t>,</w:t>
      </w:r>
      <w:r w:rsidR="0086175F">
        <w:rPr>
          <w:sz w:val="23"/>
          <w:szCs w:val="23"/>
        </w:rPr>
        <w:t xml:space="preserve"> </w:t>
      </w:r>
      <w:r w:rsidR="00D33241">
        <w:rPr>
          <w:sz w:val="23"/>
          <w:szCs w:val="23"/>
        </w:rPr>
        <w:t>some ADEs have created</w:t>
      </w:r>
      <w:r w:rsidR="0086175F">
        <w:rPr>
          <w:sz w:val="23"/>
          <w:szCs w:val="23"/>
        </w:rPr>
        <w:t xml:space="preserve"> </w:t>
      </w:r>
      <w:r w:rsidR="00040A08" w:rsidRPr="00456ADB">
        <w:rPr>
          <w:sz w:val="23"/>
          <w:szCs w:val="23"/>
        </w:rPr>
        <w:t>labour-hire arrangements where groups of supported employees</w:t>
      </w:r>
      <w:r w:rsidR="00F7344E">
        <w:rPr>
          <w:sz w:val="23"/>
          <w:szCs w:val="23"/>
        </w:rPr>
        <w:t xml:space="preserve"> are placed in other commercial</w:t>
      </w:r>
      <w:r w:rsidR="00040A08" w:rsidRPr="00456ADB">
        <w:rPr>
          <w:sz w:val="23"/>
          <w:szCs w:val="23"/>
        </w:rPr>
        <w:t xml:space="preserve"> businesses.</w:t>
      </w:r>
    </w:p>
    <w:p w14:paraId="3ACBD1D8" w14:textId="22BCFF02" w:rsidR="00A873BD" w:rsidRPr="00456ADB" w:rsidRDefault="00A873BD" w:rsidP="00A873BD">
      <w:pPr>
        <w:rPr>
          <w:sz w:val="23"/>
          <w:szCs w:val="23"/>
        </w:rPr>
      </w:pPr>
      <w:r>
        <w:rPr>
          <w:sz w:val="23"/>
          <w:szCs w:val="23"/>
        </w:rPr>
        <w:t xml:space="preserve">In a growing market, there are also opportunities for ADEs to leverage procurement opportunities, and with uncapped places, expand or change their business model. </w:t>
      </w:r>
    </w:p>
    <w:p w14:paraId="68F35C1B" w14:textId="2D0895D8" w:rsidR="00BA0997" w:rsidRPr="00456ADB" w:rsidRDefault="00C10637" w:rsidP="0080560B">
      <w:pPr>
        <w:rPr>
          <w:sz w:val="23"/>
          <w:szCs w:val="23"/>
        </w:rPr>
      </w:pPr>
      <w:r w:rsidRPr="00456ADB">
        <w:rPr>
          <w:sz w:val="23"/>
          <w:szCs w:val="23"/>
        </w:rPr>
        <w:t>Some ADEs have taken the</w:t>
      </w:r>
      <w:r w:rsidR="00BA0997" w:rsidRPr="00456ADB">
        <w:rPr>
          <w:sz w:val="23"/>
          <w:szCs w:val="23"/>
        </w:rPr>
        <w:t xml:space="preserve"> opportunity to capitalise on </w:t>
      </w:r>
      <w:r w:rsidRPr="00456ADB">
        <w:rPr>
          <w:sz w:val="23"/>
          <w:szCs w:val="23"/>
        </w:rPr>
        <w:t xml:space="preserve">marketing to offer </w:t>
      </w:r>
      <w:r w:rsidR="00082A31">
        <w:rPr>
          <w:sz w:val="23"/>
          <w:szCs w:val="23"/>
        </w:rPr>
        <w:br/>
      </w:r>
      <w:r w:rsidR="00040A08" w:rsidRPr="00456ADB">
        <w:rPr>
          <w:sz w:val="23"/>
          <w:szCs w:val="23"/>
        </w:rPr>
        <w:t xml:space="preserve">non-employment supports </w:t>
      </w:r>
      <w:r w:rsidRPr="00456ADB">
        <w:rPr>
          <w:sz w:val="23"/>
          <w:szCs w:val="23"/>
        </w:rPr>
        <w:t xml:space="preserve">and attract </w:t>
      </w:r>
      <w:r w:rsidR="00040A08" w:rsidRPr="00456ADB">
        <w:rPr>
          <w:sz w:val="23"/>
          <w:szCs w:val="23"/>
        </w:rPr>
        <w:t xml:space="preserve">associated </w:t>
      </w:r>
      <w:r w:rsidR="00BA0997" w:rsidRPr="00456ADB">
        <w:rPr>
          <w:sz w:val="23"/>
          <w:szCs w:val="23"/>
        </w:rPr>
        <w:t>funding available through the NDIS</w:t>
      </w:r>
      <w:r w:rsidR="008379FB">
        <w:rPr>
          <w:sz w:val="23"/>
          <w:szCs w:val="23"/>
        </w:rPr>
        <w:t xml:space="preserve">, </w:t>
      </w:r>
      <w:r w:rsidR="00040A08" w:rsidRPr="00456ADB">
        <w:rPr>
          <w:sz w:val="23"/>
          <w:szCs w:val="23"/>
        </w:rPr>
        <w:t>allowing continued support to NDIS participants and ongoing business viability</w:t>
      </w:r>
      <w:r w:rsidR="00517570">
        <w:rPr>
          <w:sz w:val="23"/>
          <w:szCs w:val="23"/>
        </w:rPr>
        <w:t>.</w:t>
      </w:r>
    </w:p>
    <w:p w14:paraId="5B215A1D" w14:textId="795AC286" w:rsidR="00BA0997" w:rsidRPr="00456ADB" w:rsidRDefault="00BA0997" w:rsidP="0080560B">
      <w:pPr>
        <w:rPr>
          <w:sz w:val="23"/>
          <w:szCs w:val="23"/>
        </w:rPr>
      </w:pPr>
      <w:r w:rsidRPr="00456ADB">
        <w:rPr>
          <w:sz w:val="23"/>
          <w:szCs w:val="23"/>
        </w:rPr>
        <w:t xml:space="preserve">There is also opportunity for ADEs </w:t>
      </w:r>
      <w:r w:rsidR="00453AB3" w:rsidRPr="00456ADB">
        <w:rPr>
          <w:sz w:val="23"/>
          <w:szCs w:val="23"/>
        </w:rPr>
        <w:t xml:space="preserve">to specialise as providers of employment supports </w:t>
      </w:r>
      <w:r w:rsidRPr="00456ADB">
        <w:rPr>
          <w:sz w:val="23"/>
          <w:szCs w:val="23"/>
        </w:rPr>
        <w:t xml:space="preserve">for people with disability, as supported employees are ‘placed’ in </w:t>
      </w:r>
      <w:r w:rsidR="00820E6F">
        <w:rPr>
          <w:sz w:val="23"/>
          <w:szCs w:val="23"/>
        </w:rPr>
        <w:t>other</w:t>
      </w:r>
      <w:r w:rsidR="00820E6F" w:rsidRPr="00456ADB">
        <w:rPr>
          <w:sz w:val="23"/>
          <w:szCs w:val="23"/>
        </w:rPr>
        <w:t xml:space="preserve"> </w:t>
      </w:r>
      <w:r w:rsidR="00453AB3" w:rsidRPr="00456ADB">
        <w:rPr>
          <w:sz w:val="23"/>
          <w:szCs w:val="23"/>
        </w:rPr>
        <w:t>commercial</w:t>
      </w:r>
      <w:r w:rsidRPr="00456ADB">
        <w:rPr>
          <w:sz w:val="23"/>
          <w:szCs w:val="23"/>
        </w:rPr>
        <w:t xml:space="preserve"> businesses</w:t>
      </w:r>
      <w:r w:rsidR="00453AB3" w:rsidRPr="00456ADB">
        <w:rPr>
          <w:sz w:val="23"/>
          <w:szCs w:val="23"/>
        </w:rPr>
        <w:t>.</w:t>
      </w:r>
    </w:p>
    <w:p w14:paraId="5233F3DB" w14:textId="4BCAE303" w:rsidR="00453AB3" w:rsidRPr="00456ADB" w:rsidRDefault="00453AB3" w:rsidP="006C76AD">
      <w:r w:rsidRPr="00456ADB">
        <w:rPr>
          <w:sz w:val="23"/>
          <w:szCs w:val="23"/>
        </w:rPr>
        <w:t>Some ADEs</w:t>
      </w:r>
      <w:r w:rsidR="00040A08" w:rsidRPr="00456ADB">
        <w:rPr>
          <w:sz w:val="23"/>
          <w:szCs w:val="23"/>
        </w:rPr>
        <w:t xml:space="preserve"> have accessed funds to assist in making </w:t>
      </w:r>
      <w:r w:rsidRPr="00456ADB">
        <w:rPr>
          <w:sz w:val="23"/>
          <w:szCs w:val="23"/>
        </w:rPr>
        <w:t xml:space="preserve">independent </w:t>
      </w:r>
      <w:r w:rsidR="00040A08" w:rsidRPr="00456ADB">
        <w:rPr>
          <w:sz w:val="23"/>
          <w:szCs w:val="23"/>
        </w:rPr>
        <w:t>business decisions to exit the employment market and close their businesses.</w:t>
      </w:r>
      <w:r w:rsidR="00666AEA">
        <w:rPr>
          <w:sz w:val="23"/>
          <w:szCs w:val="23"/>
        </w:rPr>
        <w:t xml:space="preserve"> </w:t>
      </w:r>
      <w:r w:rsidRPr="00456ADB">
        <w:t>New providers of employment and employment supports</w:t>
      </w:r>
    </w:p>
    <w:p w14:paraId="2E1EEAC2" w14:textId="38970E46" w:rsidR="00373B9F" w:rsidRDefault="00054ABE" w:rsidP="00961F34">
      <w:pPr>
        <w:rPr>
          <w:sz w:val="23"/>
          <w:szCs w:val="23"/>
        </w:rPr>
      </w:pPr>
      <w:r>
        <w:rPr>
          <w:sz w:val="23"/>
          <w:szCs w:val="23"/>
        </w:rPr>
        <w:t>I</w:t>
      </w:r>
      <w:r w:rsidR="00373B9F">
        <w:rPr>
          <w:sz w:val="23"/>
          <w:szCs w:val="23"/>
        </w:rPr>
        <w:t>t is expected market forces will provide opportunities for new</w:t>
      </w:r>
      <w:r w:rsidR="00517570">
        <w:rPr>
          <w:sz w:val="23"/>
          <w:szCs w:val="23"/>
        </w:rPr>
        <w:t>,</w:t>
      </w:r>
      <w:r w:rsidR="00373B9F">
        <w:rPr>
          <w:sz w:val="23"/>
          <w:szCs w:val="23"/>
        </w:rPr>
        <w:t xml:space="preserve"> </w:t>
      </w:r>
      <w:r w:rsidR="00882C6C">
        <w:rPr>
          <w:sz w:val="23"/>
          <w:szCs w:val="23"/>
        </w:rPr>
        <w:t xml:space="preserve">viable </w:t>
      </w:r>
      <w:r w:rsidR="00373B9F">
        <w:rPr>
          <w:sz w:val="23"/>
          <w:szCs w:val="23"/>
        </w:rPr>
        <w:t>organisations to develop an</w:t>
      </w:r>
      <w:r w:rsidR="001E1EBE">
        <w:rPr>
          <w:sz w:val="23"/>
          <w:szCs w:val="23"/>
        </w:rPr>
        <w:t>d</w:t>
      </w:r>
      <w:r w:rsidR="00373B9F">
        <w:rPr>
          <w:sz w:val="23"/>
          <w:szCs w:val="23"/>
        </w:rPr>
        <w:t xml:space="preserve"> offer supports</w:t>
      </w:r>
      <w:r w:rsidR="00820E6F">
        <w:rPr>
          <w:sz w:val="23"/>
          <w:szCs w:val="23"/>
        </w:rPr>
        <w:t>,</w:t>
      </w:r>
      <w:r w:rsidR="00373B9F">
        <w:rPr>
          <w:sz w:val="23"/>
          <w:szCs w:val="23"/>
        </w:rPr>
        <w:t xml:space="preserve"> </w:t>
      </w:r>
      <w:r>
        <w:rPr>
          <w:sz w:val="23"/>
          <w:szCs w:val="23"/>
        </w:rPr>
        <w:t>with</w:t>
      </w:r>
      <w:r w:rsidR="00820E6F">
        <w:rPr>
          <w:sz w:val="23"/>
          <w:szCs w:val="23"/>
        </w:rPr>
        <w:t xml:space="preserve"> participants accessing</w:t>
      </w:r>
      <w:r>
        <w:rPr>
          <w:sz w:val="23"/>
          <w:szCs w:val="23"/>
        </w:rPr>
        <w:t xml:space="preserve"> sustainable NDIS </w:t>
      </w:r>
      <w:r w:rsidR="00820E6F">
        <w:rPr>
          <w:sz w:val="23"/>
          <w:szCs w:val="23"/>
        </w:rPr>
        <w:t>funding for employment supports.</w:t>
      </w:r>
    </w:p>
    <w:p w14:paraId="7320D1EA" w14:textId="160B6481" w:rsidR="00123E4E" w:rsidRPr="00456ADB" w:rsidRDefault="00453AB3" w:rsidP="00961F34">
      <w:pPr>
        <w:rPr>
          <w:sz w:val="23"/>
          <w:szCs w:val="23"/>
        </w:rPr>
      </w:pPr>
      <w:r w:rsidRPr="00456ADB">
        <w:rPr>
          <w:sz w:val="23"/>
          <w:szCs w:val="23"/>
        </w:rPr>
        <w:t xml:space="preserve">Options to encourage new providers </w:t>
      </w:r>
      <w:r w:rsidR="00373B9F">
        <w:rPr>
          <w:sz w:val="23"/>
          <w:szCs w:val="23"/>
        </w:rPr>
        <w:t>or start-ups offering these</w:t>
      </w:r>
      <w:r w:rsidRPr="00456ADB">
        <w:rPr>
          <w:sz w:val="23"/>
          <w:szCs w:val="23"/>
        </w:rPr>
        <w:t xml:space="preserve"> supports, and testing of innovative employment models, </w:t>
      </w:r>
      <w:r w:rsidR="0086175F">
        <w:rPr>
          <w:sz w:val="23"/>
          <w:szCs w:val="23"/>
        </w:rPr>
        <w:t xml:space="preserve">could be considered </w:t>
      </w:r>
      <w:r w:rsidR="001E1EBE">
        <w:rPr>
          <w:sz w:val="23"/>
          <w:szCs w:val="23"/>
        </w:rPr>
        <w:t xml:space="preserve">by Government </w:t>
      </w:r>
      <w:r w:rsidR="0086175F">
        <w:rPr>
          <w:sz w:val="23"/>
          <w:szCs w:val="23"/>
        </w:rPr>
        <w:t>for future development</w:t>
      </w:r>
      <w:r w:rsidRPr="00456ADB">
        <w:rPr>
          <w:sz w:val="23"/>
          <w:szCs w:val="23"/>
        </w:rPr>
        <w:t>.</w:t>
      </w:r>
    </w:p>
    <w:p w14:paraId="2BD1B2FD" w14:textId="0DC5E3D8" w:rsidR="007A2582" w:rsidRPr="00456ADB" w:rsidRDefault="006E06D0" w:rsidP="00A0638F">
      <w:pPr>
        <w:pStyle w:val="Heading3"/>
      </w:pPr>
      <w:bookmarkStart w:id="75" w:name="_Toc500342849"/>
      <w:bookmarkStart w:id="76" w:name="_Toc500401883"/>
      <w:r w:rsidRPr="00456ADB">
        <w:t xml:space="preserve">Challenges in getting there </w:t>
      </w:r>
      <w:r w:rsidR="00820E6F">
        <w:t>- e</w:t>
      </w:r>
      <w:r w:rsidR="007A2582" w:rsidRPr="00456ADB">
        <w:t>xisting employer</w:t>
      </w:r>
      <w:r w:rsidR="001E1EBE">
        <w:t xml:space="preserve">s and </w:t>
      </w:r>
      <w:r w:rsidR="007A2582" w:rsidRPr="00456ADB">
        <w:t>providers</w:t>
      </w:r>
      <w:bookmarkEnd w:id="75"/>
      <w:bookmarkEnd w:id="76"/>
    </w:p>
    <w:p w14:paraId="346D9263" w14:textId="743CD8DB" w:rsidR="00820E6F" w:rsidRDefault="007A2582" w:rsidP="00923E97">
      <w:pPr>
        <w:rPr>
          <w:sz w:val="23"/>
          <w:szCs w:val="23"/>
        </w:rPr>
      </w:pPr>
      <w:r w:rsidRPr="00456ADB">
        <w:rPr>
          <w:sz w:val="23"/>
          <w:szCs w:val="23"/>
        </w:rPr>
        <w:t>ADEs continue to face a range of challenges relating to wage pressures, declining industries, locational economic fac</w:t>
      </w:r>
      <w:r w:rsidR="0086175F">
        <w:rPr>
          <w:sz w:val="23"/>
          <w:szCs w:val="23"/>
        </w:rPr>
        <w:t>tors and small profit margins.</w:t>
      </w:r>
    </w:p>
    <w:p w14:paraId="26CC4E35" w14:textId="1C1BB1BB" w:rsidR="007A2582" w:rsidRPr="00456ADB" w:rsidRDefault="007A2582" w:rsidP="00923E97">
      <w:pPr>
        <w:rPr>
          <w:sz w:val="23"/>
          <w:szCs w:val="23"/>
        </w:rPr>
      </w:pPr>
      <w:r w:rsidRPr="00456ADB">
        <w:rPr>
          <w:sz w:val="23"/>
          <w:szCs w:val="23"/>
        </w:rPr>
        <w:t xml:space="preserve">Strategies have been implemented in the past to encourage ADEs to reform their business models and address other viability challenges, </w:t>
      </w:r>
      <w:r w:rsidR="0086175F">
        <w:rPr>
          <w:sz w:val="23"/>
          <w:szCs w:val="23"/>
        </w:rPr>
        <w:t xml:space="preserve">with mixed </w:t>
      </w:r>
      <w:r w:rsidRPr="00456ADB">
        <w:rPr>
          <w:sz w:val="23"/>
          <w:szCs w:val="23"/>
        </w:rPr>
        <w:t>success</w:t>
      </w:r>
      <w:r w:rsidR="0086175F">
        <w:rPr>
          <w:sz w:val="23"/>
          <w:szCs w:val="23"/>
        </w:rPr>
        <w:t>.</w:t>
      </w:r>
      <w:r w:rsidRPr="00456ADB">
        <w:rPr>
          <w:sz w:val="23"/>
          <w:szCs w:val="23"/>
        </w:rPr>
        <w:t xml:space="preserve"> Any future support </w:t>
      </w:r>
      <w:r w:rsidR="00FF02AD" w:rsidRPr="00456ADB">
        <w:rPr>
          <w:sz w:val="23"/>
          <w:szCs w:val="23"/>
        </w:rPr>
        <w:t>would</w:t>
      </w:r>
      <w:r w:rsidRPr="00456ADB">
        <w:rPr>
          <w:sz w:val="23"/>
          <w:szCs w:val="23"/>
        </w:rPr>
        <w:t xml:space="preserve"> need to be ca</w:t>
      </w:r>
      <w:r w:rsidR="0086175F">
        <w:rPr>
          <w:sz w:val="23"/>
          <w:szCs w:val="23"/>
        </w:rPr>
        <w:t xml:space="preserve">refully developed to provide a </w:t>
      </w:r>
      <w:r w:rsidRPr="00456ADB">
        <w:rPr>
          <w:sz w:val="23"/>
          <w:szCs w:val="23"/>
        </w:rPr>
        <w:t>clear pathway for transformation, over a defined period,</w:t>
      </w:r>
      <w:r w:rsidR="00820E6F">
        <w:rPr>
          <w:sz w:val="23"/>
          <w:szCs w:val="23"/>
        </w:rPr>
        <w:t xml:space="preserve"> and</w:t>
      </w:r>
      <w:r w:rsidRPr="00456ADB">
        <w:rPr>
          <w:sz w:val="23"/>
          <w:szCs w:val="23"/>
        </w:rPr>
        <w:t xml:space="preserve"> tied to future DES or NDIS funding models</w:t>
      </w:r>
      <w:r w:rsidR="00820E6F">
        <w:rPr>
          <w:sz w:val="23"/>
          <w:szCs w:val="23"/>
        </w:rPr>
        <w:t>.</w:t>
      </w:r>
      <w:r w:rsidRPr="00456ADB">
        <w:rPr>
          <w:sz w:val="23"/>
          <w:szCs w:val="23"/>
        </w:rPr>
        <w:t xml:space="preserve"> </w:t>
      </w:r>
    </w:p>
    <w:p w14:paraId="20E1E0A5" w14:textId="77777777" w:rsidR="00A873BD" w:rsidRDefault="00A873BD">
      <w:pPr>
        <w:spacing w:before="0" w:after="200" w:line="276" w:lineRule="auto"/>
        <w:rPr>
          <w:sz w:val="23"/>
          <w:szCs w:val="23"/>
        </w:rPr>
      </w:pPr>
      <w:r>
        <w:rPr>
          <w:sz w:val="23"/>
          <w:szCs w:val="23"/>
        </w:rPr>
        <w:br w:type="page"/>
      </w:r>
    </w:p>
    <w:p w14:paraId="6929DE06" w14:textId="5ECD5D6B" w:rsidR="00A873BD" w:rsidRDefault="0067682B" w:rsidP="006C76AD">
      <w:pPr>
        <w:rPr>
          <w:sz w:val="23"/>
          <w:szCs w:val="23"/>
        </w:rPr>
      </w:pPr>
      <w:r w:rsidRPr="00456ADB">
        <w:rPr>
          <w:sz w:val="23"/>
          <w:szCs w:val="23"/>
        </w:rPr>
        <w:lastRenderedPageBreak/>
        <w:t>The experience of social enterprises and other entities established to support people with disability at work, could inform future possible strategies. Government investment</w:t>
      </w:r>
      <w:r w:rsidR="00A873BD">
        <w:rPr>
          <w:sz w:val="23"/>
          <w:szCs w:val="23"/>
        </w:rPr>
        <w:t>, or industry adjustment,</w:t>
      </w:r>
      <w:r w:rsidRPr="00456ADB">
        <w:rPr>
          <w:sz w:val="23"/>
          <w:szCs w:val="23"/>
        </w:rPr>
        <w:t xml:space="preserve"> could be targeted to capitalise on successful models</w:t>
      </w:r>
      <w:r w:rsidR="00820E6F">
        <w:rPr>
          <w:sz w:val="23"/>
          <w:szCs w:val="23"/>
        </w:rPr>
        <w:t>,</w:t>
      </w:r>
      <w:r w:rsidRPr="00456ADB">
        <w:rPr>
          <w:sz w:val="23"/>
          <w:szCs w:val="23"/>
        </w:rPr>
        <w:t xml:space="preserve"> which provide good outcomes for supported employees. </w:t>
      </w:r>
    </w:p>
    <w:p w14:paraId="56A97AFC" w14:textId="6ADADBA9" w:rsidR="00DC1CE4" w:rsidRPr="00456ADB" w:rsidRDefault="00373B9F" w:rsidP="006C76AD">
      <w:pPr>
        <w:rPr>
          <w:sz w:val="23"/>
          <w:szCs w:val="23"/>
        </w:rPr>
      </w:pPr>
      <w:r>
        <w:rPr>
          <w:sz w:val="23"/>
          <w:szCs w:val="23"/>
        </w:rPr>
        <w:t>W</w:t>
      </w:r>
      <w:r w:rsidR="00453AB3" w:rsidRPr="00456ADB">
        <w:rPr>
          <w:sz w:val="23"/>
          <w:szCs w:val="23"/>
        </w:rPr>
        <w:t xml:space="preserve">age supplementation has been made available for ADEs </w:t>
      </w:r>
      <w:r w:rsidR="00517570">
        <w:rPr>
          <w:sz w:val="23"/>
          <w:szCs w:val="23"/>
        </w:rPr>
        <w:t>that</w:t>
      </w:r>
      <w:r w:rsidR="00453AB3" w:rsidRPr="00456ADB">
        <w:rPr>
          <w:sz w:val="23"/>
          <w:szCs w:val="23"/>
        </w:rPr>
        <w:t xml:space="preserve"> choose to transition to a productivity-based wage assessment tool</w:t>
      </w:r>
      <w:r w:rsidR="00820E6F">
        <w:rPr>
          <w:sz w:val="23"/>
          <w:szCs w:val="23"/>
        </w:rPr>
        <w:t>,</w:t>
      </w:r>
      <w:r w:rsidR="00453AB3" w:rsidRPr="00456ADB">
        <w:rPr>
          <w:sz w:val="23"/>
          <w:szCs w:val="23"/>
        </w:rPr>
        <w:t xml:space="preserve"> being the Supported Wage System (SWS)</w:t>
      </w:r>
      <w:r>
        <w:rPr>
          <w:sz w:val="23"/>
          <w:szCs w:val="23"/>
        </w:rPr>
        <w:t xml:space="preserve"> or varied SWS</w:t>
      </w:r>
      <w:r w:rsidR="00820E6F">
        <w:rPr>
          <w:sz w:val="23"/>
          <w:szCs w:val="23"/>
        </w:rPr>
        <w:t>,</w:t>
      </w:r>
      <w:r>
        <w:rPr>
          <w:sz w:val="23"/>
          <w:szCs w:val="23"/>
        </w:rPr>
        <w:t xml:space="preserve"> once in effect. However, </w:t>
      </w:r>
      <w:r w:rsidR="00820E6F">
        <w:rPr>
          <w:sz w:val="23"/>
          <w:szCs w:val="23"/>
        </w:rPr>
        <w:t xml:space="preserve">use </w:t>
      </w:r>
      <w:r w:rsidR="00453AB3" w:rsidRPr="00456ADB">
        <w:rPr>
          <w:sz w:val="23"/>
          <w:szCs w:val="23"/>
        </w:rPr>
        <w:t>of the supplementation has been limited and w</w:t>
      </w:r>
      <w:r w:rsidR="00DC1CE4" w:rsidRPr="00456ADB">
        <w:rPr>
          <w:sz w:val="23"/>
          <w:szCs w:val="23"/>
        </w:rPr>
        <w:t xml:space="preserve">age uncertainty continues to undermine ADE confidence and business planning. </w:t>
      </w:r>
    </w:p>
    <w:p w14:paraId="3EDFFA1A" w14:textId="147C39BB" w:rsidR="00453AB3" w:rsidRPr="00456ADB" w:rsidRDefault="00882C6C" w:rsidP="00192A97">
      <w:pPr>
        <w:spacing w:after="60" w:line="240" w:lineRule="auto"/>
        <w:rPr>
          <w:sz w:val="23"/>
          <w:szCs w:val="23"/>
        </w:rPr>
      </w:pPr>
      <w:r>
        <w:rPr>
          <w:sz w:val="23"/>
          <w:szCs w:val="23"/>
        </w:rPr>
        <w:t>Consideration is being given to</w:t>
      </w:r>
      <w:r w:rsidR="00453AB3" w:rsidRPr="00456ADB">
        <w:rPr>
          <w:sz w:val="23"/>
          <w:szCs w:val="23"/>
        </w:rPr>
        <w:t xml:space="preserve"> </w:t>
      </w:r>
      <w:r w:rsidR="00BA2463">
        <w:rPr>
          <w:sz w:val="23"/>
          <w:szCs w:val="23"/>
        </w:rPr>
        <w:t>whether pricing controls for</w:t>
      </w:r>
      <w:r w:rsidR="00453AB3" w:rsidRPr="00456ADB">
        <w:rPr>
          <w:sz w:val="23"/>
          <w:szCs w:val="23"/>
        </w:rPr>
        <w:t xml:space="preserve"> ‘employment supports’ for </w:t>
      </w:r>
      <w:r w:rsidR="00856763">
        <w:rPr>
          <w:sz w:val="23"/>
          <w:szCs w:val="23"/>
        </w:rPr>
        <w:t xml:space="preserve">existing supported employees and </w:t>
      </w:r>
      <w:r w:rsidR="00453AB3" w:rsidRPr="00456ADB">
        <w:rPr>
          <w:sz w:val="23"/>
          <w:szCs w:val="23"/>
        </w:rPr>
        <w:t>new market entrants</w:t>
      </w:r>
      <w:r w:rsidR="00FF02AD" w:rsidRPr="00456ADB">
        <w:rPr>
          <w:sz w:val="23"/>
          <w:szCs w:val="23"/>
        </w:rPr>
        <w:t xml:space="preserve"> </w:t>
      </w:r>
      <w:r w:rsidR="00082631">
        <w:rPr>
          <w:sz w:val="23"/>
          <w:szCs w:val="23"/>
        </w:rPr>
        <w:t>will be needed</w:t>
      </w:r>
      <w:r w:rsidR="00517570">
        <w:rPr>
          <w:sz w:val="23"/>
          <w:szCs w:val="23"/>
        </w:rPr>
        <w:t>,</w:t>
      </w:r>
      <w:r w:rsidR="00082631">
        <w:rPr>
          <w:sz w:val="23"/>
          <w:szCs w:val="23"/>
        </w:rPr>
        <w:t xml:space="preserve"> and</w:t>
      </w:r>
      <w:r w:rsidR="00FF02AD" w:rsidRPr="00456ADB">
        <w:rPr>
          <w:sz w:val="23"/>
          <w:szCs w:val="23"/>
        </w:rPr>
        <w:t xml:space="preserve"> how providers can navigate the NDIS and DES funding system when supporting participants </w:t>
      </w:r>
      <w:r w:rsidR="00517570">
        <w:rPr>
          <w:sz w:val="23"/>
          <w:szCs w:val="23"/>
        </w:rPr>
        <w:t xml:space="preserve">who </w:t>
      </w:r>
      <w:r w:rsidR="001E1EBE">
        <w:rPr>
          <w:sz w:val="23"/>
          <w:szCs w:val="23"/>
        </w:rPr>
        <w:t xml:space="preserve">choose to </w:t>
      </w:r>
      <w:r w:rsidR="00FF02AD" w:rsidRPr="00456ADB">
        <w:rPr>
          <w:sz w:val="23"/>
          <w:szCs w:val="23"/>
        </w:rPr>
        <w:t>transition between supported and open employment</w:t>
      </w:r>
      <w:r w:rsidR="00453AB3" w:rsidRPr="00456ADB">
        <w:rPr>
          <w:sz w:val="23"/>
          <w:szCs w:val="23"/>
        </w:rPr>
        <w:t>.</w:t>
      </w:r>
    </w:p>
    <w:p w14:paraId="16BE88F8" w14:textId="77777777" w:rsidR="006D4B8A" w:rsidRDefault="006D4B8A" w:rsidP="00117F38">
      <w:pPr>
        <w:pStyle w:val="Heading1"/>
        <w:spacing w:before="120"/>
        <w:rPr>
          <w:rFonts w:asciiTheme="minorHAnsi" w:hAnsiTheme="minorHAnsi" w:cstheme="minorHAnsi"/>
          <w:sz w:val="24"/>
          <w:szCs w:val="24"/>
        </w:rPr>
      </w:pPr>
      <w:bookmarkStart w:id="77" w:name="_Toc497385016"/>
      <w:bookmarkStart w:id="78" w:name="_Toc497468107"/>
      <w:bookmarkStart w:id="79" w:name="_Toc497480351"/>
      <w:bookmarkStart w:id="80" w:name="_Toc497745073"/>
      <w:bookmarkStart w:id="81" w:name="_Toc497823562"/>
      <w:bookmarkStart w:id="82" w:name="_Toc497893486"/>
      <w:bookmarkStart w:id="83" w:name="_Toc497893924"/>
    </w:p>
    <w:p w14:paraId="2E083744" w14:textId="46C5363C" w:rsidR="004C2AED" w:rsidRPr="0041730F" w:rsidRDefault="00117F38" w:rsidP="00117F38">
      <w:pPr>
        <w:pStyle w:val="Heading1"/>
        <w:spacing w:before="120"/>
        <w:rPr>
          <w:rFonts w:asciiTheme="minorHAnsi" w:hAnsiTheme="minorHAnsi" w:cstheme="minorHAnsi"/>
          <w:sz w:val="28"/>
          <w:szCs w:val="24"/>
        </w:rPr>
      </w:pPr>
      <w:bookmarkStart w:id="84" w:name="_Toc500401884"/>
      <w:r w:rsidRPr="0041730F">
        <w:rPr>
          <w:rFonts w:asciiTheme="minorHAnsi" w:hAnsiTheme="minorHAnsi" w:cstheme="minorHAnsi"/>
          <w:sz w:val="28"/>
          <w:szCs w:val="24"/>
        </w:rPr>
        <w:t>Have your say - Discussion questions</w:t>
      </w:r>
      <w:bookmarkEnd w:id="77"/>
      <w:bookmarkEnd w:id="78"/>
      <w:bookmarkEnd w:id="79"/>
      <w:bookmarkEnd w:id="80"/>
      <w:bookmarkEnd w:id="81"/>
      <w:bookmarkEnd w:id="82"/>
      <w:bookmarkEnd w:id="83"/>
      <w:bookmarkEnd w:id="84"/>
      <w:r w:rsidRPr="0041730F">
        <w:rPr>
          <w:rFonts w:asciiTheme="minorHAnsi" w:hAnsiTheme="minorHAnsi" w:cstheme="minorHAnsi"/>
          <w:sz w:val="28"/>
          <w:szCs w:val="24"/>
        </w:rPr>
        <w:t xml:space="preserve"> </w:t>
      </w:r>
      <w:r w:rsidR="004C2AED" w:rsidRPr="0041730F">
        <w:rPr>
          <w:rFonts w:asciiTheme="minorHAnsi" w:hAnsiTheme="minorHAnsi" w:cstheme="minorHAnsi"/>
          <w:sz w:val="28"/>
          <w:szCs w:val="24"/>
        </w:rPr>
        <w:t xml:space="preserve"> </w:t>
      </w:r>
    </w:p>
    <w:p w14:paraId="7922A6F4" w14:textId="01CCFD45" w:rsidR="003D0A26" w:rsidRDefault="003D0A26"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ind w:left="709" w:hanging="709"/>
        <w:rPr>
          <w:b/>
          <w:i/>
          <w:color w:val="002060"/>
          <w:sz w:val="26"/>
          <w:szCs w:val="22"/>
          <w:lang w:eastAsia="en-US"/>
        </w:rPr>
      </w:pPr>
      <w:r w:rsidRPr="003D0A26">
        <w:rPr>
          <w:b/>
          <w:i/>
          <w:color w:val="002060"/>
          <w:sz w:val="26"/>
          <w:szCs w:val="22"/>
          <w:lang w:eastAsia="en-US"/>
        </w:rPr>
        <w:t>9.</w:t>
      </w:r>
      <w:r w:rsidRPr="003D0A26">
        <w:rPr>
          <w:b/>
          <w:i/>
          <w:color w:val="002060"/>
          <w:sz w:val="26"/>
          <w:szCs w:val="22"/>
          <w:lang w:eastAsia="en-US"/>
        </w:rPr>
        <w:tab/>
        <w:t>How are ADEs marketing their services to an expanded market of potential NDIS participants?</w:t>
      </w:r>
    </w:p>
    <w:p w14:paraId="5D5066A6" w14:textId="77777777" w:rsidR="003D0A26" w:rsidRPr="003D0A26" w:rsidRDefault="003D0A26"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ind w:left="709" w:hanging="709"/>
        <w:rPr>
          <w:b/>
          <w:i/>
          <w:color w:val="002060"/>
          <w:sz w:val="2"/>
          <w:szCs w:val="22"/>
          <w:lang w:eastAsia="en-US"/>
        </w:rPr>
      </w:pPr>
    </w:p>
    <w:p w14:paraId="2A3655AD" w14:textId="3C3B842B" w:rsidR="003D0A26" w:rsidRDefault="003D0A26"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rPr>
          <w:b/>
          <w:i/>
          <w:color w:val="002060"/>
          <w:sz w:val="26"/>
          <w:szCs w:val="22"/>
          <w:lang w:eastAsia="en-US"/>
        </w:rPr>
      </w:pPr>
      <w:r w:rsidRPr="003D0A26">
        <w:rPr>
          <w:b/>
          <w:i/>
          <w:color w:val="002060"/>
          <w:sz w:val="26"/>
          <w:szCs w:val="22"/>
          <w:lang w:eastAsia="en-US"/>
        </w:rPr>
        <w:t>10.</w:t>
      </w:r>
      <w:r w:rsidRPr="003D0A26">
        <w:rPr>
          <w:b/>
          <w:i/>
          <w:color w:val="002060"/>
          <w:sz w:val="26"/>
          <w:szCs w:val="22"/>
          <w:lang w:eastAsia="en-US"/>
        </w:rPr>
        <w:tab/>
        <w:t xml:space="preserve">What is the range of NDIS supports that ADEs currently offer? </w:t>
      </w:r>
    </w:p>
    <w:p w14:paraId="524A44B4" w14:textId="77777777" w:rsidR="003D0A26" w:rsidRPr="0084192E" w:rsidRDefault="003D0A26"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rPr>
          <w:b/>
          <w:i/>
          <w:color w:val="002060"/>
          <w:sz w:val="2"/>
          <w:szCs w:val="22"/>
          <w:lang w:eastAsia="en-US"/>
        </w:rPr>
      </w:pPr>
    </w:p>
    <w:p w14:paraId="6A0F925E" w14:textId="7AE51FEE" w:rsidR="0084192E" w:rsidRDefault="003D0A26" w:rsidP="00126A02">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ind w:left="709" w:hanging="709"/>
        <w:rPr>
          <w:b/>
          <w:i/>
          <w:color w:val="002060"/>
          <w:sz w:val="26"/>
          <w:szCs w:val="22"/>
          <w:lang w:eastAsia="en-US"/>
        </w:rPr>
      </w:pPr>
      <w:r w:rsidRPr="003D0A26">
        <w:rPr>
          <w:b/>
          <w:i/>
          <w:color w:val="002060"/>
          <w:sz w:val="26"/>
          <w:szCs w:val="22"/>
          <w:lang w:eastAsia="en-US"/>
        </w:rPr>
        <w:t>11.</w:t>
      </w:r>
      <w:r w:rsidRPr="003D0A26">
        <w:rPr>
          <w:b/>
          <w:i/>
          <w:color w:val="002060"/>
          <w:sz w:val="26"/>
          <w:szCs w:val="22"/>
          <w:lang w:eastAsia="en-US"/>
        </w:rPr>
        <w:tab/>
        <w:t>What costs would be involved for ADEs that choose to:</w:t>
      </w:r>
      <w:r w:rsidR="0084192E">
        <w:rPr>
          <w:b/>
          <w:i/>
          <w:color w:val="002060"/>
          <w:sz w:val="26"/>
          <w:szCs w:val="22"/>
          <w:lang w:eastAsia="en-US"/>
        </w:rPr>
        <w:br/>
      </w:r>
      <w:r w:rsidR="00126A02">
        <w:rPr>
          <w:b/>
          <w:i/>
          <w:color w:val="002060"/>
          <w:sz w:val="26"/>
          <w:szCs w:val="22"/>
          <w:lang w:eastAsia="en-US"/>
        </w:rPr>
        <w:t xml:space="preserve">a) </w:t>
      </w:r>
      <w:r w:rsidRPr="003D0A26">
        <w:rPr>
          <w:b/>
          <w:i/>
          <w:color w:val="002060"/>
          <w:sz w:val="26"/>
          <w:szCs w:val="22"/>
          <w:lang w:eastAsia="en-US"/>
        </w:rPr>
        <w:t>reform t</w:t>
      </w:r>
      <w:r w:rsidR="0084192E">
        <w:rPr>
          <w:b/>
          <w:i/>
          <w:color w:val="002060"/>
          <w:sz w:val="26"/>
          <w:szCs w:val="22"/>
          <w:lang w:eastAsia="en-US"/>
        </w:rPr>
        <w:t xml:space="preserve">o more open employment models? </w:t>
      </w:r>
    </w:p>
    <w:p w14:paraId="1C9C85BC" w14:textId="68245EA1" w:rsidR="0084192E" w:rsidRDefault="00126A02"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ind w:left="709" w:hanging="709"/>
        <w:rPr>
          <w:b/>
          <w:i/>
          <w:color w:val="002060"/>
          <w:sz w:val="26"/>
          <w:szCs w:val="22"/>
          <w:lang w:eastAsia="en-US"/>
        </w:rPr>
      </w:pPr>
      <w:r>
        <w:rPr>
          <w:b/>
          <w:i/>
          <w:color w:val="002060"/>
          <w:sz w:val="26"/>
          <w:szCs w:val="22"/>
          <w:lang w:eastAsia="en-US"/>
        </w:rPr>
        <w:t xml:space="preserve">         b)</w:t>
      </w:r>
      <w:r w:rsidR="0084192E">
        <w:rPr>
          <w:b/>
          <w:i/>
          <w:color w:val="002060"/>
          <w:sz w:val="26"/>
          <w:szCs w:val="22"/>
          <w:lang w:eastAsia="en-US"/>
        </w:rPr>
        <w:t xml:space="preserve"> </w:t>
      </w:r>
      <w:r w:rsidR="003D0A26" w:rsidRPr="003D0A26">
        <w:rPr>
          <w:b/>
          <w:i/>
          <w:color w:val="002060"/>
          <w:sz w:val="26"/>
          <w:szCs w:val="22"/>
          <w:lang w:eastAsia="en-US"/>
        </w:rPr>
        <w:t>redevelop as service provider</w:t>
      </w:r>
      <w:r w:rsidR="0084192E">
        <w:rPr>
          <w:b/>
          <w:i/>
          <w:color w:val="002060"/>
          <w:sz w:val="26"/>
          <w:szCs w:val="22"/>
          <w:lang w:eastAsia="en-US"/>
        </w:rPr>
        <w:t>s offering other NDIS supports?</w:t>
      </w:r>
    </w:p>
    <w:p w14:paraId="7596C585" w14:textId="3F5209B8" w:rsidR="003D0A26" w:rsidRDefault="00126A02" w:rsidP="001B4182">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ind w:left="709" w:hanging="709"/>
        <w:rPr>
          <w:b/>
          <w:i/>
          <w:color w:val="002060"/>
          <w:sz w:val="26"/>
          <w:szCs w:val="22"/>
          <w:lang w:eastAsia="en-US"/>
        </w:rPr>
      </w:pPr>
      <w:r>
        <w:rPr>
          <w:b/>
          <w:i/>
          <w:color w:val="002060"/>
          <w:sz w:val="26"/>
          <w:szCs w:val="22"/>
          <w:lang w:eastAsia="en-US"/>
        </w:rPr>
        <w:t xml:space="preserve">         c)</w:t>
      </w:r>
      <w:r w:rsidR="0084192E">
        <w:rPr>
          <w:b/>
          <w:i/>
          <w:color w:val="002060"/>
          <w:sz w:val="26"/>
          <w:szCs w:val="22"/>
          <w:lang w:eastAsia="en-US"/>
        </w:rPr>
        <w:t xml:space="preserve"> </w:t>
      </w:r>
      <w:r w:rsidR="003D0A26" w:rsidRPr="003D0A26">
        <w:rPr>
          <w:b/>
          <w:i/>
          <w:color w:val="002060"/>
          <w:sz w:val="26"/>
          <w:szCs w:val="22"/>
          <w:lang w:eastAsia="en-US"/>
        </w:rPr>
        <w:t xml:space="preserve">specialise in the provision of employment support as a </w:t>
      </w:r>
      <w:r w:rsidR="003D0A26" w:rsidRPr="003D0A26">
        <w:rPr>
          <w:b/>
          <w:i/>
          <w:color w:val="002060"/>
          <w:sz w:val="26"/>
          <w:szCs w:val="22"/>
          <w:lang w:eastAsia="en-US"/>
        </w:rPr>
        <w:br/>
        <w:t xml:space="preserve">non-employer? </w:t>
      </w:r>
    </w:p>
    <w:p w14:paraId="150B6C82" w14:textId="3F69C1F5" w:rsidR="003D0A26" w:rsidRDefault="003D0A26"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rPr>
          <w:b/>
          <w:i/>
          <w:color w:val="002060"/>
          <w:sz w:val="26"/>
          <w:szCs w:val="22"/>
          <w:lang w:eastAsia="en-US"/>
        </w:rPr>
      </w:pPr>
    </w:p>
    <w:p w14:paraId="1DC435A9" w14:textId="77777777" w:rsidR="003D0A26" w:rsidRPr="003D0A26" w:rsidRDefault="003D0A26"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ind w:left="851" w:hanging="851"/>
        <w:rPr>
          <w:b/>
          <w:i/>
          <w:color w:val="002060"/>
          <w:sz w:val="26"/>
          <w:szCs w:val="22"/>
          <w:lang w:eastAsia="en-US"/>
        </w:rPr>
      </w:pPr>
      <w:r w:rsidRPr="003D0A26">
        <w:rPr>
          <w:b/>
          <w:i/>
          <w:color w:val="002060"/>
          <w:sz w:val="26"/>
          <w:szCs w:val="22"/>
          <w:lang w:eastAsia="en-US"/>
        </w:rPr>
        <w:t>12.</w:t>
      </w:r>
      <w:r w:rsidRPr="003D0A26">
        <w:rPr>
          <w:b/>
          <w:i/>
          <w:color w:val="002060"/>
          <w:sz w:val="26"/>
          <w:szCs w:val="22"/>
          <w:lang w:eastAsia="en-US"/>
        </w:rPr>
        <w:tab/>
        <w:t>Should the Government have a role in supporting new market entrants and start-ups in the short-term?</w:t>
      </w:r>
    </w:p>
    <w:p w14:paraId="5742A334" w14:textId="77777777" w:rsidR="003D0A26" w:rsidRPr="003D0A26" w:rsidRDefault="003D0A26"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rPr>
          <w:b/>
          <w:i/>
          <w:color w:val="002060"/>
          <w:sz w:val="26"/>
          <w:szCs w:val="22"/>
          <w:lang w:eastAsia="en-US"/>
        </w:rPr>
      </w:pPr>
    </w:p>
    <w:p w14:paraId="351CA573" w14:textId="1FBEA38A" w:rsidR="003D0A26" w:rsidRPr="003D0A26" w:rsidRDefault="003D0A26"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ind w:left="851" w:hanging="851"/>
        <w:rPr>
          <w:b/>
          <w:i/>
          <w:color w:val="002060"/>
          <w:sz w:val="26"/>
          <w:szCs w:val="22"/>
          <w:lang w:eastAsia="en-US"/>
        </w:rPr>
      </w:pPr>
      <w:r w:rsidRPr="003D0A26">
        <w:rPr>
          <w:b/>
          <w:i/>
          <w:color w:val="002060"/>
          <w:sz w:val="26"/>
          <w:szCs w:val="22"/>
          <w:lang w:eastAsia="en-US"/>
        </w:rPr>
        <w:t>13.</w:t>
      </w:r>
      <w:r w:rsidRPr="003D0A26">
        <w:rPr>
          <w:b/>
          <w:i/>
          <w:color w:val="002060"/>
          <w:sz w:val="26"/>
          <w:szCs w:val="22"/>
          <w:lang w:eastAsia="en-US"/>
        </w:rPr>
        <w:tab/>
        <w:t>What</w:t>
      </w:r>
      <w:r w:rsidR="00A873BD">
        <w:rPr>
          <w:b/>
          <w:i/>
          <w:color w:val="002060"/>
          <w:sz w:val="26"/>
          <w:szCs w:val="22"/>
          <w:lang w:eastAsia="en-US"/>
        </w:rPr>
        <w:t xml:space="preserve"> investment, or industry adjustment</w:t>
      </w:r>
      <w:r w:rsidRPr="003D0A26">
        <w:rPr>
          <w:b/>
          <w:i/>
          <w:color w:val="002060"/>
          <w:sz w:val="26"/>
          <w:szCs w:val="22"/>
          <w:lang w:eastAsia="en-US"/>
        </w:rPr>
        <w:t xml:space="preserve"> will promote viable expansion in the employer/provider market? </w:t>
      </w:r>
    </w:p>
    <w:p w14:paraId="4A672DAE" w14:textId="65B1943D" w:rsidR="003D0A26" w:rsidRDefault="003D0A26"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rPr>
          <w:i/>
          <w:color w:val="002060"/>
          <w:sz w:val="26"/>
          <w:szCs w:val="22"/>
          <w:lang w:eastAsia="en-US"/>
        </w:rPr>
      </w:pPr>
    </w:p>
    <w:p w14:paraId="083A6FF3" w14:textId="77777777" w:rsidR="005038CA" w:rsidRPr="005038CA" w:rsidRDefault="005038CA"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ind w:left="851" w:hanging="851"/>
        <w:rPr>
          <w:b/>
          <w:i/>
          <w:color w:val="002060"/>
          <w:sz w:val="26"/>
          <w:szCs w:val="22"/>
          <w:lang w:eastAsia="en-US"/>
        </w:rPr>
      </w:pPr>
      <w:r w:rsidRPr="005038CA">
        <w:rPr>
          <w:b/>
          <w:i/>
          <w:color w:val="002060"/>
          <w:sz w:val="26"/>
          <w:szCs w:val="22"/>
          <w:lang w:eastAsia="en-US"/>
        </w:rPr>
        <w:t>14.</w:t>
      </w:r>
      <w:r w:rsidRPr="005038CA">
        <w:rPr>
          <w:b/>
          <w:i/>
          <w:color w:val="002060"/>
          <w:sz w:val="26"/>
          <w:szCs w:val="22"/>
          <w:lang w:eastAsia="en-US"/>
        </w:rPr>
        <w:tab/>
        <w:t xml:space="preserve">How could employer/providers share learnings of their success and failures within a competitive market? </w:t>
      </w:r>
    </w:p>
    <w:p w14:paraId="6890C36C" w14:textId="7687B52C" w:rsidR="005038CA" w:rsidRDefault="005038CA"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rPr>
          <w:i/>
          <w:color w:val="002060"/>
          <w:sz w:val="26"/>
          <w:szCs w:val="22"/>
          <w:lang w:eastAsia="en-US"/>
        </w:rPr>
      </w:pPr>
    </w:p>
    <w:p w14:paraId="3D7D543E" w14:textId="5B124396" w:rsidR="005038CA" w:rsidRDefault="005038CA"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rPr>
          <w:b/>
          <w:i/>
          <w:color w:val="002060"/>
          <w:sz w:val="26"/>
          <w:szCs w:val="22"/>
          <w:lang w:eastAsia="en-US"/>
        </w:rPr>
      </w:pPr>
      <w:r w:rsidRPr="005038CA">
        <w:rPr>
          <w:b/>
          <w:i/>
          <w:color w:val="002060"/>
          <w:sz w:val="26"/>
          <w:szCs w:val="22"/>
          <w:lang w:eastAsia="en-US"/>
        </w:rPr>
        <w:t>15.</w:t>
      </w:r>
      <w:r w:rsidRPr="005038CA">
        <w:rPr>
          <w:b/>
          <w:i/>
          <w:color w:val="002060"/>
          <w:sz w:val="26"/>
          <w:szCs w:val="22"/>
          <w:lang w:eastAsia="en-US"/>
        </w:rPr>
        <w:tab/>
        <w:t>How can wage supplementation be better targeted?</w:t>
      </w:r>
    </w:p>
    <w:p w14:paraId="66B7ACFA" w14:textId="77777777" w:rsidR="00AE4AD0" w:rsidRPr="005038CA" w:rsidRDefault="00AE4AD0" w:rsidP="0084192E">
      <w:pPr>
        <w:pBdr>
          <w:top w:val="single" w:sz="4" w:space="1" w:color="3494BA" w:themeColor="accent1"/>
          <w:left w:val="single" w:sz="4" w:space="4" w:color="3494BA" w:themeColor="accent1"/>
          <w:bottom w:val="single" w:sz="4" w:space="0" w:color="3494BA" w:themeColor="accent1"/>
          <w:right w:val="single" w:sz="4" w:space="4" w:color="3494BA" w:themeColor="accent1"/>
        </w:pBdr>
        <w:shd w:val="clear" w:color="auto" w:fill="E6EEF0" w:themeFill="accent5" w:themeFillTint="33"/>
        <w:rPr>
          <w:b/>
          <w:i/>
          <w:color w:val="002060"/>
          <w:sz w:val="26"/>
          <w:szCs w:val="22"/>
          <w:lang w:eastAsia="en-US"/>
        </w:rPr>
      </w:pPr>
    </w:p>
    <w:p w14:paraId="49E5BD21" w14:textId="530991CC" w:rsidR="00DC1CE4" w:rsidRPr="00E33EA7" w:rsidRDefault="00DC1CE4" w:rsidP="00DC1CE4">
      <w:pPr>
        <w:pStyle w:val="Heading2"/>
      </w:pPr>
      <w:bookmarkStart w:id="85" w:name="_Toc500401885"/>
      <w:r w:rsidRPr="00E33EA7">
        <w:lastRenderedPageBreak/>
        <w:t>Strategies to</w:t>
      </w:r>
      <w:r w:rsidR="007F4C15">
        <w:t xml:space="preserve"> </w:t>
      </w:r>
      <w:r w:rsidRPr="00E33EA7">
        <w:t>facilitate greater choice and control</w:t>
      </w:r>
      <w:r w:rsidR="0033460D">
        <w:t xml:space="preserve"> for NDIS participants</w:t>
      </w:r>
      <w:bookmarkEnd w:id="85"/>
    </w:p>
    <w:p w14:paraId="0D9584DE" w14:textId="77777777" w:rsidR="0087107F" w:rsidRPr="00456ADB" w:rsidRDefault="0087107F" w:rsidP="00A0638F">
      <w:pPr>
        <w:pStyle w:val="Heading3"/>
      </w:pPr>
      <w:bookmarkStart w:id="86" w:name="_Toc500342852"/>
      <w:bookmarkStart w:id="87" w:name="_Toc500401886"/>
      <w:r w:rsidRPr="00456ADB">
        <w:t>The role of the NDIA into the future</w:t>
      </w:r>
      <w:bookmarkEnd w:id="86"/>
      <w:bookmarkEnd w:id="87"/>
    </w:p>
    <w:p w14:paraId="3C16DF03" w14:textId="38DD23EF" w:rsidR="00704B5E" w:rsidRPr="00456ADB" w:rsidRDefault="00704B5E" w:rsidP="0087107F">
      <w:pPr>
        <w:spacing w:after="120"/>
        <w:rPr>
          <w:sz w:val="23"/>
          <w:szCs w:val="23"/>
        </w:rPr>
      </w:pPr>
      <w:r w:rsidRPr="00456ADB">
        <w:rPr>
          <w:sz w:val="23"/>
          <w:szCs w:val="23"/>
        </w:rPr>
        <w:t>T</w:t>
      </w:r>
      <w:r w:rsidR="00CB696E" w:rsidRPr="00456ADB">
        <w:rPr>
          <w:sz w:val="23"/>
          <w:szCs w:val="23"/>
        </w:rPr>
        <w:t xml:space="preserve">he </w:t>
      </w:r>
      <w:r w:rsidR="0033460D" w:rsidRPr="00456ADB">
        <w:rPr>
          <w:sz w:val="23"/>
          <w:szCs w:val="23"/>
        </w:rPr>
        <w:t>NDI</w:t>
      </w:r>
      <w:r w:rsidR="0033460D">
        <w:rPr>
          <w:sz w:val="23"/>
          <w:szCs w:val="23"/>
        </w:rPr>
        <w:t>S</w:t>
      </w:r>
      <w:r w:rsidR="0033460D" w:rsidRPr="00456ADB">
        <w:rPr>
          <w:sz w:val="23"/>
          <w:szCs w:val="23"/>
        </w:rPr>
        <w:t xml:space="preserve"> </w:t>
      </w:r>
      <w:r w:rsidR="00CB696E" w:rsidRPr="00456ADB">
        <w:rPr>
          <w:sz w:val="23"/>
          <w:szCs w:val="23"/>
        </w:rPr>
        <w:t>provide</w:t>
      </w:r>
      <w:r w:rsidRPr="00456ADB">
        <w:rPr>
          <w:sz w:val="23"/>
          <w:szCs w:val="23"/>
        </w:rPr>
        <w:t>s</w:t>
      </w:r>
      <w:r w:rsidR="00CB696E" w:rsidRPr="00456ADB">
        <w:rPr>
          <w:sz w:val="23"/>
          <w:szCs w:val="23"/>
        </w:rPr>
        <w:t xml:space="preserve"> support and assistance, including financial assista</w:t>
      </w:r>
      <w:r w:rsidR="00580A10" w:rsidRPr="00456ADB">
        <w:rPr>
          <w:sz w:val="23"/>
          <w:szCs w:val="23"/>
        </w:rPr>
        <w:t>nce, to people with disability</w:t>
      </w:r>
      <w:r w:rsidR="00CB696E" w:rsidRPr="00456ADB">
        <w:rPr>
          <w:sz w:val="23"/>
          <w:szCs w:val="23"/>
        </w:rPr>
        <w:t xml:space="preserve"> to </w:t>
      </w:r>
      <w:r w:rsidR="00517570">
        <w:rPr>
          <w:sz w:val="23"/>
          <w:szCs w:val="23"/>
        </w:rPr>
        <w:t>aid</w:t>
      </w:r>
      <w:r w:rsidR="00517570" w:rsidRPr="00456ADB">
        <w:rPr>
          <w:sz w:val="23"/>
          <w:szCs w:val="23"/>
        </w:rPr>
        <w:t xml:space="preserve"> </w:t>
      </w:r>
      <w:r w:rsidR="00CB696E" w:rsidRPr="00456ADB">
        <w:rPr>
          <w:sz w:val="23"/>
          <w:szCs w:val="23"/>
        </w:rPr>
        <w:t>them i</w:t>
      </w:r>
      <w:r w:rsidR="001E1EBE">
        <w:rPr>
          <w:sz w:val="23"/>
          <w:szCs w:val="23"/>
        </w:rPr>
        <w:t>n exercising choice and control</w:t>
      </w:r>
      <w:r w:rsidR="002309EA" w:rsidRPr="00456ADB">
        <w:rPr>
          <w:sz w:val="23"/>
          <w:szCs w:val="23"/>
        </w:rPr>
        <w:t xml:space="preserve"> </w:t>
      </w:r>
      <w:r w:rsidR="001E1EBE">
        <w:rPr>
          <w:sz w:val="23"/>
          <w:szCs w:val="23"/>
        </w:rPr>
        <w:t>in</w:t>
      </w:r>
      <w:r w:rsidR="006D4B8A">
        <w:rPr>
          <w:sz w:val="23"/>
          <w:szCs w:val="23"/>
        </w:rPr>
        <w:t xml:space="preserve"> pursuit of their goals.</w:t>
      </w:r>
    </w:p>
    <w:p w14:paraId="54764FEE" w14:textId="77777777" w:rsidR="00A931C1" w:rsidRPr="00456ADB" w:rsidRDefault="00CB696E" w:rsidP="00704B5E">
      <w:pPr>
        <w:spacing w:before="0" w:after="120"/>
        <w:rPr>
          <w:sz w:val="23"/>
          <w:szCs w:val="23"/>
        </w:rPr>
      </w:pPr>
      <w:r w:rsidRPr="00456ADB">
        <w:rPr>
          <w:sz w:val="23"/>
          <w:szCs w:val="23"/>
        </w:rPr>
        <w:t xml:space="preserve">This includes </w:t>
      </w:r>
      <w:r w:rsidR="00704B5E" w:rsidRPr="00456ADB">
        <w:rPr>
          <w:rFonts w:cs="Arial"/>
          <w:sz w:val="23"/>
          <w:szCs w:val="23"/>
        </w:rPr>
        <w:t xml:space="preserve">supporting </w:t>
      </w:r>
      <w:r w:rsidR="00580A10" w:rsidRPr="00456ADB">
        <w:rPr>
          <w:sz w:val="23"/>
          <w:szCs w:val="23"/>
        </w:rPr>
        <w:t>people with disability to participate in and contribute to social and economic life to the extent of their ability.</w:t>
      </w:r>
      <w:r w:rsidRPr="00456ADB">
        <w:rPr>
          <w:sz w:val="23"/>
          <w:szCs w:val="23"/>
        </w:rPr>
        <w:t xml:space="preserve"> </w:t>
      </w:r>
      <w:r w:rsidR="00704B5E" w:rsidRPr="00456ADB">
        <w:rPr>
          <w:sz w:val="23"/>
          <w:szCs w:val="23"/>
        </w:rPr>
        <w:t xml:space="preserve">Reasonable and necessary supports for people with disability can be provided to develop and support their capacity to undertake activities that enable them to participate in the community and </w:t>
      </w:r>
      <w:r w:rsidR="001614AC">
        <w:rPr>
          <w:sz w:val="23"/>
          <w:szCs w:val="23"/>
        </w:rPr>
        <w:t>mainta</w:t>
      </w:r>
      <w:r w:rsidR="00704B5E" w:rsidRPr="00456ADB">
        <w:rPr>
          <w:sz w:val="23"/>
          <w:szCs w:val="23"/>
        </w:rPr>
        <w:t>in employment.</w:t>
      </w:r>
    </w:p>
    <w:p w14:paraId="59E52F22" w14:textId="0CFA143A" w:rsidR="00725BBE" w:rsidRPr="00456ADB" w:rsidRDefault="00704B5E" w:rsidP="00FF4837">
      <w:pPr>
        <w:spacing w:before="0" w:after="120"/>
        <w:rPr>
          <w:sz w:val="23"/>
          <w:szCs w:val="23"/>
        </w:rPr>
      </w:pPr>
      <w:r w:rsidRPr="00456ADB">
        <w:rPr>
          <w:rFonts w:cs="Arial"/>
          <w:sz w:val="23"/>
          <w:szCs w:val="23"/>
        </w:rPr>
        <w:t>P</w:t>
      </w:r>
      <w:r w:rsidRPr="00456ADB">
        <w:rPr>
          <w:sz w:val="23"/>
          <w:szCs w:val="23"/>
        </w:rPr>
        <w:t xml:space="preserve">eople with disability should also be supported to receive </w:t>
      </w:r>
      <w:r w:rsidR="00856763">
        <w:rPr>
          <w:sz w:val="23"/>
          <w:szCs w:val="23"/>
        </w:rPr>
        <w:t>assistance</w:t>
      </w:r>
      <w:r w:rsidRPr="00456ADB">
        <w:rPr>
          <w:sz w:val="23"/>
          <w:szCs w:val="23"/>
        </w:rPr>
        <w:t xml:space="preserve"> outside the NDIS, </w:t>
      </w:r>
      <w:r w:rsidR="00856763">
        <w:rPr>
          <w:sz w:val="23"/>
          <w:szCs w:val="23"/>
        </w:rPr>
        <w:t>including support</w:t>
      </w:r>
      <w:r w:rsidRPr="00456ADB">
        <w:rPr>
          <w:sz w:val="23"/>
          <w:szCs w:val="23"/>
        </w:rPr>
        <w:t xml:space="preserve"> to coordinate </w:t>
      </w:r>
      <w:r w:rsidR="00856763">
        <w:rPr>
          <w:sz w:val="23"/>
          <w:szCs w:val="23"/>
        </w:rPr>
        <w:t>services access</w:t>
      </w:r>
      <w:r w:rsidR="001E1EBE">
        <w:rPr>
          <w:sz w:val="23"/>
          <w:szCs w:val="23"/>
        </w:rPr>
        <w:t>ed</w:t>
      </w:r>
      <w:r w:rsidRPr="00456ADB">
        <w:rPr>
          <w:sz w:val="23"/>
          <w:szCs w:val="23"/>
        </w:rPr>
        <w:t xml:space="preserve"> under the NDIS</w:t>
      </w:r>
      <w:r w:rsidR="00856763">
        <w:rPr>
          <w:sz w:val="23"/>
          <w:szCs w:val="23"/>
        </w:rPr>
        <w:t xml:space="preserve"> and with mainstream employment service</w:t>
      </w:r>
      <w:r w:rsidRPr="00456ADB">
        <w:rPr>
          <w:sz w:val="23"/>
          <w:szCs w:val="23"/>
        </w:rPr>
        <w:t>s</w:t>
      </w:r>
      <w:r w:rsidR="00B774C0" w:rsidRPr="00456ADB">
        <w:rPr>
          <w:sz w:val="23"/>
          <w:szCs w:val="23"/>
        </w:rPr>
        <w:t xml:space="preserve">, such as </w:t>
      </w:r>
      <w:r w:rsidR="006D4B8A">
        <w:rPr>
          <w:sz w:val="23"/>
          <w:szCs w:val="23"/>
        </w:rPr>
        <w:t>DES.</w:t>
      </w:r>
    </w:p>
    <w:p w14:paraId="484E04BE" w14:textId="77777777" w:rsidR="0087107F" w:rsidRPr="00456ADB" w:rsidRDefault="0087107F" w:rsidP="00A0638F">
      <w:pPr>
        <w:pStyle w:val="Heading3"/>
      </w:pPr>
      <w:bookmarkStart w:id="88" w:name="_Toc500342853"/>
      <w:bookmarkStart w:id="89" w:name="_Toc500401887"/>
      <w:r w:rsidRPr="00456ADB">
        <w:t>Challenges in getting there</w:t>
      </w:r>
      <w:bookmarkEnd w:id="88"/>
      <w:bookmarkEnd w:id="89"/>
      <w:r w:rsidRPr="00456ADB">
        <w:t xml:space="preserve"> </w:t>
      </w:r>
    </w:p>
    <w:p w14:paraId="7418BB3F" w14:textId="7E742A15" w:rsidR="0087107F" w:rsidRPr="00456ADB" w:rsidRDefault="0036167F" w:rsidP="0087107F">
      <w:pPr>
        <w:spacing w:after="120"/>
        <w:rPr>
          <w:sz w:val="23"/>
          <w:szCs w:val="23"/>
        </w:rPr>
      </w:pPr>
      <w:r w:rsidRPr="00456ADB">
        <w:rPr>
          <w:sz w:val="23"/>
          <w:szCs w:val="23"/>
        </w:rPr>
        <w:t>In the initial transition phase for existing supported employees that are eligible for the NDIS, participants’ employment suppor</w:t>
      </w:r>
      <w:r w:rsidR="00961F34" w:rsidRPr="00456ADB">
        <w:rPr>
          <w:sz w:val="23"/>
          <w:szCs w:val="23"/>
        </w:rPr>
        <w:t>ts are generally reflecting th</w:t>
      </w:r>
      <w:r w:rsidRPr="00456ADB">
        <w:rPr>
          <w:sz w:val="23"/>
          <w:szCs w:val="23"/>
        </w:rPr>
        <w:t xml:space="preserve">e </w:t>
      </w:r>
      <w:r w:rsidR="00961F34" w:rsidRPr="00456ADB">
        <w:rPr>
          <w:sz w:val="23"/>
          <w:szCs w:val="23"/>
        </w:rPr>
        <w:t xml:space="preserve">supports </w:t>
      </w:r>
      <w:r w:rsidRPr="00456ADB">
        <w:rPr>
          <w:sz w:val="23"/>
          <w:szCs w:val="23"/>
        </w:rPr>
        <w:t>they currently receive in their ADE, wi</w:t>
      </w:r>
      <w:r w:rsidR="001614AC">
        <w:rPr>
          <w:sz w:val="23"/>
          <w:szCs w:val="23"/>
        </w:rPr>
        <w:t xml:space="preserve">th funding mirroring case-based </w:t>
      </w:r>
      <w:r w:rsidR="006D4B8A">
        <w:rPr>
          <w:sz w:val="23"/>
          <w:szCs w:val="23"/>
        </w:rPr>
        <w:t>funding</w:t>
      </w:r>
      <w:r w:rsidR="00517570">
        <w:rPr>
          <w:sz w:val="23"/>
          <w:szCs w:val="23"/>
        </w:rPr>
        <w:t>.</w:t>
      </w:r>
    </w:p>
    <w:p w14:paraId="73D45200" w14:textId="717CACC6" w:rsidR="0087107F" w:rsidRPr="00456ADB" w:rsidRDefault="0087107F" w:rsidP="0087107F">
      <w:pPr>
        <w:spacing w:before="0" w:after="120"/>
        <w:rPr>
          <w:sz w:val="23"/>
          <w:szCs w:val="23"/>
        </w:rPr>
      </w:pPr>
      <w:r w:rsidRPr="00456ADB">
        <w:rPr>
          <w:sz w:val="23"/>
          <w:szCs w:val="23"/>
        </w:rPr>
        <w:t>T</w:t>
      </w:r>
      <w:r w:rsidR="0036167F" w:rsidRPr="00456ADB">
        <w:rPr>
          <w:sz w:val="23"/>
          <w:szCs w:val="23"/>
        </w:rPr>
        <w:t xml:space="preserve">he NDIA has a market stewardship role to </w:t>
      </w:r>
      <w:r w:rsidRPr="00456ADB">
        <w:rPr>
          <w:sz w:val="23"/>
          <w:szCs w:val="23"/>
        </w:rPr>
        <w:t>encourage providers to invest in delivering NDIS services including employmen</w:t>
      </w:r>
      <w:r w:rsidR="00082A31">
        <w:rPr>
          <w:sz w:val="23"/>
          <w:szCs w:val="23"/>
        </w:rPr>
        <w:t>t services. However, the NDIA does</w:t>
      </w:r>
      <w:r w:rsidR="00691646">
        <w:rPr>
          <w:sz w:val="23"/>
          <w:szCs w:val="23"/>
        </w:rPr>
        <w:t xml:space="preserve"> not</w:t>
      </w:r>
      <w:r w:rsidR="006D4B8A">
        <w:rPr>
          <w:sz w:val="23"/>
          <w:szCs w:val="23"/>
        </w:rPr>
        <w:t xml:space="preserve"> find work for participants.</w:t>
      </w:r>
    </w:p>
    <w:p w14:paraId="335ABC6B" w14:textId="4D0637CD" w:rsidR="0087107F" w:rsidRPr="00456ADB" w:rsidRDefault="00882C6C" w:rsidP="0087107F">
      <w:pPr>
        <w:spacing w:before="0" w:after="120"/>
        <w:rPr>
          <w:sz w:val="23"/>
          <w:szCs w:val="23"/>
        </w:rPr>
      </w:pPr>
      <w:r>
        <w:rPr>
          <w:sz w:val="23"/>
          <w:szCs w:val="23"/>
        </w:rPr>
        <w:t>I</w:t>
      </w:r>
      <w:r w:rsidR="0087107F" w:rsidRPr="00456ADB">
        <w:rPr>
          <w:sz w:val="23"/>
          <w:szCs w:val="23"/>
        </w:rPr>
        <w:t>n order for businesses of all sizes and types to sustainably grow and innovate under the NDIS</w:t>
      </w:r>
      <w:r w:rsidR="00856763">
        <w:rPr>
          <w:sz w:val="23"/>
          <w:szCs w:val="23"/>
        </w:rPr>
        <w:t>,</w:t>
      </w:r>
      <w:r w:rsidR="0087107F" w:rsidRPr="00456ADB">
        <w:rPr>
          <w:sz w:val="23"/>
          <w:szCs w:val="23"/>
        </w:rPr>
        <w:t xml:space="preserve"> and promote their services to existing and future NDIS participants, there needs to be </w:t>
      </w:r>
      <w:r w:rsidR="0086175F">
        <w:rPr>
          <w:sz w:val="23"/>
          <w:szCs w:val="23"/>
        </w:rPr>
        <w:t>clarity about</w:t>
      </w:r>
      <w:r w:rsidR="006D4B8A">
        <w:rPr>
          <w:sz w:val="23"/>
          <w:szCs w:val="23"/>
        </w:rPr>
        <w:t xml:space="preserve"> market development.</w:t>
      </w:r>
    </w:p>
    <w:p w14:paraId="3AFB166F" w14:textId="3057E852" w:rsidR="0036167F" w:rsidRPr="00456ADB" w:rsidRDefault="0036167F" w:rsidP="00FF4837">
      <w:pPr>
        <w:spacing w:before="0" w:after="120"/>
        <w:rPr>
          <w:sz w:val="23"/>
          <w:szCs w:val="23"/>
        </w:rPr>
      </w:pPr>
      <w:r w:rsidRPr="00456ADB">
        <w:rPr>
          <w:sz w:val="23"/>
          <w:szCs w:val="23"/>
        </w:rPr>
        <w:t xml:space="preserve">Different planning </w:t>
      </w:r>
      <w:r w:rsidRPr="007F4C15">
        <w:rPr>
          <w:sz w:val="23"/>
          <w:szCs w:val="23"/>
        </w:rPr>
        <w:t xml:space="preserve">approaches </w:t>
      </w:r>
      <w:r w:rsidR="0087107F" w:rsidRPr="007F4C15">
        <w:rPr>
          <w:sz w:val="23"/>
          <w:szCs w:val="23"/>
        </w:rPr>
        <w:t>for various age cohorts may present opportunities for</w:t>
      </w:r>
      <w:r w:rsidRPr="007F4C15">
        <w:rPr>
          <w:sz w:val="23"/>
          <w:szCs w:val="23"/>
        </w:rPr>
        <w:t xml:space="preserve"> </w:t>
      </w:r>
      <w:r w:rsidR="0087107F" w:rsidRPr="007F4C15">
        <w:rPr>
          <w:sz w:val="23"/>
          <w:szCs w:val="23"/>
        </w:rPr>
        <w:t>greater choice in employment to suit a range of working preferences</w:t>
      </w:r>
      <w:r w:rsidR="00157845" w:rsidRPr="007F4C15">
        <w:rPr>
          <w:sz w:val="23"/>
          <w:szCs w:val="23"/>
        </w:rPr>
        <w:t xml:space="preserve"> and life stages</w:t>
      </w:r>
      <w:r w:rsidR="0087107F" w:rsidRPr="007F4C15">
        <w:rPr>
          <w:sz w:val="23"/>
          <w:szCs w:val="23"/>
        </w:rPr>
        <w:t xml:space="preserve">. </w:t>
      </w:r>
      <w:r w:rsidR="00961F34" w:rsidRPr="007F4C15">
        <w:rPr>
          <w:sz w:val="23"/>
          <w:szCs w:val="23"/>
        </w:rPr>
        <w:br/>
      </w:r>
      <w:r w:rsidR="0087107F" w:rsidRPr="007F4C15">
        <w:rPr>
          <w:sz w:val="23"/>
          <w:szCs w:val="23"/>
        </w:rPr>
        <w:t xml:space="preserve">For example, </w:t>
      </w:r>
      <w:r w:rsidR="00157845" w:rsidRPr="007F4C15">
        <w:rPr>
          <w:sz w:val="23"/>
          <w:szCs w:val="23"/>
        </w:rPr>
        <w:t>for younger people</w:t>
      </w:r>
      <w:r w:rsidR="00975A6A" w:rsidRPr="007F4C15">
        <w:rPr>
          <w:sz w:val="23"/>
          <w:szCs w:val="23"/>
        </w:rPr>
        <w:t xml:space="preserve"> and those entering the workforce</w:t>
      </w:r>
      <w:r w:rsidR="00691646" w:rsidRPr="007F4C15">
        <w:rPr>
          <w:sz w:val="23"/>
          <w:szCs w:val="23"/>
        </w:rPr>
        <w:t xml:space="preserve"> (including options available through School Leaver Employment Support (SLES)</w:t>
      </w:r>
      <w:r w:rsidR="00882C6C">
        <w:rPr>
          <w:sz w:val="23"/>
          <w:szCs w:val="23"/>
        </w:rPr>
        <w:t>)</w:t>
      </w:r>
      <w:r w:rsidR="00157845" w:rsidRPr="007F4C15">
        <w:rPr>
          <w:sz w:val="23"/>
          <w:szCs w:val="23"/>
        </w:rPr>
        <w:t xml:space="preserve">, for </w:t>
      </w:r>
      <w:r w:rsidR="00975A6A" w:rsidRPr="007F4C15">
        <w:rPr>
          <w:sz w:val="23"/>
          <w:szCs w:val="23"/>
        </w:rPr>
        <w:t xml:space="preserve">established or </w:t>
      </w:r>
      <w:r w:rsidR="00157845" w:rsidRPr="007F4C15">
        <w:rPr>
          <w:sz w:val="23"/>
          <w:szCs w:val="23"/>
        </w:rPr>
        <w:t>mature aged workers</w:t>
      </w:r>
      <w:r w:rsidR="00517570">
        <w:rPr>
          <w:sz w:val="23"/>
          <w:szCs w:val="23"/>
        </w:rPr>
        <w:t>,</w:t>
      </w:r>
      <w:r w:rsidR="00157845" w:rsidRPr="007F4C15">
        <w:rPr>
          <w:sz w:val="23"/>
          <w:szCs w:val="23"/>
        </w:rPr>
        <w:t xml:space="preserve"> and for employees </w:t>
      </w:r>
      <w:r w:rsidR="00856763" w:rsidRPr="007F4C15">
        <w:rPr>
          <w:sz w:val="23"/>
          <w:szCs w:val="23"/>
        </w:rPr>
        <w:t>transitioning to retirement</w:t>
      </w:r>
      <w:r w:rsidR="00157845" w:rsidRPr="007F4C15">
        <w:rPr>
          <w:sz w:val="23"/>
          <w:szCs w:val="23"/>
        </w:rPr>
        <w:t>.</w:t>
      </w:r>
    </w:p>
    <w:p w14:paraId="6CF9F7A8" w14:textId="77777777" w:rsidR="006D4B8A" w:rsidRDefault="006D4B8A">
      <w:pPr>
        <w:spacing w:before="0" w:after="200" w:line="276" w:lineRule="auto"/>
        <w:rPr>
          <w:rFonts w:asciiTheme="minorHAnsi" w:eastAsiaTheme="majorEastAsia" w:hAnsiTheme="minorHAnsi" w:cstheme="minorHAnsi"/>
          <w:bCs/>
          <w:color w:val="24596E"/>
        </w:rPr>
      </w:pPr>
      <w:bookmarkStart w:id="90" w:name="_Toc497385018"/>
      <w:bookmarkStart w:id="91" w:name="_Toc497468109"/>
      <w:bookmarkStart w:id="92" w:name="_Toc497480353"/>
      <w:bookmarkStart w:id="93" w:name="_Toc497745075"/>
      <w:bookmarkStart w:id="94" w:name="_Toc497823564"/>
      <w:bookmarkStart w:id="95" w:name="_Toc497893488"/>
      <w:bookmarkStart w:id="96" w:name="_Toc497893926"/>
      <w:r>
        <w:rPr>
          <w:rFonts w:asciiTheme="minorHAnsi" w:hAnsiTheme="minorHAnsi" w:cstheme="minorHAnsi"/>
        </w:rPr>
        <w:br w:type="page"/>
      </w:r>
    </w:p>
    <w:p w14:paraId="3356DE9D" w14:textId="64AAFEDD" w:rsidR="0084192E" w:rsidRPr="0084192E" w:rsidRDefault="00CB696E" w:rsidP="0084192E">
      <w:pPr>
        <w:pStyle w:val="Heading1"/>
        <w:spacing w:before="120"/>
        <w:rPr>
          <w:rFonts w:asciiTheme="minorHAnsi" w:hAnsiTheme="minorHAnsi" w:cstheme="minorHAnsi"/>
          <w:b/>
          <w:sz w:val="28"/>
          <w:szCs w:val="24"/>
        </w:rPr>
      </w:pPr>
      <w:bookmarkStart w:id="97" w:name="_Toc500401888"/>
      <w:r w:rsidRPr="0084192E">
        <w:rPr>
          <w:rFonts w:asciiTheme="minorHAnsi" w:hAnsiTheme="minorHAnsi" w:cstheme="minorHAnsi"/>
          <w:b/>
          <w:sz w:val="28"/>
          <w:szCs w:val="24"/>
        </w:rPr>
        <w:lastRenderedPageBreak/>
        <w:t>Have your say - Discussion questions</w:t>
      </w:r>
      <w:bookmarkEnd w:id="90"/>
      <w:bookmarkEnd w:id="91"/>
      <w:bookmarkEnd w:id="92"/>
      <w:bookmarkEnd w:id="93"/>
      <w:bookmarkEnd w:id="94"/>
      <w:bookmarkEnd w:id="95"/>
      <w:bookmarkEnd w:id="96"/>
      <w:bookmarkEnd w:id="97"/>
      <w:r w:rsidRPr="0084192E">
        <w:rPr>
          <w:rFonts w:asciiTheme="minorHAnsi" w:hAnsiTheme="minorHAnsi" w:cstheme="minorHAnsi"/>
          <w:b/>
          <w:sz w:val="28"/>
          <w:szCs w:val="24"/>
        </w:rPr>
        <w:t xml:space="preserve">  </w:t>
      </w:r>
    </w:p>
    <w:p w14:paraId="10EB5C96" w14:textId="369C5591" w:rsidR="0084192E" w:rsidRPr="0084192E" w:rsidRDefault="0084192E" w:rsidP="0084192E">
      <w:pPr>
        <w:pStyle w:val="ListParagraph"/>
        <w:numPr>
          <w:ilvl w:val="0"/>
          <w:numId w:val="32"/>
        </w:numPr>
        <w:pBdr>
          <w:top w:val="single" w:sz="4" w:space="1" w:color="3494BA" w:themeColor="accent1"/>
          <w:left w:val="single" w:sz="4" w:space="4" w:color="3494BA" w:themeColor="accent1"/>
          <w:bottom w:val="single" w:sz="4" w:space="22" w:color="3494BA" w:themeColor="accent1"/>
          <w:right w:val="single" w:sz="4" w:space="4" w:color="3494BA" w:themeColor="accent1"/>
        </w:pBdr>
        <w:shd w:val="clear" w:color="auto" w:fill="E6EEF0" w:themeFill="accent5" w:themeFillTint="33"/>
        <w:spacing w:line="276" w:lineRule="auto"/>
        <w:ind w:left="993" w:hanging="633"/>
        <w:rPr>
          <w:b/>
          <w:i/>
          <w:color w:val="002060"/>
          <w:sz w:val="26"/>
          <w:szCs w:val="20"/>
          <w:lang w:eastAsia="en-US"/>
        </w:rPr>
      </w:pPr>
      <w:r w:rsidRPr="0084192E">
        <w:rPr>
          <w:b/>
          <w:i/>
          <w:color w:val="002060"/>
          <w:sz w:val="26"/>
          <w:szCs w:val="20"/>
          <w:lang w:eastAsia="en-US"/>
        </w:rPr>
        <w:t xml:space="preserve">How can the </w:t>
      </w:r>
      <w:r w:rsidR="0033460D" w:rsidRPr="0084192E">
        <w:rPr>
          <w:b/>
          <w:i/>
          <w:color w:val="002060"/>
          <w:sz w:val="26"/>
          <w:szCs w:val="20"/>
          <w:lang w:eastAsia="en-US"/>
        </w:rPr>
        <w:t>NDI</w:t>
      </w:r>
      <w:r w:rsidR="0033460D">
        <w:rPr>
          <w:b/>
          <w:i/>
          <w:color w:val="002060"/>
          <w:sz w:val="26"/>
          <w:szCs w:val="20"/>
          <w:lang w:eastAsia="en-US"/>
        </w:rPr>
        <w:t>S</w:t>
      </w:r>
      <w:r w:rsidR="0033460D" w:rsidRPr="0084192E">
        <w:rPr>
          <w:b/>
          <w:i/>
          <w:color w:val="002060"/>
          <w:sz w:val="26"/>
          <w:szCs w:val="20"/>
          <w:lang w:eastAsia="en-US"/>
        </w:rPr>
        <w:t xml:space="preserve"> </w:t>
      </w:r>
      <w:r w:rsidR="0033460D">
        <w:rPr>
          <w:b/>
          <w:i/>
          <w:color w:val="002060"/>
          <w:sz w:val="26"/>
          <w:szCs w:val="20"/>
          <w:lang w:eastAsia="en-US"/>
        </w:rPr>
        <w:t>enable</w:t>
      </w:r>
      <w:r w:rsidR="0033460D" w:rsidRPr="0084192E">
        <w:rPr>
          <w:b/>
          <w:i/>
          <w:color w:val="002060"/>
          <w:sz w:val="26"/>
          <w:szCs w:val="20"/>
          <w:lang w:eastAsia="en-US"/>
        </w:rPr>
        <w:t xml:space="preserve"> </w:t>
      </w:r>
      <w:r w:rsidRPr="0084192E">
        <w:rPr>
          <w:b/>
          <w:i/>
          <w:color w:val="002060"/>
          <w:sz w:val="26"/>
          <w:szCs w:val="20"/>
          <w:lang w:eastAsia="en-US"/>
        </w:rPr>
        <w:t>an employment first approach in planning?</w:t>
      </w:r>
    </w:p>
    <w:p w14:paraId="395657E7" w14:textId="77777777" w:rsidR="0084192E" w:rsidRPr="0084192E" w:rsidRDefault="0084192E" w:rsidP="0084192E">
      <w:pPr>
        <w:pBdr>
          <w:top w:val="single" w:sz="4" w:space="1" w:color="3494BA" w:themeColor="accent1"/>
          <w:left w:val="single" w:sz="4" w:space="4" w:color="3494BA" w:themeColor="accent1"/>
          <w:bottom w:val="single" w:sz="4" w:space="22" w:color="3494BA" w:themeColor="accent1"/>
          <w:right w:val="single" w:sz="4" w:space="4" w:color="3494BA" w:themeColor="accent1"/>
        </w:pBdr>
        <w:shd w:val="clear" w:color="auto" w:fill="E6EEF0" w:themeFill="accent5" w:themeFillTint="33"/>
        <w:spacing w:line="276" w:lineRule="auto"/>
        <w:ind w:left="360"/>
        <w:rPr>
          <w:b/>
          <w:i/>
          <w:color w:val="002060"/>
          <w:sz w:val="2"/>
          <w:szCs w:val="20"/>
          <w:lang w:eastAsia="en-US"/>
        </w:rPr>
      </w:pPr>
    </w:p>
    <w:p w14:paraId="02620320" w14:textId="005A5746" w:rsidR="006D4B8A" w:rsidRPr="0084192E" w:rsidRDefault="006D4B8A" w:rsidP="0084192E">
      <w:pPr>
        <w:pStyle w:val="ListParagraph"/>
        <w:numPr>
          <w:ilvl w:val="0"/>
          <w:numId w:val="32"/>
        </w:numPr>
        <w:pBdr>
          <w:top w:val="single" w:sz="4" w:space="1" w:color="3494BA" w:themeColor="accent1"/>
          <w:left w:val="single" w:sz="4" w:space="4" w:color="3494BA" w:themeColor="accent1"/>
          <w:bottom w:val="single" w:sz="4" w:space="22" w:color="3494BA" w:themeColor="accent1"/>
          <w:right w:val="single" w:sz="4" w:space="4" w:color="3494BA" w:themeColor="accent1"/>
        </w:pBdr>
        <w:shd w:val="clear" w:color="auto" w:fill="E6EEF0" w:themeFill="accent5" w:themeFillTint="33"/>
        <w:spacing w:line="276" w:lineRule="auto"/>
        <w:ind w:left="993" w:hanging="633"/>
        <w:rPr>
          <w:b/>
          <w:i/>
          <w:color w:val="002060"/>
          <w:sz w:val="26"/>
          <w:szCs w:val="20"/>
          <w:lang w:eastAsia="en-US"/>
        </w:rPr>
      </w:pPr>
      <w:r w:rsidRPr="0084192E">
        <w:rPr>
          <w:b/>
          <w:i/>
          <w:color w:val="002060"/>
          <w:sz w:val="26"/>
          <w:szCs w:val="20"/>
          <w:lang w:eastAsia="en-US"/>
        </w:rPr>
        <w:t>How do current assessment processes drive the inclusion of employment supports in an NDIS participant’s plan?</w:t>
      </w:r>
      <w:r w:rsidR="0084192E">
        <w:rPr>
          <w:b/>
          <w:i/>
          <w:color w:val="002060"/>
          <w:sz w:val="26"/>
          <w:szCs w:val="20"/>
          <w:lang w:eastAsia="en-US"/>
        </w:rPr>
        <w:br/>
      </w:r>
      <w:r w:rsidRPr="0084192E">
        <w:rPr>
          <w:b/>
          <w:i/>
          <w:color w:val="002060"/>
          <w:sz w:val="26"/>
          <w:szCs w:val="20"/>
          <w:lang w:eastAsia="en-US"/>
        </w:rPr>
        <w:t>a) Are existing employment assessment processes appropriate for NDIS participants</w:t>
      </w:r>
      <w:r w:rsidR="00517570" w:rsidRPr="0084192E">
        <w:rPr>
          <w:b/>
          <w:i/>
          <w:color w:val="002060"/>
          <w:sz w:val="26"/>
          <w:szCs w:val="20"/>
          <w:lang w:eastAsia="en-US"/>
        </w:rPr>
        <w:t>?</w:t>
      </w:r>
    </w:p>
    <w:p w14:paraId="596A9D23" w14:textId="77777777" w:rsidR="006D4B8A" w:rsidRPr="0084192E" w:rsidRDefault="006D4B8A" w:rsidP="00A0638F">
      <w:pPr>
        <w:pBdr>
          <w:top w:val="single" w:sz="4" w:space="1" w:color="3494BA" w:themeColor="accent1"/>
          <w:left w:val="single" w:sz="4" w:space="4" w:color="3494BA" w:themeColor="accent1"/>
          <w:bottom w:val="single" w:sz="4" w:space="22" w:color="3494BA" w:themeColor="accent1"/>
          <w:right w:val="single" w:sz="4" w:space="4" w:color="3494BA" w:themeColor="accent1"/>
        </w:pBdr>
        <w:shd w:val="clear" w:color="auto" w:fill="E6EEF0" w:themeFill="accent5" w:themeFillTint="33"/>
        <w:spacing w:line="276" w:lineRule="auto"/>
        <w:ind w:left="360"/>
        <w:rPr>
          <w:b/>
          <w:i/>
          <w:color w:val="002060"/>
          <w:sz w:val="2"/>
          <w:szCs w:val="2"/>
          <w:lang w:eastAsia="en-US"/>
        </w:rPr>
      </w:pPr>
    </w:p>
    <w:p w14:paraId="021ACD7E" w14:textId="574DA58C" w:rsidR="006D4B8A" w:rsidRPr="0084192E" w:rsidRDefault="006D4B8A" w:rsidP="0084192E">
      <w:pPr>
        <w:pStyle w:val="ListParagraph"/>
        <w:numPr>
          <w:ilvl w:val="0"/>
          <w:numId w:val="32"/>
        </w:numPr>
        <w:pBdr>
          <w:top w:val="single" w:sz="4" w:space="1" w:color="3494BA" w:themeColor="accent1"/>
          <w:left w:val="single" w:sz="4" w:space="4" w:color="3494BA" w:themeColor="accent1"/>
          <w:bottom w:val="single" w:sz="4" w:space="22" w:color="3494BA" w:themeColor="accent1"/>
          <w:right w:val="single" w:sz="4" w:space="4" w:color="3494BA" w:themeColor="accent1"/>
        </w:pBdr>
        <w:shd w:val="clear" w:color="auto" w:fill="E6EEF0" w:themeFill="accent5" w:themeFillTint="33"/>
        <w:spacing w:line="276" w:lineRule="auto"/>
        <w:ind w:left="993" w:hanging="633"/>
        <w:rPr>
          <w:b/>
          <w:i/>
          <w:color w:val="002060"/>
          <w:sz w:val="26"/>
          <w:szCs w:val="20"/>
          <w:lang w:eastAsia="en-US"/>
        </w:rPr>
      </w:pPr>
      <w:r w:rsidRPr="0084192E">
        <w:rPr>
          <w:b/>
          <w:i/>
          <w:color w:val="002060"/>
          <w:sz w:val="26"/>
          <w:szCs w:val="20"/>
          <w:lang w:eastAsia="en-US"/>
        </w:rPr>
        <w:t>Are there different approaches to planning that could be explored for different groups of supported employees (e.g. younger workers, established workers, retirement transition)</w:t>
      </w:r>
      <w:r w:rsidR="00517570" w:rsidRPr="0084192E">
        <w:rPr>
          <w:b/>
          <w:i/>
          <w:color w:val="002060"/>
          <w:sz w:val="26"/>
          <w:szCs w:val="20"/>
          <w:lang w:eastAsia="en-US"/>
        </w:rPr>
        <w:t>?</w:t>
      </w:r>
      <w:r w:rsidR="0084192E">
        <w:rPr>
          <w:b/>
          <w:i/>
          <w:color w:val="002060"/>
          <w:sz w:val="26"/>
          <w:szCs w:val="20"/>
          <w:lang w:eastAsia="en-US"/>
        </w:rPr>
        <w:br/>
      </w:r>
      <w:r w:rsidR="008452AF" w:rsidRPr="0084192E">
        <w:rPr>
          <w:b/>
          <w:i/>
          <w:color w:val="002060"/>
          <w:sz w:val="26"/>
          <w:szCs w:val="20"/>
          <w:lang w:eastAsia="en-US"/>
        </w:rPr>
        <w:t xml:space="preserve">a) </w:t>
      </w:r>
      <w:r w:rsidRPr="0084192E">
        <w:rPr>
          <w:b/>
          <w:i/>
          <w:color w:val="002060"/>
          <w:sz w:val="26"/>
          <w:szCs w:val="20"/>
          <w:lang w:eastAsia="en-US"/>
        </w:rPr>
        <w:t>How could SLES better support school leavers to build skills and confidence in order to move from school to employment?</w:t>
      </w:r>
    </w:p>
    <w:p w14:paraId="490A9B8E" w14:textId="77777777" w:rsidR="006D4B8A" w:rsidRPr="0084192E" w:rsidRDefault="006D4B8A" w:rsidP="00A0638F">
      <w:pPr>
        <w:pBdr>
          <w:top w:val="single" w:sz="4" w:space="1" w:color="3494BA" w:themeColor="accent1"/>
          <w:left w:val="single" w:sz="4" w:space="4" w:color="3494BA" w:themeColor="accent1"/>
          <w:bottom w:val="single" w:sz="4" w:space="22" w:color="3494BA" w:themeColor="accent1"/>
          <w:right w:val="single" w:sz="4" w:space="4" w:color="3494BA" w:themeColor="accent1"/>
        </w:pBdr>
        <w:shd w:val="clear" w:color="auto" w:fill="E6EEF0" w:themeFill="accent5" w:themeFillTint="33"/>
        <w:spacing w:line="276" w:lineRule="auto"/>
        <w:ind w:left="360"/>
        <w:rPr>
          <w:b/>
          <w:i/>
          <w:color w:val="002060"/>
          <w:sz w:val="8"/>
          <w:szCs w:val="2"/>
          <w:lang w:eastAsia="en-US"/>
        </w:rPr>
      </w:pPr>
    </w:p>
    <w:p w14:paraId="39822E2C" w14:textId="05D39F3F" w:rsidR="006D4B8A" w:rsidRPr="0084192E" w:rsidRDefault="006D4B8A" w:rsidP="0084192E">
      <w:pPr>
        <w:pStyle w:val="ListParagraph"/>
        <w:numPr>
          <w:ilvl w:val="0"/>
          <w:numId w:val="32"/>
        </w:numPr>
        <w:pBdr>
          <w:top w:val="single" w:sz="4" w:space="1" w:color="3494BA" w:themeColor="accent1"/>
          <w:left w:val="single" w:sz="4" w:space="4" w:color="3494BA" w:themeColor="accent1"/>
          <w:bottom w:val="single" w:sz="4" w:space="22" w:color="3494BA" w:themeColor="accent1"/>
          <w:right w:val="single" w:sz="4" w:space="4" w:color="3494BA" w:themeColor="accent1"/>
        </w:pBdr>
        <w:shd w:val="clear" w:color="auto" w:fill="E6EEF0" w:themeFill="accent5" w:themeFillTint="33"/>
        <w:spacing w:line="276" w:lineRule="auto"/>
        <w:ind w:left="993" w:hanging="633"/>
        <w:rPr>
          <w:b/>
          <w:i/>
          <w:color w:val="002060"/>
          <w:sz w:val="26"/>
          <w:szCs w:val="20"/>
          <w:lang w:eastAsia="en-US"/>
        </w:rPr>
      </w:pPr>
      <w:r w:rsidRPr="0084192E">
        <w:rPr>
          <w:b/>
          <w:i/>
          <w:color w:val="002060"/>
          <w:sz w:val="26"/>
          <w:szCs w:val="20"/>
          <w:lang w:eastAsia="en-US"/>
        </w:rPr>
        <w:t>What role could or should an NDIA Local Area Coordinator or planner have in linking participants to an employment opportunity?</w:t>
      </w:r>
    </w:p>
    <w:p w14:paraId="0358CADF" w14:textId="77777777" w:rsidR="006D4B8A" w:rsidRPr="0084192E" w:rsidRDefault="006D4B8A" w:rsidP="006D4B8A">
      <w:pPr>
        <w:pBdr>
          <w:top w:val="single" w:sz="4" w:space="1" w:color="3494BA" w:themeColor="accent1"/>
          <w:left w:val="single" w:sz="4" w:space="4" w:color="3494BA" w:themeColor="accent1"/>
          <w:bottom w:val="single" w:sz="4" w:space="22" w:color="3494BA" w:themeColor="accent1"/>
          <w:right w:val="single" w:sz="4" w:space="4" w:color="3494BA" w:themeColor="accent1"/>
        </w:pBdr>
        <w:shd w:val="clear" w:color="auto" w:fill="E6EEF0" w:themeFill="accent5" w:themeFillTint="33"/>
        <w:spacing w:line="276" w:lineRule="auto"/>
        <w:ind w:left="360"/>
        <w:rPr>
          <w:b/>
          <w:i/>
          <w:color w:val="002060"/>
          <w:sz w:val="8"/>
          <w:szCs w:val="20"/>
          <w:lang w:eastAsia="en-US"/>
        </w:rPr>
      </w:pPr>
    </w:p>
    <w:p w14:paraId="22556FF0" w14:textId="4692A88C" w:rsidR="006D4B8A" w:rsidRPr="0084192E" w:rsidRDefault="006D4B8A" w:rsidP="0084192E">
      <w:pPr>
        <w:pStyle w:val="ListParagraph"/>
        <w:numPr>
          <w:ilvl w:val="0"/>
          <w:numId w:val="32"/>
        </w:numPr>
        <w:pBdr>
          <w:top w:val="single" w:sz="4" w:space="1" w:color="3494BA" w:themeColor="accent1"/>
          <w:left w:val="single" w:sz="4" w:space="4" w:color="3494BA" w:themeColor="accent1"/>
          <w:bottom w:val="single" w:sz="4" w:space="22" w:color="3494BA" w:themeColor="accent1"/>
          <w:right w:val="single" w:sz="4" w:space="4" w:color="3494BA" w:themeColor="accent1"/>
        </w:pBdr>
        <w:shd w:val="clear" w:color="auto" w:fill="E6EEF0" w:themeFill="accent5" w:themeFillTint="33"/>
        <w:spacing w:line="276" w:lineRule="auto"/>
        <w:ind w:left="993" w:hanging="633"/>
        <w:rPr>
          <w:b/>
          <w:i/>
          <w:color w:val="002060"/>
          <w:sz w:val="26"/>
          <w:szCs w:val="20"/>
          <w:lang w:eastAsia="en-US"/>
        </w:rPr>
      </w:pPr>
      <w:r w:rsidRPr="0084192E">
        <w:rPr>
          <w:b/>
          <w:i/>
          <w:color w:val="002060"/>
          <w:sz w:val="26"/>
          <w:szCs w:val="20"/>
          <w:lang w:eastAsia="en-US"/>
        </w:rPr>
        <w:t>What role could or should NDIA market stewardship have in developing a market with a range of employment, other support, or participation options for existing supported employees?</w:t>
      </w:r>
    </w:p>
    <w:p w14:paraId="34973DF4" w14:textId="669DBB17" w:rsidR="00F0204A" w:rsidRPr="00456ADB" w:rsidRDefault="006D4B8A" w:rsidP="00AE4AD0">
      <w:pPr>
        <w:pStyle w:val="Heading1"/>
      </w:pPr>
      <w:r>
        <w:br w:type="page"/>
      </w:r>
      <w:bookmarkStart w:id="98" w:name="_Toc500401889"/>
      <w:r w:rsidR="00F0204A" w:rsidRPr="005F59D5">
        <w:lastRenderedPageBreak/>
        <w:t>Next steps</w:t>
      </w:r>
      <w:bookmarkEnd w:id="98"/>
      <w:r w:rsidR="00F0204A" w:rsidRPr="005F59D5">
        <w:t xml:space="preserve"> </w:t>
      </w:r>
    </w:p>
    <w:p w14:paraId="29308000" w14:textId="2240473E" w:rsidR="003F554C" w:rsidRDefault="003F554C" w:rsidP="003F554C">
      <w:pPr>
        <w:spacing w:before="0" w:after="0"/>
        <w:rPr>
          <w:sz w:val="23"/>
          <w:szCs w:val="23"/>
          <w:lang w:val="en-US"/>
        </w:rPr>
      </w:pPr>
    </w:p>
    <w:p w14:paraId="44AB48FB" w14:textId="77777777" w:rsidR="003F554C" w:rsidRPr="003F554C" w:rsidRDefault="003F554C" w:rsidP="003F554C">
      <w:pPr>
        <w:spacing w:before="0" w:after="0"/>
        <w:rPr>
          <w:sz w:val="23"/>
          <w:szCs w:val="23"/>
          <w:lang w:val="en-US"/>
        </w:rPr>
      </w:pPr>
      <w:r w:rsidRPr="003F554C">
        <w:rPr>
          <w:sz w:val="23"/>
          <w:szCs w:val="23"/>
          <w:lang w:val="en-US"/>
        </w:rPr>
        <w:t>The discussion paper invites you to have your say</w:t>
      </w:r>
      <w:r>
        <w:rPr>
          <w:sz w:val="23"/>
          <w:szCs w:val="23"/>
          <w:lang w:val="en-US"/>
        </w:rPr>
        <w:t>.</w:t>
      </w:r>
    </w:p>
    <w:p w14:paraId="7A1B9BDF" w14:textId="77777777" w:rsidR="00882C6C" w:rsidRDefault="00882C6C" w:rsidP="00082A31">
      <w:pPr>
        <w:spacing w:before="0" w:after="0"/>
        <w:rPr>
          <w:rFonts w:cs="Arial"/>
          <w:sz w:val="23"/>
          <w:szCs w:val="23"/>
        </w:rPr>
      </w:pPr>
    </w:p>
    <w:p w14:paraId="1037C049" w14:textId="77777777" w:rsidR="003F554C" w:rsidRPr="003F554C" w:rsidRDefault="00082A31" w:rsidP="00082A31">
      <w:pPr>
        <w:spacing w:before="0" w:after="0"/>
        <w:rPr>
          <w:rFonts w:cs="Arial"/>
          <w:sz w:val="23"/>
          <w:szCs w:val="23"/>
        </w:rPr>
      </w:pPr>
      <w:r>
        <w:rPr>
          <w:rFonts w:cs="Arial"/>
          <w:sz w:val="23"/>
          <w:szCs w:val="23"/>
        </w:rPr>
        <w:t>DSS</w:t>
      </w:r>
      <w:r w:rsidR="003F554C" w:rsidRPr="003F554C">
        <w:rPr>
          <w:rFonts w:cs="Arial"/>
          <w:sz w:val="23"/>
          <w:szCs w:val="23"/>
        </w:rPr>
        <w:t xml:space="preserve"> intends to undertake a </w:t>
      </w:r>
      <w:r w:rsidR="00961F34">
        <w:rPr>
          <w:rFonts w:cs="Arial"/>
          <w:sz w:val="23"/>
          <w:szCs w:val="23"/>
        </w:rPr>
        <w:t xml:space="preserve">range of </w:t>
      </w:r>
      <w:r w:rsidR="003F554C" w:rsidRPr="003F554C">
        <w:rPr>
          <w:rFonts w:cs="Arial"/>
          <w:sz w:val="23"/>
          <w:szCs w:val="23"/>
        </w:rPr>
        <w:t xml:space="preserve">consultation </w:t>
      </w:r>
      <w:r w:rsidR="00961F34">
        <w:rPr>
          <w:rFonts w:cs="Arial"/>
          <w:sz w:val="23"/>
          <w:szCs w:val="23"/>
        </w:rPr>
        <w:t xml:space="preserve">activities to </w:t>
      </w:r>
      <w:r w:rsidR="001E1EBE">
        <w:rPr>
          <w:rFonts w:cs="Arial"/>
          <w:sz w:val="23"/>
          <w:szCs w:val="23"/>
        </w:rPr>
        <w:t>engage</w:t>
      </w:r>
      <w:r w:rsidR="003F554C" w:rsidRPr="003F554C">
        <w:rPr>
          <w:rFonts w:cs="Arial"/>
          <w:sz w:val="23"/>
          <w:szCs w:val="23"/>
        </w:rPr>
        <w:t xml:space="preserve"> </w:t>
      </w:r>
      <w:r w:rsidR="00961F34">
        <w:rPr>
          <w:rFonts w:cs="Arial"/>
          <w:sz w:val="23"/>
          <w:szCs w:val="23"/>
        </w:rPr>
        <w:t xml:space="preserve">directly </w:t>
      </w:r>
      <w:r w:rsidR="003F554C" w:rsidRPr="003F554C">
        <w:rPr>
          <w:rFonts w:cs="Arial"/>
          <w:sz w:val="23"/>
          <w:szCs w:val="23"/>
        </w:rPr>
        <w:t>with:</w:t>
      </w:r>
    </w:p>
    <w:p w14:paraId="45D8772D" w14:textId="77777777" w:rsidR="003F554C" w:rsidRPr="003F554C" w:rsidRDefault="003F554C" w:rsidP="00712B97">
      <w:pPr>
        <w:pStyle w:val="ListParagraph"/>
        <w:numPr>
          <w:ilvl w:val="0"/>
          <w:numId w:val="12"/>
        </w:numPr>
        <w:spacing w:before="0" w:after="0" w:line="240" w:lineRule="auto"/>
        <w:contextualSpacing w:val="0"/>
        <w:rPr>
          <w:rFonts w:cs="Arial"/>
          <w:sz w:val="23"/>
          <w:szCs w:val="23"/>
          <w:lang w:eastAsia="en-US"/>
        </w:rPr>
      </w:pPr>
      <w:r w:rsidRPr="003F554C">
        <w:rPr>
          <w:rFonts w:cs="Arial"/>
          <w:sz w:val="23"/>
          <w:szCs w:val="23"/>
          <w:lang w:eastAsia="en-US"/>
        </w:rPr>
        <w:t>Australian Disability Enterprises</w:t>
      </w:r>
    </w:p>
    <w:p w14:paraId="1C60DE34" w14:textId="3E8F531A" w:rsidR="003F554C" w:rsidRPr="003F554C" w:rsidRDefault="003F554C" w:rsidP="00712B97">
      <w:pPr>
        <w:pStyle w:val="ListParagraph"/>
        <w:numPr>
          <w:ilvl w:val="0"/>
          <w:numId w:val="12"/>
        </w:numPr>
        <w:spacing w:before="0" w:after="0" w:line="240" w:lineRule="auto"/>
        <w:contextualSpacing w:val="0"/>
        <w:rPr>
          <w:rFonts w:cs="Arial"/>
          <w:sz w:val="23"/>
          <w:szCs w:val="23"/>
          <w:lang w:eastAsia="en-US"/>
        </w:rPr>
      </w:pPr>
      <w:r w:rsidRPr="003F554C">
        <w:rPr>
          <w:rFonts w:cs="Arial"/>
          <w:sz w:val="23"/>
          <w:szCs w:val="23"/>
          <w:lang w:eastAsia="en-US"/>
        </w:rPr>
        <w:t xml:space="preserve">Supported </w:t>
      </w:r>
      <w:r w:rsidR="000906DF">
        <w:rPr>
          <w:rFonts w:cs="Arial"/>
          <w:sz w:val="23"/>
          <w:szCs w:val="23"/>
          <w:lang w:eastAsia="en-US"/>
        </w:rPr>
        <w:t>e</w:t>
      </w:r>
      <w:r w:rsidRPr="003F554C">
        <w:rPr>
          <w:rFonts w:cs="Arial"/>
          <w:sz w:val="23"/>
          <w:szCs w:val="23"/>
          <w:lang w:eastAsia="en-US"/>
        </w:rPr>
        <w:t>mployees</w:t>
      </w:r>
    </w:p>
    <w:p w14:paraId="4B393719" w14:textId="77777777" w:rsidR="003F554C" w:rsidRPr="003F554C" w:rsidRDefault="003F554C" w:rsidP="00712B97">
      <w:pPr>
        <w:pStyle w:val="ListParagraph"/>
        <w:numPr>
          <w:ilvl w:val="0"/>
          <w:numId w:val="12"/>
        </w:numPr>
        <w:spacing w:before="0" w:after="0" w:line="240" w:lineRule="auto"/>
        <w:contextualSpacing w:val="0"/>
        <w:rPr>
          <w:rFonts w:cs="Arial"/>
          <w:sz w:val="23"/>
          <w:szCs w:val="23"/>
          <w:lang w:eastAsia="en-US"/>
        </w:rPr>
      </w:pPr>
      <w:r w:rsidRPr="003F554C">
        <w:rPr>
          <w:rFonts w:cs="Arial"/>
          <w:sz w:val="23"/>
          <w:szCs w:val="23"/>
          <w:lang w:eastAsia="en-US"/>
        </w:rPr>
        <w:t xml:space="preserve">Families and carers of current supported employees </w:t>
      </w:r>
    </w:p>
    <w:p w14:paraId="6D039B7D" w14:textId="77777777" w:rsidR="003F554C" w:rsidRPr="003F554C" w:rsidRDefault="003F554C" w:rsidP="00712B97">
      <w:pPr>
        <w:pStyle w:val="ListParagraph"/>
        <w:numPr>
          <w:ilvl w:val="0"/>
          <w:numId w:val="12"/>
        </w:numPr>
        <w:spacing w:before="0" w:after="0" w:line="240" w:lineRule="auto"/>
        <w:contextualSpacing w:val="0"/>
        <w:rPr>
          <w:rFonts w:cs="Arial"/>
          <w:sz w:val="23"/>
          <w:szCs w:val="23"/>
          <w:lang w:eastAsia="en-US"/>
        </w:rPr>
      </w:pPr>
      <w:r w:rsidRPr="003F554C">
        <w:rPr>
          <w:rFonts w:cs="Arial"/>
          <w:sz w:val="23"/>
          <w:szCs w:val="23"/>
          <w:lang w:eastAsia="en-US"/>
        </w:rPr>
        <w:t>Disability Employment Services Providers</w:t>
      </w:r>
    </w:p>
    <w:p w14:paraId="3E70E958" w14:textId="77777777" w:rsidR="003F554C" w:rsidRPr="003F554C" w:rsidRDefault="003F554C" w:rsidP="00712B97">
      <w:pPr>
        <w:pStyle w:val="ListParagraph"/>
        <w:numPr>
          <w:ilvl w:val="0"/>
          <w:numId w:val="12"/>
        </w:numPr>
        <w:spacing w:before="0" w:after="0" w:line="240" w:lineRule="auto"/>
        <w:contextualSpacing w:val="0"/>
        <w:rPr>
          <w:rFonts w:cs="Arial"/>
          <w:sz w:val="23"/>
          <w:szCs w:val="23"/>
          <w:lang w:eastAsia="en-US"/>
        </w:rPr>
      </w:pPr>
      <w:r w:rsidRPr="003F554C">
        <w:rPr>
          <w:rFonts w:cs="Arial"/>
          <w:sz w:val="23"/>
          <w:szCs w:val="23"/>
          <w:lang w:eastAsia="en-US"/>
        </w:rPr>
        <w:t>The National Disability Insurance Agency (NDIA)</w:t>
      </w:r>
    </w:p>
    <w:p w14:paraId="0CB4B435" w14:textId="77777777" w:rsidR="003F554C" w:rsidRPr="003F554C" w:rsidRDefault="003F554C" w:rsidP="00712B97">
      <w:pPr>
        <w:pStyle w:val="ListParagraph"/>
        <w:numPr>
          <w:ilvl w:val="0"/>
          <w:numId w:val="12"/>
        </w:numPr>
        <w:spacing w:before="0" w:after="0" w:line="240" w:lineRule="auto"/>
        <w:contextualSpacing w:val="0"/>
        <w:rPr>
          <w:rFonts w:cs="Arial"/>
          <w:sz w:val="23"/>
          <w:szCs w:val="23"/>
          <w:lang w:eastAsia="en-US"/>
        </w:rPr>
      </w:pPr>
      <w:r w:rsidRPr="003F554C">
        <w:rPr>
          <w:rFonts w:cs="Arial"/>
          <w:sz w:val="23"/>
          <w:szCs w:val="23"/>
          <w:lang w:eastAsia="en-US"/>
        </w:rPr>
        <w:t>Providers of employment supports, registered with the NDIA</w:t>
      </w:r>
    </w:p>
    <w:p w14:paraId="0B720390" w14:textId="77777777" w:rsidR="003F554C" w:rsidRPr="003F554C" w:rsidRDefault="003F554C" w:rsidP="00712B97">
      <w:pPr>
        <w:pStyle w:val="ListParagraph"/>
        <w:numPr>
          <w:ilvl w:val="0"/>
          <w:numId w:val="12"/>
        </w:numPr>
        <w:spacing w:before="0" w:after="0" w:line="240" w:lineRule="auto"/>
        <w:contextualSpacing w:val="0"/>
        <w:rPr>
          <w:rFonts w:cs="Arial"/>
          <w:sz w:val="23"/>
          <w:szCs w:val="23"/>
          <w:lang w:eastAsia="en-US"/>
        </w:rPr>
      </w:pPr>
      <w:r w:rsidRPr="003F554C">
        <w:rPr>
          <w:rFonts w:cs="Arial"/>
          <w:sz w:val="23"/>
          <w:szCs w:val="23"/>
          <w:lang w:eastAsia="en-US"/>
        </w:rPr>
        <w:t>Peak organisations representing disability services</w:t>
      </w:r>
    </w:p>
    <w:p w14:paraId="2FFF6888" w14:textId="56FC1110" w:rsidR="003F554C" w:rsidRPr="003F554C" w:rsidRDefault="003F554C" w:rsidP="001614AC">
      <w:pPr>
        <w:pStyle w:val="ListParagraph"/>
        <w:numPr>
          <w:ilvl w:val="0"/>
          <w:numId w:val="12"/>
        </w:numPr>
        <w:spacing w:before="0" w:after="0" w:line="240" w:lineRule="auto"/>
        <w:contextualSpacing w:val="0"/>
        <w:rPr>
          <w:rFonts w:cs="Arial"/>
          <w:sz w:val="23"/>
          <w:szCs w:val="23"/>
          <w:lang w:eastAsia="en-US"/>
        </w:rPr>
      </w:pPr>
      <w:r w:rsidRPr="003F554C">
        <w:rPr>
          <w:rFonts w:cs="Arial"/>
          <w:sz w:val="23"/>
          <w:szCs w:val="23"/>
          <w:lang w:eastAsia="en-US"/>
        </w:rPr>
        <w:t>Advocates representing people with disability</w:t>
      </w:r>
      <w:r w:rsidR="001614AC" w:rsidRPr="001614AC">
        <w:t xml:space="preserve"> </w:t>
      </w:r>
      <w:r w:rsidR="001614AC" w:rsidRPr="001614AC">
        <w:rPr>
          <w:rFonts w:cs="Arial"/>
          <w:sz w:val="23"/>
          <w:szCs w:val="23"/>
          <w:lang w:eastAsia="en-US"/>
        </w:rPr>
        <w:t>and lived experience of disability</w:t>
      </w:r>
      <w:r w:rsidR="008452AF">
        <w:rPr>
          <w:rFonts w:cs="Arial"/>
          <w:sz w:val="23"/>
          <w:szCs w:val="23"/>
          <w:lang w:eastAsia="en-US"/>
        </w:rPr>
        <w:t>, and</w:t>
      </w:r>
    </w:p>
    <w:p w14:paraId="7459EC3D" w14:textId="77777777" w:rsidR="003F554C" w:rsidRPr="003F554C" w:rsidRDefault="003F554C" w:rsidP="00712B97">
      <w:pPr>
        <w:pStyle w:val="ListParagraph"/>
        <w:numPr>
          <w:ilvl w:val="0"/>
          <w:numId w:val="12"/>
        </w:numPr>
        <w:spacing w:before="0" w:after="0" w:line="240" w:lineRule="auto"/>
        <w:contextualSpacing w:val="0"/>
        <w:rPr>
          <w:rFonts w:cs="Arial"/>
          <w:sz w:val="23"/>
          <w:szCs w:val="23"/>
        </w:rPr>
      </w:pPr>
      <w:r w:rsidRPr="003F554C">
        <w:rPr>
          <w:rFonts w:cs="Arial"/>
          <w:sz w:val="23"/>
          <w:szCs w:val="23"/>
          <w:lang w:eastAsia="en-US"/>
        </w:rPr>
        <w:t>Other stakeholder</w:t>
      </w:r>
      <w:r w:rsidR="001E1EBE">
        <w:rPr>
          <w:rFonts w:cs="Arial"/>
          <w:sz w:val="23"/>
          <w:szCs w:val="23"/>
          <w:lang w:eastAsia="en-US"/>
        </w:rPr>
        <w:t>s</w:t>
      </w:r>
      <w:r w:rsidRPr="003F554C">
        <w:rPr>
          <w:rFonts w:cs="Arial"/>
          <w:sz w:val="23"/>
          <w:szCs w:val="23"/>
          <w:lang w:eastAsia="en-US"/>
        </w:rPr>
        <w:t xml:space="preserve"> identified in consultation with the Department</w:t>
      </w:r>
      <w:r w:rsidRPr="003F554C">
        <w:rPr>
          <w:rFonts w:cs="Arial"/>
          <w:sz w:val="23"/>
          <w:szCs w:val="23"/>
        </w:rPr>
        <w:t>.</w:t>
      </w:r>
    </w:p>
    <w:p w14:paraId="38C8E143" w14:textId="77777777" w:rsidR="00082A31" w:rsidRDefault="003F554C" w:rsidP="00082A31">
      <w:pPr>
        <w:spacing w:before="100" w:beforeAutospacing="1" w:after="100" w:afterAutospacing="1"/>
        <w:rPr>
          <w:rFonts w:cs="Arial"/>
          <w:sz w:val="23"/>
          <w:szCs w:val="23"/>
        </w:rPr>
      </w:pPr>
      <w:r>
        <w:rPr>
          <w:rFonts w:cs="Arial"/>
          <w:sz w:val="23"/>
          <w:szCs w:val="23"/>
        </w:rPr>
        <w:t>Your input will</w:t>
      </w:r>
      <w:r w:rsidRPr="003F554C">
        <w:rPr>
          <w:rFonts w:cs="Arial"/>
          <w:sz w:val="23"/>
          <w:szCs w:val="23"/>
        </w:rPr>
        <w:t> help inform policy development.</w:t>
      </w:r>
      <w:r w:rsidR="00961F34">
        <w:rPr>
          <w:rFonts w:cs="Arial"/>
          <w:sz w:val="23"/>
          <w:szCs w:val="23"/>
        </w:rPr>
        <w:t xml:space="preserve"> Workshops and interviews will</w:t>
      </w:r>
      <w:r w:rsidRPr="003F554C">
        <w:rPr>
          <w:rFonts w:cs="Arial"/>
          <w:sz w:val="23"/>
          <w:szCs w:val="23"/>
        </w:rPr>
        <w:t> allow for exchange of information, experiences and insights to ensure a better understanding of the needs of around 20,000 suppo</w:t>
      </w:r>
      <w:r>
        <w:rPr>
          <w:rFonts w:cs="Arial"/>
          <w:sz w:val="23"/>
          <w:szCs w:val="23"/>
        </w:rPr>
        <w:t>rted employees and future NDIS p</w:t>
      </w:r>
      <w:r w:rsidRPr="003F554C">
        <w:rPr>
          <w:rFonts w:cs="Arial"/>
          <w:sz w:val="23"/>
          <w:szCs w:val="23"/>
        </w:rPr>
        <w:t xml:space="preserve">articipants seeking employment across Australia. </w:t>
      </w:r>
    </w:p>
    <w:p w14:paraId="0D769FFC" w14:textId="2AFF4149" w:rsidR="003F554C" w:rsidRPr="003F554C" w:rsidRDefault="00882C6C" w:rsidP="00082A31">
      <w:pPr>
        <w:spacing w:before="100" w:beforeAutospacing="1" w:after="100" w:afterAutospacing="1"/>
        <w:rPr>
          <w:rFonts w:cs="Arial"/>
          <w:sz w:val="23"/>
          <w:szCs w:val="23"/>
        </w:rPr>
      </w:pPr>
      <w:r>
        <w:rPr>
          <w:rFonts w:cs="Arial"/>
          <w:sz w:val="23"/>
          <w:szCs w:val="23"/>
        </w:rPr>
        <w:t xml:space="preserve">The Government and </w:t>
      </w:r>
      <w:r w:rsidR="00082A31">
        <w:rPr>
          <w:rFonts w:cs="Arial"/>
          <w:sz w:val="23"/>
          <w:szCs w:val="23"/>
        </w:rPr>
        <w:t>DSS</w:t>
      </w:r>
      <w:r w:rsidR="003F554C" w:rsidRPr="003F554C">
        <w:rPr>
          <w:rFonts w:cs="Arial"/>
          <w:sz w:val="23"/>
          <w:szCs w:val="23"/>
        </w:rPr>
        <w:t xml:space="preserve"> understand the importance of ensuring that any </w:t>
      </w:r>
      <w:r w:rsidR="001E1EBE">
        <w:rPr>
          <w:rFonts w:cs="Arial"/>
          <w:sz w:val="23"/>
          <w:szCs w:val="23"/>
        </w:rPr>
        <w:t xml:space="preserve">future </w:t>
      </w:r>
      <w:r w:rsidR="003F554C" w:rsidRPr="003F554C">
        <w:rPr>
          <w:rFonts w:cs="Arial"/>
          <w:sz w:val="23"/>
          <w:szCs w:val="23"/>
        </w:rPr>
        <w:t xml:space="preserve">changes to </w:t>
      </w:r>
      <w:r>
        <w:rPr>
          <w:rFonts w:cs="Arial"/>
          <w:sz w:val="23"/>
          <w:szCs w:val="23"/>
        </w:rPr>
        <w:t>supported employment</w:t>
      </w:r>
      <w:r w:rsidRPr="003F554C">
        <w:rPr>
          <w:rFonts w:cs="Arial"/>
          <w:sz w:val="23"/>
          <w:szCs w:val="23"/>
        </w:rPr>
        <w:t xml:space="preserve"> </w:t>
      </w:r>
      <w:r w:rsidR="003F554C" w:rsidRPr="003F554C">
        <w:rPr>
          <w:rFonts w:cs="Arial"/>
          <w:sz w:val="23"/>
          <w:szCs w:val="23"/>
        </w:rPr>
        <w:t>policy are fair, thorou</w:t>
      </w:r>
      <w:r w:rsidR="003F554C">
        <w:rPr>
          <w:rFonts w:cs="Arial"/>
          <w:sz w:val="23"/>
          <w:szCs w:val="23"/>
        </w:rPr>
        <w:t xml:space="preserve">ghly discussed, planned and </w:t>
      </w:r>
      <w:r w:rsidR="003F554C" w:rsidRPr="003F554C">
        <w:rPr>
          <w:rFonts w:cs="Arial"/>
          <w:sz w:val="23"/>
          <w:szCs w:val="23"/>
        </w:rPr>
        <w:t>smoothly implemented</w:t>
      </w:r>
      <w:r>
        <w:rPr>
          <w:rFonts w:cs="Arial"/>
          <w:sz w:val="23"/>
          <w:szCs w:val="23"/>
        </w:rPr>
        <w:t xml:space="preserve"> for employees, their families and carers</w:t>
      </w:r>
      <w:r w:rsidR="008452AF">
        <w:rPr>
          <w:rFonts w:cs="Arial"/>
          <w:sz w:val="23"/>
          <w:szCs w:val="23"/>
        </w:rPr>
        <w:t>,</w:t>
      </w:r>
      <w:r>
        <w:rPr>
          <w:rFonts w:cs="Arial"/>
          <w:sz w:val="23"/>
          <w:szCs w:val="23"/>
        </w:rPr>
        <w:t xml:space="preserve"> and ADEs</w:t>
      </w:r>
      <w:r w:rsidR="003F554C" w:rsidRPr="003F554C">
        <w:rPr>
          <w:rFonts w:cs="Arial"/>
          <w:sz w:val="23"/>
          <w:szCs w:val="23"/>
        </w:rPr>
        <w:t>.</w:t>
      </w:r>
    </w:p>
    <w:p w14:paraId="1AE43574" w14:textId="77777777" w:rsidR="00CA2D66" w:rsidRPr="00493BDD" w:rsidRDefault="00CA2D66" w:rsidP="00A0638F">
      <w:pPr>
        <w:pStyle w:val="Heading3"/>
      </w:pPr>
      <w:bookmarkStart w:id="99" w:name="_Toc497385020"/>
      <w:bookmarkStart w:id="100" w:name="_Toc500342856"/>
      <w:bookmarkStart w:id="101" w:name="_Toc500401890"/>
      <w:r w:rsidRPr="00493BDD">
        <w:t>The consultation period</w:t>
      </w:r>
      <w:bookmarkEnd w:id="99"/>
      <w:bookmarkEnd w:id="100"/>
      <w:bookmarkEnd w:id="101"/>
      <w:r w:rsidRPr="00493BDD">
        <w:t xml:space="preserve"> </w:t>
      </w:r>
    </w:p>
    <w:p w14:paraId="3FE371BE" w14:textId="61711652" w:rsidR="00CA2D66" w:rsidRPr="00493BDD" w:rsidRDefault="00FF4837" w:rsidP="00FF4837">
      <w:pPr>
        <w:rPr>
          <w:sz w:val="23"/>
          <w:szCs w:val="23"/>
        </w:rPr>
      </w:pPr>
      <w:r w:rsidRPr="00493BDD">
        <w:rPr>
          <w:sz w:val="23"/>
          <w:szCs w:val="23"/>
        </w:rPr>
        <w:t>The consultation period for this discussion paper is open from</w:t>
      </w:r>
      <w:r w:rsidR="00CA2D66" w:rsidRPr="00493BDD">
        <w:rPr>
          <w:sz w:val="23"/>
          <w:szCs w:val="23"/>
        </w:rPr>
        <w:t>:</w:t>
      </w:r>
      <w:r w:rsidR="00CA2D66" w:rsidRPr="00493BDD">
        <w:rPr>
          <w:sz w:val="23"/>
          <w:szCs w:val="23"/>
        </w:rPr>
        <w:br/>
      </w:r>
      <w:r w:rsidR="00890281" w:rsidRPr="00890281">
        <w:rPr>
          <w:b/>
          <w:sz w:val="23"/>
          <w:szCs w:val="23"/>
        </w:rPr>
        <w:t>7 December</w:t>
      </w:r>
      <w:r w:rsidR="008641D5" w:rsidRPr="00890281">
        <w:rPr>
          <w:b/>
          <w:sz w:val="23"/>
          <w:szCs w:val="23"/>
        </w:rPr>
        <w:t xml:space="preserve"> </w:t>
      </w:r>
      <w:r w:rsidRPr="00890281">
        <w:rPr>
          <w:b/>
          <w:sz w:val="23"/>
          <w:szCs w:val="23"/>
        </w:rPr>
        <w:t>20</w:t>
      </w:r>
      <w:r w:rsidR="00961F34" w:rsidRPr="00890281">
        <w:rPr>
          <w:b/>
          <w:sz w:val="23"/>
          <w:szCs w:val="23"/>
        </w:rPr>
        <w:t>17 to 9</w:t>
      </w:r>
      <w:r w:rsidR="00491D63" w:rsidRPr="00890281">
        <w:rPr>
          <w:b/>
          <w:sz w:val="23"/>
          <w:szCs w:val="23"/>
        </w:rPr>
        <w:t xml:space="preserve"> </w:t>
      </w:r>
      <w:r w:rsidR="00890281" w:rsidRPr="00890281">
        <w:rPr>
          <w:b/>
          <w:sz w:val="23"/>
          <w:szCs w:val="23"/>
        </w:rPr>
        <w:t>March</w:t>
      </w:r>
      <w:r w:rsidR="00CA2D66" w:rsidRPr="00890281">
        <w:rPr>
          <w:b/>
          <w:sz w:val="23"/>
          <w:szCs w:val="23"/>
        </w:rPr>
        <w:t xml:space="preserve"> </w:t>
      </w:r>
      <w:r w:rsidR="00A56F72" w:rsidRPr="00890281">
        <w:rPr>
          <w:b/>
          <w:sz w:val="23"/>
          <w:szCs w:val="23"/>
        </w:rPr>
        <w:t>2018.</w:t>
      </w:r>
    </w:p>
    <w:p w14:paraId="138F4E42" w14:textId="748B962F" w:rsidR="00CC2D5F" w:rsidRDefault="00FF4837" w:rsidP="00CA2D66">
      <w:pPr>
        <w:rPr>
          <w:sz w:val="23"/>
          <w:szCs w:val="23"/>
          <w:lang w:val="en-US"/>
        </w:rPr>
      </w:pPr>
      <w:r w:rsidRPr="00493BDD">
        <w:rPr>
          <w:sz w:val="23"/>
          <w:szCs w:val="23"/>
        </w:rPr>
        <w:t>Interested individuals and organisations are invited to provide written submissions to</w:t>
      </w:r>
      <w:r w:rsidR="00CA2D66" w:rsidRPr="00493BDD">
        <w:rPr>
          <w:sz w:val="23"/>
          <w:szCs w:val="23"/>
        </w:rPr>
        <w:t xml:space="preserve"> </w:t>
      </w:r>
      <w:r w:rsidR="00CC2D5F">
        <w:rPr>
          <w:sz w:val="23"/>
          <w:szCs w:val="23"/>
        </w:rPr>
        <w:t>DSS through</w:t>
      </w:r>
      <w:r w:rsidR="00CC2D5F" w:rsidRPr="00830D1C">
        <w:rPr>
          <w:sz w:val="23"/>
          <w:szCs w:val="23"/>
        </w:rPr>
        <w:t xml:space="preserve"> </w:t>
      </w:r>
      <w:r w:rsidR="00CC2D5F" w:rsidRPr="00830D1C">
        <w:rPr>
          <w:b/>
          <w:bCs/>
          <w:sz w:val="23"/>
          <w:szCs w:val="23"/>
        </w:rPr>
        <w:t xml:space="preserve">engage.dss.gov.au </w:t>
      </w:r>
      <w:r w:rsidR="00CC2D5F" w:rsidRPr="00830D1C">
        <w:rPr>
          <w:sz w:val="23"/>
          <w:szCs w:val="23"/>
        </w:rPr>
        <w:t xml:space="preserve">by </w:t>
      </w:r>
      <w:r w:rsidR="00CC2D5F" w:rsidRPr="00890281">
        <w:rPr>
          <w:b/>
          <w:bCs/>
          <w:sz w:val="23"/>
          <w:szCs w:val="23"/>
        </w:rPr>
        <w:t xml:space="preserve">9 </w:t>
      </w:r>
      <w:r w:rsidR="00890281" w:rsidRPr="00890281">
        <w:rPr>
          <w:b/>
          <w:bCs/>
          <w:sz w:val="23"/>
          <w:szCs w:val="23"/>
        </w:rPr>
        <w:t>March</w:t>
      </w:r>
      <w:r w:rsidR="00CC2D5F" w:rsidRPr="00890281">
        <w:rPr>
          <w:b/>
          <w:bCs/>
          <w:sz w:val="23"/>
          <w:szCs w:val="23"/>
        </w:rPr>
        <w:t xml:space="preserve"> 2018</w:t>
      </w:r>
      <w:r w:rsidR="00CA2D66" w:rsidRPr="00890281">
        <w:rPr>
          <w:sz w:val="23"/>
          <w:szCs w:val="23"/>
          <w:lang w:val="en-US"/>
        </w:rPr>
        <w:t>.</w:t>
      </w:r>
      <w:r w:rsidR="00CA2D66" w:rsidRPr="00493BDD">
        <w:rPr>
          <w:sz w:val="23"/>
          <w:szCs w:val="23"/>
          <w:lang w:val="en-US"/>
        </w:rPr>
        <w:t xml:space="preserve"> </w:t>
      </w:r>
    </w:p>
    <w:p w14:paraId="7BB9F158" w14:textId="439BB84F" w:rsidR="00CA2D66" w:rsidRPr="00493BDD" w:rsidRDefault="00CA2D66" w:rsidP="00CA2D66">
      <w:pPr>
        <w:rPr>
          <w:sz w:val="23"/>
          <w:szCs w:val="23"/>
        </w:rPr>
      </w:pPr>
      <w:r w:rsidRPr="00493BDD">
        <w:rPr>
          <w:sz w:val="23"/>
          <w:szCs w:val="23"/>
          <w:lang w:val="en-US"/>
        </w:rPr>
        <w:t>The closing dat</w:t>
      </w:r>
      <w:r w:rsidR="00CC2D5F">
        <w:rPr>
          <w:sz w:val="23"/>
          <w:szCs w:val="23"/>
          <w:lang w:val="en-US"/>
        </w:rPr>
        <w:t xml:space="preserve">e for uploading submissions is </w:t>
      </w:r>
      <w:r w:rsidRPr="00890281">
        <w:rPr>
          <w:rStyle w:val="Strong"/>
          <w:sz w:val="23"/>
          <w:szCs w:val="23"/>
          <w:lang w:val="en-US"/>
        </w:rPr>
        <w:t>5</w:t>
      </w:r>
      <w:r w:rsidR="00AE4AD0">
        <w:rPr>
          <w:rStyle w:val="Strong"/>
          <w:sz w:val="23"/>
          <w:szCs w:val="23"/>
          <w:lang w:val="en-US"/>
        </w:rPr>
        <w:t>:00</w:t>
      </w:r>
      <w:r w:rsidRPr="00890281">
        <w:rPr>
          <w:rStyle w:val="Strong"/>
          <w:sz w:val="23"/>
          <w:szCs w:val="23"/>
          <w:lang w:val="en-US"/>
        </w:rPr>
        <w:t xml:space="preserve">pm </w:t>
      </w:r>
      <w:r w:rsidR="00890281" w:rsidRPr="00890281">
        <w:rPr>
          <w:rStyle w:val="Strong"/>
          <w:sz w:val="23"/>
          <w:szCs w:val="23"/>
          <w:lang w:val="en-US"/>
        </w:rPr>
        <w:t>Friday</w:t>
      </w:r>
      <w:r w:rsidR="00491D63" w:rsidRPr="00890281">
        <w:rPr>
          <w:rStyle w:val="Strong"/>
          <w:sz w:val="23"/>
          <w:szCs w:val="23"/>
          <w:lang w:val="en-US"/>
        </w:rPr>
        <w:t xml:space="preserve"> </w:t>
      </w:r>
      <w:r w:rsidR="00961F34" w:rsidRPr="00890281">
        <w:rPr>
          <w:b/>
          <w:sz w:val="23"/>
          <w:szCs w:val="23"/>
        </w:rPr>
        <w:t>9</w:t>
      </w:r>
      <w:r w:rsidR="00491D63" w:rsidRPr="00890281">
        <w:rPr>
          <w:b/>
          <w:sz w:val="23"/>
          <w:szCs w:val="23"/>
        </w:rPr>
        <w:t xml:space="preserve"> </w:t>
      </w:r>
      <w:r w:rsidR="00890281" w:rsidRPr="00890281">
        <w:rPr>
          <w:b/>
          <w:sz w:val="23"/>
          <w:szCs w:val="23"/>
        </w:rPr>
        <w:t>March</w:t>
      </w:r>
      <w:r w:rsidR="00287687" w:rsidRPr="00890281">
        <w:rPr>
          <w:rStyle w:val="Strong"/>
          <w:sz w:val="23"/>
          <w:szCs w:val="23"/>
          <w:lang w:val="en-US"/>
        </w:rPr>
        <w:t xml:space="preserve"> </w:t>
      </w:r>
      <w:r w:rsidR="00A56F72" w:rsidRPr="00890281">
        <w:rPr>
          <w:rStyle w:val="Strong"/>
          <w:sz w:val="23"/>
          <w:szCs w:val="23"/>
          <w:lang w:val="en-US"/>
        </w:rPr>
        <w:t>2018</w:t>
      </w:r>
      <w:r w:rsidR="001E1EBE" w:rsidRPr="00890281">
        <w:rPr>
          <w:rStyle w:val="Strong"/>
          <w:sz w:val="23"/>
          <w:szCs w:val="23"/>
          <w:lang w:val="en-US"/>
        </w:rPr>
        <w:t xml:space="preserve"> (AEDT)</w:t>
      </w:r>
      <w:r w:rsidRPr="00890281">
        <w:rPr>
          <w:rStyle w:val="Strong"/>
          <w:sz w:val="23"/>
          <w:szCs w:val="23"/>
          <w:lang w:val="en-US"/>
        </w:rPr>
        <w:t>.</w:t>
      </w:r>
      <w:r w:rsidRPr="00493BDD">
        <w:rPr>
          <w:rStyle w:val="Strong"/>
          <w:sz w:val="23"/>
          <w:szCs w:val="23"/>
          <w:lang w:val="en-US"/>
        </w:rPr>
        <w:t xml:space="preserve"> </w:t>
      </w:r>
    </w:p>
    <w:p w14:paraId="276CC617" w14:textId="77777777" w:rsidR="00204020" w:rsidRDefault="00204020">
      <w:pPr>
        <w:spacing w:before="0" w:after="200" w:line="276" w:lineRule="auto"/>
        <w:rPr>
          <w:rFonts w:ascii="Georgia" w:eastAsiaTheme="majorEastAsia" w:hAnsi="Georgia" w:cstheme="majorBidi"/>
          <w:bCs/>
          <w:color w:val="24596E"/>
          <w:sz w:val="42"/>
          <w:szCs w:val="42"/>
        </w:rPr>
      </w:pPr>
      <w:r>
        <w:rPr>
          <w:sz w:val="42"/>
          <w:szCs w:val="42"/>
        </w:rPr>
        <w:br w:type="page"/>
      </w:r>
    </w:p>
    <w:p w14:paraId="707FEC05" w14:textId="7E9E85F0" w:rsidR="00600A2A" w:rsidRDefault="0046314A" w:rsidP="00600A2A">
      <w:pPr>
        <w:pStyle w:val="Heading1"/>
        <w:rPr>
          <w:sz w:val="42"/>
          <w:szCs w:val="42"/>
        </w:rPr>
      </w:pPr>
      <w:bookmarkStart w:id="102" w:name="_Toc500401891"/>
      <w:r>
        <w:rPr>
          <w:sz w:val="42"/>
          <w:szCs w:val="42"/>
        </w:rPr>
        <w:lastRenderedPageBreak/>
        <w:t>Consultation t</w:t>
      </w:r>
      <w:r w:rsidR="00600A2A" w:rsidRPr="00600A2A">
        <w:rPr>
          <w:sz w:val="42"/>
          <w:szCs w:val="42"/>
        </w:rPr>
        <w:t>imeline</w:t>
      </w:r>
      <w:bookmarkEnd w:id="102"/>
    </w:p>
    <w:p w14:paraId="768E768C" w14:textId="77777777" w:rsidR="00600A2A" w:rsidRDefault="00600A2A" w:rsidP="00600A2A"/>
    <w:tbl>
      <w:tblPr>
        <w:tblStyle w:val="TableGrid"/>
        <w:tblW w:w="0" w:type="auto"/>
        <w:tblLook w:val="04A0" w:firstRow="1" w:lastRow="0" w:firstColumn="1" w:lastColumn="0" w:noHBand="0" w:noVBand="1"/>
        <w:tblCaption w:val="Table: consultation timelone"/>
        <w:tblDescription w:val="December 2017 Discussion paper released for consultation until 9 March 2018&#10;January / February / March 2018 Targeted consultation workshops &#10;February / March 2018 Interviews with supported employees – subject to ethical approval for engaging with vulnerable people &#10;March / April 2018 Review of submissions to the discussion paper &#10;"/>
      </w:tblPr>
      <w:tblGrid>
        <w:gridCol w:w="3574"/>
        <w:gridCol w:w="5802"/>
      </w:tblGrid>
      <w:tr w:rsidR="00600A2A" w14:paraId="57C5648C" w14:textId="77777777" w:rsidTr="00082A31">
        <w:tc>
          <w:tcPr>
            <w:tcW w:w="3574" w:type="dxa"/>
          </w:tcPr>
          <w:p w14:paraId="5266C714" w14:textId="330CC95C" w:rsidR="00600A2A" w:rsidRPr="00AD2E27" w:rsidRDefault="00600A2A" w:rsidP="00600A2A">
            <w:pPr>
              <w:rPr>
                <w:sz w:val="23"/>
                <w:szCs w:val="23"/>
              </w:rPr>
            </w:pPr>
            <w:r w:rsidRPr="00AD2E27">
              <w:rPr>
                <w:sz w:val="23"/>
                <w:szCs w:val="23"/>
              </w:rPr>
              <w:t>December 2017</w:t>
            </w:r>
          </w:p>
        </w:tc>
        <w:tc>
          <w:tcPr>
            <w:tcW w:w="5802" w:type="dxa"/>
          </w:tcPr>
          <w:p w14:paraId="4BF02B99" w14:textId="19C059B7" w:rsidR="00600A2A" w:rsidRPr="00AD2E27" w:rsidRDefault="00600A2A" w:rsidP="00890281">
            <w:pPr>
              <w:rPr>
                <w:sz w:val="23"/>
                <w:szCs w:val="23"/>
              </w:rPr>
            </w:pPr>
            <w:r w:rsidRPr="00AD2E27">
              <w:rPr>
                <w:sz w:val="23"/>
                <w:szCs w:val="23"/>
              </w:rPr>
              <w:t>Discussion paper released</w:t>
            </w:r>
            <w:r w:rsidR="00882C6C">
              <w:rPr>
                <w:sz w:val="23"/>
                <w:szCs w:val="23"/>
              </w:rPr>
              <w:t xml:space="preserve"> for consultation until </w:t>
            </w:r>
            <w:r w:rsidR="00882C6C" w:rsidRPr="001A3AF1">
              <w:rPr>
                <w:sz w:val="23"/>
                <w:szCs w:val="23"/>
              </w:rPr>
              <w:t>9</w:t>
            </w:r>
            <w:r w:rsidR="00AC4298" w:rsidRPr="001A3AF1">
              <w:rPr>
                <w:sz w:val="23"/>
                <w:szCs w:val="23"/>
              </w:rPr>
              <w:t> </w:t>
            </w:r>
            <w:r w:rsidR="00890281">
              <w:rPr>
                <w:sz w:val="23"/>
                <w:szCs w:val="23"/>
              </w:rPr>
              <w:t>March</w:t>
            </w:r>
            <w:r w:rsidR="00882C6C" w:rsidRPr="001A3AF1">
              <w:rPr>
                <w:sz w:val="23"/>
                <w:szCs w:val="23"/>
              </w:rPr>
              <w:t xml:space="preserve"> 2018</w:t>
            </w:r>
          </w:p>
        </w:tc>
      </w:tr>
      <w:tr w:rsidR="00600A2A" w14:paraId="6D9CC6A3" w14:textId="77777777" w:rsidTr="00082A31">
        <w:tc>
          <w:tcPr>
            <w:tcW w:w="3574" w:type="dxa"/>
          </w:tcPr>
          <w:p w14:paraId="4AAF3224" w14:textId="77777777" w:rsidR="00600A2A" w:rsidRPr="00AD2E27" w:rsidRDefault="00600A2A" w:rsidP="00600A2A">
            <w:pPr>
              <w:rPr>
                <w:sz w:val="23"/>
                <w:szCs w:val="23"/>
              </w:rPr>
            </w:pPr>
            <w:r w:rsidRPr="00AD2E27">
              <w:rPr>
                <w:sz w:val="23"/>
                <w:szCs w:val="23"/>
              </w:rPr>
              <w:t xml:space="preserve">January </w:t>
            </w:r>
            <w:r w:rsidR="0046314A" w:rsidRPr="00AD2E27">
              <w:rPr>
                <w:sz w:val="23"/>
                <w:szCs w:val="23"/>
              </w:rPr>
              <w:t xml:space="preserve">/ </w:t>
            </w:r>
            <w:r w:rsidRPr="00AD2E27">
              <w:rPr>
                <w:sz w:val="23"/>
                <w:szCs w:val="23"/>
              </w:rPr>
              <w:t xml:space="preserve">February </w:t>
            </w:r>
            <w:r w:rsidR="00082A31">
              <w:rPr>
                <w:sz w:val="23"/>
                <w:szCs w:val="23"/>
              </w:rPr>
              <w:t xml:space="preserve">/ March </w:t>
            </w:r>
            <w:r w:rsidRPr="00AD2E27">
              <w:rPr>
                <w:sz w:val="23"/>
                <w:szCs w:val="23"/>
              </w:rPr>
              <w:t>2018</w:t>
            </w:r>
          </w:p>
        </w:tc>
        <w:tc>
          <w:tcPr>
            <w:tcW w:w="5802" w:type="dxa"/>
          </w:tcPr>
          <w:p w14:paraId="3E235C68" w14:textId="320FC5F1" w:rsidR="00600A2A" w:rsidRPr="00AD2E27" w:rsidRDefault="00600A2A" w:rsidP="00890281">
            <w:pPr>
              <w:rPr>
                <w:sz w:val="23"/>
                <w:szCs w:val="23"/>
              </w:rPr>
            </w:pPr>
            <w:r w:rsidRPr="00AD2E27">
              <w:rPr>
                <w:sz w:val="23"/>
                <w:szCs w:val="23"/>
              </w:rPr>
              <w:t xml:space="preserve">Targeted consultation workshops </w:t>
            </w:r>
          </w:p>
        </w:tc>
      </w:tr>
      <w:tr w:rsidR="00600A2A" w14:paraId="7DBBBCC8" w14:textId="77777777" w:rsidTr="00082A31">
        <w:tc>
          <w:tcPr>
            <w:tcW w:w="3574" w:type="dxa"/>
          </w:tcPr>
          <w:p w14:paraId="04AD7DCF" w14:textId="77777777" w:rsidR="00600A2A" w:rsidRPr="00AD2E27" w:rsidRDefault="00600A2A" w:rsidP="00600A2A">
            <w:pPr>
              <w:rPr>
                <w:sz w:val="23"/>
                <w:szCs w:val="23"/>
              </w:rPr>
            </w:pPr>
            <w:r w:rsidRPr="00AD2E27">
              <w:rPr>
                <w:sz w:val="23"/>
                <w:szCs w:val="23"/>
              </w:rPr>
              <w:t xml:space="preserve">February </w:t>
            </w:r>
            <w:r w:rsidR="0046314A" w:rsidRPr="00AD2E27">
              <w:rPr>
                <w:sz w:val="23"/>
                <w:szCs w:val="23"/>
              </w:rPr>
              <w:t xml:space="preserve">/ March </w:t>
            </w:r>
            <w:r w:rsidRPr="00AD2E27">
              <w:rPr>
                <w:sz w:val="23"/>
                <w:szCs w:val="23"/>
              </w:rPr>
              <w:t xml:space="preserve">2018 </w:t>
            </w:r>
          </w:p>
        </w:tc>
        <w:tc>
          <w:tcPr>
            <w:tcW w:w="5802" w:type="dxa"/>
          </w:tcPr>
          <w:p w14:paraId="0EC02E45" w14:textId="44E99B71" w:rsidR="00600A2A" w:rsidRPr="00AD2E27" w:rsidRDefault="00600A2A" w:rsidP="00600A2A">
            <w:pPr>
              <w:rPr>
                <w:sz w:val="23"/>
                <w:szCs w:val="23"/>
              </w:rPr>
            </w:pPr>
            <w:r w:rsidRPr="00AD2E27">
              <w:rPr>
                <w:sz w:val="23"/>
                <w:szCs w:val="23"/>
              </w:rPr>
              <w:t xml:space="preserve">Interviews with supported employees </w:t>
            </w:r>
            <w:r w:rsidR="0046314A" w:rsidRPr="00AD2E27">
              <w:rPr>
                <w:sz w:val="23"/>
                <w:szCs w:val="23"/>
              </w:rPr>
              <w:t xml:space="preserve">– </w:t>
            </w:r>
            <w:r w:rsidRPr="00AD2E27">
              <w:rPr>
                <w:sz w:val="23"/>
                <w:szCs w:val="23"/>
              </w:rPr>
              <w:t xml:space="preserve">subject to ethical approval </w:t>
            </w:r>
            <w:r w:rsidR="0046314A" w:rsidRPr="00AD2E27">
              <w:rPr>
                <w:sz w:val="23"/>
                <w:szCs w:val="23"/>
              </w:rPr>
              <w:t xml:space="preserve">for engaging with vulnerable people </w:t>
            </w:r>
          </w:p>
        </w:tc>
      </w:tr>
      <w:tr w:rsidR="00600A2A" w14:paraId="48517F32" w14:textId="77777777" w:rsidTr="00082A31">
        <w:tc>
          <w:tcPr>
            <w:tcW w:w="3574" w:type="dxa"/>
          </w:tcPr>
          <w:p w14:paraId="264650A9" w14:textId="77777777" w:rsidR="00600A2A" w:rsidRPr="00AD2E27" w:rsidRDefault="0046314A" w:rsidP="00600A2A">
            <w:pPr>
              <w:rPr>
                <w:sz w:val="23"/>
                <w:szCs w:val="23"/>
              </w:rPr>
            </w:pPr>
            <w:r w:rsidRPr="00AD2E27">
              <w:rPr>
                <w:sz w:val="23"/>
                <w:szCs w:val="23"/>
              </w:rPr>
              <w:t xml:space="preserve">March </w:t>
            </w:r>
            <w:r w:rsidR="00082A31">
              <w:rPr>
                <w:sz w:val="23"/>
                <w:szCs w:val="23"/>
              </w:rPr>
              <w:t xml:space="preserve">/ April </w:t>
            </w:r>
            <w:r w:rsidRPr="00AD2E27">
              <w:rPr>
                <w:sz w:val="23"/>
                <w:szCs w:val="23"/>
              </w:rPr>
              <w:t xml:space="preserve">2018 </w:t>
            </w:r>
          </w:p>
        </w:tc>
        <w:tc>
          <w:tcPr>
            <w:tcW w:w="5802" w:type="dxa"/>
          </w:tcPr>
          <w:p w14:paraId="72913956" w14:textId="77777777" w:rsidR="00600A2A" w:rsidRPr="00AD2E27" w:rsidRDefault="0046314A" w:rsidP="00600A2A">
            <w:pPr>
              <w:rPr>
                <w:sz w:val="23"/>
                <w:szCs w:val="23"/>
              </w:rPr>
            </w:pPr>
            <w:r w:rsidRPr="00AD2E27">
              <w:rPr>
                <w:sz w:val="23"/>
                <w:szCs w:val="23"/>
              </w:rPr>
              <w:t xml:space="preserve">Review of submissions to the discussion paper </w:t>
            </w:r>
          </w:p>
        </w:tc>
      </w:tr>
    </w:tbl>
    <w:p w14:paraId="4AE19CEA" w14:textId="78C79CEC" w:rsidR="001B4182" w:rsidRDefault="001B4182">
      <w:pPr>
        <w:spacing w:before="0" w:after="200" w:line="276" w:lineRule="auto"/>
      </w:pPr>
    </w:p>
    <w:sectPr w:rsidR="001B4182" w:rsidSect="0041730F">
      <w:pgSz w:w="11906" w:h="16838"/>
      <w:pgMar w:top="1134" w:right="1440" w:bottom="993" w:left="1080" w:header="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048A5" w14:textId="77777777" w:rsidR="007071A6" w:rsidRPr="00493BDD" w:rsidRDefault="007071A6" w:rsidP="008F3023">
      <w:pPr>
        <w:spacing w:before="0" w:after="0" w:line="240" w:lineRule="auto"/>
        <w:rPr>
          <w:sz w:val="23"/>
          <w:szCs w:val="23"/>
        </w:rPr>
      </w:pPr>
      <w:r w:rsidRPr="00493BDD">
        <w:rPr>
          <w:sz w:val="23"/>
          <w:szCs w:val="23"/>
        </w:rPr>
        <w:separator/>
      </w:r>
    </w:p>
  </w:endnote>
  <w:endnote w:type="continuationSeparator" w:id="0">
    <w:p w14:paraId="52E908FF" w14:textId="77777777" w:rsidR="007071A6" w:rsidRPr="00493BDD" w:rsidRDefault="007071A6" w:rsidP="008F3023">
      <w:pPr>
        <w:spacing w:before="0" w:after="0" w:line="240" w:lineRule="auto"/>
        <w:rPr>
          <w:sz w:val="23"/>
          <w:szCs w:val="23"/>
        </w:rPr>
      </w:pPr>
      <w:r w:rsidRPr="00493BD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175991"/>
      <w:docPartObj>
        <w:docPartGallery w:val="Page Numbers (Bottom of Page)"/>
        <w:docPartUnique/>
      </w:docPartObj>
    </w:sdtPr>
    <w:sdtEndPr>
      <w:rPr>
        <w:noProof/>
      </w:rPr>
    </w:sdtEndPr>
    <w:sdtContent>
      <w:p w14:paraId="4BC84EB9" w14:textId="5F79F01F" w:rsidR="006C76AD" w:rsidRPr="00923E97" w:rsidRDefault="006C76AD" w:rsidP="003B1A36">
        <w:pPr>
          <w:pStyle w:val="Footer"/>
          <w:jc w:val="center"/>
        </w:pPr>
        <w:r>
          <w:fldChar w:fldCharType="begin"/>
        </w:r>
        <w:r>
          <w:instrText xml:space="preserve"> PAGE   \* MERGEFORMAT </w:instrText>
        </w:r>
        <w:r>
          <w:fldChar w:fldCharType="separate"/>
        </w:r>
        <w:r w:rsidR="00DE0655">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108B" w14:textId="77777777" w:rsidR="006C76AD" w:rsidRPr="00493BDD" w:rsidRDefault="006C76AD" w:rsidP="00B10EB1">
    <w:pPr>
      <w:pStyle w:val="Footer"/>
      <w:ind w:left="-1417"/>
      <w:rPr>
        <w:sz w:val="23"/>
        <w:szCs w:val="23"/>
      </w:rPr>
    </w:pPr>
    <w:r w:rsidRPr="00493BDD">
      <w:rPr>
        <w:noProof/>
        <w:sz w:val="23"/>
        <w:szCs w:val="23"/>
      </w:rPr>
      <w:drawing>
        <wp:inline distT="0" distB="0" distL="0" distR="0" wp14:anchorId="1BF9E4F8" wp14:editId="5CD1C593">
          <wp:extent cx="7519594" cy="6264813"/>
          <wp:effectExtent l="0" t="0" r="5715" b="3175"/>
          <wp:docPr id="4" name="Picture 4"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97583"/>
      <w:docPartObj>
        <w:docPartGallery w:val="Page Numbers (Bottom of Page)"/>
        <w:docPartUnique/>
      </w:docPartObj>
    </w:sdtPr>
    <w:sdtEndPr>
      <w:rPr>
        <w:noProof/>
      </w:rPr>
    </w:sdtEndPr>
    <w:sdtContent>
      <w:p w14:paraId="78C1AA77" w14:textId="5D33136E" w:rsidR="006C76AD" w:rsidRDefault="006C76AD">
        <w:pPr>
          <w:pStyle w:val="Footer"/>
          <w:jc w:val="center"/>
        </w:pPr>
        <w:r>
          <w:t>20</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327755"/>
      <w:docPartObj>
        <w:docPartGallery w:val="Page Numbers (Bottom of Page)"/>
        <w:docPartUnique/>
      </w:docPartObj>
    </w:sdtPr>
    <w:sdtEndPr>
      <w:rPr>
        <w:noProof/>
      </w:rPr>
    </w:sdtEndPr>
    <w:sdtContent>
      <w:p w14:paraId="3459A208" w14:textId="039289E5" w:rsidR="006C76AD" w:rsidRDefault="006C76AD">
        <w:pPr>
          <w:pStyle w:val="Footer"/>
          <w:jc w:val="center"/>
        </w:pPr>
        <w:r>
          <w:fldChar w:fldCharType="begin"/>
        </w:r>
        <w:r>
          <w:instrText xml:space="preserve"> PAGE   \* MERGEFORMAT </w:instrText>
        </w:r>
        <w:r>
          <w:fldChar w:fldCharType="separate"/>
        </w:r>
        <w:r w:rsidR="00DE0655">
          <w:rPr>
            <w:noProof/>
          </w:rPr>
          <w:t>21</w:t>
        </w:r>
        <w:r>
          <w:rPr>
            <w:noProof/>
          </w:rPr>
          <w:fldChar w:fldCharType="end"/>
        </w:r>
      </w:p>
    </w:sdtContent>
  </w:sdt>
  <w:p w14:paraId="6DA9ED43" w14:textId="77777777" w:rsidR="006C76AD" w:rsidRPr="00493BDD" w:rsidRDefault="006C76AD" w:rsidP="00B10EB1">
    <w:pPr>
      <w:pStyle w:val="Footer"/>
      <w:ind w:left="-1417"/>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887097"/>
      <w:docPartObj>
        <w:docPartGallery w:val="Page Numbers (Bottom of Page)"/>
        <w:docPartUnique/>
      </w:docPartObj>
    </w:sdtPr>
    <w:sdtEndPr>
      <w:rPr>
        <w:noProof/>
      </w:rPr>
    </w:sdtEndPr>
    <w:sdtContent>
      <w:p w14:paraId="0E69086F" w14:textId="0F669D16" w:rsidR="006C76AD" w:rsidRDefault="006C76AD">
        <w:pPr>
          <w:pStyle w:val="Footer"/>
          <w:jc w:val="center"/>
        </w:pPr>
        <w:r>
          <w:fldChar w:fldCharType="begin"/>
        </w:r>
        <w:r>
          <w:instrText xml:space="preserve"> PAGE   \* MERGEFORMAT </w:instrText>
        </w:r>
        <w:r>
          <w:fldChar w:fldCharType="separate"/>
        </w:r>
        <w:r w:rsidR="00DE0655">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C1E79" w14:textId="77777777" w:rsidR="007071A6" w:rsidRPr="00493BDD" w:rsidRDefault="007071A6" w:rsidP="008F3023">
      <w:pPr>
        <w:spacing w:before="0" w:after="0" w:line="240" w:lineRule="auto"/>
        <w:rPr>
          <w:sz w:val="23"/>
          <w:szCs w:val="23"/>
        </w:rPr>
      </w:pPr>
      <w:r w:rsidRPr="00493BDD">
        <w:rPr>
          <w:sz w:val="23"/>
          <w:szCs w:val="23"/>
        </w:rPr>
        <w:separator/>
      </w:r>
    </w:p>
  </w:footnote>
  <w:footnote w:type="continuationSeparator" w:id="0">
    <w:p w14:paraId="61519E31" w14:textId="77777777" w:rsidR="007071A6" w:rsidRPr="00493BDD" w:rsidRDefault="007071A6" w:rsidP="008F3023">
      <w:pPr>
        <w:spacing w:before="0" w:after="0" w:line="240" w:lineRule="auto"/>
        <w:rPr>
          <w:sz w:val="23"/>
          <w:szCs w:val="23"/>
        </w:rPr>
      </w:pPr>
      <w:r w:rsidRPr="00493BDD">
        <w:rPr>
          <w:sz w:val="23"/>
          <w:szCs w:val="23"/>
        </w:rPr>
        <w:continuationSeparator/>
      </w:r>
    </w:p>
  </w:footnote>
  <w:footnote w:id="1">
    <w:p w14:paraId="76957D2E" w14:textId="4BA257BC" w:rsidR="006C76AD" w:rsidRDefault="006C76AD">
      <w:pPr>
        <w:pStyle w:val="FootnoteText"/>
      </w:pPr>
      <w:r>
        <w:rPr>
          <w:rStyle w:val="FootnoteReference"/>
        </w:rPr>
        <w:footnoteRef/>
      </w:r>
      <w:r>
        <w:t xml:space="preserve"> </w:t>
      </w:r>
      <w:r w:rsidRPr="00E24957">
        <w:t xml:space="preserve">The Disability Maintenance Instrument (DMI) is an online assessment used by ADEs to record the </w:t>
      </w:r>
      <w:r>
        <w:br/>
      </w:r>
      <w:r w:rsidRPr="00E24957">
        <w:t>w</w:t>
      </w:r>
      <w:r>
        <w:t>ork-related support needs of a supported e</w:t>
      </w:r>
      <w:r w:rsidRPr="00E24957">
        <w:t>mployee to maintain their employment. The DMI provides a</w:t>
      </w:r>
      <w:r>
        <w:t> </w:t>
      </w:r>
      <w:r w:rsidRPr="00E24957">
        <w:t>score for a supported employee</w:t>
      </w:r>
      <w:r>
        <w:t>,</w:t>
      </w:r>
      <w:r w:rsidRPr="00E24957">
        <w:t xml:space="preserve"> which translates into one of four funding levels </w:t>
      </w:r>
      <w:r>
        <w:t>for support with ‘DMI L</w:t>
      </w:r>
      <w:r w:rsidRPr="00E24957">
        <w:t>evel 1</w:t>
      </w:r>
      <w:r>
        <w:t>’</w:t>
      </w:r>
      <w:r w:rsidRPr="00E24957">
        <w:t xml:space="preserve"> being the lowest funding level (representing lower support needs) and </w:t>
      </w:r>
      <w:r>
        <w:t>‘DMI L</w:t>
      </w:r>
      <w:r w:rsidRPr="00E24957">
        <w:t>evel 4</w:t>
      </w:r>
      <w:r>
        <w:t>’</w:t>
      </w:r>
      <w:r w:rsidRPr="00E24957">
        <w:t xml:space="preserve"> the highest (representing higher support needs). The DMI is not aligned to the number of hours worked. For example, an employee working</w:t>
      </w:r>
      <w:r>
        <w:t xml:space="preserve"> eight</w:t>
      </w:r>
      <w:r w:rsidRPr="00E24957">
        <w:t xml:space="preserve"> hours who is assessed at a </w:t>
      </w:r>
      <w:r>
        <w:t>‘</w:t>
      </w:r>
      <w:r w:rsidRPr="00E24957">
        <w:t>DMI</w:t>
      </w:r>
      <w:r>
        <w:t xml:space="preserve"> Level</w:t>
      </w:r>
      <w:r w:rsidRPr="00E24957">
        <w:t xml:space="preserve"> 4</w:t>
      </w:r>
      <w:r>
        <w:t>’</w:t>
      </w:r>
      <w:r w:rsidRPr="00E24957">
        <w:t xml:space="preserve"> will receive the same funding as a</w:t>
      </w:r>
      <w:r>
        <w:t> </w:t>
      </w:r>
      <w:r w:rsidRPr="00E24957">
        <w:t xml:space="preserve">supported employee working 25 hours who is also assessed at a </w:t>
      </w:r>
      <w:r>
        <w:t>‘</w:t>
      </w:r>
      <w:r w:rsidRPr="00E24957">
        <w:t>DMI</w:t>
      </w:r>
      <w:r>
        <w:t xml:space="preserve"> Level</w:t>
      </w:r>
      <w:r w:rsidRPr="00E24957">
        <w:t xml:space="preserve"> 4</w:t>
      </w:r>
      <w:r>
        <w:t>’</w:t>
      </w:r>
      <w:r w:rsidRPr="00E2495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0449" w14:textId="75C72EC1" w:rsidR="006C76AD" w:rsidRDefault="006C76AD" w:rsidP="0041730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7E1F" w14:textId="3CD00894" w:rsidR="006C76AD" w:rsidRPr="00493BDD" w:rsidRDefault="006C76AD" w:rsidP="00F30908">
    <w:pPr>
      <w:ind w:left="-964"/>
      <w:rPr>
        <w:sz w:val="23"/>
        <w:szCs w:val="23"/>
      </w:rPr>
    </w:pPr>
    <w:r w:rsidRPr="00493BDD">
      <w:rPr>
        <w:noProof/>
        <w:sz w:val="23"/>
        <w:szCs w:val="23"/>
      </w:rPr>
      <w:drawing>
        <wp:inline distT="0" distB="0" distL="0" distR="0" wp14:anchorId="792316D7" wp14:editId="523024A0">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7CB6" w14:textId="0B3EC8F8" w:rsidR="006C76AD" w:rsidRDefault="006C76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738F" w14:textId="02B0862C" w:rsidR="006C76AD" w:rsidRPr="00493BDD" w:rsidRDefault="006C76AD" w:rsidP="0084227C">
    <w:pPr>
      <w:rPr>
        <w:sz w:val="23"/>
        <w:szCs w:val="23"/>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99AD" w14:textId="7559A5E9" w:rsidR="006C76AD" w:rsidRPr="00493BDD" w:rsidRDefault="006C76AD" w:rsidP="00F30908">
    <w:pPr>
      <w:ind w:left="-964"/>
      <w:rPr>
        <w:sz w:val="23"/>
        <w:szCs w:val="23"/>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9D96" w14:textId="392B85A3" w:rsidR="006C76AD" w:rsidRDefault="006C76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89C3" w14:textId="55B28013" w:rsidR="006C76AD" w:rsidRDefault="006C76AD" w:rsidP="0041730F">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CCF9" w14:textId="491802AD" w:rsidR="006C76AD" w:rsidRDefault="006C76AD" w:rsidP="0041730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3CC"/>
    <w:multiLevelType w:val="hybridMultilevel"/>
    <w:tmpl w:val="6096C56C"/>
    <w:lvl w:ilvl="0" w:tplc="7D42B2BC">
      <w:start w:val="1"/>
      <w:numFmt w:val="decimal"/>
      <w:lvlText w:val="%1."/>
      <w:lvlJc w:val="left"/>
      <w:pPr>
        <w:ind w:left="720" w:hanging="360"/>
      </w:pPr>
      <w:rPr>
        <w:b/>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34D22"/>
    <w:multiLevelType w:val="hybridMultilevel"/>
    <w:tmpl w:val="C77EEB56"/>
    <w:lvl w:ilvl="0" w:tplc="D6CCE83C">
      <w:start w:val="1"/>
      <w:numFmt w:val="bullet"/>
      <w:lvlText w:val="•"/>
      <w:lvlJc w:val="left"/>
      <w:pPr>
        <w:tabs>
          <w:tab w:val="num" w:pos="720"/>
        </w:tabs>
        <w:ind w:left="720" w:hanging="360"/>
      </w:pPr>
      <w:rPr>
        <w:rFonts w:ascii="Arial" w:hAnsi="Arial" w:hint="default"/>
      </w:rPr>
    </w:lvl>
    <w:lvl w:ilvl="1" w:tplc="EEEA2D4E" w:tentative="1">
      <w:start w:val="1"/>
      <w:numFmt w:val="bullet"/>
      <w:lvlText w:val="•"/>
      <w:lvlJc w:val="left"/>
      <w:pPr>
        <w:tabs>
          <w:tab w:val="num" w:pos="1440"/>
        </w:tabs>
        <w:ind w:left="1440" w:hanging="360"/>
      </w:pPr>
      <w:rPr>
        <w:rFonts w:ascii="Arial" w:hAnsi="Arial" w:hint="default"/>
      </w:rPr>
    </w:lvl>
    <w:lvl w:ilvl="2" w:tplc="8B166BEC" w:tentative="1">
      <w:start w:val="1"/>
      <w:numFmt w:val="bullet"/>
      <w:lvlText w:val="•"/>
      <w:lvlJc w:val="left"/>
      <w:pPr>
        <w:tabs>
          <w:tab w:val="num" w:pos="2160"/>
        </w:tabs>
        <w:ind w:left="2160" w:hanging="360"/>
      </w:pPr>
      <w:rPr>
        <w:rFonts w:ascii="Arial" w:hAnsi="Arial" w:hint="default"/>
      </w:rPr>
    </w:lvl>
    <w:lvl w:ilvl="3" w:tplc="DE005452" w:tentative="1">
      <w:start w:val="1"/>
      <w:numFmt w:val="bullet"/>
      <w:lvlText w:val="•"/>
      <w:lvlJc w:val="left"/>
      <w:pPr>
        <w:tabs>
          <w:tab w:val="num" w:pos="2880"/>
        </w:tabs>
        <w:ind w:left="2880" w:hanging="360"/>
      </w:pPr>
      <w:rPr>
        <w:rFonts w:ascii="Arial" w:hAnsi="Arial" w:hint="default"/>
      </w:rPr>
    </w:lvl>
    <w:lvl w:ilvl="4" w:tplc="5E767156" w:tentative="1">
      <w:start w:val="1"/>
      <w:numFmt w:val="bullet"/>
      <w:lvlText w:val="•"/>
      <w:lvlJc w:val="left"/>
      <w:pPr>
        <w:tabs>
          <w:tab w:val="num" w:pos="3600"/>
        </w:tabs>
        <w:ind w:left="3600" w:hanging="360"/>
      </w:pPr>
      <w:rPr>
        <w:rFonts w:ascii="Arial" w:hAnsi="Arial" w:hint="default"/>
      </w:rPr>
    </w:lvl>
    <w:lvl w:ilvl="5" w:tplc="8DA09EC2" w:tentative="1">
      <w:start w:val="1"/>
      <w:numFmt w:val="bullet"/>
      <w:lvlText w:val="•"/>
      <w:lvlJc w:val="left"/>
      <w:pPr>
        <w:tabs>
          <w:tab w:val="num" w:pos="4320"/>
        </w:tabs>
        <w:ind w:left="4320" w:hanging="360"/>
      </w:pPr>
      <w:rPr>
        <w:rFonts w:ascii="Arial" w:hAnsi="Arial" w:hint="default"/>
      </w:rPr>
    </w:lvl>
    <w:lvl w:ilvl="6" w:tplc="FB545AD8" w:tentative="1">
      <w:start w:val="1"/>
      <w:numFmt w:val="bullet"/>
      <w:lvlText w:val="•"/>
      <w:lvlJc w:val="left"/>
      <w:pPr>
        <w:tabs>
          <w:tab w:val="num" w:pos="5040"/>
        </w:tabs>
        <w:ind w:left="5040" w:hanging="360"/>
      </w:pPr>
      <w:rPr>
        <w:rFonts w:ascii="Arial" w:hAnsi="Arial" w:hint="default"/>
      </w:rPr>
    </w:lvl>
    <w:lvl w:ilvl="7" w:tplc="A9BC08AA" w:tentative="1">
      <w:start w:val="1"/>
      <w:numFmt w:val="bullet"/>
      <w:lvlText w:val="•"/>
      <w:lvlJc w:val="left"/>
      <w:pPr>
        <w:tabs>
          <w:tab w:val="num" w:pos="5760"/>
        </w:tabs>
        <w:ind w:left="5760" w:hanging="360"/>
      </w:pPr>
      <w:rPr>
        <w:rFonts w:ascii="Arial" w:hAnsi="Arial" w:hint="default"/>
      </w:rPr>
    </w:lvl>
    <w:lvl w:ilvl="8" w:tplc="C4D01C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052C9"/>
    <w:multiLevelType w:val="hybridMultilevel"/>
    <w:tmpl w:val="8150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D699F"/>
    <w:multiLevelType w:val="hybridMultilevel"/>
    <w:tmpl w:val="9A48396A"/>
    <w:lvl w:ilvl="0" w:tplc="0C090017">
      <w:start w:val="1"/>
      <w:numFmt w:val="lowerLetter"/>
      <w:lvlText w:val="%1)"/>
      <w:lvlJc w:val="left"/>
      <w:pPr>
        <w:ind w:left="720" w:hanging="360"/>
      </w:pPr>
      <w:rPr>
        <w:b w:val="0"/>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5E068B"/>
    <w:multiLevelType w:val="hybridMultilevel"/>
    <w:tmpl w:val="4A40E47A"/>
    <w:lvl w:ilvl="0" w:tplc="9E20A28A">
      <w:start w:val="1"/>
      <w:numFmt w:val="bullet"/>
      <w:lvlText w:val="•"/>
      <w:lvlJc w:val="left"/>
      <w:pPr>
        <w:tabs>
          <w:tab w:val="num" w:pos="720"/>
        </w:tabs>
        <w:ind w:left="720" w:hanging="360"/>
      </w:pPr>
      <w:rPr>
        <w:rFonts w:ascii="Arial" w:hAnsi="Arial" w:hint="default"/>
      </w:rPr>
    </w:lvl>
    <w:lvl w:ilvl="1" w:tplc="161C93C8" w:tentative="1">
      <w:start w:val="1"/>
      <w:numFmt w:val="bullet"/>
      <w:lvlText w:val="•"/>
      <w:lvlJc w:val="left"/>
      <w:pPr>
        <w:tabs>
          <w:tab w:val="num" w:pos="1440"/>
        </w:tabs>
        <w:ind w:left="1440" w:hanging="360"/>
      </w:pPr>
      <w:rPr>
        <w:rFonts w:ascii="Arial" w:hAnsi="Arial" w:hint="default"/>
      </w:rPr>
    </w:lvl>
    <w:lvl w:ilvl="2" w:tplc="067038B4" w:tentative="1">
      <w:start w:val="1"/>
      <w:numFmt w:val="bullet"/>
      <w:lvlText w:val="•"/>
      <w:lvlJc w:val="left"/>
      <w:pPr>
        <w:tabs>
          <w:tab w:val="num" w:pos="2160"/>
        </w:tabs>
        <w:ind w:left="2160" w:hanging="360"/>
      </w:pPr>
      <w:rPr>
        <w:rFonts w:ascii="Arial" w:hAnsi="Arial" w:hint="default"/>
      </w:rPr>
    </w:lvl>
    <w:lvl w:ilvl="3" w:tplc="CF8CDEA0" w:tentative="1">
      <w:start w:val="1"/>
      <w:numFmt w:val="bullet"/>
      <w:lvlText w:val="•"/>
      <w:lvlJc w:val="left"/>
      <w:pPr>
        <w:tabs>
          <w:tab w:val="num" w:pos="2880"/>
        </w:tabs>
        <w:ind w:left="2880" w:hanging="360"/>
      </w:pPr>
      <w:rPr>
        <w:rFonts w:ascii="Arial" w:hAnsi="Arial" w:hint="default"/>
      </w:rPr>
    </w:lvl>
    <w:lvl w:ilvl="4" w:tplc="4680EE32" w:tentative="1">
      <w:start w:val="1"/>
      <w:numFmt w:val="bullet"/>
      <w:lvlText w:val="•"/>
      <w:lvlJc w:val="left"/>
      <w:pPr>
        <w:tabs>
          <w:tab w:val="num" w:pos="3600"/>
        </w:tabs>
        <w:ind w:left="3600" w:hanging="360"/>
      </w:pPr>
      <w:rPr>
        <w:rFonts w:ascii="Arial" w:hAnsi="Arial" w:hint="default"/>
      </w:rPr>
    </w:lvl>
    <w:lvl w:ilvl="5" w:tplc="7432FD6A" w:tentative="1">
      <w:start w:val="1"/>
      <w:numFmt w:val="bullet"/>
      <w:lvlText w:val="•"/>
      <w:lvlJc w:val="left"/>
      <w:pPr>
        <w:tabs>
          <w:tab w:val="num" w:pos="4320"/>
        </w:tabs>
        <w:ind w:left="4320" w:hanging="360"/>
      </w:pPr>
      <w:rPr>
        <w:rFonts w:ascii="Arial" w:hAnsi="Arial" w:hint="default"/>
      </w:rPr>
    </w:lvl>
    <w:lvl w:ilvl="6" w:tplc="52CE395A" w:tentative="1">
      <w:start w:val="1"/>
      <w:numFmt w:val="bullet"/>
      <w:lvlText w:val="•"/>
      <w:lvlJc w:val="left"/>
      <w:pPr>
        <w:tabs>
          <w:tab w:val="num" w:pos="5040"/>
        </w:tabs>
        <w:ind w:left="5040" w:hanging="360"/>
      </w:pPr>
      <w:rPr>
        <w:rFonts w:ascii="Arial" w:hAnsi="Arial" w:hint="default"/>
      </w:rPr>
    </w:lvl>
    <w:lvl w:ilvl="7" w:tplc="892E263E" w:tentative="1">
      <w:start w:val="1"/>
      <w:numFmt w:val="bullet"/>
      <w:lvlText w:val="•"/>
      <w:lvlJc w:val="left"/>
      <w:pPr>
        <w:tabs>
          <w:tab w:val="num" w:pos="5760"/>
        </w:tabs>
        <w:ind w:left="5760" w:hanging="360"/>
      </w:pPr>
      <w:rPr>
        <w:rFonts w:ascii="Arial" w:hAnsi="Arial" w:hint="default"/>
      </w:rPr>
    </w:lvl>
    <w:lvl w:ilvl="8" w:tplc="731A17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3521F"/>
    <w:multiLevelType w:val="hybridMultilevel"/>
    <w:tmpl w:val="7C100042"/>
    <w:lvl w:ilvl="0" w:tplc="0C090017">
      <w:start w:val="1"/>
      <w:numFmt w:val="lowerLetter"/>
      <w:lvlText w:val="%1)"/>
      <w:lvlJc w:val="left"/>
      <w:pPr>
        <w:ind w:left="1171" w:hanging="360"/>
      </w:pPr>
    </w:lvl>
    <w:lvl w:ilvl="1" w:tplc="0C090019" w:tentative="1">
      <w:start w:val="1"/>
      <w:numFmt w:val="lowerLetter"/>
      <w:lvlText w:val="%2."/>
      <w:lvlJc w:val="left"/>
      <w:pPr>
        <w:ind w:left="1891" w:hanging="360"/>
      </w:pPr>
    </w:lvl>
    <w:lvl w:ilvl="2" w:tplc="0C09001B" w:tentative="1">
      <w:start w:val="1"/>
      <w:numFmt w:val="lowerRoman"/>
      <w:lvlText w:val="%3."/>
      <w:lvlJc w:val="right"/>
      <w:pPr>
        <w:ind w:left="2611" w:hanging="180"/>
      </w:pPr>
    </w:lvl>
    <w:lvl w:ilvl="3" w:tplc="0C09000F" w:tentative="1">
      <w:start w:val="1"/>
      <w:numFmt w:val="decimal"/>
      <w:lvlText w:val="%4."/>
      <w:lvlJc w:val="left"/>
      <w:pPr>
        <w:ind w:left="3331" w:hanging="360"/>
      </w:pPr>
    </w:lvl>
    <w:lvl w:ilvl="4" w:tplc="0C090019" w:tentative="1">
      <w:start w:val="1"/>
      <w:numFmt w:val="lowerLetter"/>
      <w:lvlText w:val="%5."/>
      <w:lvlJc w:val="left"/>
      <w:pPr>
        <w:ind w:left="4051" w:hanging="360"/>
      </w:pPr>
    </w:lvl>
    <w:lvl w:ilvl="5" w:tplc="0C09001B" w:tentative="1">
      <w:start w:val="1"/>
      <w:numFmt w:val="lowerRoman"/>
      <w:lvlText w:val="%6."/>
      <w:lvlJc w:val="right"/>
      <w:pPr>
        <w:ind w:left="4771" w:hanging="180"/>
      </w:pPr>
    </w:lvl>
    <w:lvl w:ilvl="6" w:tplc="0C09000F" w:tentative="1">
      <w:start w:val="1"/>
      <w:numFmt w:val="decimal"/>
      <w:lvlText w:val="%7."/>
      <w:lvlJc w:val="left"/>
      <w:pPr>
        <w:ind w:left="5491" w:hanging="360"/>
      </w:pPr>
    </w:lvl>
    <w:lvl w:ilvl="7" w:tplc="0C090019" w:tentative="1">
      <w:start w:val="1"/>
      <w:numFmt w:val="lowerLetter"/>
      <w:lvlText w:val="%8."/>
      <w:lvlJc w:val="left"/>
      <w:pPr>
        <w:ind w:left="6211" w:hanging="360"/>
      </w:pPr>
    </w:lvl>
    <w:lvl w:ilvl="8" w:tplc="0C09001B" w:tentative="1">
      <w:start w:val="1"/>
      <w:numFmt w:val="lowerRoman"/>
      <w:lvlText w:val="%9."/>
      <w:lvlJc w:val="right"/>
      <w:pPr>
        <w:ind w:left="6931" w:hanging="180"/>
      </w:pPr>
    </w:lvl>
  </w:abstractNum>
  <w:abstractNum w:abstractNumId="8" w15:restartNumberingAfterBreak="0">
    <w:nsid w:val="28D3547C"/>
    <w:multiLevelType w:val="hybridMultilevel"/>
    <w:tmpl w:val="C10A5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EB6DF6"/>
    <w:multiLevelType w:val="hybridMultilevel"/>
    <w:tmpl w:val="972CF430"/>
    <w:lvl w:ilvl="0" w:tplc="0C09000F">
      <w:start w:val="1"/>
      <w:numFmt w:val="decimal"/>
      <w:lvlText w:val="%1."/>
      <w:lvlJc w:val="left"/>
      <w:pPr>
        <w:tabs>
          <w:tab w:val="num" w:pos="360"/>
        </w:tabs>
        <w:ind w:left="360" w:hanging="360"/>
      </w:pPr>
      <w:rPr>
        <w:rFonts w:hint="default"/>
      </w:rPr>
    </w:lvl>
    <w:lvl w:ilvl="1" w:tplc="9BAC987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E85E5C"/>
    <w:multiLevelType w:val="hybridMultilevel"/>
    <w:tmpl w:val="3F3E9ECA"/>
    <w:lvl w:ilvl="0" w:tplc="2C041F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055B3E"/>
    <w:multiLevelType w:val="hybridMultilevel"/>
    <w:tmpl w:val="DA28DCC8"/>
    <w:lvl w:ilvl="0" w:tplc="62109840">
      <w:start w:val="1"/>
      <w:numFmt w:val="decimal"/>
      <w:lvlText w:val="%1."/>
      <w:lvlJc w:val="left"/>
      <w:pPr>
        <w:ind w:left="720" w:hanging="360"/>
      </w:pPr>
      <w:rPr>
        <w:b w:val="0"/>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8264E2"/>
    <w:multiLevelType w:val="hybridMultilevel"/>
    <w:tmpl w:val="7C100042"/>
    <w:lvl w:ilvl="0" w:tplc="0C090017">
      <w:start w:val="1"/>
      <w:numFmt w:val="lowerLetter"/>
      <w:lvlText w:val="%1)"/>
      <w:lvlJc w:val="left"/>
      <w:pPr>
        <w:ind w:left="1171" w:hanging="360"/>
      </w:pPr>
    </w:lvl>
    <w:lvl w:ilvl="1" w:tplc="0C090019" w:tentative="1">
      <w:start w:val="1"/>
      <w:numFmt w:val="lowerLetter"/>
      <w:lvlText w:val="%2."/>
      <w:lvlJc w:val="left"/>
      <w:pPr>
        <w:ind w:left="1891" w:hanging="360"/>
      </w:pPr>
    </w:lvl>
    <w:lvl w:ilvl="2" w:tplc="0C09001B" w:tentative="1">
      <w:start w:val="1"/>
      <w:numFmt w:val="lowerRoman"/>
      <w:lvlText w:val="%3."/>
      <w:lvlJc w:val="right"/>
      <w:pPr>
        <w:ind w:left="2611" w:hanging="180"/>
      </w:pPr>
    </w:lvl>
    <w:lvl w:ilvl="3" w:tplc="0C09000F" w:tentative="1">
      <w:start w:val="1"/>
      <w:numFmt w:val="decimal"/>
      <w:lvlText w:val="%4."/>
      <w:lvlJc w:val="left"/>
      <w:pPr>
        <w:ind w:left="3331" w:hanging="360"/>
      </w:pPr>
    </w:lvl>
    <w:lvl w:ilvl="4" w:tplc="0C090019" w:tentative="1">
      <w:start w:val="1"/>
      <w:numFmt w:val="lowerLetter"/>
      <w:lvlText w:val="%5."/>
      <w:lvlJc w:val="left"/>
      <w:pPr>
        <w:ind w:left="4051" w:hanging="360"/>
      </w:pPr>
    </w:lvl>
    <w:lvl w:ilvl="5" w:tplc="0C09001B" w:tentative="1">
      <w:start w:val="1"/>
      <w:numFmt w:val="lowerRoman"/>
      <w:lvlText w:val="%6."/>
      <w:lvlJc w:val="right"/>
      <w:pPr>
        <w:ind w:left="4771" w:hanging="180"/>
      </w:pPr>
    </w:lvl>
    <w:lvl w:ilvl="6" w:tplc="0C09000F" w:tentative="1">
      <w:start w:val="1"/>
      <w:numFmt w:val="decimal"/>
      <w:lvlText w:val="%7."/>
      <w:lvlJc w:val="left"/>
      <w:pPr>
        <w:ind w:left="5491" w:hanging="360"/>
      </w:pPr>
    </w:lvl>
    <w:lvl w:ilvl="7" w:tplc="0C090019" w:tentative="1">
      <w:start w:val="1"/>
      <w:numFmt w:val="lowerLetter"/>
      <w:lvlText w:val="%8."/>
      <w:lvlJc w:val="left"/>
      <w:pPr>
        <w:ind w:left="6211" w:hanging="360"/>
      </w:pPr>
    </w:lvl>
    <w:lvl w:ilvl="8" w:tplc="0C09001B" w:tentative="1">
      <w:start w:val="1"/>
      <w:numFmt w:val="lowerRoman"/>
      <w:lvlText w:val="%9."/>
      <w:lvlJc w:val="right"/>
      <w:pPr>
        <w:ind w:left="6931" w:hanging="180"/>
      </w:pPr>
    </w:lvl>
  </w:abstractNum>
  <w:abstractNum w:abstractNumId="13" w15:restartNumberingAfterBreak="0">
    <w:nsid w:val="34DF0C11"/>
    <w:multiLevelType w:val="hybridMultilevel"/>
    <w:tmpl w:val="52A8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085CAE"/>
    <w:multiLevelType w:val="hybridMultilevel"/>
    <w:tmpl w:val="7C184A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8CF15D1"/>
    <w:multiLevelType w:val="hybridMultilevel"/>
    <w:tmpl w:val="3744BD14"/>
    <w:lvl w:ilvl="0" w:tplc="D3305384">
      <w:start w:val="1"/>
      <w:numFmt w:val="bullet"/>
      <w:lvlText w:val=""/>
      <w:lvlJc w:val="left"/>
      <w:pPr>
        <w:ind w:left="921" w:hanging="360"/>
      </w:pPr>
      <w:rPr>
        <w:rFonts w:ascii="Symbol" w:hAnsi="Symbo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0FD794A"/>
    <w:multiLevelType w:val="hybridMultilevel"/>
    <w:tmpl w:val="B262FC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155F19"/>
    <w:multiLevelType w:val="hybridMultilevel"/>
    <w:tmpl w:val="2BE2F4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2A06FF"/>
    <w:multiLevelType w:val="hybridMultilevel"/>
    <w:tmpl w:val="7C100042"/>
    <w:lvl w:ilvl="0" w:tplc="0C090017">
      <w:start w:val="1"/>
      <w:numFmt w:val="lowerLetter"/>
      <w:lvlText w:val="%1)"/>
      <w:lvlJc w:val="left"/>
      <w:pPr>
        <w:ind w:left="1608" w:hanging="360"/>
      </w:pPr>
    </w:lvl>
    <w:lvl w:ilvl="1" w:tplc="0C090019" w:tentative="1">
      <w:start w:val="1"/>
      <w:numFmt w:val="lowerLetter"/>
      <w:lvlText w:val="%2."/>
      <w:lvlJc w:val="left"/>
      <w:pPr>
        <w:ind w:left="2328" w:hanging="360"/>
      </w:pPr>
    </w:lvl>
    <w:lvl w:ilvl="2" w:tplc="0C09001B" w:tentative="1">
      <w:start w:val="1"/>
      <w:numFmt w:val="lowerRoman"/>
      <w:lvlText w:val="%3."/>
      <w:lvlJc w:val="right"/>
      <w:pPr>
        <w:ind w:left="3048" w:hanging="180"/>
      </w:pPr>
    </w:lvl>
    <w:lvl w:ilvl="3" w:tplc="0C09000F" w:tentative="1">
      <w:start w:val="1"/>
      <w:numFmt w:val="decimal"/>
      <w:lvlText w:val="%4."/>
      <w:lvlJc w:val="left"/>
      <w:pPr>
        <w:ind w:left="3768" w:hanging="360"/>
      </w:pPr>
    </w:lvl>
    <w:lvl w:ilvl="4" w:tplc="0C090019" w:tentative="1">
      <w:start w:val="1"/>
      <w:numFmt w:val="lowerLetter"/>
      <w:lvlText w:val="%5."/>
      <w:lvlJc w:val="left"/>
      <w:pPr>
        <w:ind w:left="4488" w:hanging="360"/>
      </w:pPr>
    </w:lvl>
    <w:lvl w:ilvl="5" w:tplc="0C09001B" w:tentative="1">
      <w:start w:val="1"/>
      <w:numFmt w:val="lowerRoman"/>
      <w:lvlText w:val="%6."/>
      <w:lvlJc w:val="right"/>
      <w:pPr>
        <w:ind w:left="5208" w:hanging="180"/>
      </w:pPr>
    </w:lvl>
    <w:lvl w:ilvl="6" w:tplc="0C09000F" w:tentative="1">
      <w:start w:val="1"/>
      <w:numFmt w:val="decimal"/>
      <w:lvlText w:val="%7."/>
      <w:lvlJc w:val="left"/>
      <w:pPr>
        <w:ind w:left="5928" w:hanging="360"/>
      </w:pPr>
    </w:lvl>
    <w:lvl w:ilvl="7" w:tplc="0C090019" w:tentative="1">
      <w:start w:val="1"/>
      <w:numFmt w:val="lowerLetter"/>
      <w:lvlText w:val="%8."/>
      <w:lvlJc w:val="left"/>
      <w:pPr>
        <w:ind w:left="6648" w:hanging="360"/>
      </w:pPr>
    </w:lvl>
    <w:lvl w:ilvl="8" w:tplc="0C09001B" w:tentative="1">
      <w:start w:val="1"/>
      <w:numFmt w:val="lowerRoman"/>
      <w:lvlText w:val="%9."/>
      <w:lvlJc w:val="right"/>
      <w:pPr>
        <w:ind w:left="7368" w:hanging="180"/>
      </w:pPr>
    </w:lvl>
  </w:abstractNum>
  <w:abstractNum w:abstractNumId="19" w15:restartNumberingAfterBreak="0">
    <w:nsid w:val="44C742D0"/>
    <w:multiLevelType w:val="hybridMultilevel"/>
    <w:tmpl w:val="8384E1AE"/>
    <w:lvl w:ilvl="0" w:tplc="1B88A4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C03E56"/>
    <w:multiLevelType w:val="hybridMultilevel"/>
    <w:tmpl w:val="4D74C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959B8"/>
    <w:multiLevelType w:val="hybridMultilevel"/>
    <w:tmpl w:val="50B47E00"/>
    <w:lvl w:ilvl="0" w:tplc="38AC6C80">
      <w:start w:val="1"/>
      <w:numFmt w:val="bullet"/>
      <w:lvlText w:val=""/>
      <w:lvlJc w:val="left"/>
      <w:pPr>
        <w:ind w:left="363" w:hanging="360"/>
      </w:pPr>
      <w:rPr>
        <w:rFonts w:ascii="Symbol" w:hAnsi="Symbol" w:hint="default"/>
        <w:sz w:val="22"/>
        <w:szCs w:val="22"/>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15:restartNumberingAfterBreak="0">
    <w:nsid w:val="5657213E"/>
    <w:multiLevelType w:val="hybridMultilevel"/>
    <w:tmpl w:val="2D6C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876B9"/>
    <w:multiLevelType w:val="hybridMultilevel"/>
    <w:tmpl w:val="01985CDA"/>
    <w:lvl w:ilvl="0" w:tplc="62109840">
      <w:start w:val="1"/>
      <w:numFmt w:val="decimal"/>
      <w:lvlText w:val="%1."/>
      <w:lvlJc w:val="left"/>
      <w:pPr>
        <w:ind w:left="720" w:hanging="360"/>
      </w:pPr>
      <w:rPr>
        <w:b w:val="0"/>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287ED5"/>
    <w:multiLevelType w:val="hybridMultilevel"/>
    <w:tmpl w:val="2BC0B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58230A"/>
    <w:multiLevelType w:val="hybridMultilevel"/>
    <w:tmpl w:val="5C48C15C"/>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83A89"/>
    <w:multiLevelType w:val="hybridMultilevel"/>
    <w:tmpl w:val="B4CEC9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6F1833AD"/>
    <w:multiLevelType w:val="hybridMultilevel"/>
    <w:tmpl w:val="6AC6A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774E13"/>
    <w:multiLevelType w:val="hybridMultilevel"/>
    <w:tmpl w:val="7C100042"/>
    <w:lvl w:ilvl="0" w:tplc="0C090017">
      <w:start w:val="1"/>
      <w:numFmt w:val="lowerLetter"/>
      <w:lvlText w:val="%1)"/>
      <w:lvlJc w:val="left"/>
      <w:pPr>
        <w:ind w:left="1171" w:hanging="360"/>
      </w:pPr>
    </w:lvl>
    <w:lvl w:ilvl="1" w:tplc="0C090019" w:tentative="1">
      <w:start w:val="1"/>
      <w:numFmt w:val="lowerLetter"/>
      <w:lvlText w:val="%2."/>
      <w:lvlJc w:val="left"/>
      <w:pPr>
        <w:ind w:left="1891" w:hanging="360"/>
      </w:pPr>
    </w:lvl>
    <w:lvl w:ilvl="2" w:tplc="0C09001B" w:tentative="1">
      <w:start w:val="1"/>
      <w:numFmt w:val="lowerRoman"/>
      <w:lvlText w:val="%3."/>
      <w:lvlJc w:val="right"/>
      <w:pPr>
        <w:ind w:left="2611" w:hanging="180"/>
      </w:pPr>
    </w:lvl>
    <w:lvl w:ilvl="3" w:tplc="0C09000F" w:tentative="1">
      <w:start w:val="1"/>
      <w:numFmt w:val="decimal"/>
      <w:lvlText w:val="%4."/>
      <w:lvlJc w:val="left"/>
      <w:pPr>
        <w:ind w:left="3331" w:hanging="360"/>
      </w:pPr>
    </w:lvl>
    <w:lvl w:ilvl="4" w:tplc="0C090019" w:tentative="1">
      <w:start w:val="1"/>
      <w:numFmt w:val="lowerLetter"/>
      <w:lvlText w:val="%5."/>
      <w:lvlJc w:val="left"/>
      <w:pPr>
        <w:ind w:left="4051" w:hanging="360"/>
      </w:pPr>
    </w:lvl>
    <w:lvl w:ilvl="5" w:tplc="0C09001B" w:tentative="1">
      <w:start w:val="1"/>
      <w:numFmt w:val="lowerRoman"/>
      <w:lvlText w:val="%6."/>
      <w:lvlJc w:val="right"/>
      <w:pPr>
        <w:ind w:left="4771" w:hanging="180"/>
      </w:pPr>
    </w:lvl>
    <w:lvl w:ilvl="6" w:tplc="0C09000F" w:tentative="1">
      <w:start w:val="1"/>
      <w:numFmt w:val="decimal"/>
      <w:lvlText w:val="%7."/>
      <w:lvlJc w:val="left"/>
      <w:pPr>
        <w:ind w:left="5491" w:hanging="360"/>
      </w:pPr>
    </w:lvl>
    <w:lvl w:ilvl="7" w:tplc="0C090019" w:tentative="1">
      <w:start w:val="1"/>
      <w:numFmt w:val="lowerLetter"/>
      <w:lvlText w:val="%8."/>
      <w:lvlJc w:val="left"/>
      <w:pPr>
        <w:ind w:left="6211" w:hanging="360"/>
      </w:pPr>
    </w:lvl>
    <w:lvl w:ilvl="8" w:tplc="0C09001B" w:tentative="1">
      <w:start w:val="1"/>
      <w:numFmt w:val="lowerRoman"/>
      <w:lvlText w:val="%9."/>
      <w:lvlJc w:val="right"/>
      <w:pPr>
        <w:ind w:left="6931" w:hanging="180"/>
      </w:pPr>
    </w:lvl>
  </w:abstractNum>
  <w:abstractNum w:abstractNumId="29" w15:restartNumberingAfterBreak="0">
    <w:nsid w:val="790343F6"/>
    <w:multiLevelType w:val="hybridMultilevel"/>
    <w:tmpl w:val="09A6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7"/>
  </w:num>
  <w:num w:numId="5">
    <w:abstractNumId w:val="2"/>
  </w:num>
  <w:num w:numId="6">
    <w:abstractNumId w:val="9"/>
  </w:num>
  <w:num w:numId="7">
    <w:abstractNumId w:val="3"/>
  </w:num>
  <w:num w:numId="8">
    <w:abstractNumId w:val="13"/>
  </w:num>
  <w:num w:numId="9">
    <w:abstractNumId w:val="22"/>
  </w:num>
  <w:num w:numId="10">
    <w:abstractNumId w:val="21"/>
  </w:num>
  <w:num w:numId="11">
    <w:abstractNumId w:val="28"/>
  </w:num>
  <w:num w:numId="12">
    <w:abstractNumId w:val="15"/>
  </w:num>
  <w:num w:numId="13">
    <w:abstractNumId w:val="16"/>
  </w:num>
  <w:num w:numId="14">
    <w:abstractNumId w:val="14"/>
  </w:num>
  <w:num w:numId="15">
    <w:abstractNumId w:val="24"/>
  </w:num>
  <w:num w:numId="16">
    <w:abstractNumId w:val="0"/>
  </w:num>
  <w:num w:numId="17">
    <w:abstractNumId w:val="6"/>
  </w:num>
  <w:num w:numId="18">
    <w:abstractNumId w:val="1"/>
  </w:num>
  <w:num w:numId="19">
    <w:abstractNumId w:val="11"/>
  </w:num>
  <w:num w:numId="20">
    <w:abstractNumId w:val="12"/>
  </w:num>
  <w:num w:numId="21">
    <w:abstractNumId w:val="18"/>
  </w:num>
  <w:num w:numId="22">
    <w:abstractNumId w:val="29"/>
  </w:num>
  <w:num w:numId="23">
    <w:abstractNumId w:val="8"/>
  </w:num>
  <w:num w:numId="24">
    <w:abstractNumId w:val="27"/>
  </w:num>
  <w:num w:numId="25">
    <w:abstractNumId w:val="8"/>
  </w:num>
  <w:num w:numId="26">
    <w:abstractNumId w:val="27"/>
  </w:num>
  <w:num w:numId="27">
    <w:abstractNumId w:val="17"/>
  </w:num>
  <w:num w:numId="28">
    <w:abstractNumId w:val="19"/>
  </w:num>
  <w:num w:numId="29">
    <w:abstractNumId w:val="20"/>
  </w:num>
  <w:num w:numId="30">
    <w:abstractNumId w:val="23"/>
  </w:num>
  <w:num w:numId="31">
    <w:abstractNumId w:val="5"/>
  </w:num>
  <w:num w:numId="32">
    <w:abstractNumId w:val="25"/>
  </w:num>
  <w:num w:numId="3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5B"/>
    <w:rsid w:val="00003C21"/>
    <w:rsid w:val="00006CB5"/>
    <w:rsid w:val="000133B0"/>
    <w:rsid w:val="000140B8"/>
    <w:rsid w:val="00020CF2"/>
    <w:rsid w:val="00040A08"/>
    <w:rsid w:val="00042F32"/>
    <w:rsid w:val="00054ABE"/>
    <w:rsid w:val="00057BA2"/>
    <w:rsid w:val="00062A6A"/>
    <w:rsid w:val="00070205"/>
    <w:rsid w:val="00070EE3"/>
    <w:rsid w:val="00073E89"/>
    <w:rsid w:val="00075EF7"/>
    <w:rsid w:val="00081610"/>
    <w:rsid w:val="00082631"/>
    <w:rsid w:val="00082A31"/>
    <w:rsid w:val="000856B5"/>
    <w:rsid w:val="000906DF"/>
    <w:rsid w:val="00094908"/>
    <w:rsid w:val="000A10AA"/>
    <w:rsid w:val="000B0EDB"/>
    <w:rsid w:val="000C4C52"/>
    <w:rsid w:val="000D00AB"/>
    <w:rsid w:val="000E117C"/>
    <w:rsid w:val="000E189F"/>
    <w:rsid w:val="000E2327"/>
    <w:rsid w:val="000E2DAF"/>
    <w:rsid w:val="000E60AF"/>
    <w:rsid w:val="000F1C5D"/>
    <w:rsid w:val="000F6E79"/>
    <w:rsid w:val="000F720D"/>
    <w:rsid w:val="000F75FC"/>
    <w:rsid w:val="001016C5"/>
    <w:rsid w:val="00102C52"/>
    <w:rsid w:val="00105DDB"/>
    <w:rsid w:val="00113A6B"/>
    <w:rsid w:val="00117F38"/>
    <w:rsid w:val="00123E4E"/>
    <w:rsid w:val="00126A02"/>
    <w:rsid w:val="00131F6E"/>
    <w:rsid w:val="00132733"/>
    <w:rsid w:val="00135746"/>
    <w:rsid w:val="0014479C"/>
    <w:rsid w:val="00146B22"/>
    <w:rsid w:val="00147F9C"/>
    <w:rsid w:val="001510D7"/>
    <w:rsid w:val="00157845"/>
    <w:rsid w:val="001614AC"/>
    <w:rsid w:val="001646D2"/>
    <w:rsid w:val="00165CBB"/>
    <w:rsid w:val="0017396A"/>
    <w:rsid w:val="0017451F"/>
    <w:rsid w:val="0017588B"/>
    <w:rsid w:val="00180726"/>
    <w:rsid w:val="0018106F"/>
    <w:rsid w:val="00187D31"/>
    <w:rsid w:val="00192A97"/>
    <w:rsid w:val="001962ED"/>
    <w:rsid w:val="001A3AF1"/>
    <w:rsid w:val="001A7461"/>
    <w:rsid w:val="001B4025"/>
    <w:rsid w:val="001B4182"/>
    <w:rsid w:val="001C0AB1"/>
    <w:rsid w:val="001C7297"/>
    <w:rsid w:val="001C7913"/>
    <w:rsid w:val="001D4852"/>
    <w:rsid w:val="001E0AEE"/>
    <w:rsid w:val="001E1EBE"/>
    <w:rsid w:val="001E34C0"/>
    <w:rsid w:val="001E44AC"/>
    <w:rsid w:val="001E630D"/>
    <w:rsid w:val="001F03A6"/>
    <w:rsid w:val="001F196B"/>
    <w:rsid w:val="001F71EB"/>
    <w:rsid w:val="0020012A"/>
    <w:rsid w:val="00203E35"/>
    <w:rsid w:val="00204020"/>
    <w:rsid w:val="00221AB9"/>
    <w:rsid w:val="002247FA"/>
    <w:rsid w:val="0022662C"/>
    <w:rsid w:val="002309EA"/>
    <w:rsid w:val="002346B5"/>
    <w:rsid w:val="0023588E"/>
    <w:rsid w:val="00242AF7"/>
    <w:rsid w:val="002434BC"/>
    <w:rsid w:val="00262AF1"/>
    <w:rsid w:val="00262C96"/>
    <w:rsid w:val="00265D91"/>
    <w:rsid w:val="00276561"/>
    <w:rsid w:val="00280556"/>
    <w:rsid w:val="00281DFB"/>
    <w:rsid w:val="00287687"/>
    <w:rsid w:val="00291BF5"/>
    <w:rsid w:val="002921C3"/>
    <w:rsid w:val="002A7D8B"/>
    <w:rsid w:val="002B3CC6"/>
    <w:rsid w:val="002B6A03"/>
    <w:rsid w:val="002C042C"/>
    <w:rsid w:val="002D7423"/>
    <w:rsid w:val="002D7C77"/>
    <w:rsid w:val="002E619F"/>
    <w:rsid w:val="002F6702"/>
    <w:rsid w:val="00302578"/>
    <w:rsid w:val="00305839"/>
    <w:rsid w:val="00311FC7"/>
    <w:rsid w:val="00313247"/>
    <w:rsid w:val="00322B21"/>
    <w:rsid w:val="00327561"/>
    <w:rsid w:val="00331C14"/>
    <w:rsid w:val="0033460D"/>
    <w:rsid w:val="00335A14"/>
    <w:rsid w:val="003365F3"/>
    <w:rsid w:val="00337926"/>
    <w:rsid w:val="0034408B"/>
    <w:rsid w:val="00350ED0"/>
    <w:rsid w:val="003607DE"/>
    <w:rsid w:val="0036167F"/>
    <w:rsid w:val="00373B9F"/>
    <w:rsid w:val="0038044C"/>
    <w:rsid w:val="00382FCF"/>
    <w:rsid w:val="003867E1"/>
    <w:rsid w:val="00387635"/>
    <w:rsid w:val="003914CC"/>
    <w:rsid w:val="00396CA6"/>
    <w:rsid w:val="003A1F72"/>
    <w:rsid w:val="003A70C3"/>
    <w:rsid w:val="003B0D19"/>
    <w:rsid w:val="003B1A36"/>
    <w:rsid w:val="003B2BB8"/>
    <w:rsid w:val="003B65CF"/>
    <w:rsid w:val="003D0A26"/>
    <w:rsid w:val="003D0B13"/>
    <w:rsid w:val="003D34FF"/>
    <w:rsid w:val="003E2B62"/>
    <w:rsid w:val="003E4554"/>
    <w:rsid w:val="003F554C"/>
    <w:rsid w:val="00403055"/>
    <w:rsid w:val="0040368C"/>
    <w:rsid w:val="00415B6C"/>
    <w:rsid w:val="0041730F"/>
    <w:rsid w:val="00417C76"/>
    <w:rsid w:val="004243F2"/>
    <w:rsid w:val="0042604B"/>
    <w:rsid w:val="004263D5"/>
    <w:rsid w:val="00427E9B"/>
    <w:rsid w:val="00431E16"/>
    <w:rsid w:val="004354E6"/>
    <w:rsid w:val="00437EC7"/>
    <w:rsid w:val="00440CB8"/>
    <w:rsid w:val="00441F34"/>
    <w:rsid w:val="004438EE"/>
    <w:rsid w:val="00443ED4"/>
    <w:rsid w:val="004448C7"/>
    <w:rsid w:val="00444C5A"/>
    <w:rsid w:val="00447AD2"/>
    <w:rsid w:val="00450683"/>
    <w:rsid w:val="00453AB3"/>
    <w:rsid w:val="004543E1"/>
    <w:rsid w:val="00456ADB"/>
    <w:rsid w:val="0046053E"/>
    <w:rsid w:val="00461227"/>
    <w:rsid w:val="0046314A"/>
    <w:rsid w:val="00471456"/>
    <w:rsid w:val="00472CFA"/>
    <w:rsid w:val="0047318A"/>
    <w:rsid w:val="004774DA"/>
    <w:rsid w:val="00491D63"/>
    <w:rsid w:val="00493BDD"/>
    <w:rsid w:val="004B38EB"/>
    <w:rsid w:val="004B54CA"/>
    <w:rsid w:val="004C06EF"/>
    <w:rsid w:val="004C2AED"/>
    <w:rsid w:val="004C3BBE"/>
    <w:rsid w:val="004C5105"/>
    <w:rsid w:val="004C5F5F"/>
    <w:rsid w:val="004E54E2"/>
    <w:rsid w:val="004E5CBF"/>
    <w:rsid w:val="004F0F7E"/>
    <w:rsid w:val="004F77F4"/>
    <w:rsid w:val="00500C02"/>
    <w:rsid w:val="00500EA9"/>
    <w:rsid w:val="0050321B"/>
    <w:rsid w:val="005038CA"/>
    <w:rsid w:val="00503BDA"/>
    <w:rsid w:val="005111C2"/>
    <w:rsid w:val="00513CF0"/>
    <w:rsid w:val="00517570"/>
    <w:rsid w:val="00517AE4"/>
    <w:rsid w:val="0052473E"/>
    <w:rsid w:val="00530D76"/>
    <w:rsid w:val="005312DA"/>
    <w:rsid w:val="00543F1C"/>
    <w:rsid w:val="00545F0F"/>
    <w:rsid w:val="0054713E"/>
    <w:rsid w:val="0055385B"/>
    <w:rsid w:val="00553F58"/>
    <w:rsid w:val="005543A8"/>
    <w:rsid w:val="005564A8"/>
    <w:rsid w:val="00556777"/>
    <w:rsid w:val="00567053"/>
    <w:rsid w:val="00570CA7"/>
    <w:rsid w:val="0057118B"/>
    <w:rsid w:val="00572B90"/>
    <w:rsid w:val="00580A10"/>
    <w:rsid w:val="00584FC1"/>
    <w:rsid w:val="00586246"/>
    <w:rsid w:val="00586478"/>
    <w:rsid w:val="005877DC"/>
    <w:rsid w:val="00591B70"/>
    <w:rsid w:val="005B437A"/>
    <w:rsid w:val="005B5927"/>
    <w:rsid w:val="005C06AA"/>
    <w:rsid w:val="005C1098"/>
    <w:rsid w:val="005C177F"/>
    <w:rsid w:val="005C1831"/>
    <w:rsid w:val="005C3AA9"/>
    <w:rsid w:val="005D1CAA"/>
    <w:rsid w:val="005D2567"/>
    <w:rsid w:val="005E0C47"/>
    <w:rsid w:val="005E1D56"/>
    <w:rsid w:val="005E3F8E"/>
    <w:rsid w:val="005F59D5"/>
    <w:rsid w:val="00600A2A"/>
    <w:rsid w:val="00601E0D"/>
    <w:rsid w:val="00602615"/>
    <w:rsid w:val="00606F2B"/>
    <w:rsid w:val="00612817"/>
    <w:rsid w:val="00613058"/>
    <w:rsid w:val="006144B2"/>
    <w:rsid w:val="006169C0"/>
    <w:rsid w:val="00617A88"/>
    <w:rsid w:val="006236F9"/>
    <w:rsid w:val="00623CD2"/>
    <w:rsid w:val="006263F6"/>
    <w:rsid w:val="00626E1A"/>
    <w:rsid w:val="00631B54"/>
    <w:rsid w:val="00640A87"/>
    <w:rsid w:val="0064458B"/>
    <w:rsid w:val="0066351A"/>
    <w:rsid w:val="00663614"/>
    <w:rsid w:val="0066391A"/>
    <w:rsid w:val="00665A9D"/>
    <w:rsid w:val="00666AEA"/>
    <w:rsid w:val="00670646"/>
    <w:rsid w:val="0067682B"/>
    <w:rsid w:val="00676E6F"/>
    <w:rsid w:val="00680F0B"/>
    <w:rsid w:val="00686249"/>
    <w:rsid w:val="00691646"/>
    <w:rsid w:val="00693981"/>
    <w:rsid w:val="006A1B4A"/>
    <w:rsid w:val="006A4CE7"/>
    <w:rsid w:val="006B4C3C"/>
    <w:rsid w:val="006B4CF4"/>
    <w:rsid w:val="006B677C"/>
    <w:rsid w:val="006C0BC0"/>
    <w:rsid w:val="006C15DA"/>
    <w:rsid w:val="006C16DF"/>
    <w:rsid w:val="006C2255"/>
    <w:rsid w:val="006C2402"/>
    <w:rsid w:val="006C76AD"/>
    <w:rsid w:val="006D2DA3"/>
    <w:rsid w:val="006D4B8A"/>
    <w:rsid w:val="006D69C6"/>
    <w:rsid w:val="006D6E02"/>
    <w:rsid w:val="006E06D0"/>
    <w:rsid w:val="006E3B0D"/>
    <w:rsid w:val="00702651"/>
    <w:rsid w:val="00702C7E"/>
    <w:rsid w:val="0070399A"/>
    <w:rsid w:val="00704B5E"/>
    <w:rsid w:val="007065F3"/>
    <w:rsid w:val="007071A6"/>
    <w:rsid w:val="007128CF"/>
    <w:rsid w:val="00712B97"/>
    <w:rsid w:val="0072019D"/>
    <w:rsid w:val="00725BBE"/>
    <w:rsid w:val="0072751C"/>
    <w:rsid w:val="00733066"/>
    <w:rsid w:val="0073320E"/>
    <w:rsid w:val="007346A2"/>
    <w:rsid w:val="007477F4"/>
    <w:rsid w:val="00783309"/>
    <w:rsid w:val="00785261"/>
    <w:rsid w:val="00793DDE"/>
    <w:rsid w:val="00793F6C"/>
    <w:rsid w:val="007A2582"/>
    <w:rsid w:val="007B0256"/>
    <w:rsid w:val="007C4B29"/>
    <w:rsid w:val="007D297C"/>
    <w:rsid w:val="007D36FA"/>
    <w:rsid w:val="007D62A6"/>
    <w:rsid w:val="007D6D15"/>
    <w:rsid w:val="007D7233"/>
    <w:rsid w:val="007E3959"/>
    <w:rsid w:val="007E3B8B"/>
    <w:rsid w:val="007E49D0"/>
    <w:rsid w:val="007E5C20"/>
    <w:rsid w:val="007F1CCD"/>
    <w:rsid w:val="007F39E0"/>
    <w:rsid w:val="007F3C55"/>
    <w:rsid w:val="007F4C15"/>
    <w:rsid w:val="0080560B"/>
    <w:rsid w:val="00807CB7"/>
    <w:rsid w:val="00820C74"/>
    <w:rsid w:val="00820E6F"/>
    <w:rsid w:val="00822FAD"/>
    <w:rsid w:val="00827FF9"/>
    <w:rsid w:val="00830D1C"/>
    <w:rsid w:val="00834FBC"/>
    <w:rsid w:val="0083567B"/>
    <w:rsid w:val="00837449"/>
    <w:rsid w:val="008379FB"/>
    <w:rsid w:val="0084192E"/>
    <w:rsid w:val="0084227C"/>
    <w:rsid w:val="008452AF"/>
    <w:rsid w:val="008565DF"/>
    <w:rsid w:val="00856763"/>
    <w:rsid w:val="0085710F"/>
    <w:rsid w:val="008604EE"/>
    <w:rsid w:val="0086175F"/>
    <w:rsid w:val="008641D5"/>
    <w:rsid w:val="008674AE"/>
    <w:rsid w:val="00867DC9"/>
    <w:rsid w:val="0087107F"/>
    <w:rsid w:val="00872CFA"/>
    <w:rsid w:val="00876CA6"/>
    <w:rsid w:val="00877018"/>
    <w:rsid w:val="008820C8"/>
    <w:rsid w:val="00882C6C"/>
    <w:rsid w:val="00882D9C"/>
    <w:rsid w:val="008837E2"/>
    <w:rsid w:val="00890281"/>
    <w:rsid w:val="008916D6"/>
    <w:rsid w:val="008945C1"/>
    <w:rsid w:val="00894E14"/>
    <w:rsid w:val="00895984"/>
    <w:rsid w:val="008B3036"/>
    <w:rsid w:val="008B3E93"/>
    <w:rsid w:val="008C548F"/>
    <w:rsid w:val="008C6E4B"/>
    <w:rsid w:val="008D2D5D"/>
    <w:rsid w:val="008D7148"/>
    <w:rsid w:val="008F3023"/>
    <w:rsid w:val="008F35F3"/>
    <w:rsid w:val="008F75C4"/>
    <w:rsid w:val="00900D34"/>
    <w:rsid w:val="009042C5"/>
    <w:rsid w:val="009225F0"/>
    <w:rsid w:val="00923E97"/>
    <w:rsid w:val="00926CAD"/>
    <w:rsid w:val="00933544"/>
    <w:rsid w:val="00935717"/>
    <w:rsid w:val="009362F9"/>
    <w:rsid w:val="0094563F"/>
    <w:rsid w:val="0095722B"/>
    <w:rsid w:val="00961F34"/>
    <w:rsid w:val="0097220F"/>
    <w:rsid w:val="00975A6A"/>
    <w:rsid w:val="00976CC5"/>
    <w:rsid w:val="00984A18"/>
    <w:rsid w:val="00984B80"/>
    <w:rsid w:val="00990F54"/>
    <w:rsid w:val="009A2F00"/>
    <w:rsid w:val="009A5701"/>
    <w:rsid w:val="009B1E2C"/>
    <w:rsid w:val="009B254D"/>
    <w:rsid w:val="009C6512"/>
    <w:rsid w:val="009C7CB8"/>
    <w:rsid w:val="009D3CCB"/>
    <w:rsid w:val="009E6BD9"/>
    <w:rsid w:val="009F2EE0"/>
    <w:rsid w:val="009F5CDD"/>
    <w:rsid w:val="009F7A8F"/>
    <w:rsid w:val="00A06257"/>
    <w:rsid w:val="00A0638F"/>
    <w:rsid w:val="00A13549"/>
    <w:rsid w:val="00A14DA7"/>
    <w:rsid w:val="00A169D5"/>
    <w:rsid w:val="00A206DC"/>
    <w:rsid w:val="00A3618B"/>
    <w:rsid w:val="00A43430"/>
    <w:rsid w:val="00A43E66"/>
    <w:rsid w:val="00A4462B"/>
    <w:rsid w:val="00A52E70"/>
    <w:rsid w:val="00A56C45"/>
    <w:rsid w:val="00A56F72"/>
    <w:rsid w:val="00A60D05"/>
    <w:rsid w:val="00A70CFB"/>
    <w:rsid w:val="00A74769"/>
    <w:rsid w:val="00A77254"/>
    <w:rsid w:val="00A82130"/>
    <w:rsid w:val="00A873BD"/>
    <w:rsid w:val="00A931C1"/>
    <w:rsid w:val="00A96F4B"/>
    <w:rsid w:val="00AA0334"/>
    <w:rsid w:val="00AA13A2"/>
    <w:rsid w:val="00AA7226"/>
    <w:rsid w:val="00AB6B84"/>
    <w:rsid w:val="00AC0049"/>
    <w:rsid w:val="00AC4298"/>
    <w:rsid w:val="00AC4CE8"/>
    <w:rsid w:val="00AD24E7"/>
    <w:rsid w:val="00AD2E27"/>
    <w:rsid w:val="00AE3185"/>
    <w:rsid w:val="00AE4AD0"/>
    <w:rsid w:val="00AF3F91"/>
    <w:rsid w:val="00B02772"/>
    <w:rsid w:val="00B10EB1"/>
    <w:rsid w:val="00B17219"/>
    <w:rsid w:val="00B25125"/>
    <w:rsid w:val="00B372A6"/>
    <w:rsid w:val="00B5251F"/>
    <w:rsid w:val="00B53048"/>
    <w:rsid w:val="00B65784"/>
    <w:rsid w:val="00B730EA"/>
    <w:rsid w:val="00B744F3"/>
    <w:rsid w:val="00B77078"/>
    <w:rsid w:val="00B774C0"/>
    <w:rsid w:val="00B94024"/>
    <w:rsid w:val="00B95337"/>
    <w:rsid w:val="00B9561C"/>
    <w:rsid w:val="00BA0997"/>
    <w:rsid w:val="00BA2463"/>
    <w:rsid w:val="00BA2DB9"/>
    <w:rsid w:val="00BA356C"/>
    <w:rsid w:val="00BA6A09"/>
    <w:rsid w:val="00BA6F64"/>
    <w:rsid w:val="00BB03A8"/>
    <w:rsid w:val="00BB635E"/>
    <w:rsid w:val="00BB6B82"/>
    <w:rsid w:val="00BC1752"/>
    <w:rsid w:val="00BC2541"/>
    <w:rsid w:val="00BD0E33"/>
    <w:rsid w:val="00BD444C"/>
    <w:rsid w:val="00BE7148"/>
    <w:rsid w:val="00BF18B7"/>
    <w:rsid w:val="00C027B8"/>
    <w:rsid w:val="00C07D7E"/>
    <w:rsid w:val="00C10637"/>
    <w:rsid w:val="00C232B8"/>
    <w:rsid w:val="00C32F04"/>
    <w:rsid w:val="00C3739B"/>
    <w:rsid w:val="00C449D6"/>
    <w:rsid w:val="00C45916"/>
    <w:rsid w:val="00C5054A"/>
    <w:rsid w:val="00C56853"/>
    <w:rsid w:val="00C57001"/>
    <w:rsid w:val="00C63C1E"/>
    <w:rsid w:val="00C71114"/>
    <w:rsid w:val="00C716B9"/>
    <w:rsid w:val="00C76B3D"/>
    <w:rsid w:val="00C81ADE"/>
    <w:rsid w:val="00C8631E"/>
    <w:rsid w:val="00C92D50"/>
    <w:rsid w:val="00C92FB3"/>
    <w:rsid w:val="00C93C38"/>
    <w:rsid w:val="00CA2D66"/>
    <w:rsid w:val="00CA5D88"/>
    <w:rsid w:val="00CB23F6"/>
    <w:rsid w:val="00CB696E"/>
    <w:rsid w:val="00CC09ED"/>
    <w:rsid w:val="00CC2D5F"/>
    <w:rsid w:val="00CC3427"/>
    <w:rsid w:val="00CD0405"/>
    <w:rsid w:val="00CE1CB4"/>
    <w:rsid w:val="00CF1E89"/>
    <w:rsid w:val="00CF1F3E"/>
    <w:rsid w:val="00CF3258"/>
    <w:rsid w:val="00CF515D"/>
    <w:rsid w:val="00CF5E3A"/>
    <w:rsid w:val="00D063AD"/>
    <w:rsid w:val="00D066D7"/>
    <w:rsid w:val="00D07277"/>
    <w:rsid w:val="00D1320B"/>
    <w:rsid w:val="00D170AE"/>
    <w:rsid w:val="00D22A8A"/>
    <w:rsid w:val="00D233C8"/>
    <w:rsid w:val="00D3043E"/>
    <w:rsid w:val="00D33241"/>
    <w:rsid w:val="00D34975"/>
    <w:rsid w:val="00D34CBC"/>
    <w:rsid w:val="00D6197C"/>
    <w:rsid w:val="00D71C54"/>
    <w:rsid w:val="00D85250"/>
    <w:rsid w:val="00D86E50"/>
    <w:rsid w:val="00D90D3C"/>
    <w:rsid w:val="00D93295"/>
    <w:rsid w:val="00DA5648"/>
    <w:rsid w:val="00DA5F2D"/>
    <w:rsid w:val="00DA61DB"/>
    <w:rsid w:val="00DB2A7B"/>
    <w:rsid w:val="00DB450B"/>
    <w:rsid w:val="00DB52EC"/>
    <w:rsid w:val="00DB7AB5"/>
    <w:rsid w:val="00DC0E5B"/>
    <w:rsid w:val="00DC1CE4"/>
    <w:rsid w:val="00DC35D2"/>
    <w:rsid w:val="00DC7344"/>
    <w:rsid w:val="00DD2CD5"/>
    <w:rsid w:val="00DD3205"/>
    <w:rsid w:val="00DD5A7C"/>
    <w:rsid w:val="00DD72BE"/>
    <w:rsid w:val="00DE0655"/>
    <w:rsid w:val="00DE7477"/>
    <w:rsid w:val="00E01B96"/>
    <w:rsid w:val="00E0515D"/>
    <w:rsid w:val="00E15FDD"/>
    <w:rsid w:val="00E17219"/>
    <w:rsid w:val="00E22E8F"/>
    <w:rsid w:val="00E22ED9"/>
    <w:rsid w:val="00E24957"/>
    <w:rsid w:val="00E25EF1"/>
    <w:rsid w:val="00E27951"/>
    <w:rsid w:val="00E30C3C"/>
    <w:rsid w:val="00E30E8A"/>
    <w:rsid w:val="00E33EA7"/>
    <w:rsid w:val="00E44489"/>
    <w:rsid w:val="00E44766"/>
    <w:rsid w:val="00E669EB"/>
    <w:rsid w:val="00E708BB"/>
    <w:rsid w:val="00E713AD"/>
    <w:rsid w:val="00E72026"/>
    <w:rsid w:val="00E72685"/>
    <w:rsid w:val="00E75D0E"/>
    <w:rsid w:val="00E77FC1"/>
    <w:rsid w:val="00EA113F"/>
    <w:rsid w:val="00EA66F0"/>
    <w:rsid w:val="00EB0F6A"/>
    <w:rsid w:val="00EB343E"/>
    <w:rsid w:val="00EC397C"/>
    <w:rsid w:val="00EC5090"/>
    <w:rsid w:val="00EC63C9"/>
    <w:rsid w:val="00EC72B1"/>
    <w:rsid w:val="00ED06AC"/>
    <w:rsid w:val="00ED1D85"/>
    <w:rsid w:val="00ED426D"/>
    <w:rsid w:val="00EE3834"/>
    <w:rsid w:val="00EF2B0D"/>
    <w:rsid w:val="00F00A26"/>
    <w:rsid w:val="00F018B6"/>
    <w:rsid w:val="00F0203C"/>
    <w:rsid w:val="00F0204A"/>
    <w:rsid w:val="00F06B55"/>
    <w:rsid w:val="00F07965"/>
    <w:rsid w:val="00F10494"/>
    <w:rsid w:val="00F10FEF"/>
    <w:rsid w:val="00F26D40"/>
    <w:rsid w:val="00F30908"/>
    <w:rsid w:val="00F377DA"/>
    <w:rsid w:val="00F4337F"/>
    <w:rsid w:val="00F43A16"/>
    <w:rsid w:val="00F56070"/>
    <w:rsid w:val="00F658CA"/>
    <w:rsid w:val="00F67D00"/>
    <w:rsid w:val="00F7344E"/>
    <w:rsid w:val="00F85669"/>
    <w:rsid w:val="00F86FBD"/>
    <w:rsid w:val="00F970DD"/>
    <w:rsid w:val="00FB0BB5"/>
    <w:rsid w:val="00FB12A9"/>
    <w:rsid w:val="00FB56E5"/>
    <w:rsid w:val="00FB7E96"/>
    <w:rsid w:val="00FC143A"/>
    <w:rsid w:val="00FF02AD"/>
    <w:rsid w:val="00FF4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8066"/>
  <w15:docId w15:val="{F5013D32-0AB7-4CDF-B9D8-0C46384E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489"/>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L,Number,Bullet point,Bulletr List Paragraph,Content descriptions,FooterText,List Paragraph Number,List Paragraph2,List Paragraph21,NFP GP Bulleted List,Paragraphe de liste1,numbered,列出段"/>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6B677C"/>
    <w:pPr>
      <w:tabs>
        <w:tab w:val="right" w:leader="dot" w:pos="9379"/>
      </w:tabs>
      <w:spacing w:after="100"/>
    </w:pPr>
    <w:rPr>
      <w:rFonts w:asciiTheme="majorHAnsi" w:eastAsiaTheme="majorEastAsia" w:hAnsiTheme="majorHAnsi"/>
      <w:bCs/>
      <w:noProof/>
    </w:r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ListNumber">
    <w:name w:val="List Number"/>
    <w:basedOn w:val="Normal"/>
    <w:rsid w:val="00702C7E"/>
    <w:pPr>
      <w:spacing w:before="0" w:after="0" w:line="360" w:lineRule="auto"/>
    </w:pPr>
    <w:rPr>
      <w:spacing w:val="0"/>
      <w:sz w:val="28"/>
      <w:szCs w:val="20"/>
      <w:lang w:eastAsia="en-US"/>
    </w:rPr>
  </w:style>
  <w:style w:type="character" w:styleId="CommentReference">
    <w:name w:val="annotation reference"/>
    <w:basedOn w:val="DefaultParagraphFont"/>
    <w:uiPriority w:val="99"/>
    <w:semiHidden/>
    <w:unhideWhenUsed/>
    <w:rsid w:val="008641D5"/>
    <w:rPr>
      <w:sz w:val="16"/>
      <w:szCs w:val="16"/>
    </w:rPr>
  </w:style>
  <w:style w:type="paragraph" w:styleId="CommentText">
    <w:name w:val="annotation text"/>
    <w:basedOn w:val="Normal"/>
    <w:link w:val="CommentTextChar"/>
    <w:uiPriority w:val="99"/>
    <w:semiHidden/>
    <w:unhideWhenUsed/>
    <w:rsid w:val="008641D5"/>
    <w:pPr>
      <w:spacing w:line="240" w:lineRule="auto"/>
    </w:pPr>
    <w:rPr>
      <w:sz w:val="20"/>
      <w:szCs w:val="20"/>
    </w:rPr>
  </w:style>
  <w:style w:type="character" w:customStyle="1" w:styleId="CommentTextChar">
    <w:name w:val="Comment Text Char"/>
    <w:basedOn w:val="DefaultParagraphFont"/>
    <w:link w:val="CommentText"/>
    <w:uiPriority w:val="99"/>
    <w:semiHidden/>
    <w:rsid w:val="008641D5"/>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8641D5"/>
    <w:rPr>
      <w:b/>
      <w:bCs/>
    </w:rPr>
  </w:style>
  <w:style w:type="character" w:customStyle="1" w:styleId="CommentSubjectChar">
    <w:name w:val="Comment Subject Char"/>
    <w:basedOn w:val="CommentTextChar"/>
    <w:link w:val="CommentSubject"/>
    <w:uiPriority w:val="99"/>
    <w:semiHidden/>
    <w:rsid w:val="008641D5"/>
    <w:rPr>
      <w:rFonts w:ascii="Arial" w:eastAsia="Times New Roman" w:hAnsi="Arial" w:cs="Times New Roman"/>
      <w:b/>
      <w:bCs/>
      <w:spacing w:val="4"/>
      <w:sz w:val="20"/>
      <w:szCs w:val="20"/>
      <w:lang w:eastAsia="en-AU"/>
    </w:rPr>
  </w:style>
  <w:style w:type="character" w:customStyle="1" w:styleId="ListParagraphChar">
    <w:name w:val="List Paragraph Char"/>
    <w:aliases w:val="Recommendation Char,List Paragraph1 Char,List Paragraph11 Char,L Char,Number Char,Bullet point Char,Bulletr List Paragraph Char,Content descriptions Char,FooterText Char,List Paragraph Number Char,List Paragraph2 Char,numbered Char"/>
    <w:basedOn w:val="DefaultParagraphFont"/>
    <w:link w:val="ListParagraph"/>
    <w:uiPriority w:val="34"/>
    <w:locked/>
    <w:rsid w:val="007128CF"/>
    <w:rPr>
      <w:rFonts w:ascii="Arial" w:eastAsia="Times New Roman" w:hAnsi="Arial" w:cs="Times New Roman"/>
      <w:spacing w:val="4"/>
      <w:sz w:val="24"/>
      <w:szCs w:val="24"/>
      <w:lang w:eastAsia="en-AU"/>
    </w:rPr>
  </w:style>
  <w:style w:type="paragraph" w:styleId="FootnoteText">
    <w:name w:val="footnote text"/>
    <w:basedOn w:val="Normal"/>
    <w:link w:val="FootnoteTextChar"/>
    <w:uiPriority w:val="99"/>
    <w:semiHidden/>
    <w:unhideWhenUsed/>
    <w:rsid w:val="00F0203C"/>
    <w:pPr>
      <w:spacing w:before="0" w:after="0" w:line="240" w:lineRule="auto"/>
    </w:pPr>
    <w:rPr>
      <w:spacing w:val="0"/>
      <w:sz w:val="20"/>
      <w:szCs w:val="20"/>
    </w:rPr>
  </w:style>
  <w:style w:type="character" w:customStyle="1" w:styleId="FootnoteTextChar">
    <w:name w:val="Footnote Text Char"/>
    <w:basedOn w:val="DefaultParagraphFont"/>
    <w:link w:val="FootnoteText"/>
    <w:uiPriority w:val="99"/>
    <w:semiHidden/>
    <w:rsid w:val="00F0203C"/>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F0203C"/>
    <w:rPr>
      <w:vertAlign w:val="superscript"/>
    </w:rPr>
  </w:style>
  <w:style w:type="character" w:styleId="BookTitle">
    <w:name w:val="Book Title"/>
    <w:uiPriority w:val="33"/>
    <w:qFormat/>
    <w:rsid w:val="00F0203C"/>
    <w:rPr>
      <w:i/>
      <w:iCs/>
      <w:smallCaps/>
      <w:spacing w:val="5"/>
    </w:rPr>
  </w:style>
  <w:style w:type="character" w:styleId="PlaceholderText">
    <w:name w:val="Placeholder Text"/>
    <w:basedOn w:val="DefaultParagraphFont"/>
    <w:uiPriority w:val="99"/>
    <w:semiHidden/>
    <w:rsid w:val="006C15DA"/>
    <w:rPr>
      <w:color w:val="808080"/>
    </w:rPr>
  </w:style>
  <w:style w:type="table" w:customStyle="1" w:styleId="TableGrid1">
    <w:name w:val="Table Grid1"/>
    <w:basedOn w:val="TableNormal"/>
    <w:next w:val="TableGrid"/>
    <w:uiPriority w:val="59"/>
    <w:rsid w:val="0083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35">
      <w:bodyDiv w:val="1"/>
      <w:marLeft w:val="0"/>
      <w:marRight w:val="0"/>
      <w:marTop w:val="0"/>
      <w:marBottom w:val="0"/>
      <w:divBdr>
        <w:top w:val="none" w:sz="0" w:space="0" w:color="auto"/>
        <w:left w:val="none" w:sz="0" w:space="0" w:color="auto"/>
        <w:bottom w:val="none" w:sz="0" w:space="0" w:color="auto"/>
        <w:right w:val="none" w:sz="0" w:space="0" w:color="auto"/>
      </w:divBdr>
    </w:div>
    <w:div w:id="73205433">
      <w:bodyDiv w:val="1"/>
      <w:marLeft w:val="0"/>
      <w:marRight w:val="0"/>
      <w:marTop w:val="0"/>
      <w:marBottom w:val="0"/>
      <w:divBdr>
        <w:top w:val="none" w:sz="0" w:space="0" w:color="auto"/>
        <w:left w:val="none" w:sz="0" w:space="0" w:color="auto"/>
        <w:bottom w:val="none" w:sz="0" w:space="0" w:color="auto"/>
        <w:right w:val="none" w:sz="0" w:space="0" w:color="auto"/>
      </w:divBdr>
    </w:div>
    <w:div w:id="136805581">
      <w:bodyDiv w:val="1"/>
      <w:marLeft w:val="0"/>
      <w:marRight w:val="0"/>
      <w:marTop w:val="0"/>
      <w:marBottom w:val="0"/>
      <w:divBdr>
        <w:top w:val="none" w:sz="0" w:space="0" w:color="auto"/>
        <w:left w:val="none" w:sz="0" w:space="0" w:color="auto"/>
        <w:bottom w:val="none" w:sz="0" w:space="0" w:color="auto"/>
        <w:right w:val="none" w:sz="0" w:space="0" w:color="auto"/>
      </w:divBdr>
      <w:divsChild>
        <w:div w:id="1757287118">
          <w:marLeft w:val="0"/>
          <w:marRight w:val="0"/>
          <w:marTop w:val="0"/>
          <w:marBottom w:val="0"/>
          <w:divBdr>
            <w:top w:val="none" w:sz="0" w:space="0" w:color="auto"/>
            <w:left w:val="none" w:sz="0" w:space="0" w:color="auto"/>
            <w:bottom w:val="none" w:sz="0" w:space="0" w:color="auto"/>
            <w:right w:val="none" w:sz="0" w:space="0" w:color="auto"/>
          </w:divBdr>
          <w:divsChild>
            <w:div w:id="213977034">
              <w:marLeft w:val="0"/>
              <w:marRight w:val="0"/>
              <w:marTop w:val="0"/>
              <w:marBottom w:val="0"/>
              <w:divBdr>
                <w:top w:val="none" w:sz="0" w:space="0" w:color="auto"/>
                <w:left w:val="none" w:sz="0" w:space="0" w:color="auto"/>
                <w:bottom w:val="none" w:sz="0" w:space="0" w:color="auto"/>
                <w:right w:val="none" w:sz="0" w:space="0" w:color="auto"/>
              </w:divBdr>
              <w:divsChild>
                <w:div w:id="384380538">
                  <w:marLeft w:val="0"/>
                  <w:marRight w:val="0"/>
                  <w:marTop w:val="0"/>
                  <w:marBottom w:val="0"/>
                  <w:divBdr>
                    <w:top w:val="none" w:sz="0" w:space="0" w:color="auto"/>
                    <w:left w:val="none" w:sz="0" w:space="0" w:color="auto"/>
                    <w:bottom w:val="none" w:sz="0" w:space="0" w:color="auto"/>
                    <w:right w:val="none" w:sz="0" w:space="0" w:color="auto"/>
                  </w:divBdr>
                  <w:divsChild>
                    <w:div w:id="703139518">
                      <w:marLeft w:val="0"/>
                      <w:marRight w:val="0"/>
                      <w:marTop w:val="0"/>
                      <w:marBottom w:val="0"/>
                      <w:divBdr>
                        <w:top w:val="none" w:sz="0" w:space="0" w:color="auto"/>
                        <w:left w:val="none" w:sz="0" w:space="0" w:color="auto"/>
                        <w:bottom w:val="none" w:sz="0" w:space="0" w:color="auto"/>
                        <w:right w:val="none" w:sz="0" w:space="0" w:color="auto"/>
                      </w:divBdr>
                      <w:divsChild>
                        <w:div w:id="97531472">
                          <w:marLeft w:val="0"/>
                          <w:marRight w:val="0"/>
                          <w:marTop w:val="0"/>
                          <w:marBottom w:val="0"/>
                          <w:divBdr>
                            <w:top w:val="none" w:sz="0" w:space="0" w:color="auto"/>
                            <w:left w:val="none" w:sz="0" w:space="0" w:color="auto"/>
                            <w:bottom w:val="none" w:sz="0" w:space="0" w:color="auto"/>
                            <w:right w:val="none" w:sz="0" w:space="0" w:color="auto"/>
                          </w:divBdr>
                          <w:divsChild>
                            <w:div w:id="289553015">
                              <w:marLeft w:val="0"/>
                              <w:marRight w:val="0"/>
                              <w:marTop w:val="0"/>
                              <w:marBottom w:val="0"/>
                              <w:divBdr>
                                <w:top w:val="none" w:sz="0" w:space="0" w:color="auto"/>
                                <w:left w:val="none" w:sz="0" w:space="0" w:color="auto"/>
                                <w:bottom w:val="none" w:sz="0" w:space="0" w:color="auto"/>
                                <w:right w:val="none" w:sz="0" w:space="0" w:color="auto"/>
                              </w:divBdr>
                              <w:divsChild>
                                <w:div w:id="1858225838">
                                  <w:marLeft w:val="0"/>
                                  <w:marRight w:val="0"/>
                                  <w:marTop w:val="0"/>
                                  <w:marBottom w:val="0"/>
                                  <w:divBdr>
                                    <w:top w:val="none" w:sz="0" w:space="0" w:color="auto"/>
                                    <w:left w:val="none" w:sz="0" w:space="0" w:color="auto"/>
                                    <w:bottom w:val="none" w:sz="0" w:space="0" w:color="auto"/>
                                    <w:right w:val="none" w:sz="0" w:space="0" w:color="auto"/>
                                  </w:divBdr>
                                  <w:divsChild>
                                    <w:div w:id="18987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92805">
      <w:bodyDiv w:val="1"/>
      <w:marLeft w:val="0"/>
      <w:marRight w:val="0"/>
      <w:marTop w:val="0"/>
      <w:marBottom w:val="0"/>
      <w:divBdr>
        <w:top w:val="none" w:sz="0" w:space="0" w:color="auto"/>
        <w:left w:val="none" w:sz="0" w:space="0" w:color="auto"/>
        <w:bottom w:val="none" w:sz="0" w:space="0" w:color="auto"/>
        <w:right w:val="none" w:sz="0" w:space="0" w:color="auto"/>
      </w:divBdr>
    </w:div>
    <w:div w:id="164781486">
      <w:bodyDiv w:val="1"/>
      <w:marLeft w:val="0"/>
      <w:marRight w:val="0"/>
      <w:marTop w:val="0"/>
      <w:marBottom w:val="0"/>
      <w:divBdr>
        <w:top w:val="none" w:sz="0" w:space="0" w:color="auto"/>
        <w:left w:val="none" w:sz="0" w:space="0" w:color="auto"/>
        <w:bottom w:val="none" w:sz="0" w:space="0" w:color="auto"/>
        <w:right w:val="none" w:sz="0" w:space="0" w:color="auto"/>
      </w:divBdr>
      <w:divsChild>
        <w:div w:id="1615476169">
          <w:marLeft w:val="547"/>
          <w:marRight w:val="0"/>
          <w:marTop w:val="0"/>
          <w:marBottom w:val="0"/>
          <w:divBdr>
            <w:top w:val="none" w:sz="0" w:space="0" w:color="auto"/>
            <w:left w:val="none" w:sz="0" w:space="0" w:color="auto"/>
            <w:bottom w:val="none" w:sz="0" w:space="0" w:color="auto"/>
            <w:right w:val="none" w:sz="0" w:space="0" w:color="auto"/>
          </w:divBdr>
        </w:div>
      </w:divsChild>
    </w:div>
    <w:div w:id="187842283">
      <w:bodyDiv w:val="1"/>
      <w:marLeft w:val="0"/>
      <w:marRight w:val="0"/>
      <w:marTop w:val="0"/>
      <w:marBottom w:val="0"/>
      <w:divBdr>
        <w:top w:val="none" w:sz="0" w:space="0" w:color="auto"/>
        <w:left w:val="none" w:sz="0" w:space="0" w:color="auto"/>
        <w:bottom w:val="none" w:sz="0" w:space="0" w:color="auto"/>
        <w:right w:val="none" w:sz="0" w:space="0" w:color="auto"/>
      </w:divBdr>
    </w:div>
    <w:div w:id="222761608">
      <w:bodyDiv w:val="1"/>
      <w:marLeft w:val="0"/>
      <w:marRight w:val="0"/>
      <w:marTop w:val="0"/>
      <w:marBottom w:val="0"/>
      <w:divBdr>
        <w:top w:val="none" w:sz="0" w:space="0" w:color="auto"/>
        <w:left w:val="none" w:sz="0" w:space="0" w:color="auto"/>
        <w:bottom w:val="none" w:sz="0" w:space="0" w:color="auto"/>
        <w:right w:val="none" w:sz="0" w:space="0" w:color="auto"/>
      </w:divBdr>
    </w:div>
    <w:div w:id="268271015">
      <w:bodyDiv w:val="1"/>
      <w:marLeft w:val="0"/>
      <w:marRight w:val="0"/>
      <w:marTop w:val="0"/>
      <w:marBottom w:val="0"/>
      <w:divBdr>
        <w:top w:val="none" w:sz="0" w:space="0" w:color="auto"/>
        <w:left w:val="none" w:sz="0" w:space="0" w:color="auto"/>
        <w:bottom w:val="none" w:sz="0" w:space="0" w:color="auto"/>
        <w:right w:val="none" w:sz="0" w:space="0" w:color="auto"/>
      </w:divBdr>
      <w:divsChild>
        <w:div w:id="687483315">
          <w:marLeft w:val="547"/>
          <w:marRight w:val="0"/>
          <w:marTop w:val="0"/>
          <w:marBottom w:val="0"/>
          <w:divBdr>
            <w:top w:val="none" w:sz="0" w:space="0" w:color="auto"/>
            <w:left w:val="none" w:sz="0" w:space="0" w:color="auto"/>
            <w:bottom w:val="none" w:sz="0" w:space="0" w:color="auto"/>
            <w:right w:val="none" w:sz="0" w:space="0" w:color="auto"/>
          </w:divBdr>
        </w:div>
        <w:div w:id="1872062550">
          <w:marLeft w:val="547"/>
          <w:marRight w:val="0"/>
          <w:marTop w:val="0"/>
          <w:marBottom w:val="0"/>
          <w:divBdr>
            <w:top w:val="none" w:sz="0" w:space="0" w:color="auto"/>
            <w:left w:val="none" w:sz="0" w:space="0" w:color="auto"/>
            <w:bottom w:val="none" w:sz="0" w:space="0" w:color="auto"/>
            <w:right w:val="none" w:sz="0" w:space="0" w:color="auto"/>
          </w:divBdr>
        </w:div>
        <w:div w:id="767772174">
          <w:marLeft w:val="547"/>
          <w:marRight w:val="0"/>
          <w:marTop w:val="0"/>
          <w:marBottom w:val="0"/>
          <w:divBdr>
            <w:top w:val="none" w:sz="0" w:space="0" w:color="auto"/>
            <w:left w:val="none" w:sz="0" w:space="0" w:color="auto"/>
            <w:bottom w:val="none" w:sz="0" w:space="0" w:color="auto"/>
            <w:right w:val="none" w:sz="0" w:space="0" w:color="auto"/>
          </w:divBdr>
        </w:div>
        <w:div w:id="1425567981">
          <w:marLeft w:val="1166"/>
          <w:marRight w:val="0"/>
          <w:marTop w:val="0"/>
          <w:marBottom w:val="0"/>
          <w:divBdr>
            <w:top w:val="none" w:sz="0" w:space="0" w:color="auto"/>
            <w:left w:val="none" w:sz="0" w:space="0" w:color="auto"/>
            <w:bottom w:val="none" w:sz="0" w:space="0" w:color="auto"/>
            <w:right w:val="none" w:sz="0" w:space="0" w:color="auto"/>
          </w:divBdr>
        </w:div>
        <w:div w:id="1177766030">
          <w:marLeft w:val="1166"/>
          <w:marRight w:val="0"/>
          <w:marTop w:val="0"/>
          <w:marBottom w:val="0"/>
          <w:divBdr>
            <w:top w:val="none" w:sz="0" w:space="0" w:color="auto"/>
            <w:left w:val="none" w:sz="0" w:space="0" w:color="auto"/>
            <w:bottom w:val="none" w:sz="0" w:space="0" w:color="auto"/>
            <w:right w:val="none" w:sz="0" w:space="0" w:color="auto"/>
          </w:divBdr>
        </w:div>
      </w:divsChild>
    </w:div>
    <w:div w:id="272829178">
      <w:bodyDiv w:val="1"/>
      <w:marLeft w:val="0"/>
      <w:marRight w:val="0"/>
      <w:marTop w:val="0"/>
      <w:marBottom w:val="0"/>
      <w:divBdr>
        <w:top w:val="none" w:sz="0" w:space="0" w:color="auto"/>
        <w:left w:val="none" w:sz="0" w:space="0" w:color="auto"/>
        <w:bottom w:val="none" w:sz="0" w:space="0" w:color="auto"/>
        <w:right w:val="none" w:sz="0" w:space="0" w:color="auto"/>
      </w:divBdr>
    </w:div>
    <w:div w:id="304286589">
      <w:bodyDiv w:val="1"/>
      <w:marLeft w:val="0"/>
      <w:marRight w:val="0"/>
      <w:marTop w:val="0"/>
      <w:marBottom w:val="0"/>
      <w:divBdr>
        <w:top w:val="none" w:sz="0" w:space="0" w:color="auto"/>
        <w:left w:val="none" w:sz="0" w:space="0" w:color="auto"/>
        <w:bottom w:val="none" w:sz="0" w:space="0" w:color="auto"/>
        <w:right w:val="none" w:sz="0" w:space="0" w:color="auto"/>
      </w:divBdr>
    </w:div>
    <w:div w:id="305936220">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sChild>
        <w:div w:id="155076176">
          <w:marLeft w:val="547"/>
          <w:marRight w:val="0"/>
          <w:marTop w:val="0"/>
          <w:marBottom w:val="0"/>
          <w:divBdr>
            <w:top w:val="none" w:sz="0" w:space="0" w:color="auto"/>
            <w:left w:val="none" w:sz="0" w:space="0" w:color="auto"/>
            <w:bottom w:val="none" w:sz="0" w:space="0" w:color="auto"/>
            <w:right w:val="none" w:sz="0" w:space="0" w:color="auto"/>
          </w:divBdr>
        </w:div>
        <w:div w:id="1221944704">
          <w:marLeft w:val="547"/>
          <w:marRight w:val="0"/>
          <w:marTop w:val="0"/>
          <w:marBottom w:val="0"/>
          <w:divBdr>
            <w:top w:val="none" w:sz="0" w:space="0" w:color="auto"/>
            <w:left w:val="none" w:sz="0" w:space="0" w:color="auto"/>
            <w:bottom w:val="none" w:sz="0" w:space="0" w:color="auto"/>
            <w:right w:val="none" w:sz="0" w:space="0" w:color="auto"/>
          </w:divBdr>
        </w:div>
        <w:div w:id="1384209867">
          <w:marLeft w:val="547"/>
          <w:marRight w:val="0"/>
          <w:marTop w:val="0"/>
          <w:marBottom w:val="0"/>
          <w:divBdr>
            <w:top w:val="none" w:sz="0" w:space="0" w:color="auto"/>
            <w:left w:val="none" w:sz="0" w:space="0" w:color="auto"/>
            <w:bottom w:val="none" w:sz="0" w:space="0" w:color="auto"/>
            <w:right w:val="none" w:sz="0" w:space="0" w:color="auto"/>
          </w:divBdr>
        </w:div>
        <w:div w:id="179703469">
          <w:marLeft w:val="1166"/>
          <w:marRight w:val="0"/>
          <w:marTop w:val="0"/>
          <w:marBottom w:val="0"/>
          <w:divBdr>
            <w:top w:val="none" w:sz="0" w:space="0" w:color="auto"/>
            <w:left w:val="none" w:sz="0" w:space="0" w:color="auto"/>
            <w:bottom w:val="none" w:sz="0" w:space="0" w:color="auto"/>
            <w:right w:val="none" w:sz="0" w:space="0" w:color="auto"/>
          </w:divBdr>
        </w:div>
      </w:divsChild>
    </w:div>
    <w:div w:id="430734979">
      <w:bodyDiv w:val="1"/>
      <w:marLeft w:val="0"/>
      <w:marRight w:val="0"/>
      <w:marTop w:val="0"/>
      <w:marBottom w:val="0"/>
      <w:divBdr>
        <w:top w:val="none" w:sz="0" w:space="0" w:color="auto"/>
        <w:left w:val="none" w:sz="0" w:space="0" w:color="auto"/>
        <w:bottom w:val="none" w:sz="0" w:space="0" w:color="auto"/>
        <w:right w:val="none" w:sz="0" w:space="0" w:color="auto"/>
      </w:divBdr>
    </w:div>
    <w:div w:id="445582589">
      <w:bodyDiv w:val="1"/>
      <w:marLeft w:val="0"/>
      <w:marRight w:val="0"/>
      <w:marTop w:val="0"/>
      <w:marBottom w:val="0"/>
      <w:divBdr>
        <w:top w:val="none" w:sz="0" w:space="0" w:color="auto"/>
        <w:left w:val="none" w:sz="0" w:space="0" w:color="auto"/>
        <w:bottom w:val="none" w:sz="0" w:space="0" w:color="auto"/>
        <w:right w:val="none" w:sz="0" w:space="0" w:color="auto"/>
      </w:divBdr>
      <w:divsChild>
        <w:div w:id="831411055">
          <w:marLeft w:val="547"/>
          <w:marRight w:val="0"/>
          <w:marTop w:val="0"/>
          <w:marBottom w:val="0"/>
          <w:divBdr>
            <w:top w:val="none" w:sz="0" w:space="0" w:color="auto"/>
            <w:left w:val="none" w:sz="0" w:space="0" w:color="auto"/>
            <w:bottom w:val="none" w:sz="0" w:space="0" w:color="auto"/>
            <w:right w:val="none" w:sz="0" w:space="0" w:color="auto"/>
          </w:divBdr>
        </w:div>
        <w:div w:id="578636610">
          <w:marLeft w:val="547"/>
          <w:marRight w:val="0"/>
          <w:marTop w:val="0"/>
          <w:marBottom w:val="0"/>
          <w:divBdr>
            <w:top w:val="none" w:sz="0" w:space="0" w:color="auto"/>
            <w:left w:val="none" w:sz="0" w:space="0" w:color="auto"/>
            <w:bottom w:val="none" w:sz="0" w:space="0" w:color="auto"/>
            <w:right w:val="none" w:sz="0" w:space="0" w:color="auto"/>
          </w:divBdr>
        </w:div>
        <w:div w:id="32124767">
          <w:marLeft w:val="547"/>
          <w:marRight w:val="0"/>
          <w:marTop w:val="0"/>
          <w:marBottom w:val="0"/>
          <w:divBdr>
            <w:top w:val="none" w:sz="0" w:space="0" w:color="auto"/>
            <w:left w:val="none" w:sz="0" w:space="0" w:color="auto"/>
            <w:bottom w:val="none" w:sz="0" w:space="0" w:color="auto"/>
            <w:right w:val="none" w:sz="0" w:space="0" w:color="auto"/>
          </w:divBdr>
        </w:div>
        <w:div w:id="929771736">
          <w:marLeft w:val="1166"/>
          <w:marRight w:val="0"/>
          <w:marTop w:val="0"/>
          <w:marBottom w:val="0"/>
          <w:divBdr>
            <w:top w:val="none" w:sz="0" w:space="0" w:color="auto"/>
            <w:left w:val="none" w:sz="0" w:space="0" w:color="auto"/>
            <w:bottom w:val="none" w:sz="0" w:space="0" w:color="auto"/>
            <w:right w:val="none" w:sz="0" w:space="0" w:color="auto"/>
          </w:divBdr>
        </w:div>
        <w:div w:id="564222619">
          <w:marLeft w:val="1166"/>
          <w:marRight w:val="0"/>
          <w:marTop w:val="0"/>
          <w:marBottom w:val="0"/>
          <w:divBdr>
            <w:top w:val="none" w:sz="0" w:space="0" w:color="auto"/>
            <w:left w:val="none" w:sz="0" w:space="0" w:color="auto"/>
            <w:bottom w:val="none" w:sz="0" w:space="0" w:color="auto"/>
            <w:right w:val="none" w:sz="0" w:space="0" w:color="auto"/>
          </w:divBdr>
        </w:div>
      </w:divsChild>
    </w:div>
    <w:div w:id="471095047">
      <w:bodyDiv w:val="1"/>
      <w:marLeft w:val="0"/>
      <w:marRight w:val="0"/>
      <w:marTop w:val="0"/>
      <w:marBottom w:val="0"/>
      <w:divBdr>
        <w:top w:val="none" w:sz="0" w:space="0" w:color="auto"/>
        <w:left w:val="none" w:sz="0" w:space="0" w:color="auto"/>
        <w:bottom w:val="none" w:sz="0" w:space="0" w:color="auto"/>
        <w:right w:val="none" w:sz="0" w:space="0" w:color="auto"/>
      </w:divBdr>
    </w:div>
    <w:div w:id="487325807">
      <w:bodyDiv w:val="1"/>
      <w:marLeft w:val="0"/>
      <w:marRight w:val="0"/>
      <w:marTop w:val="0"/>
      <w:marBottom w:val="0"/>
      <w:divBdr>
        <w:top w:val="none" w:sz="0" w:space="0" w:color="auto"/>
        <w:left w:val="none" w:sz="0" w:space="0" w:color="auto"/>
        <w:bottom w:val="none" w:sz="0" w:space="0" w:color="auto"/>
        <w:right w:val="none" w:sz="0" w:space="0" w:color="auto"/>
      </w:divBdr>
      <w:divsChild>
        <w:div w:id="536040337">
          <w:marLeft w:val="274"/>
          <w:marRight w:val="0"/>
          <w:marTop w:val="0"/>
          <w:marBottom w:val="0"/>
          <w:divBdr>
            <w:top w:val="none" w:sz="0" w:space="0" w:color="auto"/>
            <w:left w:val="none" w:sz="0" w:space="0" w:color="auto"/>
            <w:bottom w:val="none" w:sz="0" w:space="0" w:color="auto"/>
            <w:right w:val="none" w:sz="0" w:space="0" w:color="auto"/>
          </w:divBdr>
        </w:div>
        <w:div w:id="1667131618">
          <w:marLeft w:val="274"/>
          <w:marRight w:val="0"/>
          <w:marTop w:val="0"/>
          <w:marBottom w:val="0"/>
          <w:divBdr>
            <w:top w:val="none" w:sz="0" w:space="0" w:color="auto"/>
            <w:left w:val="none" w:sz="0" w:space="0" w:color="auto"/>
            <w:bottom w:val="none" w:sz="0" w:space="0" w:color="auto"/>
            <w:right w:val="none" w:sz="0" w:space="0" w:color="auto"/>
          </w:divBdr>
        </w:div>
      </w:divsChild>
    </w:div>
    <w:div w:id="503516693">
      <w:bodyDiv w:val="1"/>
      <w:marLeft w:val="0"/>
      <w:marRight w:val="0"/>
      <w:marTop w:val="0"/>
      <w:marBottom w:val="0"/>
      <w:divBdr>
        <w:top w:val="none" w:sz="0" w:space="0" w:color="auto"/>
        <w:left w:val="none" w:sz="0" w:space="0" w:color="auto"/>
        <w:bottom w:val="none" w:sz="0" w:space="0" w:color="auto"/>
        <w:right w:val="none" w:sz="0" w:space="0" w:color="auto"/>
      </w:divBdr>
      <w:divsChild>
        <w:div w:id="529804763">
          <w:marLeft w:val="274"/>
          <w:marRight w:val="0"/>
          <w:marTop w:val="0"/>
          <w:marBottom w:val="0"/>
          <w:divBdr>
            <w:top w:val="none" w:sz="0" w:space="0" w:color="auto"/>
            <w:left w:val="none" w:sz="0" w:space="0" w:color="auto"/>
            <w:bottom w:val="none" w:sz="0" w:space="0" w:color="auto"/>
            <w:right w:val="none" w:sz="0" w:space="0" w:color="auto"/>
          </w:divBdr>
        </w:div>
        <w:div w:id="395058327">
          <w:marLeft w:val="274"/>
          <w:marRight w:val="0"/>
          <w:marTop w:val="0"/>
          <w:marBottom w:val="0"/>
          <w:divBdr>
            <w:top w:val="none" w:sz="0" w:space="0" w:color="auto"/>
            <w:left w:val="none" w:sz="0" w:space="0" w:color="auto"/>
            <w:bottom w:val="none" w:sz="0" w:space="0" w:color="auto"/>
            <w:right w:val="none" w:sz="0" w:space="0" w:color="auto"/>
          </w:divBdr>
        </w:div>
      </w:divsChild>
    </w:div>
    <w:div w:id="505246932">
      <w:bodyDiv w:val="1"/>
      <w:marLeft w:val="0"/>
      <w:marRight w:val="0"/>
      <w:marTop w:val="0"/>
      <w:marBottom w:val="0"/>
      <w:divBdr>
        <w:top w:val="none" w:sz="0" w:space="0" w:color="auto"/>
        <w:left w:val="none" w:sz="0" w:space="0" w:color="auto"/>
        <w:bottom w:val="none" w:sz="0" w:space="0" w:color="auto"/>
        <w:right w:val="none" w:sz="0" w:space="0" w:color="auto"/>
      </w:divBdr>
      <w:divsChild>
        <w:div w:id="87502431">
          <w:marLeft w:val="72"/>
          <w:marRight w:val="0"/>
          <w:marTop w:val="0"/>
          <w:marBottom w:val="30"/>
          <w:divBdr>
            <w:top w:val="none" w:sz="0" w:space="0" w:color="auto"/>
            <w:left w:val="none" w:sz="0" w:space="0" w:color="auto"/>
            <w:bottom w:val="none" w:sz="0" w:space="0" w:color="auto"/>
            <w:right w:val="none" w:sz="0" w:space="0" w:color="auto"/>
          </w:divBdr>
        </w:div>
        <w:div w:id="1771701086">
          <w:marLeft w:val="72"/>
          <w:marRight w:val="0"/>
          <w:marTop w:val="0"/>
          <w:marBottom w:val="30"/>
          <w:divBdr>
            <w:top w:val="none" w:sz="0" w:space="0" w:color="auto"/>
            <w:left w:val="none" w:sz="0" w:space="0" w:color="auto"/>
            <w:bottom w:val="none" w:sz="0" w:space="0" w:color="auto"/>
            <w:right w:val="none" w:sz="0" w:space="0" w:color="auto"/>
          </w:divBdr>
        </w:div>
        <w:div w:id="772556965">
          <w:marLeft w:val="72"/>
          <w:marRight w:val="0"/>
          <w:marTop w:val="0"/>
          <w:marBottom w:val="30"/>
          <w:divBdr>
            <w:top w:val="none" w:sz="0" w:space="0" w:color="auto"/>
            <w:left w:val="none" w:sz="0" w:space="0" w:color="auto"/>
            <w:bottom w:val="none" w:sz="0" w:space="0" w:color="auto"/>
            <w:right w:val="none" w:sz="0" w:space="0" w:color="auto"/>
          </w:divBdr>
        </w:div>
        <w:div w:id="1961762395">
          <w:marLeft w:val="72"/>
          <w:marRight w:val="0"/>
          <w:marTop w:val="0"/>
          <w:marBottom w:val="30"/>
          <w:divBdr>
            <w:top w:val="none" w:sz="0" w:space="0" w:color="auto"/>
            <w:left w:val="none" w:sz="0" w:space="0" w:color="auto"/>
            <w:bottom w:val="none" w:sz="0" w:space="0" w:color="auto"/>
            <w:right w:val="none" w:sz="0" w:space="0" w:color="auto"/>
          </w:divBdr>
        </w:div>
        <w:div w:id="611516458">
          <w:marLeft w:val="72"/>
          <w:marRight w:val="0"/>
          <w:marTop w:val="0"/>
          <w:marBottom w:val="30"/>
          <w:divBdr>
            <w:top w:val="none" w:sz="0" w:space="0" w:color="auto"/>
            <w:left w:val="none" w:sz="0" w:space="0" w:color="auto"/>
            <w:bottom w:val="none" w:sz="0" w:space="0" w:color="auto"/>
            <w:right w:val="none" w:sz="0" w:space="0" w:color="auto"/>
          </w:divBdr>
        </w:div>
        <w:div w:id="1142578522">
          <w:marLeft w:val="72"/>
          <w:marRight w:val="0"/>
          <w:marTop w:val="0"/>
          <w:marBottom w:val="30"/>
          <w:divBdr>
            <w:top w:val="none" w:sz="0" w:space="0" w:color="auto"/>
            <w:left w:val="none" w:sz="0" w:space="0" w:color="auto"/>
            <w:bottom w:val="none" w:sz="0" w:space="0" w:color="auto"/>
            <w:right w:val="none" w:sz="0" w:space="0" w:color="auto"/>
          </w:divBdr>
        </w:div>
        <w:div w:id="834147363">
          <w:marLeft w:val="72"/>
          <w:marRight w:val="0"/>
          <w:marTop w:val="0"/>
          <w:marBottom w:val="30"/>
          <w:divBdr>
            <w:top w:val="none" w:sz="0" w:space="0" w:color="auto"/>
            <w:left w:val="none" w:sz="0" w:space="0" w:color="auto"/>
            <w:bottom w:val="none" w:sz="0" w:space="0" w:color="auto"/>
            <w:right w:val="none" w:sz="0" w:space="0" w:color="auto"/>
          </w:divBdr>
        </w:div>
        <w:div w:id="1174103552">
          <w:marLeft w:val="72"/>
          <w:marRight w:val="0"/>
          <w:marTop w:val="0"/>
          <w:marBottom w:val="30"/>
          <w:divBdr>
            <w:top w:val="none" w:sz="0" w:space="0" w:color="auto"/>
            <w:left w:val="none" w:sz="0" w:space="0" w:color="auto"/>
            <w:bottom w:val="none" w:sz="0" w:space="0" w:color="auto"/>
            <w:right w:val="none" w:sz="0" w:space="0" w:color="auto"/>
          </w:divBdr>
        </w:div>
        <w:div w:id="120392547">
          <w:marLeft w:val="72"/>
          <w:marRight w:val="0"/>
          <w:marTop w:val="0"/>
          <w:marBottom w:val="30"/>
          <w:divBdr>
            <w:top w:val="none" w:sz="0" w:space="0" w:color="auto"/>
            <w:left w:val="none" w:sz="0" w:space="0" w:color="auto"/>
            <w:bottom w:val="none" w:sz="0" w:space="0" w:color="auto"/>
            <w:right w:val="none" w:sz="0" w:space="0" w:color="auto"/>
          </w:divBdr>
        </w:div>
        <w:div w:id="1145775619">
          <w:marLeft w:val="72"/>
          <w:marRight w:val="0"/>
          <w:marTop w:val="0"/>
          <w:marBottom w:val="30"/>
          <w:divBdr>
            <w:top w:val="none" w:sz="0" w:space="0" w:color="auto"/>
            <w:left w:val="none" w:sz="0" w:space="0" w:color="auto"/>
            <w:bottom w:val="none" w:sz="0" w:space="0" w:color="auto"/>
            <w:right w:val="none" w:sz="0" w:space="0" w:color="auto"/>
          </w:divBdr>
        </w:div>
        <w:div w:id="1765152150">
          <w:marLeft w:val="72"/>
          <w:marRight w:val="0"/>
          <w:marTop w:val="0"/>
          <w:marBottom w:val="30"/>
          <w:divBdr>
            <w:top w:val="none" w:sz="0" w:space="0" w:color="auto"/>
            <w:left w:val="none" w:sz="0" w:space="0" w:color="auto"/>
            <w:bottom w:val="none" w:sz="0" w:space="0" w:color="auto"/>
            <w:right w:val="none" w:sz="0" w:space="0" w:color="auto"/>
          </w:divBdr>
        </w:div>
      </w:divsChild>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13369893">
      <w:bodyDiv w:val="1"/>
      <w:marLeft w:val="0"/>
      <w:marRight w:val="0"/>
      <w:marTop w:val="0"/>
      <w:marBottom w:val="0"/>
      <w:divBdr>
        <w:top w:val="none" w:sz="0" w:space="0" w:color="auto"/>
        <w:left w:val="none" w:sz="0" w:space="0" w:color="auto"/>
        <w:bottom w:val="none" w:sz="0" w:space="0" w:color="auto"/>
        <w:right w:val="none" w:sz="0" w:space="0" w:color="auto"/>
      </w:divBdr>
    </w:div>
    <w:div w:id="637535247">
      <w:bodyDiv w:val="1"/>
      <w:marLeft w:val="0"/>
      <w:marRight w:val="0"/>
      <w:marTop w:val="0"/>
      <w:marBottom w:val="0"/>
      <w:divBdr>
        <w:top w:val="none" w:sz="0" w:space="0" w:color="auto"/>
        <w:left w:val="none" w:sz="0" w:space="0" w:color="auto"/>
        <w:bottom w:val="none" w:sz="0" w:space="0" w:color="auto"/>
        <w:right w:val="none" w:sz="0" w:space="0" w:color="auto"/>
      </w:divBdr>
      <w:divsChild>
        <w:div w:id="802231682">
          <w:marLeft w:val="547"/>
          <w:marRight w:val="0"/>
          <w:marTop w:val="0"/>
          <w:marBottom w:val="0"/>
          <w:divBdr>
            <w:top w:val="none" w:sz="0" w:space="0" w:color="auto"/>
            <w:left w:val="none" w:sz="0" w:space="0" w:color="auto"/>
            <w:bottom w:val="none" w:sz="0" w:space="0" w:color="auto"/>
            <w:right w:val="none" w:sz="0" w:space="0" w:color="auto"/>
          </w:divBdr>
        </w:div>
      </w:divsChild>
    </w:div>
    <w:div w:id="784467747">
      <w:bodyDiv w:val="1"/>
      <w:marLeft w:val="0"/>
      <w:marRight w:val="0"/>
      <w:marTop w:val="0"/>
      <w:marBottom w:val="0"/>
      <w:divBdr>
        <w:top w:val="none" w:sz="0" w:space="0" w:color="auto"/>
        <w:left w:val="none" w:sz="0" w:space="0" w:color="auto"/>
        <w:bottom w:val="none" w:sz="0" w:space="0" w:color="auto"/>
        <w:right w:val="none" w:sz="0" w:space="0" w:color="auto"/>
      </w:divBdr>
    </w:div>
    <w:div w:id="787623299">
      <w:bodyDiv w:val="1"/>
      <w:marLeft w:val="0"/>
      <w:marRight w:val="0"/>
      <w:marTop w:val="0"/>
      <w:marBottom w:val="0"/>
      <w:divBdr>
        <w:top w:val="none" w:sz="0" w:space="0" w:color="auto"/>
        <w:left w:val="none" w:sz="0" w:space="0" w:color="auto"/>
        <w:bottom w:val="none" w:sz="0" w:space="0" w:color="auto"/>
        <w:right w:val="none" w:sz="0" w:space="0" w:color="auto"/>
      </w:divBdr>
      <w:divsChild>
        <w:div w:id="1819372007">
          <w:marLeft w:val="547"/>
          <w:marRight w:val="0"/>
          <w:marTop w:val="0"/>
          <w:marBottom w:val="0"/>
          <w:divBdr>
            <w:top w:val="none" w:sz="0" w:space="0" w:color="auto"/>
            <w:left w:val="none" w:sz="0" w:space="0" w:color="auto"/>
            <w:bottom w:val="none" w:sz="0" w:space="0" w:color="auto"/>
            <w:right w:val="none" w:sz="0" w:space="0" w:color="auto"/>
          </w:divBdr>
        </w:div>
        <w:div w:id="1735741741">
          <w:marLeft w:val="547"/>
          <w:marRight w:val="0"/>
          <w:marTop w:val="0"/>
          <w:marBottom w:val="0"/>
          <w:divBdr>
            <w:top w:val="none" w:sz="0" w:space="0" w:color="auto"/>
            <w:left w:val="none" w:sz="0" w:space="0" w:color="auto"/>
            <w:bottom w:val="none" w:sz="0" w:space="0" w:color="auto"/>
            <w:right w:val="none" w:sz="0" w:space="0" w:color="auto"/>
          </w:divBdr>
        </w:div>
        <w:div w:id="591813927">
          <w:marLeft w:val="1166"/>
          <w:marRight w:val="0"/>
          <w:marTop w:val="0"/>
          <w:marBottom w:val="0"/>
          <w:divBdr>
            <w:top w:val="none" w:sz="0" w:space="0" w:color="auto"/>
            <w:left w:val="none" w:sz="0" w:space="0" w:color="auto"/>
            <w:bottom w:val="none" w:sz="0" w:space="0" w:color="auto"/>
            <w:right w:val="none" w:sz="0" w:space="0" w:color="auto"/>
          </w:divBdr>
        </w:div>
        <w:div w:id="1688100471">
          <w:marLeft w:val="1166"/>
          <w:marRight w:val="0"/>
          <w:marTop w:val="0"/>
          <w:marBottom w:val="0"/>
          <w:divBdr>
            <w:top w:val="none" w:sz="0" w:space="0" w:color="auto"/>
            <w:left w:val="none" w:sz="0" w:space="0" w:color="auto"/>
            <w:bottom w:val="none" w:sz="0" w:space="0" w:color="auto"/>
            <w:right w:val="none" w:sz="0" w:space="0" w:color="auto"/>
          </w:divBdr>
        </w:div>
        <w:div w:id="369451376">
          <w:marLeft w:val="1166"/>
          <w:marRight w:val="0"/>
          <w:marTop w:val="0"/>
          <w:marBottom w:val="0"/>
          <w:divBdr>
            <w:top w:val="none" w:sz="0" w:space="0" w:color="auto"/>
            <w:left w:val="none" w:sz="0" w:space="0" w:color="auto"/>
            <w:bottom w:val="none" w:sz="0" w:space="0" w:color="auto"/>
            <w:right w:val="none" w:sz="0" w:space="0" w:color="auto"/>
          </w:divBdr>
        </w:div>
      </w:divsChild>
    </w:div>
    <w:div w:id="839663236">
      <w:bodyDiv w:val="1"/>
      <w:marLeft w:val="0"/>
      <w:marRight w:val="0"/>
      <w:marTop w:val="0"/>
      <w:marBottom w:val="0"/>
      <w:divBdr>
        <w:top w:val="none" w:sz="0" w:space="0" w:color="auto"/>
        <w:left w:val="none" w:sz="0" w:space="0" w:color="auto"/>
        <w:bottom w:val="none" w:sz="0" w:space="0" w:color="auto"/>
        <w:right w:val="none" w:sz="0" w:space="0" w:color="auto"/>
      </w:divBdr>
      <w:divsChild>
        <w:div w:id="1871720593">
          <w:marLeft w:val="547"/>
          <w:marRight w:val="0"/>
          <w:marTop w:val="120"/>
          <w:marBottom w:val="0"/>
          <w:divBdr>
            <w:top w:val="none" w:sz="0" w:space="0" w:color="auto"/>
            <w:left w:val="none" w:sz="0" w:space="0" w:color="auto"/>
            <w:bottom w:val="none" w:sz="0" w:space="0" w:color="auto"/>
            <w:right w:val="none" w:sz="0" w:space="0" w:color="auto"/>
          </w:divBdr>
        </w:div>
      </w:divsChild>
    </w:div>
    <w:div w:id="899485786">
      <w:bodyDiv w:val="1"/>
      <w:marLeft w:val="0"/>
      <w:marRight w:val="0"/>
      <w:marTop w:val="0"/>
      <w:marBottom w:val="0"/>
      <w:divBdr>
        <w:top w:val="none" w:sz="0" w:space="0" w:color="auto"/>
        <w:left w:val="none" w:sz="0" w:space="0" w:color="auto"/>
        <w:bottom w:val="none" w:sz="0" w:space="0" w:color="auto"/>
        <w:right w:val="none" w:sz="0" w:space="0" w:color="auto"/>
      </w:divBdr>
      <w:divsChild>
        <w:div w:id="1867064527">
          <w:marLeft w:val="547"/>
          <w:marRight w:val="0"/>
          <w:marTop w:val="0"/>
          <w:marBottom w:val="0"/>
          <w:divBdr>
            <w:top w:val="none" w:sz="0" w:space="0" w:color="auto"/>
            <w:left w:val="none" w:sz="0" w:space="0" w:color="auto"/>
            <w:bottom w:val="none" w:sz="0" w:space="0" w:color="auto"/>
            <w:right w:val="none" w:sz="0" w:space="0" w:color="auto"/>
          </w:divBdr>
        </w:div>
      </w:divsChild>
    </w:div>
    <w:div w:id="905844275">
      <w:bodyDiv w:val="1"/>
      <w:marLeft w:val="0"/>
      <w:marRight w:val="0"/>
      <w:marTop w:val="0"/>
      <w:marBottom w:val="0"/>
      <w:divBdr>
        <w:top w:val="none" w:sz="0" w:space="0" w:color="auto"/>
        <w:left w:val="none" w:sz="0" w:space="0" w:color="auto"/>
        <w:bottom w:val="none" w:sz="0" w:space="0" w:color="auto"/>
        <w:right w:val="none" w:sz="0" w:space="0" w:color="auto"/>
      </w:divBdr>
    </w:div>
    <w:div w:id="963390665">
      <w:bodyDiv w:val="1"/>
      <w:marLeft w:val="0"/>
      <w:marRight w:val="0"/>
      <w:marTop w:val="0"/>
      <w:marBottom w:val="0"/>
      <w:divBdr>
        <w:top w:val="none" w:sz="0" w:space="0" w:color="auto"/>
        <w:left w:val="none" w:sz="0" w:space="0" w:color="auto"/>
        <w:bottom w:val="none" w:sz="0" w:space="0" w:color="auto"/>
        <w:right w:val="none" w:sz="0" w:space="0" w:color="auto"/>
      </w:divBdr>
    </w:div>
    <w:div w:id="989481440">
      <w:bodyDiv w:val="1"/>
      <w:marLeft w:val="0"/>
      <w:marRight w:val="0"/>
      <w:marTop w:val="0"/>
      <w:marBottom w:val="0"/>
      <w:divBdr>
        <w:top w:val="none" w:sz="0" w:space="0" w:color="auto"/>
        <w:left w:val="none" w:sz="0" w:space="0" w:color="auto"/>
        <w:bottom w:val="none" w:sz="0" w:space="0" w:color="auto"/>
        <w:right w:val="none" w:sz="0" w:space="0" w:color="auto"/>
      </w:divBdr>
    </w:div>
    <w:div w:id="1033117375">
      <w:bodyDiv w:val="1"/>
      <w:marLeft w:val="0"/>
      <w:marRight w:val="0"/>
      <w:marTop w:val="0"/>
      <w:marBottom w:val="0"/>
      <w:divBdr>
        <w:top w:val="none" w:sz="0" w:space="0" w:color="auto"/>
        <w:left w:val="none" w:sz="0" w:space="0" w:color="auto"/>
        <w:bottom w:val="none" w:sz="0" w:space="0" w:color="auto"/>
        <w:right w:val="none" w:sz="0" w:space="0" w:color="auto"/>
      </w:divBdr>
      <w:divsChild>
        <w:div w:id="1229027775">
          <w:marLeft w:val="547"/>
          <w:marRight w:val="0"/>
          <w:marTop w:val="0"/>
          <w:marBottom w:val="0"/>
          <w:divBdr>
            <w:top w:val="none" w:sz="0" w:space="0" w:color="auto"/>
            <w:left w:val="none" w:sz="0" w:space="0" w:color="auto"/>
            <w:bottom w:val="none" w:sz="0" w:space="0" w:color="auto"/>
            <w:right w:val="none" w:sz="0" w:space="0" w:color="auto"/>
          </w:divBdr>
        </w:div>
      </w:divsChild>
    </w:div>
    <w:div w:id="1249391855">
      <w:bodyDiv w:val="1"/>
      <w:marLeft w:val="0"/>
      <w:marRight w:val="0"/>
      <w:marTop w:val="0"/>
      <w:marBottom w:val="0"/>
      <w:divBdr>
        <w:top w:val="none" w:sz="0" w:space="0" w:color="auto"/>
        <w:left w:val="none" w:sz="0" w:space="0" w:color="auto"/>
        <w:bottom w:val="none" w:sz="0" w:space="0" w:color="auto"/>
        <w:right w:val="none" w:sz="0" w:space="0" w:color="auto"/>
      </w:divBdr>
      <w:divsChild>
        <w:div w:id="793132775">
          <w:marLeft w:val="547"/>
          <w:marRight w:val="0"/>
          <w:marTop w:val="0"/>
          <w:marBottom w:val="0"/>
          <w:divBdr>
            <w:top w:val="none" w:sz="0" w:space="0" w:color="auto"/>
            <w:left w:val="none" w:sz="0" w:space="0" w:color="auto"/>
            <w:bottom w:val="none" w:sz="0" w:space="0" w:color="auto"/>
            <w:right w:val="none" w:sz="0" w:space="0" w:color="auto"/>
          </w:divBdr>
        </w:div>
      </w:divsChild>
    </w:div>
    <w:div w:id="1261061046">
      <w:bodyDiv w:val="1"/>
      <w:marLeft w:val="0"/>
      <w:marRight w:val="0"/>
      <w:marTop w:val="0"/>
      <w:marBottom w:val="0"/>
      <w:divBdr>
        <w:top w:val="none" w:sz="0" w:space="0" w:color="auto"/>
        <w:left w:val="none" w:sz="0" w:space="0" w:color="auto"/>
        <w:bottom w:val="none" w:sz="0" w:space="0" w:color="auto"/>
        <w:right w:val="none" w:sz="0" w:space="0" w:color="auto"/>
      </w:divBdr>
    </w:div>
    <w:div w:id="1333945885">
      <w:bodyDiv w:val="1"/>
      <w:marLeft w:val="0"/>
      <w:marRight w:val="0"/>
      <w:marTop w:val="0"/>
      <w:marBottom w:val="0"/>
      <w:divBdr>
        <w:top w:val="none" w:sz="0" w:space="0" w:color="auto"/>
        <w:left w:val="none" w:sz="0" w:space="0" w:color="auto"/>
        <w:bottom w:val="none" w:sz="0" w:space="0" w:color="auto"/>
        <w:right w:val="none" w:sz="0" w:space="0" w:color="auto"/>
      </w:divBdr>
    </w:div>
    <w:div w:id="1385838415">
      <w:bodyDiv w:val="1"/>
      <w:marLeft w:val="0"/>
      <w:marRight w:val="0"/>
      <w:marTop w:val="0"/>
      <w:marBottom w:val="0"/>
      <w:divBdr>
        <w:top w:val="none" w:sz="0" w:space="0" w:color="auto"/>
        <w:left w:val="none" w:sz="0" w:space="0" w:color="auto"/>
        <w:bottom w:val="none" w:sz="0" w:space="0" w:color="auto"/>
        <w:right w:val="none" w:sz="0" w:space="0" w:color="auto"/>
      </w:divBdr>
    </w:div>
    <w:div w:id="1427270967">
      <w:bodyDiv w:val="1"/>
      <w:marLeft w:val="0"/>
      <w:marRight w:val="0"/>
      <w:marTop w:val="0"/>
      <w:marBottom w:val="0"/>
      <w:divBdr>
        <w:top w:val="none" w:sz="0" w:space="0" w:color="auto"/>
        <w:left w:val="none" w:sz="0" w:space="0" w:color="auto"/>
        <w:bottom w:val="none" w:sz="0" w:space="0" w:color="auto"/>
        <w:right w:val="none" w:sz="0" w:space="0" w:color="auto"/>
      </w:divBdr>
    </w:div>
    <w:div w:id="1489856377">
      <w:bodyDiv w:val="1"/>
      <w:marLeft w:val="0"/>
      <w:marRight w:val="0"/>
      <w:marTop w:val="0"/>
      <w:marBottom w:val="0"/>
      <w:divBdr>
        <w:top w:val="none" w:sz="0" w:space="0" w:color="auto"/>
        <w:left w:val="none" w:sz="0" w:space="0" w:color="auto"/>
        <w:bottom w:val="none" w:sz="0" w:space="0" w:color="auto"/>
        <w:right w:val="none" w:sz="0" w:space="0" w:color="auto"/>
      </w:divBdr>
    </w:div>
    <w:div w:id="1562449526">
      <w:bodyDiv w:val="1"/>
      <w:marLeft w:val="0"/>
      <w:marRight w:val="0"/>
      <w:marTop w:val="0"/>
      <w:marBottom w:val="0"/>
      <w:divBdr>
        <w:top w:val="none" w:sz="0" w:space="0" w:color="auto"/>
        <w:left w:val="none" w:sz="0" w:space="0" w:color="auto"/>
        <w:bottom w:val="none" w:sz="0" w:space="0" w:color="auto"/>
        <w:right w:val="none" w:sz="0" w:space="0" w:color="auto"/>
      </w:divBdr>
    </w:div>
    <w:div w:id="1658193145">
      <w:bodyDiv w:val="1"/>
      <w:marLeft w:val="0"/>
      <w:marRight w:val="0"/>
      <w:marTop w:val="0"/>
      <w:marBottom w:val="0"/>
      <w:divBdr>
        <w:top w:val="none" w:sz="0" w:space="0" w:color="auto"/>
        <w:left w:val="none" w:sz="0" w:space="0" w:color="auto"/>
        <w:bottom w:val="none" w:sz="0" w:space="0" w:color="auto"/>
        <w:right w:val="none" w:sz="0" w:space="0" w:color="auto"/>
      </w:divBdr>
    </w:div>
    <w:div w:id="1696612190">
      <w:bodyDiv w:val="1"/>
      <w:marLeft w:val="0"/>
      <w:marRight w:val="0"/>
      <w:marTop w:val="0"/>
      <w:marBottom w:val="0"/>
      <w:divBdr>
        <w:top w:val="none" w:sz="0" w:space="0" w:color="auto"/>
        <w:left w:val="none" w:sz="0" w:space="0" w:color="auto"/>
        <w:bottom w:val="none" w:sz="0" w:space="0" w:color="auto"/>
        <w:right w:val="none" w:sz="0" w:space="0" w:color="auto"/>
      </w:divBdr>
    </w:div>
    <w:div w:id="1741638656">
      <w:bodyDiv w:val="1"/>
      <w:marLeft w:val="0"/>
      <w:marRight w:val="0"/>
      <w:marTop w:val="0"/>
      <w:marBottom w:val="0"/>
      <w:divBdr>
        <w:top w:val="none" w:sz="0" w:space="0" w:color="auto"/>
        <w:left w:val="none" w:sz="0" w:space="0" w:color="auto"/>
        <w:bottom w:val="none" w:sz="0" w:space="0" w:color="auto"/>
        <w:right w:val="none" w:sz="0" w:space="0" w:color="auto"/>
      </w:divBdr>
      <w:divsChild>
        <w:div w:id="600722742">
          <w:marLeft w:val="547"/>
          <w:marRight w:val="0"/>
          <w:marTop w:val="0"/>
          <w:marBottom w:val="0"/>
          <w:divBdr>
            <w:top w:val="none" w:sz="0" w:space="0" w:color="auto"/>
            <w:left w:val="none" w:sz="0" w:space="0" w:color="auto"/>
            <w:bottom w:val="none" w:sz="0" w:space="0" w:color="auto"/>
            <w:right w:val="none" w:sz="0" w:space="0" w:color="auto"/>
          </w:divBdr>
        </w:div>
        <w:div w:id="1081023772">
          <w:marLeft w:val="547"/>
          <w:marRight w:val="0"/>
          <w:marTop w:val="0"/>
          <w:marBottom w:val="0"/>
          <w:divBdr>
            <w:top w:val="none" w:sz="0" w:space="0" w:color="auto"/>
            <w:left w:val="none" w:sz="0" w:space="0" w:color="auto"/>
            <w:bottom w:val="none" w:sz="0" w:space="0" w:color="auto"/>
            <w:right w:val="none" w:sz="0" w:space="0" w:color="auto"/>
          </w:divBdr>
        </w:div>
        <w:div w:id="1131358899">
          <w:marLeft w:val="547"/>
          <w:marRight w:val="0"/>
          <w:marTop w:val="0"/>
          <w:marBottom w:val="0"/>
          <w:divBdr>
            <w:top w:val="none" w:sz="0" w:space="0" w:color="auto"/>
            <w:left w:val="none" w:sz="0" w:space="0" w:color="auto"/>
            <w:bottom w:val="none" w:sz="0" w:space="0" w:color="auto"/>
            <w:right w:val="none" w:sz="0" w:space="0" w:color="auto"/>
          </w:divBdr>
        </w:div>
        <w:div w:id="97677094">
          <w:marLeft w:val="1166"/>
          <w:marRight w:val="0"/>
          <w:marTop w:val="0"/>
          <w:marBottom w:val="0"/>
          <w:divBdr>
            <w:top w:val="none" w:sz="0" w:space="0" w:color="auto"/>
            <w:left w:val="none" w:sz="0" w:space="0" w:color="auto"/>
            <w:bottom w:val="none" w:sz="0" w:space="0" w:color="auto"/>
            <w:right w:val="none" w:sz="0" w:space="0" w:color="auto"/>
          </w:divBdr>
        </w:div>
        <w:div w:id="2002001394">
          <w:marLeft w:val="1166"/>
          <w:marRight w:val="0"/>
          <w:marTop w:val="0"/>
          <w:marBottom w:val="0"/>
          <w:divBdr>
            <w:top w:val="none" w:sz="0" w:space="0" w:color="auto"/>
            <w:left w:val="none" w:sz="0" w:space="0" w:color="auto"/>
            <w:bottom w:val="none" w:sz="0" w:space="0" w:color="auto"/>
            <w:right w:val="none" w:sz="0" w:space="0" w:color="auto"/>
          </w:divBdr>
        </w:div>
      </w:divsChild>
    </w:div>
    <w:div w:id="1845632784">
      <w:bodyDiv w:val="1"/>
      <w:marLeft w:val="0"/>
      <w:marRight w:val="0"/>
      <w:marTop w:val="0"/>
      <w:marBottom w:val="0"/>
      <w:divBdr>
        <w:top w:val="none" w:sz="0" w:space="0" w:color="auto"/>
        <w:left w:val="none" w:sz="0" w:space="0" w:color="auto"/>
        <w:bottom w:val="none" w:sz="0" w:space="0" w:color="auto"/>
        <w:right w:val="none" w:sz="0" w:space="0" w:color="auto"/>
      </w:divBdr>
    </w:div>
    <w:div w:id="1900676591">
      <w:bodyDiv w:val="1"/>
      <w:marLeft w:val="0"/>
      <w:marRight w:val="0"/>
      <w:marTop w:val="0"/>
      <w:marBottom w:val="0"/>
      <w:divBdr>
        <w:top w:val="none" w:sz="0" w:space="0" w:color="auto"/>
        <w:left w:val="none" w:sz="0" w:space="0" w:color="auto"/>
        <w:bottom w:val="none" w:sz="0" w:space="0" w:color="auto"/>
        <w:right w:val="none" w:sz="0" w:space="0" w:color="auto"/>
      </w:divBdr>
      <w:divsChild>
        <w:div w:id="2074426976">
          <w:marLeft w:val="547"/>
          <w:marRight w:val="0"/>
          <w:marTop w:val="0"/>
          <w:marBottom w:val="0"/>
          <w:divBdr>
            <w:top w:val="none" w:sz="0" w:space="0" w:color="auto"/>
            <w:left w:val="none" w:sz="0" w:space="0" w:color="auto"/>
            <w:bottom w:val="none" w:sz="0" w:space="0" w:color="auto"/>
            <w:right w:val="none" w:sz="0" w:space="0" w:color="auto"/>
          </w:divBdr>
        </w:div>
      </w:divsChild>
    </w:div>
    <w:div w:id="1982809610">
      <w:bodyDiv w:val="1"/>
      <w:marLeft w:val="0"/>
      <w:marRight w:val="0"/>
      <w:marTop w:val="0"/>
      <w:marBottom w:val="0"/>
      <w:divBdr>
        <w:top w:val="none" w:sz="0" w:space="0" w:color="auto"/>
        <w:left w:val="none" w:sz="0" w:space="0" w:color="auto"/>
        <w:bottom w:val="none" w:sz="0" w:space="0" w:color="auto"/>
        <w:right w:val="none" w:sz="0" w:space="0" w:color="auto"/>
      </w:divBdr>
      <w:divsChild>
        <w:div w:id="406268824">
          <w:marLeft w:val="547"/>
          <w:marRight w:val="0"/>
          <w:marTop w:val="0"/>
          <w:marBottom w:val="0"/>
          <w:divBdr>
            <w:top w:val="none" w:sz="0" w:space="0" w:color="auto"/>
            <w:left w:val="none" w:sz="0" w:space="0" w:color="auto"/>
            <w:bottom w:val="none" w:sz="0" w:space="0" w:color="auto"/>
            <w:right w:val="none" w:sz="0" w:space="0" w:color="auto"/>
          </w:divBdr>
        </w:div>
      </w:divsChild>
    </w:div>
    <w:div w:id="2113427942">
      <w:bodyDiv w:val="1"/>
      <w:marLeft w:val="0"/>
      <w:marRight w:val="0"/>
      <w:marTop w:val="0"/>
      <w:marBottom w:val="0"/>
      <w:divBdr>
        <w:top w:val="none" w:sz="0" w:space="0" w:color="auto"/>
        <w:left w:val="none" w:sz="0" w:space="0" w:color="auto"/>
        <w:bottom w:val="none" w:sz="0" w:space="0" w:color="auto"/>
        <w:right w:val="none" w:sz="0" w:space="0" w:color="auto"/>
      </w:divBdr>
    </w:div>
    <w:div w:id="2120906336">
      <w:bodyDiv w:val="1"/>
      <w:marLeft w:val="0"/>
      <w:marRight w:val="0"/>
      <w:marTop w:val="0"/>
      <w:marBottom w:val="0"/>
      <w:divBdr>
        <w:top w:val="none" w:sz="0" w:space="0" w:color="auto"/>
        <w:left w:val="none" w:sz="0" w:space="0" w:color="auto"/>
        <w:bottom w:val="none" w:sz="0" w:space="0" w:color="auto"/>
        <w:right w:val="none" w:sz="0" w:space="0" w:color="auto"/>
      </w:divBdr>
      <w:divsChild>
        <w:div w:id="15593189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tsanhonour.gov.au/coat-arms/index.cfm"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munications@dss.gov.au"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ss.gov.au" TargetMode="External"/><Relationship Id="rId20" Type="http://schemas.openxmlformats.org/officeDocument/2006/relationships/image" Target="media/image5.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26E0EC185E08FB438DA3AFD5BEAE4538" ma:contentTypeVersion="" ma:contentTypeDescription="PDMS Documentation Content Type" ma:contentTypeScope="" ma:versionID="18a61f99ba855c1eba9fadbd20892f58">
  <xsd:schema xmlns:xsd="http://www.w3.org/2001/XMLSchema" xmlns:xs="http://www.w3.org/2001/XMLSchema" xmlns:p="http://schemas.microsoft.com/office/2006/metadata/properties" xmlns:ns2="B9474ECF-A832-4B32-A49C-9F846A7528FC" targetNamespace="http://schemas.microsoft.com/office/2006/metadata/properties" ma:root="true" ma:fieldsID="7a3d528acefbdad9d6513d6d497ce009" ns2:_="">
    <xsd:import namespace="B9474ECF-A832-4B32-A49C-9F846A7528FC"/>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74ECF-A832-4B32-A49C-9F846A7528F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Reason xmlns="B9474ECF-A832-4B32-A49C-9F846A7528FC" xsi:nil="true"/>
    <pdms_SecurityClassification xmlns="B9474ECF-A832-4B32-A49C-9F846A7528FC" xsi:nil="true"/>
    <pdms_AttachedBy xmlns="B9474ECF-A832-4B32-A49C-9F846A7528FC" xsi:nil="true"/>
    <SecurityClassification xmlns="B9474ECF-A832-4B32-A49C-9F846A7528FC" xsi:nil="true"/>
    <pdms_DocumentType xmlns="B9474ECF-A832-4B32-A49C-9F846A7528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4ECB-05CE-4445-A6AB-18F14FC31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74ECF-A832-4B32-A49C-9F846A752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CA5EA-F6AD-4B86-9AE9-CBC48F5E9435}">
  <ds:schemaRefs>
    <ds:schemaRef ds:uri="http://schemas.microsoft.com/office/2006/metadata/properties"/>
    <ds:schemaRef ds:uri="http://schemas.microsoft.com/office/infopath/2007/PartnerControls"/>
    <ds:schemaRef ds:uri="B9474ECF-A832-4B32-A49C-9F846A7528FC"/>
  </ds:schemaRefs>
</ds:datastoreItem>
</file>

<file path=customXml/itemProps3.xml><?xml version="1.0" encoding="utf-8"?>
<ds:datastoreItem xmlns:ds="http://schemas.openxmlformats.org/officeDocument/2006/customXml" ds:itemID="{F8CEF209-118D-43F4-BE0A-24D55449929A}">
  <ds:schemaRefs>
    <ds:schemaRef ds:uri="http://schemas.microsoft.com/sharepoint/v3/contenttype/forms"/>
  </ds:schemaRefs>
</ds:datastoreItem>
</file>

<file path=customXml/itemProps4.xml><?xml version="1.0" encoding="utf-8"?>
<ds:datastoreItem xmlns:ds="http://schemas.openxmlformats.org/officeDocument/2006/customXml" ds:itemID="{F8B69C61-DAF0-4F5D-87FB-598C2FB8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16</TotalTime>
  <Pages>28</Pages>
  <Words>6653</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FREELAND, Rowena</dc:creator>
  <cp:keywords/>
  <dc:description/>
  <cp:lastModifiedBy>MULDERS-JONES, Sinead</cp:lastModifiedBy>
  <cp:revision>5</cp:revision>
  <cp:lastPrinted>2017-12-06T23:32:00Z</cp:lastPrinted>
  <dcterms:created xsi:type="dcterms:W3CDTF">2017-12-06T22:24:00Z</dcterms:created>
  <dcterms:modified xsi:type="dcterms:W3CDTF">2017-12-07T05:50:00Z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0x010100266966F133664895A6EE3632470D45F5010026E0EC185E08FB438DA3AFD5BEAE4538</vt:lpwstr>
  </property>
</Properties>
</file>