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3A6E" w14:textId="77777777" w:rsidR="009D1449" w:rsidRDefault="00C440BF" w:rsidP="00C440BF">
      <w:pPr>
        <w:jc w:val="center"/>
      </w:pPr>
      <w:bookmarkStart w:id="0" w:name="_GoBack"/>
      <w:bookmarkEnd w:id="0"/>
      <w:r w:rsidRPr="00BA5C10">
        <w:rPr>
          <w:noProof/>
          <w:lang w:eastAsia="en-AU"/>
        </w:rPr>
        <w:drawing>
          <wp:inline distT="0" distB="0" distL="0" distR="0" wp14:anchorId="50CCF40C" wp14:editId="61BB59B5">
            <wp:extent cx="4708992"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758" cy="1626022"/>
                    </a:xfrm>
                    <a:prstGeom prst="rect">
                      <a:avLst/>
                    </a:prstGeom>
                    <a:noFill/>
                    <a:ln>
                      <a:noFill/>
                    </a:ln>
                  </pic:spPr>
                </pic:pic>
              </a:graphicData>
            </a:graphic>
          </wp:inline>
        </w:drawing>
      </w:r>
    </w:p>
    <w:p w14:paraId="1B2B4CD4" w14:textId="77777777" w:rsidR="008817F9" w:rsidRDefault="008817F9"/>
    <w:p w14:paraId="672F23B3" w14:textId="77777777" w:rsidR="008817F9" w:rsidRPr="008817F9" w:rsidRDefault="008817F9" w:rsidP="008817F9">
      <w:pPr>
        <w:jc w:val="center"/>
        <w:rPr>
          <w:sz w:val="56"/>
          <w:szCs w:val="56"/>
        </w:rPr>
      </w:pPr>
      <w:r w:rsidRPr="008817F9">
        <w:rPr>
          <w:sz w:val="56"/>
          <w:szCs w:val="56"/>
        </w:rPr>
        <w:t>Ensuring a strong future for Supported Employment</w:t>
      </w:r>
    </w:p>
    <w:p w14:paraId="16797D32" w14:textId="77777777" w:rsidR="008817F9" w:rsidRPr="008817F9" w:rsidRDefault="008817F9" w:rsidP="008817F9">
      <w:pPr>
        <w:jc w:val="center"/>
        <w:rPr>
          <w:sz w:val="56"/>
          <w:szCs w:val="56"/>
        </w:rPr>
      </w:pPr>
      <w:r w:rsidRPr="008817F9">
        <w:rPr>
          <w:sz w:val="56"/>
          <w:szCs w:val="56"/>
        </w:rPr>
        <w:t xml:space="preserve">Discussion Paper </w:t>
      </w:r>
      <w:r w:rsidR="006337D2">
        <w:rPr>
          <w:sz w:val="56"/>
          <w:szCs w:val="56"/>
        </w:rPr>
        <w:t xml:space="preserve">Submission </w:t>
      </w:r>
    </w:p>
    <w:p w14:paraId="4DC4A19C" w14:textId="77777777" w:rsidR="008817F9" w:rsidRPr="008817F9" w:rsidRDefault="008817F9" w:rsidP="008817F9">
      <w:pPr>
        <w:jc w:val="center"/>
        <w:rPr>
          <w:sz w:val="56"/>
          <w:szCs w:val="56"/>
        </w:rPr>
      </w:pPr>
      <w:r w:rsidRPr="008817F9">
        <w:rPr>
          <w:sz w:val="56"/>
          <w:szCs w:val="56"/>
        </w:rPr>
        <w:t>Tasmanian Association Disability Employment Services</w:t>
      </w:r>
    </w:p>
    <w:p w14:paraId="0B78AB3A" w14:textId="77777777" w:rsidR="008817F9" w:rsidRPr="008817F9" w:rsidRDefault="008817F9" w:rsidP="008817F9">
      <w:pPr>
        <w:jc w:val="center"/>
        <w:rPr>
          <w:sz w:val="56"/>
          <w:szCs w:val="56"/>
        </w:rPr>
      </w:pPr>
      <w:r w:rsidRPr="008817F9">
        <w:rPr>
          <w:sz w:val="56"/>
          <w:szCs w:val="56"/>
        </w:rPr>
        <w:t>February 2018</w:t>
      </w:r>
    </w:p>
    <w:p w14:paraId="2F4D8379" w14:textId="77777777" w:rsidR="008817F9" w:rsidRPr="008817F9" w:rsidRDefault="008817F9" w:rsidP="008817F9">
      <w:pPr>
        <w:jc w:val="center"/>
        <w:rPr>
          <w:sz w:val="56"/>
          <w:szCs w:val="56"/>
        </w:rPr>
      </w:pPr>
    </w:p>
    <w:p w14:paraId="4BB983A9" w14:textId="77777777" w:rsidR="008817F9" w:rsidRDefault="008817F9"/>
    <w:p w14:paraId="26FCC7E8" w14:textId="77777777" w:rsidR="008817F9" w:rsidRDefault="008817F9"/>
    <w:p w14:paraId="4A8DDD22" w14:textId="77777777" w:rsidR="008817F9" w:rsidRDefault="008817F9"/>
    <w:p w14:paraId="3F6930A0" w14:textId="77777777" w:rsidR="008817F9" w:rsidRDefault="008817F9"/>
    <w:p w14:paraId="417B4AB5" w14:textId="77777777" w:rsidR="008817F9" w:rsidRDefault="008817F9"/>
    <w:p w14:paraId="31EDE0C4" w14:textId="77777777" w:rsidR="008817F9" w:rsidRDefault="008817F9"/>
    <w:p w14:paraId="0DD47EF8" w14:textId="77777777" w:rsidR="008817F9" w:rsidRDefault="008817F9"/>
    <w:p w14:paraId="2C17B9AD" w14:textId="77777777" w:rsidR="008817F9" w:rsidRDefault="008817F9">
      <w:r>
        <w:br w:type="page"/>
      </w:r>
    </w:p>
    <w:p w14:paraId="253AE390" w14:textId="77777777" w:rsidR="006337D2" w:rsidRDefault="006337D2">
      <w:pPr>
        <w:rPr>
          <w:b/>
        </w:rPr>
      </w:pPr>
      <w:r>
        <w:rPr>
          <w:b/>
        </w:rPr>
        <w:lastRenderedPageBreak/>
        <w:t>Tasmanian Association Disability Employment Services (TADES)</w:t>
      </w:r>
      <w:r w:rsidR="002303F9">
        <w:rPr>
          <w:b/>
        </w:rPr>
        <w:t xml:space="preserve"> </w:t>
      </w:r>
    </w:p>
    <w:p w14:paraId="5F38CA40" w14:textId="791466A6" w:rsidR="006337D2" w:rsidRDefault="000F1C26">
      <w:pPr>
        <w:rPr>
          <w:color w:val="FF0000"/>
        </w:rPr>
      </w:pPr>
      <w:r>
        <w:t>TADES IS</w:t>
      </w:r>
      <w:r w:rsidR="006337D2">
        <w:t xml:space="preserve"> the peak body for the eleven Australian Disability Enterprises in Tasmania</w:t>
      </w:r>
      <w:r>
        <w:t>. The association is</w:t>
      </w:r>
      <w:r w:rsidR="006337D2">
        <w:t xml:space="preserve"> an independent body whose key focus is ensuring that </w:t>
      </w:r>
      <w:r w:rsidR="00951FE4">
        <w:t xml:space="preserve">Tasmanians with disability </w:t>
      </w:r>
      <w:proofErr w:type="gramStart"/>
      <w:r w:rsidR="00951FE4">
        <w:t>have the opportunity to</w:t>
      </w:r>
      <w:proofErr w:type="gramEnd"/>
      <w:r w:rsidR="00951FE4">
        <w:t xml:space="preserve"> </w:t>
      </w:r>
      <w:r w:rsidR="003130D2">
        <w:t xml:space="preserve">be employed. Across the </w:t>
      </w:r>
      <w:r w:rsidR="0047217B">
        <w:t>s</w:t>
      </w:r>
      <w:r w:rsidR="003130D2">
        <w:t xml:space="preserve">tate </w:t>
      </w:r>
      <w:r>
        <w:t xml:space="preserve">the sector employs approximately </w:t>
      </w:r>
      <w:r w:rsidR="007F04E4">
        <w:t xml:space="preserve">420 </w:t>
      </w:r>
      <w:r w:rsidR="007F04E4" w:rsidRPr="007F04E4">
        <w:t>Supported</w:t>
      </w:r>
      <w:r w:rsidRPr="007F04E4">
        <w:t xml:space="preserve"> </w:t>
      </w:r>
      <w:r w:rsidR="007F04E4">
        <w:t>E</w:t>
      </w:r>
      <w:r w:rsidR="003130D2" w:rsidRPr="007F04E4">
        <w:t>mployees working in a variety of skilled areas.</w:t>
      </w:r>
    </w:p>
    <w:p w14:paraId="20B3E945" w14:textId="77777777" w:rsidR="00983F31" w:rsidRDefault="003130D2">
      <w:r>
        <w:t xml:space="preserve">This submission </w:t>
      </w:r>
      <w:r w:rsidR="000F1C26">
        <w:t xml:space="preserve">reflects the </w:t>
      </w:r>
      <w:r>
        <w:t xml:space="preserve">comments, feedback and suggestions </w:t>
      </w:r>
      <w:r w:rsidR="000F1C26">
        <w:t xml:space="preserve">of </w:t>
      </w:r>
      <w:r>
        <w:t xml:space="preserve">all </w:t>
      </w:r>
      <w:r w:rsidR="000F1C26">
        <w:t xml:space="preserve">the </w:t>
      </w:r>
      <w:r>
        <w:t>member</w:t>
      </w:r>
      <w:r w:rsidR="000F1C26">
        <w:t>s</w:t>
      </w:r>
      <w:r>
        <w:t xml:space="preserve"> of the Association. Members may respond in </w:t>
      </w:r>
      <w:r w:rsidR="007F04E4">
        <w:t>separate</w:t>
      </w:r>
      <w:r>
        <w:t xml:space="preserve"> submission</w:t>
      </w:r>
      <w:r w:rsidR="000F1C26">
        <w:t>s</w:t>
      </w:r>
      <w:r>
        <w:t xml:space="preserve"> </w:t>
      </w:r>
      <w:r w:rsidR="000F1C26">
        <w:t xml:space="preserve">that </w:t>
      </w:r>
      <w:r>
        <w:t xml:space="preserve">will reflect their </w:t>
      </w:r>
      <w:r w:rsidR="000F1C26">
        <w:t xml:space="preserve">own </w:t>
      </w:r>
      <w:r>
        <w:t>responses to the discussion paper.</w:t>
      </w:r>
    </w:p>
    <w:p w14:paraId="3108C4C0" w14:textId="77777777" w:rsidR="00555CFE" w:rsidRPr="00555CFE" w:rsidRDefault="00555CFE" w:rsidP="00983F31">
      <w:pPr>
        <w:ind w:left="-10"/>
        <w:rPr>
          <w:b/>
          <w:sz w:val="23"/>
          <w:szCs w:val="23"/>
        </w:rPr>
      </w:pPr>
      <w:r>
        <w:rPr>
          <w:b/>
          <w:sz w:val="23"/>
          <w:szCs w:val="23"/>
        </w:rPr>
        <w:t>Disability Employment Services compared to Australian Disability Enterprise</w:t>
      </w:r>
    </w:p>
    <w:p w14:paraId="3870B492" w14:textId="1EB2DEA0" w:rsidR="00983F31" w:rsidRDefault="00C43D58" w:rsidP="00983F31">
      <w:pPr>
        <w:ind w:left="-10"/>
        <w:rPr>
          <w:sz w:val="23"/>
          <w:szCs w:val="23"/>
        </w:rPr>
      </w:pPr>
      <w:r>
        <w:rPr>
          <w:sz w:val="23"/>
          <w:szCs w:val="23"/>
        </w:rPr>
        <w:t xml:space="preserve">Throughout the discussion paper </w:t>
      </w:r>
      <w:r w:rsidR="000F1C26">
        <w:rPr>
          <w:sz w:val="23"/>
          <w:szCs w:val="23"/>
        </w:rPr>
        <w:t>there are approximately 65 references to the DES sector and providers.  On the face of it, this would seem to reflect a bias by government to rely on the DES sector to achieve employment outcomes for people with disability, rather than focussing on the opportunities to strengthen the supported employment sector that already employs over 20,000 adults with a disability</w:t>
      </w:r>
      <w:r w:rsidR="007F04E4">
        <w:rPr>
          <w:sz w:val="23"/>
          <w:szCs w:val="23"/>
        </w:rPr>
        <w:t xml:space="preserve">. </w:t>
      </w:r>
      <w:r w:rsidR="002807F5">
        <w:rPr>
          <w:sz w:val="23"/>
          <w:szCs w:val="23"/>
        </w:rPr>
        <w:t xml:space="preserve">It is </w:t>
      </w:r>
      <w:r w:rsidR="000F1C26">
        <w:rPr>
          <w:sz w:val="23"/>
          <w:szCs w:val="23"/>
        </w:rPr>
        <w:t>TADES’</w:t>
      </w:r>
      <w:r w:rsidR="002807F5">
        <w:rPr>
          <w:sz w:val="23"/>
          <w:szCs w:val="23"/>
        </w:rPr>
        <w:t xml:space="preserve"> opinion that Government </w:t>
      </w:r>
      <w:r w:rsidR="000F1C26">
        <w:rPr>
          <w:sz w:val="23"/>
          <w:szCs w:val="23"/>
        </w:rPr>
        <w:t xml:space="preserve">must give greater attention to </w:t>
      </w:r>
      <w:r w:rsidR="002807F5">
        <w:rPr>
          <w:sz w:val="23"/>
          <w:szCs w:val="23"/>
        </w:rPr>
        <w:t xml:space="preserve">Australian Disability Enterprises (ADE’s) </w:t>
      </w:r>
      <w:r w:rsidR="000F1C26">
        <w:rPr>
          <w:sz w:val="23"/>
          <w:szCs w:val="23"/>
        </w:rPr>
        <w:t>now and into the future, in order that all of the employment opportunities for people with disability can be maximised.</w:t>
      </w:r>
    </w:p>
    <w:p w14:paraId="56CC0F11" w14:textId="77777777" w:rsidR="007F04E4" w:rsidRDefault="007F04E4" w:rsidP="00983F31">
      <w:pPr>
        <w:ind w:left="-10"/>
        <w:rPr>
          <w:sz w:val="23"/>
          <w:szCs w:val="23"/>
        </w:rPr>
      </w:pPr>
    </w:p>
    <w:p w14:paraId="6D6AEAB2" w14:textId="77777777" w:rsidR="00BF08A6" w:rsidRDefault="00BF08A6" w:rsidP="00983F31">
      <w:pPr>
        <w:ind w:left="-10"/>
        <w:rPr>
          <w:sz w:val="23"/>
          <w:szCs w:val="23"/>
        </w:rPr>
      </w:pPr>
      <w:r>
        <w:rPr>
          <w:sz w:val="23"/>
          <w:szCs w:val="23"/>
        </w:rPr>
        <w:t>Kevin Todeschini</w:t>
      </w:r>
    </w:p>
    <w:p w14:paraId="39BAA19B" w14:textId="77777777" w:rsidR="00BF08A6" w:rsidRDefault="00BF08A6" w:rsidP="00983F31">
      <w:pPr>
        <w:ind w:left="-10"/>
        <w:rPr>
          <w:sz w:val="23"/>
          <w:szCs w:val="23"/>
        </w:rPr>
      </w:pPr>
      <w:r>
        <w:rPr>
          <w:sz w:val="23"/>
          <w:szCs w:val="23"/>
        </w:rPr>
        <w:t>President TADES</w:t>
      </w:r>
    </w:p>
    <w:p w14:paraId="47D6835C" w14:textId="77777777" w:rsidR="00BF08A6" w:rsidRDefault="009341AA" w:rsidP="00983F31">
      <w:pPr>
        <w:ind w:left="-10"/>
        <w:rPr>
          <w:sz w:val="23"/>
          <w:szCs w:val="23"/>
        </w:rPr>
      </w:pPr>
      <w:r>
        <w:rPr>
          <w:sz w:val="23"/>
          <w:szCs w:val="23"/>
        </w:rPr>
        <w:t xml:space="preserve">Email: </w:t>
      </w:r>
      <w:hyperlink r:id="rId9" w:history="1">
        <w:r w:rsidR="00BF08A6" w:rsidRPr="00D75536">
          <w:rPr>
            <w:rStyle w:val="Hyperlink"/>
            <w:sz w:val="23"/>
            <w:szCs w:val="23"/>
          </w:rPr>
          <w:t>kevint@colony47.com.au</w:t>
        </w:r>
      </w:hyperlink>
    </w:p>
    <w:p w14:paraId="0B7A4847" w14:textId="77777777" w:rsidR="009341AA" w:rsidRDefault="009341AA" w:rsidP="00983F31">
      <w:pPr>
        <w:ind w:left="-10"/>
        <w:rPr>
          <w:sz w:val="23"/>
          <w:szCs w:val="23"/>
        </w:rPr>
      </w:pPr>
      <w:r>
        <w:rPr>
          <w:sz w:val="23"/>
          <w:szCs w:val="23"/>
        </w:rPr>
        <w:t>Phone: 0362141335</w:t>
      </w:r>
    </w:p>
    <w:p w14:paraId="6D3375D3" w14:textId="77777777" w:rsidR="00BF08A6" w:rsidRDefault="009341AA" w:rsidP="00983F31">
      <w:pPr>
        <w:ind w:left="-10"/>
        <w:rPr>
          <w:sz w:val="23"/>
          <w:szCs w:val="23"/>
        </w:rPr>
      </w:pPr>
      <w:r>
        <w:rPr>
          <w:sz w:val="23"/>
          <w:szCs w:val="23"/>
        </w:rPr>
        <w:t xml:space="preserve">Mobile: </w:t>
      </w:r>
      <w:r w:rsidR="00BF08A6">
        <w:rPr>
          <w:sz w:val="23"/>
          <w:szCs w:val="23"/>
        </w:rPr>
        <w:t>045773240</w:t>
      </w:r>
      <w:r>
        <w:rPr>
          <w:sz w:val="23"/>
          <w:szCs w:val="23"/>
        </w:rPr>
        <w:t>1</w:t>
      </w:r>
    </w:p>
    <w:p w14:paraId="6A3C1C08" w14:textId="77777777" w:rsidR="007F04E4" w:rsidRDefault="007F04E4" w:rsidP="00983F31">
      <w:pPr>
        <w:ind w:left="-10"/>
        <w:rPr>
          <w:sz w:val="23"/>
          <w:szCs w:val="23"/>
        </w:rPr>
      </w:pPr>
    </w:p>
    <w:p w14:paraId="1F0C4CD4" w14:textId="77777777" w:rsidR="007F04E4" w:rsidRDefault="007F04E4" w:rsidP="00983F31">
      <w:pPr>
        <w:ind w:left="-10"/>
        <w:rPr>
          <w:sz w:val="23"/>
          <w:szCs w:val="23"/>
        </w:rPr>
      </w:pPr>
    </w:p>
    <w:p w14:paraId="35EC2666" w14:textId="77777777" w:rsidR="00BD795B" w:rsidRDefault="00BD795B" w:rsidP="00983F31">
      <w:pPr>
        <w:ind w:left="-10"/>
        <w:rPr>
          <w:sz w:val="23"/>
          <w:szCs w:val="23"/>
        </w:rPr>
      </w:pPr>
    </w:p>
    <w:p w14:paraId="3F89F889" w14:textId="77777777" w:rsidR="00BD795B" w:rsidRDefault="00BD795B" w:rsidP="00983F31">
      <w:pPr>
        <w:ind w:left="-10"/>
        <w:rPr>
          <w:sz w:val="23"/>
          <w:szCs w:val="23"/>
        </w:rPr>
      </w:pPr>
    </w:p>
    <w:p w14:paraId="2B1085AC" w14:textId="77777777" w:rsidR="00BD795B" w:rsidRDefault="00BD795B" w:rsidP="00983F31">
      <w:pPr>
        <w:ind w:left="-10"/>
        <w:rPr>
          <w:sz w:val="23"/>
          <w:szCs w:val="23"/>
        </w:rPr>
      </w:pPr>
    </w:p>
    <w:p w14:paraId="33E4F286" w14:textId="77777777" w:rsidR="00BD795B" w:rsidRDefault="00BD795B" w:rsidP="00983F31">
      <w:pPr>
        <w:ind w:left="-10"/>
        <w:rPr>
          <w:sz w:val="23"/>
          <w:szCs w:val="23"/>
        </w:rPr>
      </w:pPr>
    </w:p>
    <w:p w14:paraId="7138CCC1" w14:textId="77777777" w:rsidR="00BD795B" w:rsidRDefault="00BD795B" w:rsidP="00983F31">
      <w:pPr>
        <w:ind w:left="-10"/>
        <w:rPr>
          <w:sz w:val="23"/>
          <w:szCs w:val="23"/>
        </w:rPr>
      </w:pPr>
    </w:p>
    <w:p w14:paraId="2B13EC4B" w14:textId="77777777" w:rsidR="00BD795B" w:rsidRDefault="00BD795B" w:rsidP="00983F31">
      <w:pPr>
        <w:ind w:left="-10"/>
        <w:rPr>
          <w:sz w:val="23"/>
          <w:szCs w:val="23"/>
        </w:rPr>
      </w:pPr>
    </w:p>
    <w:p w14:paraId="365CCD8B" w14:textId="77777777" w:rsidR="00BD795B" w:rsidRDefault="00BD795B" w:rsidP="00983F31">
      <w:pPr>
        <w:ind w:left="-10"/>
        <w:rPr>
          <w:sz w:val="23"/>
          <w:szCs w:val="23"/>
        </w:rPr>
      </w:pPr>
    </w:p>
    <w:p w14:paraId="21460E3D" w14:textId="77777777" w:rsidR="00BD795B" w:rsidRDefault="00BD795B" w:rsidP="00983F31">
      <w:pPr>
        <w:ind w:left="-10"/>
        <w:rPr>
          <w:sz w:val="23"/>
          <w:szCs w:val="23"/>
        </w:rPr>
      </w:pPr>
    </w:p>
    <w:p w14:paraId="179CEB3E" w14:textId="77777777" w:rsidR="00BD795B" w:rsidRDefault="00BD795B">
      <w:pPr>
        <w:rPr>
          <w:sz w:val="23"/>
          <w:szCs w:val="23"/>
        </w:rPr>
      </w:pPr>
      <w:r>
        <w:rPr>
          <w:sz w:val="23"/>
          <w:szCs w:val="23"/>
        </w:rPr>
        <w:br w:type="page"/>
      </w:r>
    </w:p>
    <w:p w14:paraId="79F95C06" w14:textId="77777777" w:rsidR="002807F5" w:rsidRDefault="000F1C26" w:rsidP="00983F31">
      <w:pPr>
        <w:ind w:left="-10"/>
        <w:rPr>
          <w:sz w:val="23"/>
          <w:szCs w:val="23"/>
        </w:rPr>
      </w:pPr>
      <w:r>
        <w:rPr>
          <w:sz w:val="23"/>
          <w:szCs w:val="23"/>
        </w:rPr>
        <w:lastRenderedPageBreak/>
        <w:t>Below is a comparison of the ADE and DES sectors;</w:t>
      </w:r>
    </w:p>
    <w:tbl>
      <w:tblPr>
        <w:tblStyle w:val="TableGrid"/>
        <w:tblW w:w="0" w:type="auto"/>
        <w:tblInd w:w="-10" w:type="dxa"/>
        <w:tblLook w:val="04A0" w:firstRow="1" w:lastRow="0" w:firstColumn="1" w:lastColumn="0" w:noHBand="0" w:noVBand="1"/>
      </w:tblPr>
      <w:tblGrid>
        <w:gridCol w:w="4508"/>
        <w:gridCol w:w="4508"/>
      </w:tblGrid>
      <w:tr w:rsidR="005B2FCE" w14:paraId="04D6D9EA" w14:textId="77777777" w:rsidTr="005B2FCE">
        <w:trPr>
          <w:trHeight w:val="285"/>
        </w:trPr>
        <w:tc>
          <w:tcPr>
            <w:tcW w:w="4508" w:type="dxa"/>
          </w:tcPr>
          <w:p w14:paraId="6E4C3C5A" w14:textId="77777777" w:rsidR="005B2FCE" w:rsidRDefault="005B2FCE" w:rsidP="005B2FCE">
            <w:pPr>
              <w:rPr>
                <w:sz w:val="23"/>
                <w:szCs w:val="23"/>
              </w:rPr>
            </w:pPr>
            <w:r>
              <w:rPr>
                <w:sz w:val="23"/>
                <w:szCs w:val="23"/>
              </w:rPr>
              <w:t xml:space="preserve">Disability Employment Services </w:t>
            </w:r>
          </w:p>
        </w:tc>
        <w:tc>
          <w:tcPr>
            <w:tcW w:w="4508" w:type="dxa"/>
          </w:tcPr>
          <w:p w14:paraId="7DB4315E" w14:textId="77777777" w:rsidR="005B2FCE" w:rsidRDefault="005B2FCE" w:rsidP="005B2FCE">
            <w:pPr>
              <w:rPr>
                <w:sz w:val="23"/>
                <w:szCs w:val="23"/>
              </w:rPr>
            </w:pPr>
            <w:r>
              <w:rPr>
                <w:sz w:val="23"/>
                <w:szCs w:val="23"/>
              </w:rPr>
              <w:t>Australian Disability Enterprises</w:t>
            </w:r>
          </w:p>
        </w:tc>
      </w:tr>
      <w:tr w:rsidR="002807F5" w14:paraId="120F4C43" w14:textId="77777777" w:rsidTr="005B2FCE">
        <w:trPr>
          <w:trHeight w:val="8511"/>
        </w:trPr>
        <w:tc>
          <w:tcPr>
            <w:tcW w:w="4508" w:type="dxa"/>
          </w:tcPr>
          <w:p w14:paraId="417295BD"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1F4E79" w:themeColor="accent5" w:themeShade="80"/>
                <w:sz w:val="22"/>
                <w:szCs w:val="22"/>
              </w:rPr>
            </w:pPr>
            <w:r w:rsidRPr="00070205">
              <w:rPr>
                <w:iCs/>
                <w:color w:val="1F4E79" w:themeColor="accent5" w:themeShade="80"/>
                <w:sz w:val="22"/>
                <w:szCs w:val="22"/>
              </w:rPr>
              <w:t xml:space="preserve">44 per cent of DES participants have a physical disability </w:t>
            </w:r>
          </w:p>
          <w:p w14:paraId="63E7422F"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1F4E79" w:themeColor="accent5" w:themeShade="80"/>
                <w:sz w:val="22"/>
                <w:szCs w:val="22"/>
              </w:rPr>
            </w:pPr>
            <w:r w:rsidRPr="00070205">
              <w:rPr>
                <w:iCs/>
                <w:color w:val="1F4E79" w:themeColor="accent5" w:themeShade="80"/>
                <w:sz w:val="22"/>
                <w:szCs w:val="22"/>
              </w:rPr>
              <w:t xml:space="preserve">38 per cent have a psychiatric disability </w:t>
            </w:r>
          </w:p>
          <w:p w14:paraId="39E2ECB3" w14:textId="77777777" w:rsidR="002807F5" w:rsidRPr="00CF5E3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1F4E79" w:themeColor="accent5" w:themeShade="80"/>
                <w:sz w:val="22"/>
                <w:szCs w:val="22"/>
              </w:rPr>
            </w:pPr>
            <w:r>
              <w:rPr>
                <w:iCs/>
                <w:color w:val="1F4E79" w:themeColor="accent5" w:themeShade="80"/>
                <w:sz w:val="22"/>
                <w:szCs w:val="22"/>
              </w:rPr>
              <w:t>Four</w:t>
            </w:r>
            <w:r w:rsidRPr="00070205">
              <w:rPr>
                <w:iCs/>
                <w:color w:val="1F4E79" w:themeColor="accent5" w:themeShade="80"/>
                <w:sz w:val="22"/>
                <w:szCs w:val="22"/>
              </w:rPr>
              <w:t xml:space="preserve"> per</w:t>
            </w:r>
            <w:r>
              <w:rPr>
                <w:iCs/>
                <w:color w:val="1F4E79" w:themeColor="accent5" w:themeShade="80"/>
                <w:sz w:val="22"/>
                <w:szCs w:val="22"/>
              </w:rPr>
              <w:t xml:space="preserve"> </w:t>
            </w:r>
            <w:r w:rsidRPr="00070205">
              <w:rPr>
                <w:iCs/>
                <w:color w:val="1F4E79" w:themeColor="accent5" w:themeShade="80"/>
                <w:sz w:val="22"/>
                <w:szCs w:val="22"/>
              </w:rPr>
              <w:t xml:space="preserve">cent have an intellectual disability </w:t>
            </w:r>
          </w:p>
          <w:p w14:paraId="519F70E2" w14:textId="77777777" w:rsidR="002807F5" w:rsidRPr="00872C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1F4E79" w:themeColor="accent5" w:themeShade="80"/>
                <w:sz w:val="22"/>
                <w:szCs w:val="22"/>
              </w:rPr>
            </w:pPr>
            <w:r w:rsidRPr="00872CFA">
              <w:rPr>
                <w:iCs/>
                <w:color w:val="1F4E79" w:themeColor="accent5" w:themeShade="80"/>
                <w:sz w:val="22"/>
                <w:szCs w:val="22"/>
              </w:rPr>
              <w:t xml:space="preserve">DES participants must have an assessed current or future work capacity of eight hours per week as determined by an allied health professional via </w:t>
            </w:r>
            <w:r>
              <w:rPr>
                <w:iCs/>
                <w:color w:val="1F4E79" w:themeColor="accent5" w:themeShade="80"/>
                <w:sz w:val="22"/>
                <w:szCs w:val="22"/>
              </w:rPr>
              <w:t xml:space="preserve">an </w:t>
            </w:r>
            <w:r w:rsidRPr="00872CFA">
              <w:rPr>
                <w:iCs/>
                <w:color w:val="1F4E79" w:themeColor="accent5" w:themeShade="80"/>
                <w:sz w:val="22"/>
                <w:szCs w:val="22"/>
              </w:rPr>
              <w:t>Employment Services Assessment</w:t>
            </w:r>
            <w:r>
              <w:rPr>
                <w:iCs/>
                <w:color w:val="1F4E79" w:themeColor="accent5" w:themeShade="80"/>
                <w:sz w:val="22"/>
                <w:szCs w:val="22"/>
              </w:rPr>
              <w:t xml:space="preserve"> or a </w:t>
            </w:r>
            <w:r w:rsidRPr="00872CFA">
              <w:rPr>
                <w:iCs/>
                <w:color w:val="1F4E79" w:themeColor="accent5" w:themeShade="80"/>
                <w:sz w:val="22"/>
                <w:szCs w:val="22"/>
              </w:rPr>
              <w:t>Job Capacity Assessment (</w:t>
            </w:r>
            <w:proofErr w:type="spellStart"/>
            <w:r w:rsidRPr="00872CFA">
              <w:rPr>
                <w:iCs/>
                <w:color w:val="1F4E79" w:themeColor="accent5" w:themeShade="80"/>
                <w:sz w:val="22"/>
                <w:szCs w:val="22"/>
              </w:rPr>
              <w:t>ESA</w:t>
            </w:r>
            <w:r>
              <w:rPr>
                <w:iCs/>
                <w:color w:val="1F4E79" w:themeColor="accent5" w:themeShade="80"/>
                <w:sz w:val="22"/>
                <w:szCs w:val="22"/>
              </w:rPr>
              <w:t>t</w:t>
            </w:r>
            <w:proofErr w:type="spellEnd"/>
            <w:r w:rsidRPr="00872CFA">
              <w:rPr>
                <w:iCs/>
                <w:color w:val="1F4E79" w:themeColor="accent5" w:themeShade="80"/>
                <w:sz w:val="22"/>
                <w:szCs w:val="22"/>
              </w:rPr>
              <w:t>/JCA)</w:t>
            </w:r>
          </w:p>
          <w:p w14:paraId="6CBA707B" w14:textId="77777777" w:rsidR="002807F5" w:rsidRPr="00CF5E3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1F4E79" w:themeColor="accent5" w:themeShade="80"/>
                <w:sz w:val="22"/>
                <w:szCs w:val="22"/>
              </w:rPr>
            </w:pPr>
            <w:r w:rsidRPr="00070205">
              <w:rPr>
                <w:iCs/>
                <w:color w:val="1F4E79" w:themeColor="accent5" w:themeShade="80"/>
                <w:sz w:val="22"/>
                <w:szCs w:val="22"/>
              </w:rPr>
              <w:t>DES participant ages range from under 20</w:t>
            </w:r>
            <w:r>
              <w:rPr>
                <w:iCs/>
                <w:color w:val="1F4E79" w:themeColor="accent5" w:themeShade="80"/>
                <w:sz w:val="22"/>
                <w:szCs w:val="22"/>
              </w:rPr>
              <w:t>,</w:t>
            </w:r>
            <w:r w:rsidRPr="00070205">
              <w:rPr>
                <w:iCs/>
                <w:color w:val="1F4E79" w:themeColor="accent5" w:themeShade="80"/>
                <w:sz w:val="22"/>
                <w:szCs w:val="22"/>
              </w:rPr>
              <w:t xml:space="preserve"> to over 65</w:t>
            </w:r>
            <w:r>
              <w:rPr>
                <w:iCs/>
                <w:color w:val="1F4E79" w:themeColor="accent5" w:themeShade="80"/>
                <w:sz w:val="22"/>
                <w:szCs w:val="22"/>
              </w:rPr>
              <w:t xml:space="preserve">, with an average </w:t>
            </w:r>
            <w:r w:rsidRPr="00CF5E3A">
              <w:rPr>
                <w:iCs/>
                <w:color w:val="1F4E79" w:themeColor="accent5" w:themeShade="80"/>
                <w:sz w:val="22"/>
                <w:szCs w:val="22"/>
              </w:rPr>
              <w:t>age of 43</w:t>
            </w:r>
          </w:p>
          <w:p w14:paraId="477A0B7B"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24596E"/>
                <w:sz w:val="22"/>
                <w:szCs w:val="22"/>
              </w:rPr>
            </w:pPr>
            <w:r w:rsidRPr="00070205">
              <w:rPr>
                <w:iCs/>
                <w:color w:val="1F4E79" w:themeColor="accent5" w:themeShade="80"/>
                <w:sz w:val="22"/>
                <w:szCs w:val="22"/>
              </w:rPr>
              <w:t>78 per cent of DES particip</w:t>
            </w:r>
            <w:r>
              <w:rPr>
                <w:iCs/>
                <w:color w:val="1F4E79" w:themeColor="accent5" w:themeShade="80"/>
                <w:sz w:val="22"/>
                <w:szCs w:val="22"/>
              </w:rPr>
              <w:t xml:space="preserve">ants are accessing </w:t>
            </w:r>
            <w:proofErr w:type="spellStart"/>
            <w:r>
              <w:rPr>
                <w:iCs/>
                <w:color w:val="1F4E79" w:themeColor="accent5" w:themeShade="80"/>
                <w:sz w:val="22"/>
                <w:szCs w:val="22"/>
              </w:rPr>
              <w:t>Newstart</w:t>
            </w:r>
            <w:proofErr w:type="spellEnd"/>
            <w:r>
              <w:rPr>
                <w:iCs/>
                <w:color w:val="1F4E79" w:themeColor="accent5" w:themeShade="80"/>
                <w:sz w:val="22"/>
                <w:szCs w:val="22"/>
              </w:rPr>
              <w:t xml:space="preserve"> or Y</w:t>
            </w:r>
            <w:r w:rsidRPr="00070205">
              <w:rPr>
                <w:iCs/>
                <w:color w:val="1F4E79" w:themeColor="accent5" w:themeShade="80"/>
                <w:sz w:val="22"/>
                <w:szCs w:val="22"/>
              </w:rPr>
              <w:t>outh Allowance</w:t>
            </w:r>
          </w:p>
          <w:p w14:paraId="30173DA2"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24596E"/>
                <w:sz w:val="22"/>
                <w:szCs w:val="22"/>
              </w:rPr>
            </w:pPr>
            <w:r w:rsidRPr="00070205">
              <w:rPr>
                <w:iCs/>
                <w:color w:val="1F4E79" w:themeColor="accent5" w:themeShade="80"/>
                <w:sz w:val="22"/>
                <w:szCs w:val="22"/>
              </w:rPr>
              <w:t xml:space="preserve">11 per cent are accessing </w:t>
            </w:r>
            <w:r>
              <w:rPr>
                <w:iCs/>
                <w:color w:val="1F4E79" w:themeColor="accent5" w:themeShade="80"/>
                <w:sz w:val="22"/>
                <w:szCs w:val="22"/>
              </w:rPr>
              <w:t>the DSP</w:t>
            </w:r>
            <w:r w:rsidRPr="00070205">
              <w:rPr>
                <w:iCs/>
                <w:color w:val="1F4E79" w:themeColor="accent5" w:themeShade="80"/>
                <w:sz w:val="22"/>
                <w:szCs w:val="22"/>
              </w:rPr>
              <w:t xml:space="preserve"> </w:t>
            </w:r>
          </w:p>
          <w:p w14:paraId="06A4426D" w14:textId="77777777" w:rsidR="002807F5" w:rsidRPr="002247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24596E"/>
                <w:sz w:val="22"/>
                <w:szCs w:val="22"/>
              </w:rPr>
            </w:pPr>
            <w:r>
              <w:rPr>
                <w:iCs/>
                <w:color w:val="1F4E79" w:themeColor="accent5" w:themeShade="80"/>
                <w:sz w:val="22"/>
                <w:szCs w:val="22"/>
              </w:rPr>
              <w:t xml:space="preserve">Over 95 percent of DES participants are paid a full award wage, and </w:t>
            </w:r>
          </w:p>
          <w:p w14:paraId="66950984" w14:textId="77777777" w:rsidR="002807F5" w:rsidRPr="002807F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line="276" w:lineRule="auto"/>
              <w:ind w:left="463" w:hanging="357"/>
              <w:rPr>
                <w:rFonts w:ascii="Georgia" w:hAnsi="Georgia"/>
                <w:bCs/>
                <w:color w:val="24596E"/>
                <w:sz w:val="22"/>
                <w:szCs w:val="22"/>
              </w:rPr>
            </w:pPr>
            <w:r w:rsidRPr="002247FA">
              <w:rPr>
                <w:iCs/>
                <w:color w:val="1F4E79" w:themeColor="accent5" w:themeShade="80"/>
                <w:sz w:val="22"/>
                <w:szCs w:val="22"/>
              </w:rPr>
              <w:t>At any given time there are 189,000 DES participants accessing support through DES providers that are collectively paid up to $800 million annually</w:t>
            </w:r>
            <w:r>
              <w:rPr>
                <w:iCs/>
                <w:color w:val="1F4E79" w:themeColor="accent5" w:themeShade="80"/>
                <w:sz w:val="22"/>
                <w:szCs w:val="22"/>
              </w:rPr>
              <w:t>.</w:t>
            </w:r>
          </w:p>
        </w:tc>
        <w:tc>
          <w:tcPr>
            <w:tcW w:w="4508" w:type="dxa"/>
          </w:tcPr>
          <w:p w14:paraId="7E9AF673"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70-75 per cent of supported employees have an intellectual disability</w:t>
            </w:r>
          </w:p>
          <w:p w14:paraId="19ED9064"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The average weekly wage for a supported employee is $121.72</w:t>
            </w:r>
          </w:p>
          <w:p w14:paraId="49C9147C" w14:textId="77777777" w:rsidR="002807F5" w:rsidRPr="00DD3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The average hourly rate is $5.61</w:t>
            </w:r>
            <w:r>
              <w:rPr>
                <w:iCs/>
                <w:color w:val="1F4E79" w:themeColor="accent5" w:themeShade="80"/>
                <w:sz w:val="22"/>
                <w:szCs w:val="22"/>
              </w:rPr>
              <w:t>,</w:t>
            </w:r>
            <w:r w:rsidRPr="00070205">
              <w:rPr>
                <w:iCs/>
                <w:color w:val="1F4E79" w:themeColor="accent5" w:themeShade="80"/>
                <w:sz w:val="22"/>
                <w:szCs w:val="22"/>
              </w:rPr>
              <w:t xml:space="preserve"> </w:t>
            </w:r>
            <w:r>
              <w:rPr>
                <w:iCs/>
                <w:color w:val="1F4E79" w:themeColor="accent5" w:themeShade="80"/>
                <w:sz w:val="22"/>
                <w:szCs w:val="22"/>
              </w:rPr>
              <w:t>with w</w:t>
            </w:r>
            <w:r w:rsidRPr="00070205">
              <w:rPr>
                <w:iCs/>
                <w:color w:val="1F4E79" w:themeColor="accent5" w:themeShade="80"/>
                <w:sz w:val="22"/>
                <w:szCs w:val="22"/>
              </w:rPr>
              <w:t xml:space="preserve">ages </w:t>
            </w:r>
            <w:r>
              <w:rPr>
                <w:iCs/>
                <w:color w:val="1F4E79" w:themeColor="accent5" w:themeShade="80"/>
                <w:sz w:val="22"/>
                <w:szCs w:val="22"/>
              </w:rPr>
              <w:t>ranging</w:t>
            </w:r>
            <w:r w:rsidRPr="00070205">
              <w:rPr>
                <w:iCs/>
                <w:color w:val="1F4E79" w:themeColor="accent5" w:themeShade="80"/>
                <w:sz w:val="22"/>
                <w:szCs w:val="22"/>
              </w:rPr>
              <w:t xml:space="preserve"> from $1.00 per hour to full award wage</w:t>
            </w:r>
          </w:p>
          <w:p w14:paraId="4223AFD0"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All supported employees qualify for DSP</w:t>
            </w:r>
          </w:p>
          <w:p w14:paraId="6E1CA570" w14:textId="77777777" w:rsidR="002807F5" w:rsidRPr="00872C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 xml:space="preserve">The pension income test free area (including for DSP) from 1 July 2017 is $168 </w:t>
            </w:r>
            <w:r>
              <w:rPr>
                <w:iCs/>
                <w:color w:val="1F4E79" w:themeColor="accent5" w:themeShade="80"/>
                <w:sz w:val="22"/>
                <w:szCs w:val="22"/>
              </w:rPr>
              <w:t>per</w:t>
            </w:r>
            <w:r w:rsidRPr="00070205">
              <w:rPr>
                <w:iCs/>
                <w:color w:val="1F4E79" w:themeColor="accent5" w:themeShade="80"/>
                <w:sz w:val="22"/>
                <w:szCs w:val="22"/>
              </w:rPr>
              <w:t xml:space="preserve"> </w:t>
            </w:r>
            <w:r w:rsidRPr="00872CFA">
              <w:rPr>
                <w:iCs/>
                <w:color w:val="1F4E79" w:themeColor="accent5" w:themeShade="80"/>
                <w:sz w:val="22"/>
                <w:szCs w:val="22"/>
              </w:rPr>
              <w:t xml:space="preserve">fortnight for singles and $300 </w:t>
            </w:r>
            <w:r>
              <w:rPr>
                <w:iCs/>
                <w:color w:val="1F4E79" w:themeColor="accent5" w:themeShade="80"/>
                <w:sz w:val="22"/>
                <w:szCs w:val="22"/>
              </w:rPr>
              <w:t>per</w:t>
            </w:r>
            <w:r w:rsidRPr="00872CFA">
              <w:rPr>
                <w:iCs/>
                <w:color w:val="1F4E79" w:themeColor="accent5" w:themeShade="80"/>
                <w:sz w:val="22"/>
                <w:szCs w:val="22"/>
              </w:rPr>
              <w:t xml:space="preserve"> fortnight for couples combined</w:t>
            </w:r>
          </w:p>
          <w:p w14:paraId="5C03A296" w14:textId="77777777" w:rsidR="002807F5" w:rsidRPr="00872C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872CFA">
              <w:rPr>
                <w:iCs/>
                <w:color w:val="1F4E79" w:themeColor="accent5" w:themeShade="80"/>
                <w:sz w:val="22"/>
                <w:szCs w:val="22"/>
              </w:rPr>
              <w:t xml:space="preserve">Supported employees must be able to work a minimum of </w:t>
            </w:r>
            <w:r>
              <w:rPr>
                <w:iCs/>
                <w:color w:val="1F4E79" w:themeColor="accent5" w:themeShade="80"/>
                <w:sz w:val="22"/>
                <w:szCs w:val="22"/>
              </w:rPr>
              <w:t>eight</w:t>
            </w:r>
            <w:r w:rsidRPr="00872CFA">
              <w:rPr>
                <w:iCs/>
                <w:color w:val="1F4E79" w:themeColor="accent5" w:themeShade="80"/>
                <w:sz w:val="22"/>
                <w:szCs w:val="22"/>
              </w:rPr>
              <w:t xml:space="preserve"> hours of work per week as determined by employer, employee and family and carers</w:t>
            </w:r>
          </w:p>
          <w:p w14:paraId="128139B9" w14:textId="77777777" w:rsidR="002807F5" w:rsidRPr="00070205"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070205">
              <w:rPr>
                <w:iCs/>
                <w:color w:val="1F4E79" w:themeColor="accent5" w:themeShade="80"/>
                <w:sz w:val="22"/>
                <w:szCs w:val="22"/>
              </w:rPr>
              <w:t>The average hours worked are 23</w:t>
            </w:r>
            <w:r>
              <w:rPr>
                <w:iCs/>
                <w:color w:val="1F4E79" w:themeColor="accent5" w:themeShade="80"/>
                <w:sz w:val="22"/>
                <w:szCs w:val="22"/>
              </w:rPr>
              <w:t xml:space="preserve"> per week</w:t>
            </w:r>
          </w:p>
          <w:p w14:paraId="029030E6" w14:textId="77777777" w:rsidR="002807F5" w:rsidRPr="002247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Pr>
                <w:iCs/>
                <w:color w:val="1F4E79" w:themeColor="accent5" w:themeShade="80"/>
                <w:sz w:val="22"/>
                <w:szCs w:val="22"/>
              </w:rPr>
              <w:t>Supported employee ages</w:t>
            </w:r>
            <w:r w:rsidRPr="00070205">
              <w:rPr>
                <w:iCs/>
                <w:color w:val="1F4E79" w:themeColor="accent5" w:themeShade="80"/>
                <w:sz w:val="22"/>
                <w:szCs w:val="22"/>
              </w:rPr>
              <w:t xml:space="preserve"> range from under 20</w:t>
            </w:r>
            <w:r>
              <w:rPr>
                <w:iCs/>
                <w:color w:val="1F4E79" w:themeColor="accent5" w:themeShade="80"/>
                <w:sz w:val="22"/>
                <w:szCs w:val="22"/>
              </w:rPr>
              <w:t>,</w:t>
            </w:r>
            <w:r w:rsidRPr="00070205">
              <w:rPr>
                <w:iCs/>
                <w:color w:val="1F4E79" w:themeColor="accent5" w:themeShade="80"/>
                <w:sz w:val="22"/>
                <w:szCs w:val="22"/>
              </w:rPr>
              <w:t xml:space="preserve"> to over 65</w:t>
            </w:r>
            <w:r>
              <w:rPr>
                <w:iCs/>
                <w:color w:val="1F4E79" w:themeColor="accent5" w:themeShade="80"/>
                <w:sz w:val="22"/>
                <w:szCs w:val="22"/>
              </w:rPr>
              <w:t>, with</w:t>
            </w:r>
            <w:r w:rsidRPr="000B0EDB">
              <w:rPr>
                <w:iCs/>
                <w:color w:val="1F4E79" w:themeColor="accent5" w:themeShade="80"/>
                <w:sz w:val="22"/>
                <w:szCs w:val="22"/>
              </w:rPr>
              <w:t xml:space="preserve"> </w:t>
            </w:r>
            <w:r>
              <w:rPr>
                <w:iCs/>
                <w:color w:val="1F4E79" w:themeColor="accent5" w:themeShade="80"/>
                <w:sz w:val="22"/>
                <w:szCs w:val="22"/>
              </w:rPr>
              <w:t>41 the average age, and</w:t>
            </w:r>
          </w:p>
          <w:p w14:paraId="70B08DFE" w14:textId="77777777" w:rsidR="002807F5" w:rsidRPr="002247FA" w:rsidRDefault="002807F5" w:rsidP="005B2FCE">
            <w:pPr>
              <w:pStyle w:val="ListParagraph"/>
              <w:numPr>
                <w:ilvl w:val="0"/>
                <w:numId w:val="1"/>
              </w:num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76" w:lineRule="auto"/>
              <w:ind w:left="594"/>
              <w:rPr>
                <w:color w:val="1F4E79" w:themeColor="accent5" w:themeShade="80"/>
                <w:sz w:val="22"/>
                <w:szCs w:val="22"/>
              </w:rPr>
            </w:pPr>
            <w:r w:rsidRPr="002247FA">
              <w:rPr>
                <w:iCs/>
                <w:color w:val="1F4E79" w:themeColor="accent5" w:themeShade="80"/>
                <w:sz w:val="22"/>
                <w:szCs w:val="22"/>
              </w:rPr>
              <w:t>The average cost of employment support from the Government per supported employee is $11,800</w:t>
            </w:r>
            <w:r>
              <w:rPr>
                <w:iCs/>
                <w:color w:val="1F4E79" w:themeColor="accent5" w:themeShade="80"/>
                <w:sz w:val="22"/>
                <w:szCs w:val="22"/>
              </w:rPr>
              <w:t>.</w:t>
            </w:r>
          </w:p>
          <w:p w14:paraId="40442A15" w14:textId="77777777" w:rsidR="002807F5" w:rsidRDefault="002807F5" w:rsidP="005B2FCE">
            <w:pPr>
              <w:rPr>
                <w:sz w:val="23"/>
                <w:szCs w:val="23"/>
              </w:rPr>
            </w:pPr>
          </w:p>
        </w:tc>
      </w:tr>
    </w:tbl>
    <w:p w14:paraId="6FED57A4" w14:textId="77777777" w:rsidR="002807F5" w:rsidRDefault="002807F5" w:rsidP="005B2FCE">
      <w:pPr>
        <w:rPr>
          <w:sz w:val="23"/>
          <w:szCs w:val="23"/>
        </w:rPr>
      </w:pPr>
    </w:p>
    <w:p w14:paraId="7F481C58" w14:textId="6077AA8F" w:rsidR="00CB5401" w:rsidRDefault="005B2FCE" w:rsidP="005B2FCE">
      <w:pPr>
        <w:rPr>
          <w:rFonts w:ascii="Calibri" w:hAnsi="Calibri"/>
        </w:rPr>
      </w:pPr>
      <w:r>
        <w:rPr>
          <w:rFonts w:ascii="Calibri" w:hAnsi="Calibri"/>
        </w:rPr>
        <w:t xml:space="preserve">It is evident that both </w:t>
      </w:r>
      <w:r w:rsidR="000F1C26">
        <w:rPr>
          <w:rFonts w:ascii="Calibri" w:hAnsi="Calibri"/>
        </w:rPr>
        <w:t xml:space="preserve">sectors </w:t>
      </w:r>
      <w:r>
        <w:rPr>
          <w:rFonts w:ascii="Calibri" w:hAnsi="Calibri"/>
        </w:rPr>
        <w:t xml:space="preserve">have a key role to play in </w:t>
      </w:r>
      <w:r w:rsidR="000F1C26">
        <w:rPr>
          <w:rFonts w:ascii="Calibri" w:hAnsi="Calibri"/>
        </w:rPr>
        <w:t>providing employment opportunities for people with disability</w:t>
      </w:r>
      <w:r>
        <w:rPr>
          <w:rFonts w:ascii="Calibri" w:hAnsi="Calibri"/>
        </w:rPr>
        <w:t xml:space="preserve">. </w:t>
      </w:r>
      <w:r w:rsidR="000F1C26">
        <w:rPr>
          <w:rFonts w:ascii="Calibri" w:hAnsi="Calibri"/>
        </w:rPr>
        <w:t xml:space="preserve"> However, one of the critical strengths of the supported employment sector is the commitment to providing people with an intellectual disability with work that is appropriate for their skills and which provides an environment that is safe from bullying and discrimination. ADE</w:t>
      </w:r>
      <w:r w:rsidR="0047217B">
        <w:rPr>
          <w:rFonts w:ascii="Calibri" w:hAnsi="Calibri"/>
        </w:rPr>
        <w:t>s</w:t>
      </w:r>
      <w:r w:rsidR="000F1C26">
        <w:rPr>
          <w:rFonts w:ascii="Calibri" w:hAnsi="Calibri"/>
        </w:rPr>
        <w:t xml:space="preserve"> </w:t>
      </w:r>
      <w:r w:rsidR="00BF08A6">
        <w:rPr>
          <w:rFonts w:ascii="Calibri" w:hAnsi="Calibri"/>
        </w:rPr>
        <w:t>have established</w:t>
      </w:r>
      <w:r>
        <w:rPr>
          <w:rFonts w:ascii="Calibri" w:hAnsi="Calibri"/>
        </w:rPr>
        <w:t xml:space="preserve"> systems, practices and business models</w:t>
      </w:r>
      <w:r w:rsidR="0047217B">
        <w:rPr>
          <w:rFonts w:ascii="Calibri" w:hAnsi="Calibri"/>
        </w:rPr>
        <w:t xml:space="preserve"> that support people with disability with a range of behaviours and support needs – particularly those with (not limited) to those with an intellectual disability</w:t>
      </w:r>
      <w:r>
        <w:rPr>
          <w:rFonts w:ascii="Calibri" w:hAnsi="Calibri"/>
        </w:rPr>
        <w:t xml:space="preserve"> </w:t>
      </w:r>
      <w:r w:rsidR="00555CFE">
        <w:rPr>
          <w:rFonts w:ascii="Calibri" w:hAnsi="Calibri"/>
        </w:rPr>
        <w:t xml:space="preserve"> </w:t>
      </w:r>
      <w:r w:rsidR="00CB5401">
        <w:rPr>
          <w:rFonts w:ascii="Calibri" w:hAnsi="Calibri"/>
        </w:rPr>
        <w:t xml:space="preserve"> </w:t>
      </w:r>
      <w:r w:rsidR="000F1C26">
        <w:rPr>
          <w:rFonts w:ascii="Calibri" w:hAnsi="Calibri"/>
        </w:rPr>
        <w:t xml:space="preserve">The sector </w:t>
      </w:r>
      <w:r w:rsidR="00CB5401">
        <w:rPr>
          <w:rFonts w:ascii="Calibri" w:hAnsi="Calibri"/>
        </w:rPr>
        <w:t xml:space="preserve">can clearly demonstrate positive outcomes for our employees through </w:t>
      </w:r>
      <w:r w:rsidR="008413EA">
        <w:rPr>
          <w:rFonts w:ascii="Calibri" w:hAnsi="Calibri"/>
        </w:rPr>
        <w:t xml:space="preserve">modified workplaces and tasks, </w:t>
      </w:r>
      <w:r w:rsidR="00CB5401">
        <w:rPr>
          <w:rFonts w:ascii="Calibri" w:hAnsi="Calibri"/>
        </w:rPr>
        <w:t>skill based training, life skills and work skill development.</w:t>
      </w:r>
    </w:p>
    <w:p w14:paraId="0C746038" w14:textId="69D7152D" w:rsidR="005B2FCE" w:rsidRDefault="00555CFE" w:rsidP="005B2FCE">
      <w:pPr>
        <w:rPr>
          <w:rFonts w:ascii="Calibri" w:hAnsi="Calibri"/>
        </w:rPr>
      </w:pPr>
      <w:r>
        <w:rPr>
          <w:rFonts w:ascii="Calibri" w:hAnsi="Calibri"/>
        </w:rPr>
        <w:t xml:space="preserve">Open employment </w:t>
      </w:r>
      <w:r w:rsidR="008413EA">
        <w:rPr>
          <w:rFonts w:ascii="Calibri" w:hAnsi="Calibri"/>
        </w:rPr>
        <w:t xml:space="preserve">has shown time and time again, that it </w:t>
      </w:r>
      <w:r>
        <w:rPr>
          <w:rFonts w:ascii="Calibri" w:hAnsi="Calibri"/>
        </w:rPr>
        <w:t xml:space="preserve">does not </w:t>
      </w:r>
      <w:r w:rsidR="0047217B">
        <w:rPr>
          <w:rFonts w:ascii="Calibri" w:hAnsi="Calibri"/>
        </w:rPr>
        <w:t xml:space="preserve">always </w:t>
      </w:r>
      <w:r>
        <w:rPr>
          <w:rFonts w:ascii="Calibri" w:hAnsi="Calibri"/>
        </w:rPr>
        <w:t xml:space="preserve">have the resources or skills to </w:t>
      </w:r>
      <w:r w:rsidR="008413EA">
        <w:rPr>
          <w:rFonts w:ascii="Calibri" w:hAnsi="Calibri"/>
        </w:rPr>
        <w:t>appropriately support people with an intellectual disability in the workplace</w:t>
      </w:r>
      <w:r>
        <w:rPr>
          <w:rFonts w:ascii="Calibri" w:hAnsi="Calibri"/>
        </w:rPr>
        <w:t xml:space="preserve">, nor will they tolerate it for an extended </w:t>
      </w:r>
      <w:r w:rsidR="00850F60">
        <w:rPr>
          <w:rFonts w:ascii="Calibri" w:hAnsi="Calibri"/>
        </w:rPr>
        <w:t xml:space="preserve">period. </w:t>
      </w:r>
      <w:proofErr w:type="gramStart"/>
      <w:r w:rsidR="00850F60">
        <w:rPr>
          <w:rFonts w:ascii="Calibri" w:hAnsi="Calibri"/>
        </w:rPr>
        <w:t>This is why</w:t>
      </w:r>
      <w:proofErr w:type="gramEnd"/>
      <w:r w:rsidR="00850F60">
        <w:rPr>
          <w:rFonts w:ascii="Calibri" w:hAnsi="Calibri"/>
        </w:rPr>
        <w:t xml:space="preserve"> employees </w:t>
      </w:r>
      <w:r w:rsidR="008413EA">
        <w:rPr>
          <w:rFonts w:ascii="Calibri" w:hAnsi="Calibri"/>
        </w:rPr>
        <w:t xml:space="preserve">from ADEs who venture into open employment frequently </w:t>
      </w:r>
      <w:r w:rsidR="0047217B">
        <w:rPr>
          <w:rFonts w:ascii="Calibri" w:hAnsi="Calibri"/>
        </w:rPr>
        <w:t>return to an</w:t>
      </w:r>
      <w:r w:rsidR="00850F60">
        <w:rPr>
          <w:rFonts w:ascii="Calibri" w:hAnsi="Calibri"/>
        </w:rPr>
        <w:t xml:space="preserve"> ADE</w:t>
      </w:r>
      <w:r w:rsidR="000F1C26">
        <w:rPr>
          <w:rFonts w:ascii="Calibri" w:hAnsi="Calibri"/>
        </w:rPr>
        <w:t xml:space="preserve">. </w:t>
      </w:r>
    </w:p>
    <w:p w14:paraId="679C0EBF" w14:textId="7B544865" w:rsidR="005B2FCE" w:rsidRDefault="008413EA" w:rsidP="005B2FCE">
      <w:pPr>
        <w:rPr>
          <w:rFonts w:ascii="Calibri" w:hAnsi="Calibri"/>
        </w:rPr>
      </w:pPr>
      <w:r>
        <w:rPr>
          <w:rFonts w:ascii="Calibri" w:hAnsi="Calibri"/>
        </w:rPr>
        <w:lastRenderedPageBreak/>
        <w:t xml:space="preserve">TADES acknowledges that </w:t>
      </w:r>
      <w:r w:rsidR="005B2FCE">
        <w:rPr>
          <w:rFonts w:ascii="Calibri" w:hAnsi="Calibri"/>
        </w:rPr>
        <w:t>DE</w:t>
      </w:r>
      <w:r w:rsidR="00555CFE">
        <w:rPr>
          <w:rFonts w:ascii="Calibri" w:hAnsi="Calibri"/>
        </w:rPr>
        <w:t xml:space="preserve">S providers </w:t>
      </w:r>
      <w:r>
        <w:rPr>
          <w:rFonts w:ascii="Calibri" w:hAnsi="Calibri"/>
        </w:rPr>
        <w:t xml:space="preserve">appear to more effective when they secure employment for those with </w:t>
      </w:r>
      <w:r w:rsidR="00555CFE">
        <w:rPr>
          <w:rFonts w:ascii="Calibri" w:hAnsi="Calibri"/>
        </w:rPr>
        <w:t xml:space="preserve">physical </w:t>
      </w:r>
      <w:r>
        <w:rPr>
          <w:rFonts w:ascii="Calibri" w:hAnsi="Calibri"/>
        </w:rPr>
        <w:t xml:space="preserve">disability, </w:t>
      </w:r>
      <w:r w:rsidR="00555CFE">
        <w:rPr>
          <w:rFonts w:ascii="Calibri" w:hAnsi="Calibri"/>
        </w:rPr>
        <w:t xml:space="preserve">as this cohort </w:t>
      </w:r>
      <w:r w:rsidR="0047217B">
        <w:rPr>
          <w:rFonts w:ascii="Calibri" w:hAnsi="Calibri"/>
        </w:rPr>
        <w:t xml:space="preserve">may </w:t>
      </w:r>
      <w:r w:rsidR="00555CFE">
        <w:rPr>
          <w:rFonts w:ascii="Calibri" w:hAnsi="Calibri"/>
        </w:rPr>
        <w:t>not present with mild to severe learning difficulties or come from lower social economic backgrounds. Both which imped employment readiness and the ability to maintain employment.</w:t>
      </w:r>
    </w:p>
    <w:p w14:paraId="68EE9D63" w14:textId="77777777" w:rsidR="00956EDE" w:rsidRDefault="00956EDE" w:rsidP="005B2FCE">
      <w:pPr>
        <w:rPr>
          <w:rFonts w:ascii="Calibri" w:hAnsi="Calibri"/>
        </w:rPr>
      </w:pPr>
      <w:r>
        <w:rPr>
          <w:rFonts w:ascii="Calibri" w:hAnsi="Calibri"/>
        </w:rPr>
        <w:t xml:space="preserve">The primary role of the National Disability Insurance Scheme (NDIS) is to give the participant the freedom of choice which </w:t>
      </w:r>
      <w:r w:rsidR="00792866">
        <w:rPr>
          <w:rFonts w:ascii="Calibri" w:hAnsi="Calibri"/>
        </w:rPr>
        <w:t>TADES agrees</w:t>
      </w:r>
      <w:r>
        <w:rPr>
          <w:rFonts w:ascii="Calibri" w:hAnsi="Calibri"/>
        </w:rPr>
        <w:t xml:space="preserve"> is a positive move forward. However, </w:t>
      </w:r>
      <w:r w:rsidR="00792866">
        <w:rPr>
          <w:rFonts w:ascii="Calibri" w:hAnsi="Calibri"/>
        </w:rPr>
        <w:t>there are still barriers between</w:t>
      </w:r>
      <w:r>
        <w:rPr>
          <w:rFonts w:ascii="Calibri" w:hAnsi="Calibri"/>
        </w:rPr>
        <w:t xml:space="preserve"> Job Active, DES and ADE’s and the key reasons for this ha</w:t>
      </w:r>
      <w:r w:rsidR="00792866">
        <w:rPr>
          <w:rFonts w:ascii="Calibri" w:hAnsi="Calibri"/>
        </w:rPr>
        <w:t>ve</w:t>
      </w:r>
      <w:r>
        <w:rPr>
          <w:rFonts w:ascii="Calibri" w:hAnsi="Calibri"/>
        </w:rPr>
        <w:t xml:space="preserve"> been identified as;</w:t>
      </w:r>
    </w:p>
    <w:p w14:paraId="2518BD4D" w14:textId="77777777" w:rsidR="00956EDE" w:rsidRPr="00D53FBF" w:rsidRDefault="00956EDE" w:rsidP="00D53FBF">
      <w:pPr>
        <w:pStyle w:val="ListParagraph"/>
        <w:numPr>
          <w:ilvl w:val="0"/>
          <w:numId w:val="2"/>
        </w:numPr>
        <w:rPr>
          <w:rFonts w:ascii="Calibri" w:hAnsi="Calibri"/>
          <w:sz w:val="22"/>
          <w:szCs w:val="22"/>
        </w:rPr>
      </w:pPr>
      <w:r w:rsidRPr="00D53FBF">
        <w:rPr>
          <w:rFonts w:ascii="Calibri" w:hAnsi="Calibri"/>
          <w:sz w:val="22"/>
          <w:szCs w:val="22"/>
        </w:rPr>
        <w:t>Job Active and DES refer to ADE’s as an enclave which is outdated and inaccurate,</w:t>
      </w:r>
    </w:p>
    <w:p w14:paraId="412300C0" w14:textId="77777777" w:rsidR="00956EDE" w:rsidRPr="00D53FBF" w:rsidRDefault="00956EDE" w:rsidP="00D53FBF">
      <w:pPr>
        <w:pStyle w:val="ListParagraph"/>
        <w:numPr>
          <w:ilvl w:val="0"/>
          <w:numId w:val="2"/>
        </w:numPr>
        <w:rPr>
          <w:rFonts w:ascii="Calibri" w:hAnsi="Calibri"/>
          <w:sz w:val="22"/>
          <w:szCs w:val="22"/>
        </w:rPr>
      </w:pPr>
      <w:r w:rsidRPr="00D53FBF">
        <w:rPr>
          <w:rFonts w:ascii="Calibri" w:hAnsi="Calibri"/>
          <w:sz w:val="22"/>
          <w:szCs w:val="22"/>
        </w:rPr>
        <w:t xml:space="preserve">There is no outcome for either DES or Job Active </w:t>
      </w:r>
      <w:r w:rsidR="00D53FBF" w:rsidRPr="00D53FBF">
        <w:rPr>
          <w:rFonts w:ascii="Calibri" w:hAnsi="Calibri"/>
          <w:sz w:val="22"/>
          <w:szCs w:val="22"/>
        </w:rPr>
        <w:t>if an individual is offered meaningful employment in an ADE,</w:t>
      </w:r>
    </w:p>
    <w:p w14:paraId="76E08E0E" w14:textId="77777777" w:rsidR="00D53FBF" w:rsidRPr="00D53FBF" w:rsidRDefault="00D53FBF" w:rsidP="00D53FBF">
      <w:pPr>
        <w:pStyle w:val="ListParagraph"/>
        <w:numPr>
          <w:ilvl w:val="0"/>
          <w:numId w:val="2"/>
        </w:numPr>
        <w:rPr>
          <w:rFonts w:ascii="Calibri" w:hAnsi="Calibri"/>
          <w:sz w:val="22"/>
          <w:szCs w:val="22"/>
        </w:rPr>
      </w:pPr>
      <w:r w:rsidRPr="00D53FBF">
        <w:rPr>
          <w:rFonts w:ascii="Calibri" w:hAnsi="Calibri"/>
          <w:sz w:val="22"/>
          <w:szCs w:val="22"/>
        </w:rPr>
        <w:t>An ADE does not approach either Job Active or DES for placements as we are aware of the above.</w:t>
      </w:r>
    </w:p>
    <w:p w14:paraId="1FB693CB" w14:textId="77777777" w:rsidR="00D53FBF" w:rsidRDefault="00D53FBF" w:rsidP="00D53FBF">
      <w:pPr>
        <w:rPr>
          <w:rFonts w:ascii="Calibri" w:hAnsi="Calibri"/>
        </w:rPr>
      </w:pPr>
      <w:r>
        <w:rPr>
          <w:rFonts w:ascii="Calibri" w:hAnsi="Calibri"/>
        </w:rPr>
        <w:t xml:space="preserve">There have been undocumented cases were a DES has put an individual </w:t>
      </w:r>
      <w:r w:rsidR="00792866">
        <w:rPr>
          <w:rFonts w:ascii="Calibri" w:hAnsi="Calibri"/>
        </w:rPr>
        <w:t>forward for</w:t>
      </w:r>
      <w:r>
        <w:rPr>
          <w:rFonts w:ascii="Calibri" w:hAnsi="Calibri"/>
        </w:rPr>
        <w:t xml:space="preserve"> employment at an ADE </w:t>
      </w:r>
      <w:r w:rsidR="00792866">
        <w:rPr>
          <w:rFonts w:ascii="Calibri" w:hAnsi="Calibri"/>
        </w:rPr>
        <w:t xml:space="preserve">as a mechanism </w:t>
      </w:r>
      <w:r>
        <w:rPr>
          <w:rFonts w:ascii="Calibri" w:hAnsi="Calibri"/>
        </w:rPr>
        <w:t xml:space="preserve">to either move them through the system or appear to be achieving </w:t>
      </w:r>
      <w:r w:rsidR="00792866">
        <w:rPr>
          <w:rFonts w:ascii="Calibri" w:hAnsi="Calibri"/>
        </w:rPr>
        <w:t xml:space="preserve">an </w:t>
      </w:r>
      <w:r>
        <w:rPr>
          <w:rFonts w:ascii="Calibri" w:hAnsi="Calibri"/>
        </w:rPr>
        <w:t>outcome.</w:t>
      </w:r>
    </w:p>
    <w:p w14:paraId="3A508B05" w14:textId="77777777" w:rsidR="008D704B" w:rsidRDefault="008D704B" w:rsidP="00D53FBF">
      <w:pPr>
        <w:rPr>
          <w:rFonts w:ascii="Calibri" w:hAnsi="Calibri"/>
        </w:rPr>
      </w:pPr>
      <w:r>
        <w:rPr>
          <w:rFonts w:ascii="Calibri" w:hAnsi="Calibri"/>
        </w:rPr>
        <w:t>The comparison of difference between an ADE and DES requires feedback particularly with the following;</w:t>
      </w:r>
    </w:p>
    <w:p w14:paraId="3EF2021A" w14:textId="77777777" w:rsidR="008D704B" w:rsidRPr="008D704B" w:rsidRDefault="008D704B" w:rsidP="008D704B">
      <w:pPr>
        <w:pBdr>
          <w:top w:val="single" w:sz="4" w:space="1" w:color="auto"/>
          <w:left w:val="single" w:sz="4" w:space="4" w:color="auto"/>
          <w:bottom w:val="single" w:sz="4" w:space="1" w:color="auto"/>
          <w:right w:val="single" w:sz="4" w:space="4" w:color="auto"/>
        </w:pBdr>
        <w:spacing w:before="240" w:after="0" w:line="240" w:lineRule="auto"/>
        <w:rPr>
          <w:rFonts w:cs="Arial"/>
          <w:i/>
        </w:rPr>
      </w:pPr>
      <w:r w:rsidRPr="008D704B">
        <w:rPr>
          <w:rFonts w:eastAsia="+mn-ea" w:cs="Arial"/>
          <w:i/>
          <w:kern w:val="24"/>
        </w:rPr>
        <w:t xml:space="preserve">ADEs act as a link, </w:t>
      </w:r>
      <w:r w:rsidRPr="008D704B">
        <w:rPr>
          <w:rFonts w:eastAsia="+mn-ea" w:cs="Arial"/>
          <w:b/>
          <w:bCs/>
          <w:i/>
          <w:kern w:val="24"/>
        </w:rPr>
        <w:t xml:space="preserve">helping people with moderate to severe disability </w:t>
      </w:r>
      <w:r w:rsidRPr="008D704B">
        <w:rPr>
          <w:rFonts w:eastAsia="+mn-ea" w:cs="Arial"/>
          <w:i/>
          <w:kern w:val="24"/>
        </w:rPr>
        <w:t>gain training and experience to confidently step into open employment or to continue in supported employment if they choose.</w:t>
      </w:r>
    </w:p>
    <w:p w14:paraId="65477DA1" w14:textId="77777777" w:rsidR="007A5F24" w:rsidRDefault="007A5F24" w:rsidP="00D53FBF">
      <w:pPr>
        <w:rPr>
          <w:rFonts w:ascii="Calibri" w:hAnsi="Calibri"/>
        </w:rPr>
      </w:pPr>
    </w:p>
    <w:p w14:paraId="02AB6FB2" w14:textId="0B9652A6" w:rsidR="008D704B" w:rsidRPr="00BF08A6" w:rsidRDefault="00792866" w:rsidP="00D53FBF">
      <w:pPr>
        <w:rPr>
          <w:rFonts w:ascii="Calibri" w:hAnsi="Calibri"/>
        </w:rPr>
      </w:pPr>
      <w:r>
        <w:rPr>
          <w:rFonts w:ascii="Calibri" w:hAnsi="Calibri"/>
        </w:rPr>
        <w:t xml:space="preserve">ADES </w:t>
      </w:r>
      <w:r w:rsidR="005451BC">
        <w:rPr>
          <w:rFonts w:ascii="Calibri" w:hAnsi="Calibri"/>
        </w:rPr>
        <w:t xml:space="preserve">should not </w:t>
      </w:r>
      <w:r>
        <w:rPr>
          <w:rFonts w:ascii="Calibri" w:hAnsi="Calibri"/>
        </w:rPr>
        <w:t xml:space="preserve">only </w:t>
      </w:r>
      <w:r w:rsidR="005451BC">
        <w:rPr>
          <w:rFonts w:ascii="Calibri" w:hAnsi="Calibri"/>
        </w:rPr>
        <w:t>be viewed as a link</w:t>
      </w:r>
      <w:r>
        <w:rPr>
          <w:rFonts w:ascii="Calibri" w:hAnsi="Calibri"/>
        </w:rPr>
        <w:t xml:space="preserve"> to other employment. ADEs are legitimate </w:t>
      </w:r>
      <w:r w:rsidR="004C7F54">
        <w:rPr>
          <w:rFonts w:ascii="Calibri" w:hAnsi="Calibri"/>
        </w:rPr>
        <w:t xml:space="preserve">social enterprises </w:t>
      </w:r>
      <w:r>
        <w:rPr>
          <w:rFonts w:ascii="Calibri" w:hAnsi="Calibri"/>
        </w:rPr>
        <w:t xml:space="preserve">that are a valid destination for some people with disability (particularly those with moderate to high support needs). ADEs </w:t>
      </w:r>
      <w:r w:rsidR="00BF08A6">
        <w:rPr>
          <w:rFonts w:ascii="Calibri" w:hAnsi="Calibri"/>
        </w:rPr>
        <w:t>assist</w:t>
      </w:r>
      <w:r w:rsidR="005451BC">
        <w:rPr>
          <w:rFonts w:ascii="Calibri" w:hAnsi="Calibri"/>
        </w:rPr>
        <w:t xml:space="preserve"> </w:t>
      </w:r>
      <w:r w:rsidR="004C7F54">
        <w:rPr>
          <w:rFonts w:ascii="Calibri" w:hAnsi="Calibri"/>
        </w:rPr>
        <w:t xml:space="preserve">employees </w:t>
      </w:r>
      <w:r w:rsidR="005451BC">
        <w:rPr>
          <w:rFonts w:ascii="Calibri" w:hAnsi="Calibri"/>
        </w:rPr>
        <w:t xml:space="preserve">to gain skills and knowledge to maintain employment. </w:t>
      </w:r>
      <w:r w:rsidR="004C7F54">
        <w:rPr>
          <w:rFonts w:ascii="Calibri" w:hAnsi="Calibri"/>
        </w:rPr>
        <w:t xml:space="preserve"> Employees </w:t>
      </w:r>
      <w:r w:rsidR="005451BC">
        <w:rPr>
          <w:rFonts w:ascii="Calibri" w:hAnsi="Calibri"/>
        </w:rPr>
        <w:t xml:space="preserve">remain long term in an ADE, as the Government is </w:t>
      </w:r>
      <w:r w:rsidR="005451BC" w:rsidRPr="00BF08A6">
        <w:rPr>
          <w:rFonts w:ascii="Calibri" w:hAnsi="Calibri"/>
        </w:rPr>
        <w:t xml:space="preserve">aware hence we have incentive payments to assist employee to retirement. </w:t>
      </w:r>
    </w:p>
    <w:p w14:paraId="05E8A9DA" w14:textId="77777777" w:rsidR="005451BC" w:rsidRPr="005451BC" w:rsidRDefault="005451BC" w:rsidP="005451BC">
      <w:pPr>
        <w:pBdr>
          <w:top w:val="single" w:sz="4" w:space="1" w:color="auto"/>
          <w:left w:val="single" w:sz="4" w:space="4" w:color="auto"/>
          <w:bottom w:val="single" w:sz="4" w:space="1" w:color="auto"/>
          <w:right w:val="single" w:sz="4" w:space="4" w:color="auto"/>
        </w:pBdr>
        <w:spacing w:before="240" w:after="0" w:line="240" w:lineRule="auto"/>
        <w:rPr>
          <w:rFonts w:cs="Arial"/>
          <w:i/>
        </w:rPr>
      </w:pPr>
      <w:r w:rsidRPr="005451BC">
        <w:rPr>
          <w:rFonts w:eastAsia="+mn-ea" w:cs="Arial"/>
          <w:i/>
          <w:kern w:val="24"/>
        </w:rPr>
        <w:t xml:space="preserve">Once placed </w:t>
      </w:r>
      <w:r w:rsidRPr="005451BC">
        <w:rPr>
          <w:rFonts w:eastAsia="+mn-ea" w:cs="Arial"/>
          <w:b/>
          <w:bCs/>
          <w:i/>
          <w:kern w:val="24"/>
        </w:rPr>
        <w:t>in an ADE</w:t>
      </w:r>
      <w:r w:rsidRPr="005451BC">
        <w:rPr>
          <w:rFonts w:eastAsia="+mn-ea" w:cs="Arial"/>
          <w:i/>
          <w:kern w:val="24"/>
        </w:rPr>
        <w:t xml:space="preserve">, </w:t>
      </w:r>
      <w:r w:rsidRPr="005451BC">
        <w:rPr>
          <w:rFonts w:eastAsia="+mn-ea" w:cs="Arial"/>
          <w:b/>
          <w:bCs/>
          <w:i/>
          <w:kern w:val="24"/>
        </w:rPr>
        <w:t>a supported employee generally immediately commences in a job role</w:t>
      </w:r>
      <w:r w:rsidRPr="005451BC">
        <w:rPr>
          <w:rFonts w:eastAsia="+mn-ea" w:cs="Arial"/>
          <w:i/>
          <w:kern w:val="24"/>
        </w:rPr>
        <w:t xml:space="preserve">. </w:t>
      </w:r>
    </w:p>
    <w:p w14:paraId="49C8CDCA" w14:textId="77777777" w:rsidR="005451BC" w:rsidRDefault="005451BC" w:rsidP="00D53FBF">
      <w:pPr>
        <w:rPr>
          <w:rFonts w:ascii="Calibri" w:hAnsi="Calibri"/>
        </w:rPr>
      </w:pPr>
    </w:p>
    <w:p w14:paraId="378B94B1" w14:textId="77777777" w:rsidR="005451BC" w:rsidRPr="005451BC" w:rsidRDefault="005451BC" w:rsidP="00D53FBF">
      <w:pPr>
        <w:rPr>
          <w:rFonts w:ascii="Calibri" w:hAnsi="Calibri"/>
          <w:color w:val="FF0000"/>
        </w:rPr>
      </w:pPr>
      <w:r>
        <w:rPr>
          <w:rFonts w:ascii="Calibri" w:hAnsi="Calibri"/>
        </w:rPr>
        <w:t xml:space="preserve">Supported Employees are not placed in an ADE they are interviewed, offered a position and commence employment as any other individual entering the workforce. </w:t>
      </w:r>
    </w:p>
    <w:p w14:paraId="00D41E73" w14:textId="77777777" w:rsidR="00850F60" w:rsidRDefault="00E248B2" w:rsidP="005B2FCE">
      <w:pPr>
        <w:rPr>
          <w:rFonts w:ascii="Calibri" w:hAnsi="Calibri"/>
          <w:b/>
        </w:rPr>
      </w:pPr>
      <w:r>
        <w:rPr>
          <w:rFonts w:ascii="Calibri" w:hAnsi="Calibri"/>
          <w:b/>
        </w:rPr>
        <w:t>Moving Forward</w:t>
      </w:r>
    </w:p>
    <w:p w14:paraId="64A0D494" w14:textId="4D9DEE8B" w:rsidR="00E248B2" w:rsidRDefault="00E248B2" w:rsidP="005B2FCE">
      <w:pPr>
        <w:rPr>
          <w:rFonts w:ascii="Calibri" w:hAnsi="Calibri"/>
        </w:rPr>
      </w:pPr>
      <w:r>
        <w:rPr>
          <w:rFonts w:ascii="Calibri" w:hAnsi="Calibri"/>
        </w:rPr>
        <w:t xml:space="preserve">It is evident that ADEs have a significant role in ensuring that people with disabilities </w:t>
      </w:r>
      <w:r w:rsidR="004C7F54">
        <w:rPr>
          <w:rFonts w:ascii="Calibri" w:hAnsi="Calibri"/>
        </w:rPr>
        <w:t>can exercise their</w:t>
      </w:r>
      <w:r>
        <w:rPr>
          <w:rFonts w:ascii="Calibri" w:hAnsi="Calibri"/>
        </w:rPr>
        <w:t xml:space="preserve"> right to </w:t>
      </w:r>
      <w:r w:rsidR="00CB5401">
        <w:rPr>
          <w:rFonts w:ascii="Calibri" w:hAnsi="Calibri"/>
        </w:rPr>
        <w:t>access skilled based</w:t>
      </w:r>
      <w:r>
        <w:rPr>
          <w:rFonts w:ascii="Calibri" w:hAnsi="Calibri"/>
        </w:rPr>
        <w:t xml:space="preserve"> employ</w:t>
      </w:r>
      <w:r w:rsidR="00CB5401">
        <w:rPr>
          <w:rFonts w:ascii="Calibri" w:hAnsi="Calibri"/>
        </w:rPr>
        <w:t xml:space="preserve">ment </w:t>
      </w:r>
      <w:r>
        <w:rPr>
          <w:rFonts w:ascii="Calibri" w:hAnsi="Calibri"/>
        </w:rPr>
        <w:t>regardless of the</w:t>
      </w:r>
      <w:r w:rsidR="00CB5401">
        <w:rPr>
          <w:rFonts w:ascii="Calibri" w:hAnsi="Calibri"/>
        </w:rPr>
        <w:t xml:space="preserve"> level of their disability.</w:t>
      </w:r>
    </w:p>
    <w:p w14:paraId="09081174" w14:textId="77777777" w:rsidR="00CB5401" w:rsidRDefault="00CB5401" w:rsidP="005B2FCE">
      <w:pPr>
        <w:rPr>
          <w:rFonts w:ascii="Calibri" w:hAnsi="Calibri"/>
        </w:rPr>
      </w:pPr>
      <w:r>
        <w:rPr>
          <w:rFonts w:ascii="Calibri" w:hAnsi="Calibri"/>
        </w:rPr>
        <w:t xml:space="preserve">All entities need to be able to work together to deliver the best possible outcome for individuals wanting to enter the workforce. </w:t>
      </w:r>
    </w:p>
    <w:p w14:paraId="15924C5C" w14:textId="3ED524DC" w:rsidR="00CB5401" w:rsidRDefault="00CB5401" w:rsidP="005B2FCE">
      <w:pPr>
        <w:rPr>
          <w:rFonts w:ascii="Calibri" w:hAnsi="Calibri"/>
          <w:color w:val="FF0000"/>
        </w:rPr>
      </w:pPr>
      <w:r>
        <w:rPr>
          <w:rFonts w:ascii="Calibri" w:hAnsi="Calibri"/>
        </w:rPr>
        <w:t xml:space="preserve">The perception of ADEs being an enclave must be removed from policies as this is not factual. </w:t>
      </w:r>
      <w:r w:rsidR="007F04E4">
        <w:rPr>
          <w:rFonts w:ascii="Calibri" w:hAnsi="Calibri"/>
        </w:rPr>
        <w:t>Our enterprises are real businesses that offer extensive opportunities in training, job security and quality of life to their staff.  We should not be regarded as a transitional stage to Open Employment which is raised with in the Discussion Paper.</w:t>
      </w:r>
    </w:p>
    <w:p w14:paraId="28882842" w14:textId="77777777" w:rsidR="00CB5401" w:rsidRDefault="00CB5401" w:rsidP="005B2FCE">
      <w:pPr>
        <w:rPr>
          <w:rFonts w:ascii="Calibri" w:hAnsi="Calibri"/>
          <w:color w:val="FF0000"/>
        </w:rPr>
      </w:pPr>
    </w:p>
    <w:p w14:paraId="0A7D46B8" w14:textId="77777777" w:rsidR="00CB5401" w:rsidRDefault="00CB5401">
      <w:pPr>
        <w:rPr>
          <w:rFonts w:ascii="Calibri" w:hAnsi="Calibri"/>
          <w:color w:val="FF0000"/>
        </w:rPr>
      </w:pPr>
    </w:p>
    <w:p w14:paraId="030EB30D" w14:textId="77777777" w:rsidR="00CB5401" w:rsidRDefault="00CB5401" w:rsidP="005B2FCE">
      <w:pPr>
        <w:rPr>
          <w:rFonts w:ascii="Calibri" w:hAnsi="Calibri"/>
          <w:b/>
        </w:rPr>
      </w:pPr>
      <w:r>
        <w:rPr>
          <w:rFonts w:ascii="Calibri" w:hAnsi="Calibri"/>
          <w:b/>
        </w:rPr>
        <w:t>Open Employment compared to Supported Employment</w:t>
      </w:r>
    </w:p>
    <w:p w14:paraId="65F7A1A8" w14:textId="77777777" w:rsidR="008D704B" w:rsidRDefault="00CB5401" w:rsidP="005B2FCE">
      <w:pPr>
        <w:rPr>
          <w:rFonts w:ascii="Calibri" w:hAnsi="Calibri"/>
        </w:rPr>
      </w:pPr>
      <w:r>
        <w:rPr>
          <w:rFonts w:ascii="Calibri" w:hAnsi="Calibri"/>
        </w:rPr>
        <w:t xml:space="preserve">The discussion paper clearly identifies that Government preference is to have people of all age groups and disabilities enter or transition to open employment. </w:t>
      </w:r>
    </w:p>
    <w:p w14:paraId="6801A31E" w14:textId="77777777" w:rsidR="008D704B" w:rsidRDefault="00083F7F" w:rsidP="005B2FCE">
      <w:pPr>
        <w:rPr>
          <w:rFonts w:ascii="Calibri" w:hAnsi="Calibri"/>
        </w:rPr>
      </w:pPr>
      <w:r>
        <w:rPr>
          <w:rFonts w:ascii="Calibri" w:hAnsi="Calibri"/>
        </w:rPr>
        <w:t>The definition of Supported Employment as per Social Security Law 1.1.S.430 Supported Employment (DSP</w:t>
      </w:r>
      <w:r w:rsidR="002B7698">
        <w:rPr>
          <w:rStyle w:val="FootnoteReference"/>
          <w:rFonts w:ascii="Calibri" w:hAnsi="Calibri"/>
        </w:rPr>
        <w:footnoteReference w:id="1"/>
      </w:r>
      <w:r>
        <w:rPr>
          <w:rFonts w:ascii="Calibri" w:hAnsi="Calibri"/>
        </w:rPr>
        <w:t>) is;</w:t>
      </w:r>
    </w:p>
    <w:p w14:paraId="21DB94C3" w14:textId="77777777" w:rsidR="00083F7F" w:rsidRDefault="009257A2" w:rsidP="005B2FCE">
      <w:pPr>
        <w:rPr>
          <w:rFonts w:ascii="Calibri" w:hAnsi="Calibri"/>
        </w:rPr>
      </w:pPr>
      <w:r>
        <w:rPr>
          <w:rFonts w:ascii="Calibri" w:hAnsi="Calibri"/>
        </w:rPr>
        <w:t>`</w:t>
      </w:r>
      <w:r w:rsidR="00083F7F" w:rsidRPr="00083F7F">
        <w:rPr>
          <w:rFonts w:ascii="Calibri" w:hAnsi="Calibri"/>
        </w:rPr>
        <w:t xml:space="preserve">For the purposes of DSP, supported employment is employment provided by an Australian Disability Enterprise funded under the Disability Services Act 1986. Australian Disability Enterprises are commercial enterprises which provide employment opportunities for people with disabilities, for whom competitive employment at or above the relevant award wage is unlikely; and who, because of their disabilities, need substantial ongoing support to obtain or retain paid </w:t>
      </w:r>
      <w:proofErr w:type="gramStart"/>
      <w:r w:rsidR="00083F7F" w:rsidRPr="00083F7F">
        <w:rPr>
          <w:rFonts w:ascii="Calibri" w:hAnsi="Calibri"/>
        </w:rPr>
        <w:t>employment.</w:t>
      </w:r>
      <w:r>
        <w:rPr>
          <w:rFonts w:ascii="Calibri" w:hAnsi="Calibri"/>
        </w:rPr>
        <w:t>`</w:t>
      </w:r>
      <w:proofErr w:type="gramEnd"/>
    </w:p>
    <w:p w14:paraId="7FE6AEAA" w14:textId="77777777" w:rsidR="00CB5401" w:rsidRDefault="00CB5401" w:rsidP="005B2FCE">
      <w:pPr>
        <w:rPr>
          <w:rFonts w:ascii="Calibri" w:hAnsi="Calibri"/>
        </w:rPr>
      </w:pPr>
      <w:r>
        <w:rPr>
          <w:rFonts w:ascii="Calibri" w:hAnsi="Calibri"/>
        </w:rPr>
        <w:t xml:space="preserve"> </w:t>
      </w:r>
      <w:r w:rsidR="002B7698">
        <w:rPr>
          <w:rFonts w:ascii="Calibri" w:hAnsi="Calibri"/>
        </w:rPr>
        <w:t xml:space="preserve">The above definition demonstrated that ADE’s have a place in the Australian economy, as per the discussion paper </w:t>
      </w:r>
      <w:r w:rsidR="00792866">
        <w:rPr>
          <w:rFonts w:ascii="Calibri" w:hAnsi="Calibri"/>
        </w:rPr>
        <w:t xml:space="preserve">the sector </w:t>
      </w:r>
      <w:r w:rsidR="002B7698">
        <w:rPr>
          <w:rFonts w:ascii="Calibri" w:hAnsi="Calibri"/>
        </w:rPr>
        <w:t>employ</w:t>
      </w:r>
      <w:r w:rsidR="00792866">
        <w:rPr>
          <w:rFonts w:ascii="Calibri" w:hAnsi="Calibri"/>
        </w:rPr>
        <w:t>s</w:t>
      </w:r>
      <w:r w:rsidR="002B7698">
        <w:rPr>
          <w:rFonts w:ascii="Calibri" w:hAnsi="Calibri"/>
        </w:rPr>
        <w:t xml:space="preserve"> `</w:t>
      </w:r>
      <w:r w:rsidR="002B7698">
        <w:rPr>
          <w:rFonts w:ascii="Calibri" w:hAnsi="Calibri"/>
          <w:i/>
        </w:rPr>
        <w:t xml:space="preserve">around 20,000 people` </w:t>
      </w:r>
      <w:r w:rsidR="002B7698">
        <w:rPr>
          <w:rFonts w:ascii="Calibri" w:hAnsi="Calibri"/>
        </w:rPr>
        <w:t xml:space="preserve">(page 11) </w:t>
      </w:r>
    </w:p>
    <w:p w14:paraId="4FC7A7F1" w14:textId="77777777" w:rsidR="002B7698" w:rsidRDefault="002B7698" w:rsidP="005B2FCE">
      <w:pPr>
        <w:rPr>
          <w:rFonts w:ascii="Calibri" w:hAnsi="Calibri"/>
        </w:rPr>
      </w:pPr>
      <w:r>
        <w:rPr>
          <w:rFonts w:ascii="Calibri" w:hAnsi="Calibri"/>
        </w:rPr>
        <w:t xml:space="preserve">As per the profile of Supported </w:t>
      </w:r>
      <w:r w:rsidR="00984248">
        <w:rPr>
          <w:rFonts w:ascii="Calibri" w:hAnsi="Calibri"/>
        </w:rPr>
        <w:t>E</w:t>
      </w:r>
      <w:r>
        <w:rPr>
          <w:rFonts w:ascii="Calibri" w:hAnsi="Calibri"/>
        </w:rPr>
        <w:t>mployees</w:t>
      </w:r>
      <w:r w:rsidR="00984248">
        <w:rPr>
          <w:rFonts w:ascii="Calibri" w:hAnsi="Calibri"/>
        </w:rPr>
        <w:t xml:space="preserve"> in the discussion paper (page 10)</w:t>
      </w:r>
      <w:r>
        <w:rPr>
          <w:rFonts w:ascii="Calibri" w:hAnsi="Calibri"/>
        </w:rPr>
        <w:t xml:space="preserve"> this would equate 14,000 people with an intellectual disability currently maintaining meaningful and rewarding employment</w:t>
      </w:r>
      <w:r w:rsidR="00984248">
        <w:rPr>
          <w:rFonts w:ascii="Calibri" w:hAnsi="Calibri"/>
        </w:rPr>
        <w:t xml:space="preserve"> throughout Australia.</w:t>
      </w:r>
    </w:p>
    <w:p w14:paraId="3982AFE1" w14:textId="77777777" w:rsidR="00984248" w:rsidRDefault="00984248" w:rsidP="005B2FCE">
      <w:pPr>
        <w:rPr>
          <w:rFonts w:ascii="Calibri" w:hAnsi="Calibri"/>
          <w:color w:val="FF0000"/>
        </w:rPr>
      </w:pPr>
      <w:r>
        <w:rPr>
          <w:rFonts w:ascii="Calibri" w:hAnsi="Calibri"/>
        </w:rPr>
        <w:t xml:space="preserve">The number for Tasmania would be </w:t>
      </w:r>
      <w:r w:rsidR="00792866" w:rsidRPr="007F04E4">
        <w:rPr>
          <w:rFonts w:ascii="Calibri" w:hAnsi="Calibri"/>
        </w:rPr>
        <w:t xml:space="preserve">approximately 300 people. </w:t>
      </w:r>
      <w:r w:rsidRPr="007F04E4">
        <w:rPr>
          <w:rFonts w:ascii="Calibri" w:hAnsi="Calibri"/>
        </w:rPr>
        <w:t xml:space="preserve"> </w:t>
      </w:r>
    </w:p>
    <w:p w14:paraId="65A210B8" w14:textId="77777777" w:rsidR="00984248" w:rsidRDefault="00984248" w:rsidP="005B2FCE">
      <w:pPr>
        <w:rPr>
          <w:rFonts w:ascii="Calibri" w:hAnsi="Calibri"/>
        </w:rPr>
      </w:pPr>
      <w:r>
        <w:rPr>
          <w:rFonts w:ascii="Calibri" w:hAnsi="Calibri"/>
        </w:rPr>
        <w:t xml:space="preserve">With the uncertain future of Australian Disability Enterprises </w:t>
      </w:r>
      <w:r w:rsidR="00C06C3B">
        <w:rPr>
          <w:rFonts w:ascii="Calibri" w:hAnsi="Calibri"/>
        </w:rPr>
        <w:t xml:space="preserve">there is potential loss of skilled staff with an Intellectual disability from the Australian Workforce. This will also have a significant impact on Social Security payments. </w:t>
      </w:r>
    </w:p>
    <w:p w14:paraId="156855B6" w14:textId="77777777" w:rsidR="00AE36D9" w:rsidRDefault="00721A1E" w:rsidP="005B2FCE">
      <w:pPr>
        <w:rPr>
          <w:rFonts w:ascii="Calibri" w:hAnsi="Calibri"/>
        </w:rPr>
      </w:pPr>
      <w:r>
        <w:rPr>
          <w:rFonts w:ascii="Calibri" w:hAnsi="Calibri"/>
        </w:rPr>
        <w:t>The table below highlights the benefits of gaining employment and remaining employment in a supported environment compared to open employment.</w:t>
      </w:r>
    </w:p>
    <w:tbl>
      <w:tblPr>
        <w:tblStyle w:val="TableGrid"/>
        <w:tblW w:w="0" w:type="auto"/>
        <w:tblLook w:val="04A0" w:firstRow="1" w:lastRow="0" w:firstColumn="1" w:lastColumn="0" w:noHBand="0" w:noVBand="1"/>
      </w:tblPr>
      <w:tblGrid>
        <w:gridCol w:w="562"/>
        <w:gridCol w:w="3946"/>
        <w:gridCol w:w="590"/>
        <w:gridCol w:w="3918"/>
      </w:tblGrid>
      <w:tr w:rsidR="00930FDD" w14:paraId="366CC6BE" w14:textId="77777777" w:rsidTr="00930FDD">
        <w:tc>
          <w:tcPr>
            <w:tcW w:w="4508" w:type="dxa"/>
            <w:gridSpan w:val="2"/>
          </w:tcPr>
          <w:p w14:paraId="5EACEC0D" w14:textId="77777777" w:rsidR="00930FDD" w:rsidRDefault="00930FDD" w:rsidP="005B2FCE">
            <w:pPr>
              <w:rPr>
                <w:rFonts w:ascii="Calibri" w:hAnsi="Calibri"/>
              </w:rPr>
            </w:pPr>
            <w:r>
              <w:rPr>
                <w:rFonts w:ascii="Calibri" w:hAnsi="Calibri"/>
              </w:rPr>
              <w:t xml:space="preserve">Supported Employment </w:t>
            </w:r>
          </w:p>
        </w:tc>
        <w:tc>
          <w:tcPr>
            <w:tcW w:w="4508" w:type="dxa"/>
            <w:gridSpan w:val="2"/>
          </w:tcPr>
          <w:p w14:paraId="2AE88CC2" w14:textId="77777777" w:rsidR="00930FDD" w:rsidRDefault="00930FDD" w:rsidP="005B2FCE">
            <w:pPr>
              <w:rPr>
                <w:rFonts w:ascii="Calibri" w:hAnsi="Calibri"/>
              </w:rPr>
            </w:pPr>
            <w:r>
              <w:rPr>
                <w:rFonts w:ascii="Calibri" w:hAnsi="Calibri"/>
              </w:rPr>
              <w:t xml:space="preserve">Open Employment </w:t>
            </w:r>
          </w:p>
        </w:tc>
      </w:tr>
      <w:tr w:rsidR="00721A1E" w14:paraId="6AD766F5" w14:textId="77777777" w:rsidTr="00FE7D37">
        <w:tc>
          <w:tcPr>
            <w:tcW w:w="562" w:type="dxa"/>
            <w:vAlign w:val="center"/>
          </w:tcPr>
          <w:p w14:paraId="06113FD1" w14:textId="77777777" w:rsidR="00721A1E" w:rsidRPr="00721A1E" w:rsidRDefault="00FE7D37" w:rsidP="00721A1E">
            <w:pPr>
              <w:jc w:val="center"/>
              <w:rPr>
                <w:rFonts w:ascii="Calibri" w:hAnsi="Calibri"/>
              </w:rPr>
            </w:pPr>
            <w:r>
              <w:rPr>
                <w:rFonts w:ascii="Calibri" w:hAnsi="Calibri"/>
              </w:rPr>
              <w:t>1</w:t>
            </w:r>
          </w:p>
        </w:tc>
        <w:tc>
          <w:tcPr>
            <w:tcW w:w="3946" w:type="dxa"/>
          </w:tcPr>
          <w:p w14:paraId="5EC9F1C4" w14:textId="77777777" w:rsidR="00721A1E" w:rsidRPr="00721A1E" w:rsidRDefault="00721A1E" w:rsidP="00721A1E">
            <w:pPr>
              <w:rPr>
                <w:rFonts w:ascii="Calibri" w:hAnsi="Calibri"/>
              </w:rPr>
            </w:pPr>
            <w:r w:rsidRPr="00721A1E">
              <w:rPr>
                <w:rFonts w:ascii="Calibri" w:hAnsi="Calibri"/>
              </w:rPr>
              <w:t xml:space="preserve">Established systems and process </w:t>
            </w:r>
            <w:r w:rsidR="00FE7D37">
              <w:rPr>
                <w:rFonts w:ascii="Calibri" w:hAnsi="Calibri"/>
              </w:rPr>
              <w:t xml:space="preserve">to offer emotional </w:t>
            </w:r>
            <w:r w:rsidR="00AF3D4A">
              <w:rPr>
                <w:rFonts w:ascii="Calibri" w:hAnsi="Calibri"/>
              </w:rPr>
              <w:t xml:space="preserve">support </w:t>
            </w:r>
            <w:r w:rsidRPr="00721A1E">
              <w:rPr>
                <w:rFonts w:ascii="Calibri" w:hAnsi="Calibri"/>
              </w:rPr>
              <w:t>with a physical or intellectual disability.</w:t>
            </w:r>
          </w:p>
        </w:tc>
        <w:tc>
          <w:tcPr>
            <w:tcW w:w="590" w:type="dxa"/>
            <w:vAlign w:val="center"/>
          </w:tcPr>
          <w:p w14:paraId="044CD8EE" w14:textId="77777777" w:rsidR="00721A1E" w:rsidRDefault="00FE7D37" w:rsidP="00FE7D37">
            <w:pPr>
              <w:jc w:val="center"/>
              <w:rPr>
                <w:rFonts w:ascii="Calibri" w:hAnsi="Calibri"/>
              </w:rPr>
            </w:pPr>
            <w:r>
              <w:rPr>
                <w:rFonts w:ascii="Calibri" w:hAnsi="Calibri"/>
              </w:rPr>
              <w:t>1</w:t>
            </w:r>
          </w:p>
        </w:tc>
        <w:tc>
          <w:tcPr>
            <w:tcW w:w="3918" w:type="dxa"/>
          </w:tcPr>
          <w:p w14:paraId="132AC515" w14:textId="77777777" w:rsidR="00721A1E" w:rsidRDefault="00FE7D37" w:rsidP="005B2FCE">
            <w:pPr>
              <w:rPr>
                <w:rFonts w:ascii="Calibri" w:hAnsi="Calibri"/>
              </w:rPr>
            </w:pPr>
            <w:r>
              <w:rPr>
                <w:rFonts w:ascii="Calibri" w:hAnsi="Calibri"/>
              </w:rPr>
              <w:t xml:space="preserve">Would need to invest in establishing systems and processes to cater for emotional support. </w:t>
            </w:r>
          </w:p>
        </w:tc>
      </w:tr>
      <w:tr w:rsidR="00FE7D37" w14:paraId="114809EF" w14:textId="77777777" w:rsidTr="00FE7D37">
        <w:tc>
          <w:tcPr>
            <w:tcW w:w="562" w:type="dxa"/>
            <w:vAlign w:val="center"/>
          </w:tcPr>
          <w:p w14:paraId="6495A4E9" w14:textId="77777777" w:rsidR="00FE7D37" w:rsidRDefault="00FE7D37" w:rsidP="00721A1E">
            <w:pPr>
              <w:jc w:val="center"/>
              <w:rPr>
                <w:rFonts w:ascii="Calibri" w:hAnsi="Calibri"/>
              </w:rPr>
            </w:pPr>
            <w:r>
              <w:rPr>
                <w:rFonts w:ascii="Calibri" w:hAnsi="Calibri"/>
              </w:rPr>
              <w:t>2</w:t>
            </w:r>
          </w:p>
        </w:tc>
        <w:tc>
          <w:tcPr>
            <w:tcW w:w="3946" w:type="dxa"/>
          </w:tcPr>
          <w:p w14:paraId="5BE46BAA" w14:textId="77777777" w:rsidR="00FE7D37" w:rsidRPr="00721A1E" w:rsidRDefault="00FE7D37" w:rsidP="00721A1E">
            <w:pPr>
              <w:rPr>
                <w:rFonts w:ascii="Calibri" w:hAnsi="Calibri"/>
              </w:rPr>
            </w:pPr>
            <w:r>
              <w:rPr>
                <w:rFonts w:ascii="Calibri" w:hAnsi="Calibri"/>
              </w:rPr>
              <w:t>Established work practices and infrastructure to supported sustainable jo</w:t>
            </w:r>
            <w:r w:rsidR="00197CB1">
              <w:rPr>
                <w:rFonts w:ascii="Calibri" w:hAnsi="Calibri"/>
              </w:rPr>
              <w:t>b security to skilled employees.</w:t>
            </w:r>
          </w:p>
        </w:tc>
        <w:tc>
          <w:tcPr>
            <w:tcW w:w="590" w:type="dxa"/>
            <w:vAlign w:val="center"/>
          </w:tcPr>
          <w:p w14:paraId="65033D9C" w14:textId="77777777" w:rsidR="00FE7D37" w:rsidRDefault="00FE7D37" w:rsidP="00FE7D37">
            <w:pPr>
              <w:jc w:val="center"/>
              <w:rPr>
                <w:rFonts w:ascii="Calibri" w:hAnsi="Calibri"/>
              </w:rPr>
            </w:pPr>
            <w:r>
              <w:rPr>
                <w:rFonts w:ascii="Calibri" w:hAnsi="Calibri"/>
              </w:rPr>
              <w:t>2</w:t>
            </w:r>
          </w:p>
        </w:tc>
        <w:tc>
          <w:tcPr>
            <w:tcW w:w="3918" w:type="dxa"/>
          </w:tcPr>
          <w:p w14:paraId="485F763E" w14:textId="77777777" w:rsidR="00FE7D37" w:rsidRDefault="00FE7D37" w:rsidP="005B2FCE">
            <w:pPr>
              <w:rPr>
                <w:rFonts w:ascii="Calibri" w:hAnsi="Calibri"/>
              </w:rPr>
            </w:pPr>
            <w:r>
              <w:rPr>
                <w:rFonts w:ascii="Calibri" w:hAnsi="Calibri"/>
              </w:rPr>
              <w:t>Would need to invest in establishing practices and infrastructure to ca</w:t>
            </w:r>
            <w:r w:rsidR="00197CB1">
              <w:rPr>
                <w:rFonts w:ascii="Calibri" w:hAnsi="Calibri"/>
              </w:rPr>
              <w:t>ter for staff with a disability.</w:t>
            </w:r>
          </w:p>
        </w:tc>
      </w:tr>
      <w:tr w:rsidR="00FE7D37" w14:paraId="0750D6A8" w14:textId="77777777" w:rsidTr="00FE7D37">
        <w:tc>
          <w:tcPr>
            <w:tcW w:w="562" w:type="dxa"/>
            <w:vAlign w:val="center"/>
          </w:tcPr>
          <w:p w14:paraId="13B1CE66" w14:textId="77777777" w:rsidR="00FE7D37" w:rsidRDefault="00FE7D37" w:rsidP="00721A1E">
            <w:pPr>
              <w:jc w:val="center"/>
              <w:rPr>
                <w:rFonts w:ascii="Calibri" w:hAnsi="Calibri"/>
              </w:rPr>
            </w:pPr>
            <w:r>
              <w:rPr>
                <w:rFonts w:ascii="Calibri" w:hAnsi="Calibri"/>
              </w:rPr>
              <w:t>3</w:t>
            </w:r>
          </w:p>
        </w:tc>
        <w:tc>
          <w:tcPr>
            <w:tcW w:w="3946" w:type="dxa"/>
          </w:tcPr>
          <w:p w14:paraId="2747D7DA" w14:textId="77777777" w:rsidR="00FE7D37" w:rsidRDefault="00FE7D37" w:rsidP="00721A1E">
            <w:pPr>
              <w:rPr>
                <w:rFonts w:ascii="Calibri" w:hAnsi="Calibri"/>
              </w:rPr>
            </w:pPr>
            <w:r>
              <w:rPr>
                <w:rFonts w:ascii="Calibri" w:hAnsi="Calibri"/>
              </w:rPr>
              <w:t xml:space="preserve">Annual accreditation of the National Standard for Disability Services to ensure person centred practices </w:t>
            </w:r>
            <w:r w:rsidR="00E11FFF">
              <w:rPr>
                <w:rFonts w:ascii="Calibri" w:hAnsi="Calibri"/>
              </w:rPr>
              <w:t>throughout the employees working life.</w:t>
            </w:r>
          </w:p>
        </w:tc>
        <w:tc>
          <w:tcPr>
            <w:tcW w:w="590" w:type="dxa"/>
            <w:vAlign w:val="center"/>
          </w:tcPr>
          <w:p w14:paraId="0A3093E6" w14:textId="77777777" w:rsidR="00FE7D37" w:rsidRDefault="00FE7D37" w:rsidP="00FE7D37">
            <w:pPr>
              <w:jc w:val="center"/>
              <w:rPr>
                <w:rFonts w:ascii="Calibri" w:hAnsi="Calibri"/>
              </w:rPr>
            </w:pPr>
            <w:r>
              <w:rPr>
                <w:rFonts w:ascii="Calibri" w:hAnsi="Calibri"/>
              </w:rPr>
              <w:t>3</w:t>
            </w:r>
          </w:p>
        </w:tc>
        <w:tc>
          <w:tcPr>
            <w:tcW w:w="3918" w:type="dxa"/>
          </w:tcPr>
          <w:p w14:paraId="04A69FE5" w14:textId="77777777" w:rsidR="00FE7D37" w:rsidRDefault="00FE7D37" w:rsidP="005B2FCE">
            <w:pPr>
              <w:rPr>
                <w:rFonts w:ascii="Calibri" w:hAnsi="Calibri"/>
              </w:rPr>
            </w:pPr>
            <w:r>
              <w:rPr>
                <w:rFonts w:ascii="Calibri" w:hAnsi="Calibri"/>
              </w:rPr>
              <w:t xml:space="preserve">Currently </w:t>
            </w:r>
            <w:r w:rsidR="00E11FFF">
              <w:rPr>
                <w:rFonts w:ascii="Calibri" w:hAnsi="Calibri"/>
              </w:rPr>
              <w:t>accreditation not required, therefore not able to demonstrate quality practices in the workplace in relation to supporting employees with a disability</w:t>
            </w:r>
            <w:r w:rsidR="00197CB1">
              <w:rPr>
                <w:rFonts w:ascii="Calibri" w:hAnsi="Calibri"/>
              </w:rPr>
              <w:t>.</w:t>
            </w:r>
          </w:p>
        </w:tc>
      </w:tr>
      <w:tr w:rsidR="00E11FFF" w14:paraId="26E4A79A" w14:textId="77777777" w:rsidTr="00FE7D37">
        <w:tc>
          <w:tcPr>
            <w:tcW w:w="562" w:type="dxa"/>
            <w:vAlign w:val="center"/>
          </w:tcPr>
          <w:p w14:paraId="4347A2EE" w14:textId="77777777" w:rsidR="00E11FFF" w:rsidRDefault="00E11FFF" w:rsidP="00721A1E">
            <w:pPr>
              <w:jc w:val="center"/>
              <w:rPr>
                <w:rFonts w:ascii="Calibri" w:hAnsi="Calibri"/>
              </w:rPr>
            </w:pPr>
            <w:r>
              <w:rPr>
                <w:rFonts w:ascii="Calibri" w:hAnsi="Calibri"/>
              </w:rPr>
              <w:t>4</w:t>
            </w:r>
          </w:p>
        </w:tc>
        <w:tc>
          <w:tcPr>
            <w:tcW w:w="3946" w:type="dxa"/>
          </w:tcPr>
          <w:p w14:paraId="2E424B45" w14:textId="77777777" w:rsidR="00E11FFF" w:rsidRDefault="00E11FFF" w:rsidP="00721A1E">
            <w:pPr>
              <w:rPr>
                <w:rFonts w:ascii="Calibri" w:hAnsi="Calibri"/>
              </w:rPr>
            </w:pPr>
            <w:r>
              <w:rPr>
                <w:rFonts w:ascii="Calibri" w:hAnsi="Calibri"/>
              </w:rPr>
              <w:t xml:space="preserve">Australian Qualification Framework Certifications offered as </w:t>
            </w:r>
            <w:r w:rsidR="00197CB1">
              <w:rPr>
                <w:rFonts w:ascii="Calibri" w:hAnsi="Calibri"/>
              </w:rPr>
              <w:t>part of the employment package.</w:t>
            </w:r>
          </w:p>
        </w:tc>
        <w:tc>
          <w:tcPr>
            <w:tcW w:w="590" w:type="dxa"/>
            <w:vAlign w:val="center"/>
          </w:tcPr>
          <w:p w14:paraId="404E627E" w14:textId="77777777" w:rsidR="00E11FFF" w:rsidRDefault="00E11FFF" w:rsidP="00FE7D37">
            <w:pPr>
              <w:jc w:val="center"/>
              <w:rPr>
                <w:rFonts w:ascii="Calibri" w:hAnsi="Calibri"/>
              </w:rPr>
            </w:pPr>
            <w:r>
              <w:rPr>
                <w:rFonts w:ascii="Calibri" w:hAnsi="Calibri"/>
              </w:rPr>
              <w:t>4</w:t>
            </w:r>
          </w:p>
        </w:tc>
        <w:tc>
          <w:tcPr>
            <w:tcW w:w="3918" w:type="dxa"/>
          </w:tcPr>
          <w:p w14:paraId="1A25601B" w14:textId="77777777" w:rsidR="00E11FFF" w:rsidRDefault="00E11FFF" w:rsidP="005B2FCE">
            <w:pPr>
              <w:rPr>
                <w:rFonts w:ascii="Calibri" w:hAnsi="Calibri"/>
              </w:rPr>
            </w:pPr>
            <w:r>
              <w:rPr>
                <w:rFonts w:ascii="Calibri" w:hAnsi="Calibri"/>
              </w:rPr>
              <w:t xml:space="preserve">Not required </w:t>
            </w:r>
          </w:p>
        </w:tc>
      </w:tr>
      <w:tr w:rsidR="00E11FFF" w14:paraId="74F20A33" w14:textId="77777777" w:rsidTr="00FE7D37">
        <w:tc>
          <w:tcPr>
            <w:tcW w:w="562" w:type="dxa"/>
            <w:vAlign w:val="center"/>
          </w:tcPr>
          <w:p w14:paraId="2CFE96D6" w14:textId="77777777" w:rsidR="00E11FFF" w:rsidRDefault="00E11FFF" w:rsidP="00721A1E">
            <w:pPr>
              <w:jc w:val="center"/>
              <w:rPr>
                <w:rFonts w:ascii="Calibri" w:hAnsi="Calibri"/>
              </w:rPr>
            </w:pPr>
            <w:r>
              <w:rPr>
                <w:rFonts w:ascii="Calibri" w:hAnsi="Calibri"/>
              </w:rPr>
              <w:t xml:space="preserve">5 </w:t>
            </w:r>
          </w:p>
        </w:tc>
        <w:tc>
          <w:tcPr>
            <w:tcW w:w="3946" w:type="dxa"/>
          </w:tcPr>
          <w:p w14:paraId="3DED6C0E" w14:textId="77777777" w:rsidR="00E11FFF" w:rsidRDefault="00E11FFF" w:rsidP="00721A1E">
            <w:pPr>
              <w:rPr>
                <w:rFonts w:ascii="Calibri" w:hAnsi="Calibri"/>
              </w:rPr>
            </w:pPr>
            <w:r>
              <w:rPr>
                <w:rFonts w:ascii="Calibri" w:hAnsi="Calibri"/>
              </w:rPr>
              <w:t xml:space="preserve">Established training objectives </w:t>
            </w:r>
          </w:p>
        </w:tc>
        <w:tc>
          <w:tcPr>
            <w:tcW w:w="590" w:type="dxa"/>
            <w:vAlign w:val="center"/>
          </w:tcPr>
          <w:p w14:paraId="58572688" w14:textId="77777777" w:rsidR="00E11FFF" w:rsidRDefault="00197CB1" w:rsidP="00FE7D37">
            <w:pPr>
              <w:jc w:val="center"/>
              <w:rPr>
                <w:rFonts w:ascii="Calibri" w:hAnsi="Calibri"/>
              </w:rPr>
            </w:pPr>
            <w:r>
              <w:rPr>
                <w:rFonts w:ascii="Calibri" w:hAnsi="Calibri"/>
              </w:rPr>
              <w:t>5</w:t>
            </w:r>
          </w:p>
        </w:tc>
        <w:tc>
          <w:tcPr>
            <w:tcW w:w="3918" w:type="dxa"/>
          </w:tcPr>
          <w:p w14:paraId="226E1A42" w14:textId="77777777" w:rsidR="00E11FFF" w:rsidRDefault="00197CB1" w:rsidP="005B2FCE">
            <w:pPr>
              <w:rPr>
                <w:rFonts w:ascii="Calibri" w:hAnsi="Calibri"/>
              </w:rPr>
            </w:pPr>
            <w:r>
              <w:rPr>
                <w:rFonts w:ascii="Calibri" w:hAnsi="Calibri"/>
              </w:rPr>
              <w:t>Not required</w:t>
            </w:r>
          </w:p>
        </w:tc>
      </w:tr>
      <w:tr w:rsidR="00197CB1" w14:paraId="153C4234" w14:textId="77777777" w:rsidTr="00FE7D37">
        <w:tc>
          <w:tcPr>
            <w:tcW w:w="562" w:type="dxa"/>
            <w:vAlign w:val="center"/>
          </w:tcPr>
          <w:p w14:paraId="047E3786" w14:textId="77777777" w:rsidR="00197CB1" w:rsidRDefault="00197CB1" w:rsidP="00721A1E">
            <w:pPr>
              <w:jc w:val="center"/>
              <w:rPr>
                <w:rFonts w:ascii="Calibri" w:hAnsi="Calibri"/>
              </w:rPr>
            </w:pPr>
            <w:r>
              <w:rPr>
                <w:rFonts w:ascii="Calibri" w:hAnsi="Calibri"/>
              </w:rPr>
              <w:t>6</w:t>
            </w:r>
          </w:p>
        </w:tc>
        <w:tc>
          <w:tcPr>
            <w:tcW w:w="3946" w:type="dxa"/>
          </w:tcPr>
          <w:p w14:paraId="7924BFDB" w14:textId="77777777" w:rsidR="00197CB1" w:rsidRDefault="00AF3D4A" w:rsidP="00721A1E">
            <w:pPr>
              <w:rPr>
                <w:rFonts w:ascii="Calibri" w:hAnsi="Calibri"/>
              </w:rPr>
            </w:pPr>
            <w:r>
              <w:rPr>
                <w:rFonts w:ascii="Calibri" w:hAnsi="Calibri"/>
              </w:rPr>
              <w:t xml:space="preserve">Qualified staff to assist with on the job support to employees with work and life issues. </w:t>
            </w:r>
          </w:p>
        </w:tc>
        <w:tc>
          <w:tcPr>
            <w:tcW w:w="590" w:type="dxa"/>
            <w:vAlign w:val="center"/>
          </w:tcPr>
          <w:p w14:paraId="11E12CE6" w14:textId="77777777" w:rsidR="00197CB1" w:rsidRDefault="00AF3D4A" w:rsidP="00FE7D37">
            <w:pPr>
              <w:jc w:val="center"/>
              <w:rPr>
                <w:rFonts w:ascii="Calibri" w:hAnsi="Calibri"/>
              </w:rPr>
            </w:pPr>
            <w:r>
              <w:rPr>
                <w:rFonts w:ascii="Calibri" w:hAnsi="Calibri"/>
              </w:rPr>
              <w:t>6</w:t>
            </w:r>
          </w:p>
        </w:tc>
        <w:tc>
          <w:tcPr>
            <w:tcW w:w="3918" w:type="dxa"/>
          </w:tcPr>
          <w:p w14:paraId="06841C3F" w14:textId="77777777" w:rsidR="00197CB1" w:rsidRDefault="00AF3D4A" w:rsidP="005B2FCE">
            <w:pPr>
              <w:rPr>
                <w:rFonts w:ascii="Calibri" w:hAnsi="Calibri"/>
              </w:rPr>
            </w:pPr>
            <w:r>
              <w:rPr>
                <w:rFonts w:ascii="Calibri" w:hAnsi="Calibri"/>
              </w:rPr>
              <w:t xml:space="preserve">Not required </w:t>
            </w:r>
          </w:p>
        </w:tc>
      </w:tr>
    </w:tbl>
    <w:p w14:paraId="43C489E6" w14:textId="77777777" w:rsidR="00984248" w:rsidRPr="008A3B9E" w:rsidRDefault="00984248" w:rsidP="005B2FCE">
      <w:pPr>
        <w:rPr>
          <w:rFonts w:ascii="Calibri" w:hAnsi="Calibri"/>
        </w:rPr>
      </w:pPr>
    </w:p>
    <w:p w14:paraId="65EB218E" w14:textId="77777777" w:rsidR="002B7698" w:rsidRDefault="002B7698" w:rsidP="005B2FCE">
      <w:pPr>
        <w:rPr>
          <w:rFonts w:ascii="Calibri" w:hAnsi="Calibri"/>
        </w:rPr>
      </w:pPr>
    </w:p>
    <w:p w14:paraId="08733F19" w14:textId="77777777" w:rsidR="00AF3D4A" w:rsidRDefault="00AF3D4A" w:rsidP="005B2FCE">
      <w:pPr>
        <w:rPr>
          <w:rFonts w:ascii="Calibri" w:hAnsi="Calibri"/>
        </w:rPr>
      </w:pPr>
    </w:p>
    <w:tbl>
      <w:tblPr>
        <w:tblStyle w:val="TableGrid"/>
        <w:tblW w:w="0" w:type="auto"/>
        <w:tblLook w:val="04A0" w:firstRow="1" w:lastRow="0" w:firstColumn="1" w:lastColumn="0" w:noHBand="0" w:noVBand="1"/>
      </w:tblPr>
      <w:tblGrid>
        <w:gridCol w:w="3114"/>
        <w:gridCol w:w="5902"/>
      </w:tblGrid>
      <w:tr w:rsidR="00AF3D4A" w14:paraId="3E019423" w14:textId="77777777" w:rsidTr="00944622">
        <w:trPr>
          <w:tblHeader/>
        </w:trPr>
        <w:tc>
          <w:tcPr>
            <w:tcW w:w="3114" w:type="dxa"/>
          </w:tcPr>
          <w:p w14:paraId="484854E2" w14:textId="77777777" w:rsidR="00AF3D4A" w:rsidRPr="00AF3D4A" w:rsidRDefault="00AF3D4A" w:rsidP="005B2FCE">
            <w:pPr>
              <w:rPr>
                <w:rFonts w:ascii="Calibri" w:hAnsi="Calibri"/>
                <w:b/>
              </w:rPr>
            </w:pPr>
            <w:r w:rsidRPr="00AF3D4A">
              <w:rPr>
                <w:rFonts w:ascii="Calibri" w:hAnsi="Calibri"/>
                <w:b/>
              </w:rPr>
              <w:t xml:space="preserve">Question </w:t>
            </w:r>
          </w:p>
        </w:tc>
        <w:tc>
          <w:tcPr>
            <w:tcW w:w="5902" w:type="dxa"/>
          </w:tcPr>
          <w:p w14:paraId="19ED41CA" w14:textId="77777777" w:rsidR="00AF3D4A" w:rsidRPr="00AF3D4A" w:rsidRDefault="00AF3D4A" w:rsidP="005B2FCE">
            <w:pPr>
              <w:rPr>
                <w:rFonts w:ascii="Calibri" w:hAnsi="Calibri"/>
                <w:b/>
              </w:rPr>
            </w:pPr>
            <w:r w:rsidRPr="00AF3D4A">
              <w:rPr>
                <w:rFonts w:ascii="Calibri" w:hAnsi="Calibri"/>
                <w:b/>
              </w:rPr>
              <w:t xml:space="preserve">Response </w:t>
            </w:r>
          </w:p>
        </w:tc>
      </w:tr>
      <w:tr w:rsidR="00AF3D4A" w14:paraId="13F7D1D3" w14:textId="77777777" w:rsidTr="00B13BC4">
        <w:tc>
          <w:tcPr>
            <w:tcW w:w="3114" w:type="dxa"/>
          </w:tcPr>
          <w:p w14:paraId="5D9CCD91" w14:textId="77777777" w:rsidR="00AF3D4A" w:rsidRPr="00AF3D4A" w:rsidRDefault="00AF3D4A" w:rsidP="005B2FCE">
            <w:pPr>
              <w:rPr>
                <w:rFonts w:ascii="Calibri" w:hAnsi="Calibri"/>
                <w:i/>
              </w:rPr>
            </w:pPr>
            <w:r>
              <w:rPr>
                <w:rFonts w:ascii="Calibri" w:hAnsi="Calibri"/>
              </w:rPr>
              <w:t xml:space="preserve">1. </w:t>
            </w:r>
            <w:r>
              <w:rPr>
                <w:rFonts w:ascii="Calibri" w:hAnsi="Calibri"/>
                <w:i/>
              </w:rPr>
              <w:t>Are there other principles, which should guide the Government’s policy direction for supported employment</w:t>
            </w:r>
            <w:r w:rsidR="0019408C">
              <w:rPr>
                <w:rFonts w:ascii="Calibri" w:hAnsi="Calibri"/>
                <w:i/>
              </w:rPr>
              <w:t>?</w:t>
            </w:r>
          </w:p>
        </w:tc>
        <w:tc>
          <w:tcPr>
            <w:tcW w:w="5902" w:type="dxa"/>
          </w:tcPr>
          <w:p w14:paraId="63871F1F" w14:textId="54C64477" w:rsidR="00AF3D4A" w:rsidRDefault="007C7760" w:rsidP="005B2FCE">
            <w:pPr>
              <w:rPr>
                <w:rFonts w:ascii="Calibri" w:hAnsi="Calibri"/>
              </w:rPr>
            </w:pPr>
            <w:r>
              <w:rPr>
                <w:rFonts w:ascii="Calibri" w:hAnsi="Calibri"/>
              </w:rPr>
              <w:t xml:space="preserve">Social Return on Investment needs to be demonstrated with either ADEs or Open Employment. This will give all Stakeholders the confidence in correct policy decisions. </w:t>
            </w:r>
          </w:p>
          <w:p w14:paraId="51C1D43C" w14:textId="77777777" w:rsidR="007C7760" w:rsidRDefault="007C7760" w:rsidP="005B2FCE">
            <w:pPr>
              <w:rPr>
                <w:rFonts w:ascii="Calibri" w:hAnsi="Calibri"/>
              </w:rPr>
            </w:pPr>
            <w:r>
              <w:rPr>
                <w:rFonts w:ascii="Calibri" w:hAnsi="Calibri"/>
              </w:rPr>
              <w:t>The July 2017 BuyAbility Impact Tool Report</w:t>
            </w:r>
            <w:r w:rsidR="008F5007">
              <w:rPr>
                <w:rStyle w:val="FootnoteReference"/>
                <w:rFonts w:ascii="Calibri" w:hAnsi="Calibri"/>
              </w:rPr>
              <w:footnoteReference w:id="2"/>
            </w:r>
            <w:r>
              <w:rPr>
                <w:rFonts w:ascii="Calibri" w:hAnsi="Calibri"/>
              </w:rPr>
              <w:t xml:space="preserve"> demonstrates </w:t>
            </w:r>
            <w:r w:rsidR="008F5007">
              <w:rPr>
                <w:rFonts w:ascii="Calibri" w:hAnsi="Calibri"/>
              </w:rPr>
              <w:t>that tax paid by Supported Employees equates to $226,900 and Disability Support Pension recovered from Supported Employees was $8,732,955. These figures are based on only 74 BuyAbility members.</w:t>
            </w:r>
          </w:p>
        </w:tc>
      </w:tr>
      <w:tr w:rsidR="0019408C" w14:paraId="58E7D338" w14:textId="77777777" w:rsidTr="00B13BC4">
        <w:tc>
          <w:tcPr>
            <w:tcW w:w="3114" w:type="dxa"/>
          </w:tcPr>
          <w:p w14:paraId="25393ED5" w14:textId="77777777" w:rsidR="0019408C" w:rsidRPr="0019408C" w:rsidRDefault="0019408C" w:rsidP="005B2FCE">
            <w:pPr>
              <w:rPr>
                <w:rFonts w:ascii="Calibri" w:hAnsi="Calibri"/>
                <w:i/>
              </w:rPr>
            </w:pPr>
            <w:r>
              <w:rPr>
                <w:rFonts w:ascii="Calibri" w:hAnsi="Calibri"/>
              </w:rPr>
              <w:t xml:space="preserve">2. </w:t>
            </w:r>
            <w:r>
              <w:rPr>
                <w:rFonts w:ascii="Calibri" w:hAnsi="Calibri"/>
                <w:i/>
              </w:rPr>
              <w:t>What is a good participation outcome for a supported employee and how can good outcomes be measured?</w:t>
            </w:r>
          </w:p>
        </w:tc>
        <w:tc>
          <w:tcPr>
            <w:tcW w:w="5902" w:type="dxa"/>
          </w:tcPr>
          <w:p w14:paraId="202C272E" w14:textId="77777777" w:rsidR="0019408C" w:rsidRDefault="00EA40E8" w:rsidP="005B2FCE">
            <w:pPr>
              <w:rPr>
                <w:rFonts w:ascii="Calibri" w:hAnsi="Calibri"/>
              </w:rPr>
            </w:pPr>
            <w:r>
              <w:rPr>
                <w:rFonts w:ascii="Calibri" w:hAnsi="Calibri"/>
              </w:rPr>
              <w:t xml:space="preserve">One ADE in Tasmania has adopted the Core Skills for Employment Framework as a work and life skills based approach to employment. This is measurable and is an outcome based methodology.  </w:t>
            </w:r>
          </w:p>
        </w:tc>
      </w:tr>
      <w:tr w:rsidR="0019408C" w14:paraId="3B5F3712" w14:textId="77777777" w:rsidTr="00B13BC4">
        <w:tc>
          <w:tcPr>
            <w:tcW w:w="3114" w:type="dxa"/>
          </w:tcPr>
          <w:p w14:paraId="509EFE6F" w14:textId="77777777" w:rsidR="0019408C" w:rsidRPr="0019408C" w:rsidRDefault="0019408C" w:rsidP="005B2FCE">
            <w:pPr>
              <w:rPr>
                <w:rFonts w:ascii="Calibri" w:hAnsi="Calibri"/>
                <w:i/>
              </w:rPr>
            </w:pPr>
            <w:r>
              <w:rPr>
                <w:rFonts w:ascii="Calibri" w:hAnsi="Calibri"/>
              </w:rPr>
              <w:t xml:space="preserve">3. </w:t>
            </w:r>
            <w:r>
              <w:rPr>
                <w:rFonts w:ascii="Calibri" w:hAnsi="Calibri"/>
                <w:i/>
              </w:rPr>
              <w:t>What do supported employees most value about working in an ADE?</w:t>
            </w:r>
          </w:p>
        </w:tc>
        <w:tc>
          <w:tcPr>
            <w:tcW w:w="5902" w:type="dxa"/>
          </w:tcPr>
          <w:p w14:paraId="7E93C229" w14:textId="77777777" w:rsidR="00B13BC4" w:rsidRDefault="00B13BC4" w:rsidP="00B13BC4">
            <w:pPr>
              <w:rPr>
                <w:rFonts w:ascii="Calibri" w:hAnsi="Calibri"/>
              </w:rPr>
            </w:pPr>
            <w:r>
              <w:rPr>
                <w:rFonts w:ascii="Calibri" w:hAnsi="Calibri"/>
              </w:rPr>
              <w:t>The 2017</w:t>
            </w:r>
            <w:r>
              <w:rPr>
                <w:rStyle w:val="FootnoteReference"/>
                <w:rFonts w:ascii="Calibri" w:hAnsi="Calibri"/>
              </w:rPr>
              <w:footnoteReference w:id="3"/>
            </w:r>
            <w:r>
              <w:rPr>
                <w:rFonts w:ascii="Calibri" w:hAnsi="Calibri"/>
              </w:rPr>
              <w:t xml:space="preserve"> Supported Employment Survey responses highlight what is important;</w:t>
            </w:r>
          </w:p>
          <w:p w14:paraId="058C96EF" w14:textId="77777777" w:rsidR="00B13BC4" w:rsidRDefault="00B13BC4" w:rsidP="00B13BC4">
            <w:pPr>
              <w:rPr>
                <w:rFonts w:ascii="Calibri" w:hAnsi="Calibri"/>
              </w:rPr>
            </w:pPr>
            <w:r>
              <w:rPr>
                <w:rFonts w:ascii="Calibri" w:hAnsi="Calibri"/>
              </w:rPr>
              <w:t>Q1. I get on well with my workmates 87.6%</w:t>
            </w:r>
          </w:p>
          <w:p w14:paraId="7D8701FF" w14:textId="77777777" w:rsidR="00B13BC4" w:rsidRDefault="00B13BC4" w:rsidP="00B13BC4">
            <w:pPr>
              <w:rPr>
                <w:rFonts w:ascii="Calibri" w:hAnsi="Calibri"/>
              </w:rPr>
            </w:pPr>
            <w:r>
              <w:rPr>
                <w:rFonts w:ascii="Calibri" w:hAnsi="Calibri"/>
              </w:rPr>
              <w:t>Q2. I have made friends at work 85%</w:t>
            </w:r>
          </w:p>
          <w:p w14:paraId="3F64962A" w14:textId="77777777" w:rsidR="0019408C" w:rsidRDefault="00B13BC4" w:rsidP="00B13BC4">
            <w:pPr>
              <w:rPr>
                <w:rFonts w:ascii="Calibri" w:hAnsi="Calibri"/>
              </w:rPr>
            </w:pPr>
            <w:r>
              <w:rPr>
                <w:rFonts w:ascii="Calibri" w:hAnsi="Calibri"/>
              </w:rPr>
              <w:t>Q3. My income from work means I can buy more things I need</w:t>
            </w:r>
            <w:r w:rsidR="00E80325">
              <w:rPr>
                <w:rFonts w:ascii="Calibri" w:hAnsi="Calibri"/>
              </w:rPr>
              <w:t xml:space="preserve">         </w:t>
            </w:r>
            <w:r>
              <w:rPr>
                <w:rFonts w:ascii="Calibri" w:hAnsi="Calibri"/>
              </w:rPr>
              <w:t xml:space="preserve">        and want 85%</w:t>
            </w:r>
          </w:p>
          <w:p w14:paraId="10E18CEC" w14:textId="77777777" w:rsidR="00B13BC4" w:rsidRDefault="00B13BC4" w:rsidP="00B13BC4">
            <w:pPr>
              <w:rPr>
                <w:rFonts w:ascii="Calibri" w:hAnsi="Calibri"/>
              </w:rPr>
            </w:pPr>
            <w:r>
              <w:rPr>
                <w:rFonts w:ascii="Calibri" w:hAnsi="Calibri"/>
              </w:rPr>
              <w:t>Q4. I like where I work 86%</w:t>
            </w:r>
          </w:p>
          <w:p w14:paraId="37E7EE09" w14:textId="77777777" w:rsidR="00B13BC4" w:rsidRDefault="00B13BC4" w:rsidP="00B13BC4">
            <w:pPr>
              <w:rPr>
                <w:rFonts w:ascii="Calibri" w:hAnsi="Calibri"/>
              </w:rPr>
            </w:pPr>
            <w:r>
              <w:rPr>
                <w:rFonts w:ascii="Calibri" w:hAnsi="Calibri"/>
              </w:rPr>
              <w:t>Q5. I like what I make and do at work 86%</w:t>
            </w:r>
          </w:p>
          <w:p w14:paraId="57A3A0DE" w14:textId="77777777" w:rsidR="00B13BC4" w:rsidRPr="00B13BC4" w:rsidRDefault="00B13BC4" w:rsidP="00B13BC4">
            <w:pPr>
              <w:rPr>
                <w:rFonts w:ascii="Calibri" w:hAnsi="Calibri"/>
              </w:rPr>
            </w:pPr>
            <w:r>
              <w:rPr>
                <w:rFonts w:ascii="Calibri" w:hAnsi="Calibri"/>
              </w:rPr>
              <w:t>Q6. I can try new jobs and learn new things 85%</w:t>
            </w:r>
          </w:p>
        </w:tc>
      </w:tr>
      <w:tr w:rsidR="0019408C" w14:paraId="12386ACC" w14:textId="77777777" w:rsidTr="00B13BC4">
        <w:tc>
          <w:tcPr>
            <w:tcW w:w="3114" w:type="dxa"/>
          </w:tcPr>
          <w:p w14:paraId="4ED07FE2" w14:textId="77777777" w:rsidR="0019408C" w:rsidRPr="0019408C" w:rsidRDefault="0019408C" w:rsidP="005B2FCE">
            <w:pPr>
              <w:rPr>
                <w:rFonts w:ascii="Calibri" w:hAnsi="Calibri"/>
                <w:i/>
              </w:rPr>
            </w:pPr>
            <w:r>
              <w:rPr>
                <w:rFonts w:ascii="Calibri" w:hAnsi="Calibri"/>
              </w:rPr>
              <w:t xml:space="preserve">4. </w:t>
            </w:r>
            <w:r>
              <w:rPr>
                <w:rFonts w:ascii="Calibri" w:hAnsi="Calibri"/>
                <w:i/>
              </w:rPr>
              <w:t>Why do most supported employees transition back to supported employment from open employment?</w:t>
            </w:r>
          </w:p>
        </w:tc>
        <w:tc>
          <w:tcPr>
            <w:tcW w:w="5902" w:type="dxa"/>
          </w:tcPr>
          <w:p w14:paraId="2FC6F2D8" w14:textId="553D68EA" w:rsidR="0019408C" w:rsidRDefault="00D714D5" w:rsidP="005B2FCE">
            <w:pPr>
              <w:rPr>
                <w:rFonts w:ascii="Calibri" w:hAnsi="Calibri"/>
              </w:rPr>
            </w:pPr>
            <w:r>
              <w:rPr>
                <w:rFonts w:ascii="Calibri" w:hAnsi="Calibri"/>
              </w:rPr>
              <w:t xml:space="preserve">The key reason is that there is no support </w:t>
            </w:r>
            <w:r w:rsidR="00306F44">
              <w:rPr>
                <w:rFonts w:ascii="Calibri" w:hAnsi="Calibri"/>
              </w:rPr>
              <w:t>within the workplace to cater for their needs. Therefore, ADEs are</w:t>
            </w:r>
            <w:r w:rsidR="00792866">
              <w:rPr>
                <w:rFonts w:ascii="Calibri" w:hAnsi="Calibri"/>
              </w:rPr>
              <w:t xml:space="preserve"> often</w:t>
            </w:r>
            <w:r w:rsidR="00306F44">
              <w:rPr>
                <w:rFonts w:ascii="Calibri" w:hAnsi="Calibri"/>
              </w:rPr>
              <w:t xml:space="preserve"> the best work environment for Supported Employees. When asked this question to our Supported Employees the key responses were;</w:t>
            </w:r>
          </w:p>
          <w:p w14:paraId="7E5F17F7" w14:textId="77777777" w:rsidR="00306F44" w:rsidRPr="00306F44" w:rsidRDefault="00306F44" w:rsidP="00306F44">
            <w:pPr>
              <w:pStyle w:val="ListParagraph"/>
              <w:numPr>
                <w:ilvl w:val="0"/>
                <w:numId w:val="11"/>
              </w:numPr>
              <w:spacing w:after="0" w:line="240" w:lineRule="auto"/>
              <w:rPr>
                <w:rFonts w:ascii="Calibri" w:hAnsi="Calibri"/>
              </w:rPr>
            </w:pPr>
            <w:r>
              <w:rPr>
                <w:rFonts w:ascii="Calibri" w:hAnsi="Calibri"/>
                <w:sz w:val="22"/>
                <w:szCs w:val="22"/>
              </w:rPr>
              <w:t>Isolation, no one will talk to me</w:t>
            </w:r>
          </w:p>
          <w:p w14:paraId="21275438" w14:textId="77777777" w:rsidR="00306F44" w:rsidRPr="00306F44" w:rsidRDefault="00306F44" w:rsidP="00306F44">
            <w:pPr>
              <w:pStyle w:val="ListParagraph"/>
              <w:numPr>
                <w:ilvl w:val="0"/>
                <w:numId w:val="11"/>
              </w:numPr>
              <w:spacing w:after="0" w:line="240" w:lineRule="auto"/>
              <w:rPr>
                <w:rFonts w:ascii="Calibri" w:hAnsi="Calibri"/>
              </w:rPr>
            </w:pPr>
            <w:r>
              <w:rPr>
                <w:rFonts w:ascii="Calibri" w:hAnsi="Calibri"/>
                <w:sz w:val="22"/>
                <w:szCs w:val="22"/>
              </w:rPr>
              <w:t xml:space="preserve">Lack of Social Inclusion </w:t>
            </w:r>
          </w:p>
          <w:p w14:paraId="7CD6BAFC" w14:textId="77777777" w:rsidR="00BA44AF" w:rsidRPr="00BA44AF" w:rsidRDefault="00BA44AF" w:rsidP="00306F44">
            <w:pPr>
              <w:pStyle w:val="ListParagraph"/>
              <w:numPr>
                <w:ilvl w:val="0"/>
                <w:numId w:val="11"/>
              </w:numPr>
              <w:spacing w:after="0" w:line="240" w:lineRule="auto"/>
              <w:rPr>
                <w:rFonts w:ascii="Calibri" w:hAnsi="Calibri"/>
              </w:rPr>
            </w:pPr>
            <w:r>
              <w:rPr>
                <w:rFonts w:ascii="Calibri" w:hAnsi="Calibri"/>
                <w:sz w:val="22"/>
                <w:szCs w:val="22"/>
              </w:rPr>
              <w:t>Not be valued by my work colleagues</w:t>
            </w:r>
          </w:p>
          <w:p w14:paraId="54D06329" w14:textId="77777777" w:rsidR="00306F44" w:rsidRPr="00306F44" w:rsidRDefault="00BA44AF" w:rsidP="00306F44">
            <w:pPr>
              <w:pStyle w:val="ListParagraph"/>
              <w:numPr>
                <w:ilvl w:val="0"/>
                <w:numId w:val="11"/>
              </w:numPr>
              <w:spacing w:after="0" w:line="240" w:lineRule="auto"/>
              <w:rPr>
                <w:rFonts w:ascii="Calibri" w:hAnsi="Calibri"/>
              </w:rPr>
            </w:pPr>
            <w:r>
              <w:rPr>
                <w:rFonts w:ascii="Calibri" w:hAnsi="Calibri"/>
                <w:sz w:val="22"/>
                <w:szCs w:val="22"/>
              </w:rPr>
              <w:t xml:space="preserve">Lack of knowledge of my support needs </w:t>
            </w:r>
          </w:p>
          <w:p w14:paraId="5979016C" w14:textId="77777777" w:rsidR="00306F44" w:rsidRDefault="00306F44" w:rsidP="005B2FCE">
            <w:pPr>
              <w:rPr>
                <w:rFonts w:ascii="Calibri" w:hAnsi="Calibri"/>
              </w:rPr>
            </w:pPr>
          </w:p>
        </w:tc>
      </w:tr>
      <w:tr w:rsidR="0019408C" w14:paraId="48BB6301" w14:textId="77777777" w:rsidTr="00B13BC4">
        <w:tc>
          <w:tcPr>
            <w:tcW w:w="3114" w:type="dxa"/>
          </w:tcPr>
          <w:p w14:paraId="1965D06E" w14:textId="77777777" w:rsidR="0019408C" w:rsidRPr="0019408C" w:rsidRDefault="0019408C" w:rsidP="005B2FCE">
            <w:pPr>
              <w:rPr>
                <w:rFonts w:ascii="Calibri" w:hAnsi="Calibri"/>
                <w:i/>
              </w:rPr>
            </w:pPr>
            <w:r>
              <w:rPr>
                <w:rFonts w:ascii="Calibri" w:hAnsi="Calibri"/>
              </w:rPr>
              <w:t>5.</w:t>
            </w:r>
            <w:r>
              <w:rPr>
                <w:rFonts w:ascii="Calibri" w:hAnsi="Calibri"/>
                <w:i/>
              </w:rPr>
              <w:t>How can more supported employees be provided the opportunity to choose open employment?</w:t>
            </w:r>
          </w:p>
        </w:tc>
        <w:tc>
          <w:tcPr>
            <w:tcW w:w="5902" w:type="dxa"/>
          </w:tcPr>
          <w:p w14:paraId="71F9C7E7" w14:textId="0C8C94B5" w:rsidR="0019408C" w:rsidRDefault="00BA44AF" w:rsidP="005B2FCE">
            <w:pPr>
              <w:rPr>
                <w:rFonts w:ascii="Calibri" w:hAnsi="Calibri"/>
              </w:rPr>
            </w:pPr>
            <w:r>
              <w:rPr>
                <w:rFonts w:ascii="Calibri" w:hAnsi="Calibri"/>
              </w:rPr>
              <w:t xml:space="preserve">The response to this question is why </w:t>
            </w:r>
            <w:r w:rsidR="004C7F54">
              <w:rPr>
                <w:rFonts w:ascii="Calibri" w:hAnsi="Calibri"/>
              </w:rPr>
              <w:t xml:space="preserve">should </w:t>
            </w:r>
            <w:r>
              <w:rPr>
                <w:rFonts w:ascii="Calibri" w:hAnsi="Calibri"/>
              </w:rPr>
              <w:t xml:space="preserve">this a priority because </w:t>
            </w:r>
            <w:proofErr w:type="gramStart"/>
            <w:r>
              <w:rPr>
                <w:rFonts w:ascii="Calibri" w:hAnsi="Calibri"/>
              </w:rPr>
              <w:t xml:space="preserve">if  </w:t>
            </w:r>
            <w:proofErr w:type="spellStart"/>
            <w:r w:rsidR="004C7F54">
              <w:rPr>
                <w:rFonts w:ascii="Calibri" w:hAnsi="Calibri"/>
              </w:rPr>
              <w:t>ms</w:t>
            </w:r>
            <w:r>
              <w:rPr>
                <w:rFonts w:ascii="Calibri" w:hAnsi="Calibri"/>
              </w:rPr>
              <w:t>upported</w:t>
            </w:r>
            <w:proofErr w:type="spellEnd"/>
            <w:proofErr w:type="gramEnd"/>
            <w:r>
              <w:rPr>
                <w:rFonts w:ascii="Calibri" w:hAnsi="Calibri"/>
              </w:rPr>
              <w:t xml:space="preserve"> </w:t>
            </w:r>
            <w:r w:rsidR="004C7F54">
              <w:rPr>
                <w:rFonts w:ascii="Calibri" w:hAnsi="Calibri"/>
              </w:rPr>
              <w:t>e</w:t>
            </w:r>
            <w:r>
              <w:rPr>
                <w:rFonts w:ascii="Calibri" w:hAnsi="Calibri"/>
              </w:rPr>
              <w:t>mployee</w:t>
            </w:r>
            <w:r w:rsidR="004C7F54">
              <w:rPr>
                <w:rFonts w:ascii="Calibri" w:hAnsi="Calibri"/>
              </w:rPr>
              <w:t>s</w:t>
            </w:r>
            <w:r>
              <w:rPr>
                <w:rFonts w:ascii="Calibri" w:hAnsi="Calibri"/>
              </w:rPr>
              <w:t xml:space="preserve"> </w:t>
            </w:r>
            <w:r w:rsidR="004C7F54">
              <w:rPr>
                <w:rFonts w:ascii="Calibri" w:hAnsi="Calibri"/>
              </w:rPr>
              <w:t>return</w:t>
            </w:r>
            <w:r>
              <w:rPr>
                <w:rFonts w:ascii="Calibri" w:hAnsi="Calibri"/>
              </w:rPr>
              <w:t xml:space="preserve"> to Supported Employment. </w:t>
            </w:r>
            <w:r w:rsidR="00995A96">
              <w:rPr>
                <w:rFonts w:ascii="Calibri" w:hAnsi="Calibri"/>
              </w:rPr>
              <w:t>Out of the 74 BuyAbility Campaign members there are 6,161 Supported Employees</w:t>
            </w:r>
            <w:r w:rsidR="00995A96">
              <w:rPr>
                <w:rStyle w:val="FootnoteReference"/>
                <w:rFonts w:ascii="Calibri" w:hAnsi="Calibri"/>
              </w:rPr>
              <w:footnoteReference w:id="4"/>
            </w:r>
            <w:r w:rsidR="00995A96">
              <w:rPr>
                <w:rFonts w:ascii="Calibri" w:hAnsi="Calibri"/>
              </w:rPr>
              <w:t xml:space="preserve"> with a DMI break up of;</w:t>
            </w:r>
          </w:p>
          <w:p w14:paraId="1676CEC0" w14:textId="77777777" w:rsidR="00995A96" w:rsidRDefault="00995A96" w:rsidP="005B2FCE">
            <w:pPr>
              <w:rPr>
                <w:rFonts w:ascii="Calibri" w:hAnsi="Calibri"/>
              </w:rPr>
            </w:pPr>
            <w:r>
              <w:rPr>
                <w:rFonts w:ascii="Calibri" w:hAnsi="Calibri"/>
              </w:rPr>
              <w:t>DMI 1 = 376</w:t>
            </w:r>
            <w:r w:rsidR="00792866">
              <w:rPr>
                <w:rFonts w:ascii="Calibri" w:hAnsi="Calibri"/>
              </w:rPr>
              <w:t xml:space="preserve"> (6%)</w:t>
            </w:r>
          </w:p>
          <w:p w14:paraId="66E64987" w14:textId="77777777" w:rsidR="00995A96" w:rsidRDefault="00995A96" w:rsidP="005B2FCE">
            <w:pPr>
              <w:rPr>
                <w:rFonts w:ascii="Calibri" w:hAnsi="Calibri"/>
              </w:rPr>
            </w:pPr>
            <w:r>
              <w:rPr>
                <w:rFonts w:ascii="Calibri" w:hAnsi="Calibri"/>
              </w:rPr>
              <w:t>DMI 2 = 1245</w:t>
            </w:r>
            <w:r w:rsidR="00792866">
              <w:rPr>
                <w:rFonts w:ascii="Calibri" w:hAnsi="Calibri"/>
              </w:rPr>
              <w:t xml:space="preserve"> (20%)</w:t>
            </w:r>
          </w:p>
          <w:p w14:paraId="2B9FBF93" w14:textId="77777777" w:rsidR="00995A96" w:rsidRDefault="00995A96" w:rsidP="005B2FCE">
            <w:pPr>
              <w:rPr>
                <w:rFonts w:ascii="Calibri" w:hAnsi="Calibri"/>
              </w:rPr>
            </w:pPr>
            <w:r>
              <w:rPr>
                <w:rFonts w:ascii="Calibri" w:hAnsi="Calibri"/>
              </w:rPr>
              <w:t>DMI 3 = 1666</w:t>
            </w:r>
            <w:r w:rsidR="00792866">
              <w:rPr>
                <w:rFonts w:ascii="Calibri" w:hAnsi="Calibri"/>
              </w:rPr>
              <w:t xml:space="preserve"> (27%)</w:t>
            </w:r>
          </w:p>
          <w:p w14:paraId="2A8523B9" w14:textId="77777777" w:rsidR="00995A96" w:rsidRDefault="00995A96" w:rsidP="005B2FCE">
            <w:pPr>
              <w:rPr>
                <w:rFonts w:ascii="Calibri" w:hAnsi="Calibri"/>
              </w:rPr>
            </w:pPr>
            <w:r>
              <w:rPr>
                <w:rFonts w:ascii="Calibri" w:hAnsi="Calibri"/>
              </w:rPr>
              <w:t>DMI 4 = 2874</w:t>
            </w:r>
            <w:r w:rsidR="00792866">
              <w:rPr>
                <w:rFonts w:ascii="Calibri" w:hAnsi="Calibri"/>
              </w:rPr>
              <w:t xml:space="preserve"> (47%)</w:t>
            </w:r>
          </w:p>
          <w:p w14:paraId="50B84852" w14:textId="77777777" w:rsidR="00995A96" w:rsidRDefault="00995A96" w:rsidP="005B2FCE">
            <w:pPr>
              <w:rPr>
                <w:rFonts w:ascii="Calibri" w:hAnsi="Calibri"/>
              </w:rPr>
            </w:pPr>
            <w:r>
              <w:rPr>
                <w:rFonts w:ascii="Calibri" w:hAnsi="Calibri"/>
              </w:rPr>
              <w:t xml:space="preserve">As DMI 4 is the higher support category it is evident that a greater focus is required on maintaining and growing </w:t>
            </w:r>
            <w:r>
              <w:rPr>
                <w:rFonts w:ascii="Calibri" w:hAnsi="Calibri"/>
              </w:rPr>
              <w:lastRenderedPageBreak/>
              <w:t xml:space="preserve">Australian Disability Enterprises who are in a position to continue the support we give to our staff. </w:t>
            </w:r>
          </w:p>
        </w:tc>
      </w:tr>
      <w:tr w:rsidR="0019408C" w14:paraId="20853A84" w14:textId="77777777" w:rsidTr="00B13BC4">
        <w:tc>
          <w:tcPr>
            <w:tcW w:w="3114" w:type="dxa"/>
          </w:tcPr>
          <w:p w14:paraId="57D208CF" w14:textId="77777777" w:rsidR="0019408C" w:rsidRPr="0019408C" w:rsidRDefault="0019408C" w:rsidP="005B2FCE">
            <w:pPr>
              <w:rPr>
                <w:rFonts w:ascii="Calibri" w:hAnsi="Calibri"/>
                <w:i/>
              </w:rPr>
            </w:pPr>
            <w:r>
              <w:rPr>
                <w:rFonts w:ascii="Calibri" w:hAnsi="Calibri"/>
              </w:rPr>
              <w:lastRenderedPageBreak/>
              <w:t xml:space="preserve">6. </w:t>
            </w:r>
            <w:r w:rsidR="00006FC0">
              <w:rPr>
                <w:rFonts w:ascii="Calibri" w:hAnsi="Calibri"/>
                <w:i/>
              </w:rPr>
              <w:t>Why is participant access to concurrent DES and ADE support so low?</w:t>
            </w:r>
          </w:p>
        </w:tc>
        <w:tc>
          <w:tcPr>
            <w:tcW w:w="5902" w:type="dxa"/>
          </w:tcPr>
          <w:p w14:paraId="2FA8D92C" w14:textId="715B45EA" w:rsidR="004A0FB8" w:rsidRDefault="00995A96" w:rsidP="005B2FCE">
            <w:pPr>
              <w:rPr>
                <w:rFonts w:ascii="Calibri" w:hAnsi="Calibri"/>
              </w:rPr>
            </w:pPr>
            <w:r>
              <w:rPr>
                <w:rFonts w:ascii="Calibri" w:hAnsi="Calibri"/>
              </w:rPr>
              <w:t>The ability of DES and ADEs being able to work together for an</w:t>
            </w:r>
            <w:r w:rsidR="004A0FB8">
              <w:rPr>
                <w:rFonts w:ascii="Calibri" w:hAnsi="Calibri"/>
              </w:rPr>
              <w:t xml:space="preserve"> individual </w:t>
            </w:r>
            <w:r>
              <w:rPr>
                <w:rFonts w:ascii="Calibri" w:hAnsi="Calibri"/>
              </w:rPr>
              <w:t>is extremely limited</w:t>
            </w:r>
            <w:r w:rsidR="00792866">
              <w:rPr>
                <w:rFonts w:ascii="Calibri" w:hAnsi="Calibri"/>
              </w:rPr>
              <w:t xml:space="preserve"> due to the different and competing business rules which are in place for each sector and to some extent a difference in values </w:t>
            </w:r>
          </w:p>
          <w:p w14:paraId="7BA03D01" w14:textId="77777777" w:rsidR="00792866" w:rsidRDefault="00792866" w:rsidP="005B2FCE">
            <w:pPr>
              <w:rPr>
                <w:rFonts w:ascii="Calibri" w:hAnsi="Calibri"/>
              </w:rPr>
            </w:pPr>
          </w:p>
          <w:p w14:paraId="4D514F44" w14:textId="77777777" w:rsidR="0019408C" w:rsidRDefault="004A0FB8" w:rsidP="005B2FCE">
            <w:pPr>
              <w:rPr>
                <w:rFonts w:ascii="Calibri" w:hAnsi="Calibri"/>
              </w:rPr>
            </w:pPr>
            <w:r>
              <w:rPr>
                <w:rFonts w:ascii="Calibri" w:hAnsi="Calibri"/>
              </w:rPr>
              <w:t>While DES</w:t>
            </w:r>
            <w:r w:rsidR="00792866">
              <w:rPr>
                <w:rFonts w:ascii="Calibri" w:hAnsi="Calibri"/>
              </w:rPr>
              <w:t>’</w:t>
            </w:r>
            <w:r>
              <w:rPr>
                <w:rFonts w:ascii="Calibri" w:hAnsi="Calibri"/>
              </w:rPr>
              <w:t xml:space="preserve"> key objective </w:t>
            </w:r>
            <w:r w:rsidR="005D27A7">
              <w:rPr>
                <w:rFonts w:ascii="Calibri" w:hAnsi="Calibri"/>
              </w:rPr>
              <w:t xml:space="preserve">is </w:t>
            </w:r>
            <w:r>
              <w:rPr>
                <w:rFonts w:ascii="Calibri" w:hAnsi="Calibri"/>
              </w:rPr>
              <w:t>to consider Open Employment options and that ADE’s are an enclave hence Supported Employment is not classed as</w:t>
            </w:r>
            <w:r w:rsidR="00E61859">
              <w:rPr>
                <w:rFonts w:ascii="Calibri" w:hAnsi="Calibri"/>
              </w:rPr>
              <w:t xml:space="preserve"> an employment outcome for DES.</w:t>
            </w:r>
          </w:p>
          <w:p w14:paraId="435ABFF1" w14:textId="77777777" w:rsidR="004C7F54" w:rsidRDefault="004C7F54" w:rsidP="005B2FCE">
            <w:pPr>
              <w:rPr>
                <w:rFonts w:ascii="Calibri" w:hAnsi="Calibri"/>
              </w:rPr>
            </w:pPr>
          </w:p>
          <w:p w14:paraId="0B824B08" w14:textId="77777777" w:rsidR="004A0FB8" w:rsidRDefault="004A0FB8" w:rsidP="005B2FCE">
            <w:pPr>
              <w:rPr>
                <w:rFonts w:ascii="Calibri" w:hAnsi="Calibri"/>
              </w:rPr>
            </w:pPr>
            <w:r>
              <w:rPr>
                <w:rFonts w:ascii="Calibri" w:hAnsi="Calibri"/>
              </w:rPr>
              <w:t>If a DES client gains a paid position with an ADE on their own accord then the DES is not able to record this as an outcome.</w:t>
            </w:r>
          </w:p>
        </w:tc>
      </w:tr>
      <w:tr w:rsidR="00006FC0" w14:paraId="3442992B" w14:textId="77777777" w:rsidTr="00B13BC4">
        <w:tc>
          <w:tcPr>
            <w:tcW w:w="3114" w:type="dxa"/>
          </w:tcPr>
          <w:p w14:paraId="32228DCE" w14:textId="77777777" w:rsidR="00006FC0" w:rsidRPr="00006FC0" w:rsidRDefault="00006FC0" w:rsidP="005B2FCE">
            <w:pPr>
              <w:rPr>
                <w:rFonts w:ascii="Calibri" w:hAnsi="Calibri"/>
                <w:i/>
              </w:rPr>
            </w:pPr>
            <w:r>
              <w:rPr>
                <w:rFonts w:ascii="Calibri" w:hAnsi="Calibri"/>
              </w:rPr>
              <w:t xml:space="preserve">7. </w:t>
            </w:r>
            <w:r>
              <w:rPr>
                <w:rFonts w:ascii="Calibri" w:hAnsi="Calibri"/>
                <w:i/>
              </w:rPr>
              <w:t>What is the role a supported employer can play in building capacity for transition to open employment?</w:t>
            </w:r>
          </w:p>
        </w:tc>
        <w:tc>
          <w:tcPr>
            <w:tcW w:w="5902" w:type="dxa"/>
          </w:tcPr>
          <w:p w14:paraId="72A6E5FC" w14:textId="77777777" w:rsidR="00792866" w:rsidRDefault="00792866" w:rsidP="005B2FCE">
            <w:pPr>
              <w:rPr>
                <w:rFonts w:ascii="Calibri" w:hAnsi="Calibri"/>
              </w:rPr>
            </w:pPr>
            <w:r>
              <w:rPr>
                <w:rFonts w:ascii="Calibri" w:hAnsi="Calibri"/>
              </w:rPr>
              <w:t xml:space="preserve">TADES questions the policy assumption that underpins this question. The question assumes that the key role for ADES is to act as a train station (a transition point that provides supported employees with work skills so they can move onto something ‘better’.) This is a false assumption and devalues the work that supported employees do every day in ADEs throughout Tasmania.  It devalues the worth of supported employment as a valid employment destination. </w:t>
            </w:r>
          </w:p>
          <w:p w14:paraId="07D1DFB3" w14:textId="77777777" w:rsidR="00792866" w:rsidRDefault="00792866" w:rsidP="005B2FCE">
            <w:pPr>
              <w:rPr>
                <w:rFonts w:ascii="Calibri" w:hAnsi="Calibri"/>
              </w:rPr>
            </w:pPr>
          </w:p>
          <w:p w14:paraId="197F7FEA" w14:textId="77777777" w:rsidR="00006FC0" w:rsidRDefault="004A0FB8" w:rsidP="005B2FCE">
            <w:pPr>
              <w:rPr>
                <w:rFonts w:ascii="Calibri" w:hAnsi="Calibri"/>
              </w:rPr>
            </w:pPr>
            <w:r>
              <w:rPr>
                <w:rFonts w:ascii="Calibri" w:hAnsi="Calibri"/>
              </w:rPr>
              <w:t>There are two aspects to responding to this question;</w:t>
            </w:r>
          </w:p>
          <w:p w14:paraId="4B5AFC17" w14:textId="77777777" w:rsidR="004A0FB8" w:rsidRDefault="004A0FB8" w:rsidP="005B2FCE">
            <w:pPr>
              <w:rPr>
                <w:rFonts w:ascii="Calibri" w:hAnsi="Calibri"/>
              </w:rPr>
            </w:pPr>
            <w:r>
              <w:rPr>
                <w:rFonts w:ascii="Calibri" w:hAnsi="Calibri"/>
              </w:rPr>
              <w:t>1. Refer to the response to question 5 as it is the issues.</w:t>
            </w:r>
          </w:p>
          <w:p w14:paraId="7C85CE27" w14:textId="77777777" w:rsidR="004A0FB8" w:rsidRDefault="004A0FB8" w:rsidP="005B2FCE">
            <w:pPr>
              <w:rPr>
                <w:rFonts w:ascii="Calibri" w:hAnsi="Calibri"/>
              </w:rPr>
            </w:pPr>
            <w:r>
              <w:rPr>
                <w:rFonts w:ascii="Calibri" w:hAnsi="Calibri"/>
              </w:rPr>
              <w:t xml:space="preserve">2. </w:t>
            </w:r>
            <w:r w:rsidR="007B0ABA">
              <w:rPr>
                <w:rFonts w:ascii="Calibri" w:hAnsi="Calibri"/>
              </w:rPr>
              <w:t xml:space="preserve">One ADE has adopted the Core Skills for Employment Framework </w:t>
            </w:r>
            <w:r w:rsidR="00D618FE">
              <w:rPr>
                <w:rFonts w:ascii="Calibri" w:hAnsi="Calibri"/>
              </w:rPr>
              <w:t>which assists staff to transition to Open Employment.</w:t>
            </w:r>
          </w:p>
        </w:tc>
      </w:tr>
      <w:tr w:rsidR="00006FC0" w14:paraId="57D4B39A" w14:textId="77777777" w:rsidTr="00B13BC4">
        <w:tc>
          <w:tcPr>
            <w:tcW w:w="3114" w:type="dxa"/>
          </w:tcPr>
          <w:p w14:paraId="79FAC8C8" w14:textId="77777777" w:rsidR="00006FC0" w:rsidRPr="00006FC0" w:rsidRDefault="00006FC0" w:rsidP="005B2FCE">
            <w:pPr>
              <w:rPr>
                <w:rFonts w:ascii="Calibri" w:hAnsi="Calibri"/>
                <w:i/>
              </w:rPr>
            </w:pPr>
            <w:r>
              <w:rPr>
                <w:rFonts w:ascii="Calibri" w:hAnsi="Calibri"/>
              </w:rPr>
              <w:t xml:space="preserve">8. </w:t>
            </w:r>
            <w:r w:rsidR="00683C55">
              <w:rPr>
                <w:rFonts w:ascii="Calibri" w:hAnsi="Calibri"/>
                <w:i/>
              </w:rPr>
              <w:t>What will attract NDIS participants to employment opportunities in the future?</w:t>
            </w:r>
          </w:p>
        </w:tc>
        <w:tc>
          <w:tcPr>
            <w:tcW w:w="5902" w:type="dxa"/>
          </w:tcPr>
          <w:p w14:paraId="24F58968" w14:textId="77777777" w:rsidR="00006FC0" w:rsidRDefault="00D618FE" w:rsidP="005B2FCE">
            <w:pPr>
              <w:rPr>
                <w:rFonts w:ascii="Calibri" w:hAnsi="Calibri"/>
              </w:rPr>
            </w:pPr>
            <w:r>
              <w:rPr>
                <w:rFonts w:ascii="Calibri" w:hAnsi="Calibri"/>
              </w:rPr>
              <w:t>The promotion of the role Supported Employment Enterprises play in ensuring NDIS participants will have a;</w:t>
            </w:r>
          </w:p>
          <w:p w14:paraId="7AA53238" w14:textId="77777777" w:rsidR="00D618FE" w:rsidRPr="00D618FE" w:rsidRDefault="00D618FE" w:rsidP="00D618FE">
            <w:pPr>
              <w:pStyle w:val="ListParagraph"/>
              <w:numPr>
                <w:ilvl w:val="0"/>
                <w:numId w:val="12"/>
              </w:numPr>
              <w:spacing w:after="0" w:line="240" w:lineRule="auto"/>
              <w:rPr>
                <w:rFonts w:ascii="Calibri" w:hAnsi="Calibri"/>
              </w:rPr>
            </w:pPr>
            <w:r>
              <w:rPr>
                <w:rFonts w:ascii="Calibri" w:hAnsi="Calibri"/>
                <w:sz w:val="22"/>
                <w:szCs w:val="22"/>
              </w:rPr>
              <w:t xml:space="preserve">Non-judgmental </w:t>
            </w:r>
            <w:r w:rsidR="00FA047D">
              <w:rPr>
                <w:rFonts w:ascii="Calibri" w:hAnsi="Calibri"/>
                <w:sz w:val="22"/>
                <w:szCs w:val="22"/>
              </w:rPr>
              <w:t xml:space="preserve">yet supportive </w:t>
            </w:r>
            <w:r>
              <w:rPr>
                <w:rFonts w:ascii="Calibri" w:hAnsi="Calibri"/>
                <w:sz w:val="22"/>
                <w:szCs w:val="22"/>
              </w:rPr>
              <w:t>work environment</w:t>
            </w:r>
          </w:p>
          <w:p w14:paraId="2E848D93" w14:textId="77777777" w:rsidR="00D618FE" w:rsidRPr="00D618FE" w:rsidRDefault="00D618FE" w:rsidP="00D618FE">
            <w:pPr>
              <w:pStyle w:val="ListParagraph"/>
              <w:numPr>
                <w:ilvl w:val="0"/>
                <w:numId w:val="12"/>
              </w:numPr>
              <w:spacing w:after="0" w:line="240" w:lineRule="auto"/>
              <w:rPr>
                <w:rFonts w:ascii="Calibri" w:hAnsi="Calibri"/>
              </w:rPr>
            </w:pPr>
            <w:r>
              <w:rPr>
                <w:rFonts w:ascii="Calibri" w:hAnsi="Calibri"/>
                <w:sz w:val="22"/>
                <w:szCs w:val="22"/>
              </w:rPr>
              <w:t>National Standards for Disability Services frame to ensure that they are the centre of their employment needs</w:t>
            </w:r>
            <w:r w:rsidR="004C7F54">
              <w:rPr>
                <w:rFonts w:ascii="Calibri" w:hAnsi="Calibri"/>
                <w:sz w:val="22"/>
                <w:szCs w:val="22"/>
              </w:rPr>
              <w:t xml:space="preserve"> (that are subject to independent annual audit)</w:t>
            </w:r>
          </w:p>
          <w:p w14:paraId="2E38045D" w14:textId="55960EBA" w:rsidR="00D618FE" w:rsidRPr="00D618FE" w:rsidRDefault="00D618FE" w:rsidP="00D618FE">
            <w:pPr>
              <w:pStyle w:val="ListParagraph"/>
              <w:numPr>
                <w:ilvl w:val="0"/>
                <w:numId w:val="12"/>
              </w:numPr>
              <w:spacing w:after="0" w:line="240" w:lineRule="auto"/>
              <w:rPr>
                <w:rFonts w:ascii="Calibri" w:hAnsi="Calibri"/>
              </w:rPr>
            </w:pPr>
            <w:r>
              <w:rPr>
                <w:rFonts w:ascii="Calibri" w:hAnsi="Calibri"/>
                <w:sz w:val="22"/>
                <w:szCs w:val="22"/>
              </w:rPr>
              <w:t>Purpose buil</w:t>
            </w:r>
            <w:r w:rsidR="004C7F54">
              <w:rPr>
                <w:rFonts w:ascii="Calibri" w:hAnsi="Calibri"/>
                <w:sz w:val="22"/>
                <w:szCs w:val="22"/>
              </w:rPr>
              <w:t>t</w:t>
            </w:r>
            <w:r>
              <w:rPr>
                <w:rFonts w:ascii="Calibri" w:hAnsi="Calibri"/>
                <w:sz w:val="22"/>
                <w:szCs w:val="22"/>
              </w:rPr>
              <w:t xml:space="preserve"> facilities to cater for their disability </w:t>
            </w:r>
          </w:p>
          <w:p w14:paraId="360C33F6" w14:textId="77777777" w:rsidR="00D618FE" w:rsidRPr="00D618FE" w:rsidRDefault="00FA047D" w:rsidP="00D618FE">
            <w:pPr>
              <w:pStyle w:val="ListParagraph"/>
              <w:numPr>
                <w:ilvl w:val="0"/>
                <w:numId w:val="12"/>
              </w:numPr>
              <w:spacing w:after="0" w:line="240" w:lineRule="auto"/>
              <w:rPr>
                <w:rFonts w:ascii="Calibri" w:hAnsi="Calibri"/>
              </w:rPr>
            </w:pPr>
            <w:r>
              <w:rPr>
                <w:rFonts w:ascii="Calibri" w:hAnsi="Calibri"/>
                <w:sz w:val="22"/>
                <w:szCs w:val="22"/>
              </w:rPr>
              <w:t>information for people with disability and their carers</w:t>
            </w:r>
            <w:r w:rsidR="007F04E4">
              <w:rPr>
                <w:rFonts w:ascii="Calibri" w:hAnsi="Calibri"/>
                <w:sz w:val="22"/>
                <w:szCs w:val="22"/>
              </w:rPr>
              <w:t xml:space="preserve"> about the benefits of work</w:t>
            </w:r>
            <w:r>
              <w:rPr>
                <w:rFonts w:ascii="Calibri" w:hAnsi="Calibri"/>
                <w:sz w:val="22"/>
                <w:szCs w:val="22"/>
              </w:rPr>
              <w:t xml:space="preserve">, </w:t>
            </w:r>
            <w:r w:rsidR="007F04E4">
              <w:rPr>
                <w:rFonts w:ascii="Calibri" w:hAnsi="Calibri"/>
                <w:sz w:val="22"/>
                <w:szCs w:val="22"/>
              </w:rPr>
              <w:t>for example</w:t>
            </w:r>
            <w:r>
              <w:rPr>
                <w:rFonts w:ascii="Calibri" w:hAnsi="Calibri"/>
                <w:sz w:val="22"/>
                <w:szCs w:val="22"/>
              </w:rPr>
              <w:t>. social engagements, economic independence, doing work of value and being respect for their work.</w:t>
            </w:r>
          </w:p>
          <w:p w14:paraId="0D32257C" w14:textId="77777777" w:rsidR="00D618FE" w:rsidRPr="00D618FE" w:rsidRDefault="00D618FE" w:rsidP="00D618FE">
            <w:pPr>
              <w:rPr>
                <w:rFonts w:ascii="Calibri" w:hAnsi="Calibri"/>
              </w:rPr>
            </w:pPr>
          </w:p>
        </w:tc>
      </w:tr>
      <w:tr w:rsidR="00683C55" w14:paraId="42CD6279" w14:textId="77777777" w:rsidTr="00B13BC4">
        <w:tc>
          <w:tcPr>
            <w:tcW w:w="3114" w:type="dxa"/>
          </w:tcPr>
          <w:p w14:paraId="15FB0592" w14:textId="77777777" w:rsidR="00683C55" w:rsidRPr="00683C55" w:rsidRDefault="00683C55" w:rsidP="005B2FCE">
            <w:pPr>
              <w:rPr>
                <w:rFonts w:ascii="Calibri" w:hAnsi="Calibri"/>
                <w:i/>
              </w:rPr>
            </w:pPr>
            <w:r>
              <w:rPr>
                <w:rFonts w:ascii="Calibri" w:hAnsi="Calibri"/>
              </w:rPr>
              <w:t xml:space="preserve">9. </w:t>
            </w:r>
            <w:r>
              <w:rPr>
                <w:rFonts w:ascii="Calibri" w:hAnsi="Calibri"/>
                <w:i/>
              </w:rPr>
              <w:t>How are ADE’s marketing their services to an expanded market of potential NDIS participants?</w:t>
            </w:r>
          </w:p>
        </w:tc>
        <w:tc>
          <w:tcPr>
            <w:tcW w:w="5902" w:type="dxa"/>
          </w:tcPr>
          <w:p w14:paraId="5A1177B9" w14:textId="77777777" w:rsidR="00683C55" w:rsidRDefault="00EA6AD9" w:rsidP="005B2FCE">
            <w:pPr>
              <w:rPr>
                <w:rFonts w:ascii="Calibri" w:hAnsi="Calibri"/>
                <w:i/>
              </w:rPr>
            </w:pPr>
            <w:r>
              <w:rPr>
                <w:rFonts w:ascii="Calibri" w:hAnsi="Calibri"/>
              </w:rPr>
              <w:t xml:space="preserve">There needs to be a collaborative approach to this issue. The discussion paper highlights on page 19 </w:t>
            </w:r>
            <w:r>
              <w:rPr>
                <w:rFonts w:ascii="Calibri" w:hAnsi="Calibri"/>
                <w:i/>
              </w:rPr>
              <w:t>An `employment first` approach for all NDIS participants of working age.</w:t>
            </w:r>
          </w:p>
          <w:p w14:paraId="6B2ACB32" w14:textId="77777777" w:rsidR="00EA6AD9" w:rsidRDefault="00EA6AD9" w:rsidP="005B2FCE">
            <w:pPr>
              <w:rPr>
                <w:rFonts w:ascii="Calibri" w:hAnsi="Calibri"/>
              </w:rPr>
            </w:pPr>
          </w:p>
          <w:p w14:paraId="63C238F2" w14:textId="77777777" w:rsidR="009D44AF" w:rsidRDefault="009D44AF" w:rsidP="005B2FCE">
            <w:pPr>
              <w:rPr>
                <w:rFonts w:ascii="Calibri" w:hAnsi="Calibri"/>
              </w:rPr>
            </w:pPr>
            <w:r>
              <w:rPr>
                <w:rFonts w:ascii="Calibri" w:hAnsi="Calibri"/>
              </w:rPr>
              <w:t>As TADES we wanted to create a collaboration between the NDIA and the ADE’s in Tasmania</w:t>
            </w:r>
            <w:r w:rsidR="00FA047D">
              <w:rPr>
                <w:rFonts w:ascii="Calibri" w:hAnsi="Calibri"/>
              </w:rPr>
              <w:t xml:space="preserve">. </w:t>
            </w:r>
            <w:r w:rsidR="007F04E4">
              <w:rPr>
                <w:rFonts w:ascii="Calibri" w:hAnsi="Calibri"/>
              </w:rPr>
              <w:t>However,</w:t>
            </w:r>
            <w:r>
              <w:rPr>
                <w:rFonts w:ascii="Calibri" w:hAnsi="Calibri"/>
              </w:rPr>
              <w:t xml:space="preserve"> this was met with a sense of </w:t>
            </w:r>
            <w:r w:rsidRPr="009D44AF">
              <w:rPr>
                <w:rFonts w:ascii="Calibri" w:hAnsi="Calibri"/>
              </w:rPr>
              <w:t>resistance</w:t>
            </w:r>
            <w:r>
              <w:rPr>
                <w:rFonts w:ascii="Calibri" w:hAnsi="Calibri"/>
              </w:rPr>
              <w:t xml:space="preserve"> within the State level NDIA. The ownership was put back onto the ADE’s to create market opportunities.</w:t>
            </w:r>
          </w:p>
          <w:p w14:paraId="2D0F7874" w14:textId="77777777" w:rsidR="009D44AF" w:rsidRDefault="009D44AF" w:rsidP="005B2FCE">
            <w:pPr>
              <w:rPr>
                <w:rFonts w:ascii="Calibri" w:hAnsi="Calibri"/>
              </w:rPr>
            </w:pPr>
          </w:p>
          <w:p w14:paraId="458CBA21" w14:textId="77777777" w:rsidR="00E61859" w:rsidRPr="00EA6AD9" w:rsidRDefault="009D44AF" w:rsidP="005B2FCE">
            <w:pPr>
              <w:rPr>
                <w:rFonts w:ascii="Calibri" w:hAnsi="Calibri"/>
              </w:rPr>
            </w:pPr>
            <w:r>
              <w:rPr>
                <w:rFonts w:ascii="Calibri" w:hAnsi="Calibri"/>
              </w:rPr>
              <w:lastRenderedPageBreak/>
              <w:t>Planners</w:t>
            </w:r>
            <w:r w:rsidR="004C7F54">
              <w:rPr>
                <w:rFonts w:ascii="Calibri" w:hAnsi="Calibri"/>
              </w:rPr>
              <w:t>, Co-ordinators of Supports</w:t>
            </w:r>
            <w:r>
              <w:rPr>
                <w:rFonts w:ascii="Calibri" w:hAnsi="Calibri"/>
              </w:rPr>
              <w:t xml:space="preserve"> and Local Area Coor</w:t>
            </w:r>
            <w:r w:rsidR="00E61859">
              <w:rPr>
                <w:rFonts w:ascii="Calibri" w:hAnsi="Calibri"/>
              </w:rPr>
              <w:t>dinators need information on how ADE’s will contribute to a participant’s employment pathway</w:t>
            </w:r>
          </w:p>
        </w:tc>
      </w:tr>
      <w:tr w:rsidR="00683C55" w14:paraId="293FB679" w14:textId="77777777" w:rsidTr="00B13BC4">
        <w:tc>
          <w:tcPr>
            <w:tcW w:w="3114" w:type="dxa"/>
          </w:tcPr>
          <w:p w14:paraId="5C4797AB" w14:textId="77777777" w:rsidR="00683C55" w:rsidRPr="00683C55" w:rsidRDefault="00683C55" w:rsidP="005B2FCE">
            <w:pPr>
              <w:rPr>
                <w:rFonts w:ascii="Calibri" w:hAnsi="Calibri"/>
                <w:i/>
              </w:rPr>
            </w:pPr>
            <w:r>
              <w:rPr>
                <w:rFonts w:ascii="Calibri" w:hAnsi="Calibri"/>
              </w:rPr>
              <w:lastRenderedPageBreak/>
              <w:t xml:space="preserve">10. </w:t>
            </w:r>
            <w:r w:rsidR="008D6742">
              <w:rPr>
                <w:rFonts w:ascii="Calibri" w:hAnsi="Calibri"/>
                <w:i/>
              </w:rPr>
              <w:t>What is the range of NDIS supports that ADE’s currently offer?</w:t>
            </w:r>
          </w:p>
        </w:tc>
        <w:tc>
          <w:tcPr>
            <w:tcW w:w="5902" w:type="dxa"/>
          </w:tcPr>
          <w:p w14:paraId="4192618C" w14:textId="77777777" w:rsidR="00683C55" w:rsidRDefault="00E61859" w:rsidP="005B2FCE">
            <w:pPr>
              <w:rPr>
                <w:rFonts w:ascii="Calibri" w:hAnsi="Calibri"/>
              </w:rPr>
            </w:pPr>
            <w:r>
              <w:rPr>
                <w:rFonts w:ascii="Calibri" w:hAnsi="Calibri"/>
              </w:rPr>
              <w:t>This depends on the model and structure of the ADE’s. The NDIA price guide needs to be more comprehensive in the supports thus giving the ADE scope to offer new supports that it may not already be claiming but undertaking at a cost to the business.</w:t>
            </w:r>
          </w:p>
          <w:p w14:paraId="27B51D50" w14:textId="77777777" w:rsidR="00992EF2" w:rsidRDefault="00992EF2" w:rsidP="00992EF2">
            <w:pPr>
              <w:rPr>
                <w:rFonts w:ascii="Calibri" w:hAnsi="Calibri"/>
                <w:i/>
              </w:rPr>
            </w:pPr>
            <w:r>
              <w:rPr>
                <w:rFonts w:ascii="Calibri" w:hAnsi="Calibri"/>
              </w:rPr>
              <w:t xml:space="preserve">Within the discussion paper it is noted that </w:t>
            </w:r>
            <w:r w:rsidRPr="00992EF2">
              <w:rPr>
                <w:rFonts w:ascii="Calibri" w:hAnsi="Calibri"/>
                <w:i/>
              </w:rPr>
              <w:t>The National Disability Insurance Agency (NDIA) is currently mirroring the ADE case-based funding model and is considering whether pricing controls for employment support are required</w:t>
            </w:r>
            <w:r>
              <w:rPr>
                <w:rFonts w:ascii="Calibri" w:hAnsi="Calibri"/>
                <w:i/>
              </w:rPr>
              <w:t>.</w:t>
            </w:r>
          </w:p>
          <w:p w14:paraId="6A325DA7" w14:textId="77777777" w:rsidR="00992EF2" w:rsidRPr="00992EF2" w:rsidRDefault="00992EF2" w:rsidP="00992EF2">
            <w:pPr>
              <w:rPr>
                <w:rFonts w:ascii="Calibri" w:hAnsi="Calibri"/>
              </w:rPr>
            </w:pPr>
            <w:r>
              <w:rPr>
                <w:rFonts w:ascii="Calibri" w:hAnsi="Calibri"/>
              </w:rPr>
              <w:t xml:space="preserve">The question in relation to this statement is, there needs to be pricing controls to ensure that the participant is receiving the correct support in plan however the ADE’s will need to have an input into unit pricing to ensure that costs of support are being met. </w:t>
            </w:r>
          </w:p>
        </w:tc>
      </w:tr>
      <w:tr w:rsidR="008D6742" w14:paraId="2C0BBBC4" w14:textId="77777777" w:rsidTr="00B13BC4">
        <w:tc>
          <w:tcPr>
            <w:tcW w:w="3114" w:type="dxa"/>
          </w:tcPr>
          <w:p w14:paraId="0C47FB87" w14:textId="77777777" w:rsidR="008D6742" w:rsidRPr="003F32C4" w:rsidRDefault="008D6742" w:rsidP="005B2FCE">
            <w:pPr>
              <w:rPr>
                <w:rFonts w:ascii="Calibri" w:hAnsi="Calibri"/>
                <w:i/>
              </w:rPr>
            </w:pPr>
            <w:r w:rsidRPr="003F32C4">
              <w:rPr>
                <w:rFonts w:ascii="Calibri" w:hAnsi="Calibri"/>
              </w:rPr>
              <w:t xml:space="preserve">11. </w:t>
            </w:r>
            <w:r w:rsidR="001612E9" w:rsidRPr="003F32C4">
              <w:rPr>
                <w:rFonts w:ascii="Calibri" w:hAnsi="Calibri"/>
                <w:i/>
              </w:rPr>
              <w:t>What costs would be involved for ADE’s that choose</w:t>
            </w:r>
            <w:r w:rsidR="003F32C4" w:rsidRPr="003F32C4">
              <w:rPr>
                <w:rFonts w:ascii="Calibri" w:hAnsi="Calibri"/>
                <w:i/>
              </w:rPr>
              <w:t xml:space="preserve"> to:</w:t>
            </w:r>
          </w:p>
          <w:p w14:paraId="40892D07" w14:textId="77777777" w:rsidR="003F32C4" w:rsidRPr="003F32C4" w:rsidRDefault="003F32C4" w:rsidP="003F32C4">
            <w:pPr>
              <w:pStyle w:val="ListParagraph"/>
              <w:numPr>
                <w:ilvl w:val="0"/>
                <w:numId w:val="5"/>
              </w:numPr>
              <w:spacing w:after="0" w:line="240" w:lineRule="auto"/>
              <w:rPr>
                <w:rFonts w:ascii="Calibri" w:hAnsi="Calibri"/>
                <w:i/>
                <w:sz w:val="22"/>
                <w:szCs w:val="22"/>
              </w:rPr>
            </w:pPr>
            <w:r w:rsidRPr="003F32C4">
              <w:rPr>
                <w:rFonts w:ascii="Calibri" w:hAnsi="Calibri"/>
                <w:i/>
                <w:sz w:val="22"/>
                <w:szCs w:val="22"/>
              </w:rPr>
              <w:t>Reform to more open employment models?</w:t>
            </w:r>
          </w:p>
          <w:p w14:paraId="69914E37" w14:textId="77777777" w:rsidR="003F32C4" w:rsidRPr="003F32C4" w:rsidRDefault="003F32C4" w:rsidP="003F32C4">
            <w:pPr>
              <w:pStyle w:val="ListParagraph"/>
              <w:numPr>
                <w:ilvl w:val="0"/>
                <w:numId w:val="5"/>
              </w:numPr>
              <w:spacing w:after="0" w:line="240" w:lineRule="auto"/>
              <w:rPr>
                <w:rFonts w:ascii="Calibri" w:hAnsi="Calibri"/>
                <w:i/>
              </w:rPr>
            </w:pPr>
            <w:r w:rsidRPr="003F32C4">
              <w:rPr>
                <w:rFonts w:ascii="Calibri" w:hAnsi="Calibri"/>
                <w:i/>
                <w:sz w:val="22"/>
                <w:szCs w:val="22"/>
              </w:rPr>
              <w:t>Redevelop as service providers offering other NDIS supports</w:t>
            </w:r>
            <w:r>
              <w:rPr>
                <w:rFonts w:ascii="Calibri" w:hAnsi="Calibri"/>
                <w:i/>
                <w:sz w:val="22"/>
                <w:szCs w:val="22"/>
              </w:rPr>
              <w:t>?</w:t>
            </w:r>
          </w:p>
          <w:p w14:paraId="06728AAC" w14:textId="77777777" w:rsidR="003F32C4" w:rsidRPr="003F32C4" w:rsidRDefault="003F32C4" w:rsidP="003F32C4">
            <w:pPr>
              <w:pStyle w:val="ListParagraph"/>
              <w:numPr>
                <w:ilvl w:val="0"/>
                <w:numId w:val="5"/>
              </w:numPr>
              <w:spacing w:after="0" w:line="240" w:lineRule="auto"/>
              <w:rPr>
                <w:rFonts w:ascii="Calibri" w:hAnsi="Calibri"/>
                <w:i/>
              </w:rPr>
            </w:pPr>
            <w:r>
              <w:rPr>
                <w:rFonts w:ascii="Calibri" w:hAnsi="Calibri"/>
                <w:i/>
                <w:sz w:val="22"/>
                <w:szCs w:val="22"/>
              </w:rPr>
              <w:t>Specialise in the provision of employment support as a non-employer?</w:t>
            </w:r>
          </w:p>
        </w:tc>
        <w:tc>
          <w:tcPr>
            <w:tcW w:w="5902" w:type="dxa"/>
          </w:tcPr>
          <w:p w14:paraId="733E912B" w14:textId="77777777" w:rsidR="00E61859" w:rsidRPr="00BF08A6" w:rsidRDefault="00FA047D" w:rsidP="005B2FCE">
            <w:pPr>
              <w:rPr>
                <w:rFonts w:ascii="Calibri" w:hAnsi="Calibri"/>
              </w:rPr>
            </w:pPr>
            <w:r w:rsidRPr="00BF08A6">
              <w:rPr>
                <w:rFonts w:ascii="Calibri" w:hAnsi="Calibri"/>
              </w:rPr>
              <w:t>Employing people with moderate and high support needs results in additional costs (both actual and opportunity). Sufficient funding needs to be provided in order for ADEs to continue to employ people who have been rejected by open employment This includes:</w:t>
            </w:r>
          </w:p>
          <w:p w14:paraId="425410AA" w14:textId="77777777" w:rsidR="00FA047D" w:rsidRPr="00BF08A6" w:rsidRDefault="00FA047D" w:rsidP="00A11941">
            <w:pPr>
              <w:pStyle w:val="ListParagraph"/>
              <w:numPr>
                <w:ilvl w:val="0"/>
                <w:numId w:val="14"/>
              </w:numPr>
              <w:spacing w:after="0" w:line="240" w:lineRule="auto"/>
              <w:rPr>
                <w:rFonts w:ascii="Calibri" w:hAnsi="Calibri"/>
                <w:sz w:val="22"/>
                <w:szCs w:val="22"/>
              </w:rPr>
            </w:pPr>
            <w:r w:rsidRPr="00BF08A6">
              <w:rPr>
                <w:rFonts w:ascii="Calibri" w:hAnsi="Calibri"/>
                <w:sz w:val="22"/>
                <w:szCs w:val="22"/>
              </w:rPr>
              <w:t>Additional funding for support and training</w:t>
            </w:r>
          </w:p>
          <w:p w14:paraId="2E100EEB" w14:textId="77777777" w:rsidR="00FA047D" w:rsidRPr="00BF08A6" w:rsidRDefault="00FA047D" w:rsidP="00A11941">
            <w:pPr>
              <w:pStyle w:val="ListParagraph"/>
              <w:numPr>
                <w:ilvl w:val="0"/>
                <w:numId w:val="14"/>
              </w:numPr>
              <w:spacing w:after="0" w:line="240" w:lineRule="auto"/>
              <w:rPr>
                <w:rFonts w:ascii="Calibri" w:hAnsi="Calibri"/>
                <w:sz w:val="22"/>
                <w:szCs w:val="22"/>
              </w:rPr>
            </w:pPr>
            <w:r w:rsidRPr="00BF08A6">
              <w:rPr>
                <w:rFonts w:ascii="Calibri" w:hAnsi="Calibri"/>
                <w:sz w:val="22"/>
                <w:szCs w:val="22"/>
              </w:rPr>
              <w:t>Additional funding for workplace and task analysis and job design</w:t>
            </w:r>
          </w:p>
          <w:p w14:paraId="391919F3" w14:textId="77777777" w:rsidR="00FA047D" w:rsidRPr="00BF08A6" w:rsidRDefault="00FA047D" w:rsidP="00A11941">
            <w:pPr>
              <w:pStyle w:val="ListParagraph"/>
              <w:numPr>
                <w:ilvl w:val="0"/>
                <w:numId w:val="14"/>
              </w:numPr>
              <w:spacing w:after="0" w:line="240" w:lineRule="auto"/>
              <w:rPr>
                <w:rFonts w:ascii="Calibri" w:hAnsi="Calibri"/>
                <w:sz w:val="22"/>
                <w:szCs w:val="22"/>
              </w:rPr>
            </w:pPr>
            <w:r w:rsidRPr="00BF08A6">
              <w:rPr>
                <w:rFonts w:ascii="Calibri" w:hAnsi="Calibri"/>
                <w:sz w:val="22"/>
                <w:szCs w:val="22"/>
              </w:rPr>
              <w:t xml:space="preserve">Recognition of foregone productivity (employing people is a costly exercise. Employing people who cannot work as fast or as efficiently as a person without a disability has a business cost. This needs to be recognised in funding models </w:t>
            </w:r>
          </w:p>
          <w:p w14:paraId="13054B2F" w14:textId="77777777" w:rsidR="00D4169E" w:rsidRPr="00BF08A6" w:rsidRDefault="00D4169E" w:rsidP="00A11941">
            <w:pPr>
              <w:pStyle w:val="ListParagraph"/>
              <w:numPr>
                <w:ilvl w:val="0"/>
                <w:numId w:val="14"/>
              </w:numPr>
              <w:spacing w:after="0" w:line="240" w:lineRule="auto"/>
              <w:rPr>
                <w:rFonts w:ascii="Calibri" w:hAnsi="Calibri"/>
                <w:sz w:val="22"/>
                <w:szCs w:val="22"/>
              </w:rPr>
            </w:pPr>
            <w:r w:rsidRPr="00BF08A6">
              <w:rPr>
                <w:rFonts w:ascii="Calibri" w:hAnsi="Calibri"/>
                <w:sz w:val="22"/>
                <w:szCs w:val="22"/>
              </w:rPr>
              <w:t>Recognition that employment occurs in a group context (not all  supports are provided on a 1:1 basis) and that some supports cannot and should not be individualised and that suitable funding needs to be in place to accommodate this</w:t>
            </w:r>
          </w:p>
          <w:p w14:paraId="4D21FDA0" w14:textId="77777777" w:rsidR="00D4169E" w:rsidRPr="00A11941" w:rsidRDefault="00D4169E" w:rsidP="00D4169E">
            <w:pPr>
              <w:rPr>
                <w:rFonts w:ascii="Calibri" w:hAnsi="Calibri"/>
                <w:color w:val="FF0000"/>
              </w:rPr>
            </w:pPr>
            <w:r w:rsidRPr="00BF08A6">
              <w:rPr>
                <w:rFonts w:ascii="Calibri" w:hAnsi="Calibri"/>
              </w:rPr>
              <w:t xml:space="preserve">ADEs also require funding to implement the changes and invest in technology, equipment, processes and people to be effective and efficient providers under the NDIS. While the NDIS transition funding provided by Government (rounds 1 – 3) has been useful, the expenditure on consultant only supports ADEs to implementation stage. It does </w:t>
            </w:r>
            <w:r w:rsidR="004C7F54">
              <w:rPr>
                <w:rFonts w:ascii="Calibri" w:hAnsi="Calibri"/>
              </w:rPr>
              <w:t xml:space="preserve">not </w:t>
            </w:r>
            <w:r w:rsidRPr="00BF08A6">
              <w:rPr>
                <w:rFonts w:ascii="Calibri" w:hAnsi="Calibri"/>
              </w:rPr>
              <w:t xml:space="preserve">provide the funds to implement/invest. </w:t>
            </w:r>
          </w:p>
        </w:tc>
      </w:tr>
      <w:tr w:rsidR="003F32C4" w14:paraId="7CD8E12D" w14:textId="77777777" w:rsidTr="00B13BC4">
        <w:tc>
          <w:tcPr>
            <w:tcW w:w="3114" w:type="dxa"/>
          </w:tcPr>
          <w:p w14:paraId="592F2378" w14:textId="77777777" w:rsidR="003F32C4" w:rsidRPr="00BF08A6" w:rsidRDefault="00BF08A6" w:rsidP="005B2FCE">
            <w:pPr>
              <w:rPr>
                <w:rFonts w:ascii="Calibri" w:hAnsi="Calibri"/>
                <w:i/>
              </w:rPr>
            </w:pPr>
            <w:r>
              <w:rPr>
                <w:rFonts w:ascii="Calibri" w:hAnsi="Calibri"/>
              </w:rPr>
              <w:t xml:space="preserve">12. </w:t>
            </w:r>
            <w:r>
              <w:rPr>
                <w:rFonts w:ascii="Calibri" w:hAnsi="Calibri"/>
                <w:i/>
              </w:rPr>
              <w:t>Should the Government have a role is supporting new market entrants and start-ups in the short-term?</w:t>
            </w:r>
          </w:p>
        </w:tc>
        <w:tc>
          <w:tcPr>
            <w:tcW w:w="5902" w:type="dxa"/>
          </w:tcPr>
          <w:p w14:paraId="0070A790" w14:textId="0D886491" w:rsidR="003F32C4" w:rsidRDefault="00E61859" w:rsidP="001B177A">
            <w:pPr>
              <w:rPr>
                <w:rFonts w:ascii="Calibri" w:hAnsi="Calibri"/>
              </w:rPr>
            </w:pPr>
            <w:r>
              <w:rPr>
                <w:rFonts w:ascii="Calibri" w:hAnsi="Calibri"/>
              </w:rPr>
              <w:t>No, the Government needs to support existing</w:t>
            </w:r>
            <w:r w:rsidR="00B33DBF">
              <w:rPr>
                <w:rFonts w:ascii="Calibri" w:hAnsi="Calibri"/>
              </w:rPr>
              <w:t xml:space="preserve"> ADEs, </w:t>
            </w:r>
            <w:r w:rsidR="004C7F54">
              <w:rPr>
                <w:rFonts w:ascii="Calibri" w:hAnsi="Calibri"/>
              </w:rPr>
              <w:t xml:space="preserve">that </w:t>
            </w:r>
            <w:r w:rsidR="00B33DBF">
              <w:rPr>
                <w:rFonts w:ascii="Calibri" w:hAnsi="Calibri"/>
              </w:rPr>
              <w:t xml:space="preserve">employ approximately 437 Tasmanians </w:t>
            </w:r>
            <w:proofErr w:type="gramStart"/>
            <w:r w:rsidR="00B33DBF">
              <w:rPr>
                <w:rFonts w:ascii="Calibri" w:hAnsi="Calibri"/>
              </w:rPr>
              <w:t xml:space="preserve">with  </w:t>
            </w:r>
            <w:r w:rsidR="004C7F54">
              <w:rPr>
                <w:rFonts w:ascii="Calibri" w:hAnsi="Calibri"/>
              </w:rPr>
              <w:t>d</w:t>
            </w:r>
            <w:r w:rsidR="00B33DBF">
              <w:rPr>
                <w:rFonts w:ascii="Calibri" w:hAnsi="Calibri"/>
              </w:rPr>
              <w:t>isability</w:t>
            </w:r>
            <w:proofErr w:type="gramEnd"/>
            <w:r w:rsidR="00B33DBF">
              <w:rPr>
                <w:rFonts w:ascii="Calibri" w:hAnsi="Calibri"/>
              </w:rPr>
              <w:t xml:space="preserve">, rather than saturating the market. The eleven </w:t>
            </w:r>
            <w:r w:rsidR="001B177A">
              <w:rPr>
                <w:rFonts w:ascii="Calibri" w:hAnsi="Calibri"/>
              </w:rPr>
              <w:t>e</w:t>
            </w:r>
            <w:r w:rsidR="00B33DBF">
              <w:rPr>
                <w:rFonts w:ascii="Calibri" w:hAnsi="Calibri"/>
              </w:rPr>
              <w:t xml:space="preserve">nterprises in Tasmania are commercial businesses who </w:t>
            </w:r>
            <w:proofErr w:type="gramStart"/>
            <w:r w:rsidR="00B33DBF">
              <w:rPr>
                <w:rFonts w:ascii="Calibri" w:hAnsi="Calibri"/>
              </w:rPr>
              <w:t>are located in</w:t>
            </w:r>
            <w:proofErr w:type="gramEnd"/>
            <w:r w:rsidR="00B33DBF">
              <w:rPr>
                <w:rFonts w:ascii="Calibri" w:hAnsi="Calibri"/>
              </w:rPr>
              <w:t xml:space="preserve"> all regions of the state.</w:t>
            </w:r>
            <w:r w:rsidR="00BF08A6">
              <w:rPr>
                <w:rFonts w:ascii="Calibri" w:hAnsi="Calibri"/>
              </w:rPr>
              <w:t xml:space="preserve"> Offering realistic economic participation opportunities. </w:t>
            </w:r>
          </w:p>
        </w:tc>
      </w:tr>
      <w:tr w:rsidR="00F33D06" w14:paraId="5345B5D9" w14:textId="77777777" w:rsidTr="00B13BC4">
        <w:tc>
          <w:tcPr>
            <w:tcW w:w="3114" w:type="dxa"/>
          </w:tcPr>
          <w:p w14:paraId="27437F73" w14:textId="77777777" w:rsidR="00F33D06" w:rsidRPr="00F33D06" w:rsidRDefault="00F33D06" w:rsidP="005B2FCE">
            <w:pPr>
              <w:rPr>
                <w:rFonts w:ascii="Calibri" w:hAnsi="Calibri"/>
                <w:i/>
              </w:rPr>
            </w:pPr>
            <w:r>
              <w:rPr>
                <w:rFonts w:ascii="Calibri" w:hAnsi="Calibri"/>
              </w:rPr>
              <w:t xml:space="preserve">13. </w:t>
            </w:r>
            <w:r w:rsidR="00D630DD">
              <w:rPr>
                <w:rFonts w:ascii="Calibri" w:hAnsi="Calibri"/>
                <w:i/>
              </w:rPr>
              <w:t xml:space="preserve">What investment, or industry adjustment will </w:t>
            </w:r>
            <w:r w:rsidR="00D630DD">
              <w:rPr>
                <w:rFonts w:ascii="Calibri" w:hAnsi="Calibri"/>
                <w:i/>
              </w:rPr>
              <w:lastRenderedPageBreak/>
              <w:t>promote viable expansion in the employer/provider market?</w:t>
            </w:r>
          </w:p>
        </w:tc>
        <w:tc>
          <w:tcPr>
            <w:tcW w:w="5902" w:type="dxa"/>
          </w:tcPr>
          <w:p w14:paraId="637D26C8" w14:textId="77777777" w:rsidR="00F33D06" w:rsidRDefault="00B33DBF" w:rsidP="005B2FCE">
            <w:pPr>
              <w:rPr>
                <w:rFonts w:ascii="Calibri" w:hAnsi="Calibri"/>
              </w:rPr>
            </w:pPr>
            <w:r>
              <w:rPr>
                <w:rFonts w:ascii="Calibri" w:hAnsi="Calibri"/>
              </w:rPr>
              <w:lastRenderedPageBreak/>
              <w:t xml:space="preserve">For Tasmania, State and Federal Governments need to introduce mandatory procurement legislation as per New South Wales.  </w:t>
            </w:r>
          </w:p>
        </w:tc>
      </w:tr>
      <w:tr w:rsidR="00D630DD" w14:paraId="448EDFDE" w14:textId="77777777" w:rsidTr="00B13BC4">
        <w:tc>
          <w:tcPr>
            <w:tcW w:w="3114" w:type="dxa"/>
          </w:tcPr>
          <w:p w14:paraId="345E34F4" w14:textId="77777777" w:rsidR="00D630DD" w:rsidRPr="00D630DD" w:rsidRDefault="00D630DD" w:rsidP="005B2FCE">
            <w:pPr>
              <w:rPr>
                <w:rFonts w:ascii="Calibri" w:hAnsi="Calibri"/>
                <w:i/>
              </w:rPr>
            </w:pPr>
            <w:r>
              <w:rPr>
                <w:rFonts w:ascii="Calibri" w:hAnsi="Calibri"/>
              </w:rPr>
              <w:t xml:space="preserve">14. </w:t>
            </w:r>
            <w:r w:rsidR="006C209E">
              <w:rPr>
                <w:rFonts w:ascii="Calibri" w:hAnsi="Calibri"/>
                <w:i/>
              </w:rPr>
              <w:t>How could employer/providers share learnings of their success and failures within a competitive market?</w:t>
            </w:r>
          </w:p>
        </w:tc>
        <w:tc>
          <w:tcPr>
            <w:tcW w:w="5902" w:type="dxa"/>
          </w:tcPr>
          <w:p w14:paraId="1D22366E" w14:textId="77777777" w:rsidR="00D630DD" w:rsidRDefault="00B33DBF" w:rsidP="005B2FCE">
            <w:pPr>
              <w:rPr>
                <w:rFonts w:ascii="Calibri" w:hAnsi="Calibri"/>
              </w:rPr>
            </w:pPr>
            <w:r>
              <w:rPr>
                <w:rFonts w:ascii="Calibri" w:hAnsi="Calibri"/>
              </w:rPr>
              <w:t>The Tasmanian Association of Disability Employment Services</w:t>
            </w:r>
            <w:r w:rsidR="00D266E5">
              <w:rPr>
                <w:rFonts w:ascii="Calibri" w:hAnsi="Calibri"/>
              </w:rPr>
              <w:t xml:space="preserve"> is an independent state based peak body. At our Bi-monthly meetings we share learning of both success and failure. We have attempted to build a relationship with the NDIA however at this stage this has not progressed.</w:t>
            </w:r>
          </w:p>
        </w:tc>
      </w:tr>
      <w:tr w:rsidR="006C209E" w14:paraId="58D2B0C0" w14:textId="77777777" w:rsidTr="00B13BC4">
        <w:tc>
          <w:tcPr>
            <w:tcW w:w="3114" w:type="dxa"/>
          </w:tcPr>
          <w:p w14:paraId="382F338C" w14:textId="77777777" w:rsidR="006C209E" w:rsidRPr="006C209E" w:rsidRDefault="006C209E" w:rsidP="005B2FCE">
            <w:pPr>
              <w:rPr>
                <w:rFonts w:ascii="Calibri" w:hAnsi="Calibri"/>
                <w:i/>
              </w:rPr>
            </w:pPr>
            <w:r>
              <w:rPr>
                <w:rFonts w:ascii="Calibri" w:hAnsi="Calibri"/>
              </w:rPr>
              <w:t xml:space="preserve">15. </w:t>
            </w:r>
            <w:r w:rsidR="00C23C0A">
              <w:rPr>
                <w:rFonts w:ascii="Calibri" w:hAnsi="Calibri"/>
                <w:i/>
              </w:rPr>
              <w:t>How can wage supplementation be better targeted?</w:t>
            </w:r>
          </w:p>
        </w:tc>
        <w:tc>
          <w:tcPr>
            <w:tcW w:w="5902" w:type="dxa"/>
          </w:tcPr>
          <w:p w14:paraId="05D94AEB" w14:textId="77777777" w:rsidR="00D266E5" w:rsidRDefault="00D266E5" w:rsidP="005B2FCE">
            <w:pPr>
              <w:rPr>
                <w:rFonts w:ascii="Calibri" w:hAnsi="Calibri"/>
              </w:rPr>
            </w:pPr>
            <w:r>
              <w:rPr>
                <w:rFonts w:ascii="Calibri" w:hAnsi="Calibri"/>
              </w:rPr>
              <w:t xml:space="preserve">This is difficult to respond to until the Fair Work Commission hand down their findings. </w:t>
            </w:r>
          </w:p>
          <w:p w14:paraId="7C1BD0AA" w14:textId="77777777" w:rsidR="00D266E5" w:rsidRDefault="00D266E5" w:rsidP="005B2FCE">
            <w:pPr>
              <w:rPr>
                <w:rFonts w:ascii="Calibri" w:hAnsi="Calibri"/>
                <w:i/>
              </w:rPr>
            </w:pPr>
            <w:r>
              <w:rPr>
                <w:rFonts w:ascii="Calibri" w:hAnsi="Calibri"/>
              </w:rPr>
              <w:t xml:space="preserve">By the discussion paper on page 24 it appears that authors </w:t>
            </w:r>
            <w:r w:rsidR="00A679FD">
              <w:rPr>
                <w:rFonts w:ascii="Calibri" w:hAnsi="Calibri"/>
              </w:rPr>
              <w:t>have</w:t>
            </w:r>
            <w:r>
              <w:rPr>
                <w:rFonts w:ascii="Calibri" w:hAnsi="Calibri"/>
              </w:rPr>
              <w:t xml:space="preserve"> concluded that ADE’s will only have two options (</w:t>
            </w:r>
            <w:r>
              <w:rPr>
                <w:rFonts w:ascii="Calibri" w:hAnsi="Calibri"/>
                <w:i/>
              </w:rPr>
              <w:t>Wage supplementation has been made available for ADE’s that choose to transition to a productivity based wage assessment tool, being the Supported Wage System (SWS) or varied SWS, once in effect.)</w:t>
            </w:r>
          </w:p>
          <w:p w14:paraId="52210BE8" w14:textId="77777777" w:rsidR="006C209E" w:rsidRPr="00D266E5" w:rsidRDefault="00D266E5" w:rsidP="005B2FCE">
            <w:pPr>
              <w:rPr>
                <w:rFonts w:ascii="Calibri" w:hAnsi="Calibri"/>
                <w:i/>
              </w:rPr>
            </w:pPr>
            <w:r>
              <w:rPr>
                <w:rFonts w:ascii="Calibri" w:hAnsi="Calibri"/>
              </w:rPr>
              <w:t xml:space="preserve">Will wage supplementation needs to be considered for other tools </w:t>
            </w:r>
            <w:r w:rsidR="00A679FD">
              <w:rPr>
                <w:rFonts w:ascii="Calibri" w:hAnsi="Calibri"/>
              </w:rPr>
              <w:t>if they are deemed compliant by the Fair Work Commission?</w:t>
            </w:r>
            <w:r>
              <w:rPr>
                <w:rFonts w:ascii="Calibri" w:hAnsi="Calibri"/>
                <w:i/>
              </w:rPr>
              <w:t xml:space="preserve"> </w:t>
            </w:r>
          </w:p>
        </w:tc>
      </w:tr>
      <w:tr w:rsidR="00C23C0A" w14:paraId="4468189D" w14:textId="77777777" w:rsidTr="00B13BC4">
        <w:tc>
          <w:tcPr>
            <w:tcW w:w="3114" w:type="dxa"/>
          </w:tcPr>
          <w:p w14:paraId="25D39E0D" w14:textId="77777777" w:rsidR="00C23C0A" w:rsidRPr="00C23C0A" w:rsidRDefault="00C23C0A" w:rsidP="005B2FCE">
            <w:pPr>
              <w:rPr>
                <w:rFonts w:ascii="Calibri" w:hAnsi="Calibri"/>
                <w:i/>
              </w:rPr>
            </w:pPr>
            <w:r>
              <w:rPr>
                <w:rFonts w:ascii="Calibri" w:hAnsi="Calibri"/>
              </w:rPr>
              <w:t xml:space="preserve">16. </w:t>
            </w:r>
            <w:r w:rsidR="005176A0">
              <w:rPr>
                <w:rFonts w:ascii="Calibri" w:hAnsi="Calibri"/>
                <w:i/>
              </w:rPr>
              <w:t>How can the NDIS enable an employment first approach in planning?</w:t>
            </w:r>
          </w:p>
        </w:tc>
        <w:tc>
          <w:tcPr>
            <w:tcW w:w="5902" w:type="dxa"/>
          </w:tcPr>
          <w:p w14:paraId="42632C91" w14:textId="77777777" w:rsidR="00A679FD" w:rsidRPr="00A679FD" w:rsidRDefault="00A679FD" w:rsidP="00A679FD">
            <w:pPr>
              <w:pStyle w:val="ListParagraph"/>
              <w:numPr>
                <w:ilvl w:val="0"/>
                <w:numId w:val="13"/>
              </w:numPr>
              <w:spacing w:after="0" w:line="240" w:lineRule="auto"/>
              <w:rPr>
                <w:rFonts w:ascii="Calibri" w:hAnsi="Calibri"/>
                <w:sz w:val="22"/>
                <w:szCs w:val="22"/>
              </w:rPr>
            </w:pPr>
            <w:r w:rsidRPr="00A679FD">
              <w:rPr>
                <w:rFonts w:ascii="Calibri" w:hAnsi="Calibri"/>
                <w:sz w:val="22"/>
                <w:szCs w:val="22"/>
              </w:rPr>
              <w:t>Build relationships with ADE’s.</w:t>
            </w:r>
          </w:p>
          <w:p w14:paraId="71B19A54" w14:textId="77777777" w:rsidR="00C23C0A" w:rsidRPr="00A679FD" w:rsidRDefault="00A679FD" w:rsidP="00A679FD">
            <w:pPr>
              <w:pStyle w:val="ListParagraph"/>
              <w:numPr>
                <w:ilvl w:val="0"/>
                <w:numId w:val="13"/>
              </w:numPr>
              <w:spacing w:after="0" w:line="240" w:lineRule="auto"/>
              <w:rPr>
                <w:rFonts w:ascii="Calibri" w:hAnsi="Calibri"/>
                <w:sz w:val="22"/>
                <w:szCs w:val="22"/>
              </w:rPr>
            </w:pPr>
            <w:r w:rsidRPr="00A679FD">
              <w:rPr>
                <w:rFonts w:ascii="Calibri" w:hAnsi="Calibri"/>
                <w:sz w:val="22"/>
                <w:szCs w:val="22"/>
              </w:rPr>
              <w:t>Training of their staff, Planners and Local Area Coordinators.</w:t>
            </w:r>
          </w:p>
          <w:p w14:paraId="457A78AF" w14:textId="77777777" w:rsidR="00A679FD" w:rsidRPr="00A679FD" w:rsidRDefault="00A679FD" w:rsidP="00A679FD">
            <w:pPr>
              <w:pStyle w:val="ListParagraph"/>
              <w:numPr>
                <w:ilvl w:val="0"/>
                <w:numId w:val="13"/>
              </w:numPr>
              <w:spacing w:after="0" w:line="240" w:lineRule="auto"/>
              <w:rPr>
                <w:rFonts w:ascii="Calibri" w:hAnsi="Calibri"/>
                <w:sz w:val="22"/>
                <w:szCs w:val="22"/>
              </w:rPr>
            </w:pPr>
            <w:r w:rsidRPr="00A679FD">
              <w:rPr>
                <w:rFonts w:ascii="Calibri" w:hAnsi="Calibri"/>
                <w:sz w:val="22"/>
                <w:szCs w:val="22"/>
              </w:rPr>
              <w:t>Work with ADE’s to understand our businesses</w:t>
            </w:r>
            <w:r>
              <w:rPr>
                <w:rFonts w:ascii="Calibri" w:hAnsi="Calibri"/>
                <w:sz w:val="22"/>
                <w:szCs w:val="22"/>
              </w:rPr>
              <w:t>.</w:t>
            </w:r>
          </w:p>
          <w:p w14:paraId="0674A845" w14:textId="4486C4ED" w:rsidR="00A679FD" w:rsidRPr="00A679FD" w:rsidRDefault="00A679FD" w:rsidP="001B177A">
            <w:pPr>
              <w:pStyle w:val="ListParagraph"/>
              <w:numPr>
                <w:ilvl w:val="0"/>
                <w:numId w:val="13"/>
              </w:numPr>
              <w:spacing w:after="0" w:line="240" w:lineRule="auto"/>
              <w:rPr>
                <w:rFonts w:ascii="Calibri" w:hAnsi="Calibri"/>
              </w:rPr>
            </w:pPr>
            <w:r>
              <w:rPr>
                <w:rFonts w:ascii="Calibri" w:hAnsi="Calibri"/>
              </w:rPr>
              <w:t>Share their learnings</w:t>
            </w:r>
            <w:r w:rsidR="001B177A">
              <w:rPr>
                <w:rFonts w:ascii="Calibri" w:hAnsi="Calibri"/>
              </w:rPr>
              <w:t xml:space="preserve"> about the expectations (work and life) of NDIS participants as this may generate new business opportunities that can be developed by ADEs. </w:t>
            </w:r>
          </w:p>
        </w:tc>
      </w:tr>
      <w:tr w:rsidR="005176A0" w14:paraId="5564CB19" w14:textId="77777777" w:rsidTr="00B13BC4">
        <w:tc>
          <w:tcPr>
            <w:tcW w:w="3114" w:type="dxa"/>
          </w:tcPr>
          <w:p w14:paraId="688505B1" w14:textId="77777777" w:rsidR="005176A0" w:rsidRDefault="005176A0" w:rsidP="005B2FCE">
            <w:pPr>
              <w:rPr>
                <w:rFonts w:ascii="Calibri" w:hAnsi="Calibri"/>
                <w:i/>
              </w:rPr>
            </w:pPr>
            <w:r>
              <w:rPr>
                <w:rFonts w:ascii="Calibri" w:hAnsi="Calibri"/>
              </w:rPr>
              <w:t xml:space="preserve">17. </w:t>
            </w:r>
            <w:r>
              <w:rPr>
                <w:rFonts w:ascii="Calibri" w:hAnsi="Calibri"/>
                <w:i/>
              </w:rPr>
              <w:t>How do current assessment processes drive the inclusion of employment supports in an NDIS participant’s plan?</w:t>
            </w:r>
          </w:p>
          <w:p w14:paraId="52383C27" w14:textId="77777777" w:rsidR="005176A0" w:rsidRPr="00256E18" w:rsidRDefault="00256E18" w:rsidP="005176A0">
            <w:pPr>
              <w:pStyle w:val="ListParagraph"/>
              <w:numPr>
                <w:ilvl w:val="0"/>
                <w:numId w:val="6"/>
              </w:numPr>
              <w:spacing w:after="0" w:line="240" w:lineRule="auto"/>
              <w:rPr>
                <w:rFonts w:ascii="Calibri" w:hAnsi="Calibri"/>
                <w:i/>
                <w:sz w:val="22"/>
                <w:szCs w:val="22"/>
              </w:rPr>
            </w:pPr>
            <w:r w:rsidRPr="00256E18">
              <w:rPr>
                <w:rFonts w:ascii="Calibri" w:hAnsi="Calibri"/>
                <w:i/>
                <w:sz w:val="22"/>
                <w:szCs w:val="22"/>
              </w:rPr>
              <w:t xml:space="preserve">Are existing employment assessment </w:t>
            </w:r>
            <w:r>
              <w:rPr>
                <w:rFonts w:ascii="Calibri" w:hAnsi="Calibri"/>
                <w:i/>
                <w:sz w:val="22"/>
                <w:szCs w:val="22"/>
              </w:rPr>
              <w:t>processes appropriate for NDIS participants?</w:t>
            </w:r>
          </w:p>
        </w:tc>
        <w:tc>
          <w:tcPr>
            <w:tcW w:w="5902" w:type="dxa"/>
          </w:tcPr>
          <w:p w14:paraId="526890BD" w14:textId="013D7F0F" w:rsidR="00D4169E" w:rsidRPr="007F04E4" w:rsidRDefault="00D4169E" w:rsidP="00D4169E">
            <w:pPr>
              <w:rPr>
                <w:rFonts w:ascii="Calibri" w:hAnsi="Calibri"/>
              </w:rPr>
            </w:pPr>
            <w:r w:rsidRPr="007F04E4">
              <w:rPr>
                <w:rFonts w:ascii="Calibri" w:hAnsi="Calibri"/>
              </w:rPr>
              <w:t xml:space="preserve">As the Commonwealth Government is aware, Tasmania has characteristics that </w:t>
            </w:r>
            <w:r w:rsidR="001B177A">
              <w:rPr>
                <w:rFonts w:ascii="Calibri" w:hAnsi="Calibri"/>
              </w:rPr>
              <w:t>have an impact on the way in which NDIS is implemented</w:t>
            </w:r>
            <w:r w:rsidRPr="007F04E4">
              <w:rPr>
                <w:rFonts w:ascii="Calibri" w:hAnsi="Calibri"/>
              </w:rPr>
              <w:t>. Particularly, Tasmania is Australia’s most regionalised state. It is also has high rates of unemployment, low levels of literacy, low socio-economic populations and the highest rate of disability in the country. This means that in many instances, employment and economic independence is not the lived experience of many people in Tasmania and perhaps even more so amongst people with disability. This creates a challenge and opportunity with NDIS to change the community conservation about employment.</w:t>
            </w:r>
          </w:p>
          <w:p w14:paraId="10858412" w14:textId="77777777" w:rsidR="00D4169E" w:rsidRPr="007F04E4" w:rsidRDefault="00D4169E" w:rsidP="00D4169E">
            <w:pPr>
              <w:rPr>
                <w:rFonts w:ascii="Calibri" w:hAnsi="Calibri"/>
              </w:rPr>
            </w:pPr>
          </w:p>
          <w:p w14:paraId="6D285F1C" w14:textId="77777777" w:rsidR="00A24ED9" w:rsidRPr="007F04E4" w:rsidRDefault="00D4169E" w:rsidP="00BA2F36">
            <w:pPr>
              <w:rPr>
                <w:rFonts w:ascii="Calibri" w:hAnsi="Calibri"/>
              </w:rPr>
            </w:pPr>
            <w:r w:rsidRPr="007F04E4">
              <w:rPr>
                <w:rFonts w:ascii="Calibri" w:hAnsi="Calibri"/>
              </w:rPr>
              <w:t>To put it bluntly, the question in the planning process ought not to be “where do you want to work”.  However, there are questions that can be posed to the person with disability and their carers about identifying the benefits that</w:t>
            </w:r>
            <w:r w:rsidR="00BA2F36" w:rsidRPr="007F04E4">
              <w:rPr>
                <w:rFonts w:ascii="Calibri" w:hAnsi="Calibri"/>
              </w:rPr>
              <w:t xml:space="preserve"> can </w:t>
            </w:r>
            <w:r w:rsidR="00A24ED9" w:rsidRPr="007F04E4">
              <w:rPr>
                <w:rFonts w:ascii="Calibri" w:hAnsi="Calibri"/>
              </w:rPr>
              <w:t xml:space="preserve">come </w:t>
            </w:r>
            <w:r w:rsidR="007F04E4" w:rsidRPr="007F04E4">
              <w:rPr>
                <w:rFonts w:ascii="Calibri" w:hAnsi="Calibri"/>
              </w:rPr>
              <w:t>from work</w:t>
            </w:r>
            <w:r w:rsidR="00A24ED9" w:rsidRPr="007F04E4">
              <w:rPr>
                <w:rFonts w:ascii="Calibri" w:hAnsi="Calibri"/>
              </w:rPr>
              <w:t>, for example</w:t>
            </w:r>
            <w:r w:rsidRPr="007F04E4">
              <w:rPr>
                <w:rFonts w:ascii="Calibri" w:hAnsi="Calibri"/>
              </w:rPr>
              <w:t xml:space="preserve">. </w:t>
            </w:r>
          </w:p>
          <w:p w14:paraId="40D59455" w14:textId="77777777" w:rsidR="00A24ED9" w:rsidRPr="00944622" w:rsidRDefault="00A24ED9" w:rsidP="00944622">
            <w:pPr>
              <w:pStyle w:val="ListParagraph"/>
              <w:numPr>
                <w:ilvl w:val="0"/>
                <w:numId w:val="15"/>
              </w:numPr>
              <w:spacing w:after="0" w:line="240" w:lineRule="auto"/>
              <w:rPr>
                <w:rFonts w:ascii="Calibri" w:hAnsi="Calibri"/>
              </w:rPr>
            </w:pPr>
            <w:r w:rsidRPr="00944622">
              <w:rPr>
                <w:rFonts w:ascii="Calibri" w:hAnsi="Calibri"/>
              </w:rPr>
              <w:t>D</w:t>
            </w:r>
            <w:r w:rsidR="00D4169E" w:rsidRPr="00944622">
              <w:rPr>
                <w:rFonts w:ascii="Calibri" w:hAnsi="Calibri"/>
              </w:rPr>
              <w:t xml:space="preserve">o you want to make new friends? </w:t>
            </w:r>
          </w:p>
          <w:p w14:paraId="5CA84EBA" w14:textId="77777777" w:rsidR="007F04E4" w:rsidRPr="00944622" w:rsidRDefault="00D4169E" w:rsidP="00944622">
            <w:pPr>
              <w:pStyle w:val="ListParagraph"/>
              <w:numPr>
                <w:ilvl w:val="0"/>
                <w:numId w:val="15"/>
              </w:numPr>
              <w:spacing w:after="0" w:line="240" w:lineRule="auto"/>
              <w:rPr>
                <w:rFonts w:ascii="Calibri" w:hAnsi="Calibri"/>
              </w:rPr>
            </w:pPr>
            <w:r w:rsidRPr="00944622">
              <w:rPr>
                <w:rFonts w:ascii="Calibri" w:hAnsi="Calibri"/>
              </w:rPr>
              <w:t>Do you want earn money?</w:t>
            </w:r>
          </w:p>
          <w:p w14:paraId="3FE12B35" w14:textId="2F401673" w:rsidR="007F04E4" w:rsidRPr="00944622" w:rsidRDefault="00D4169E" w:rsidP="00944622">
            <w:pPr>
              <w:pStyle w:val="ListParagraph"/>
              <w:numPr>
                <w:ilvl w:val="0"/>
                <w:numId w:val="15"/>
              </w:numPr>
              <w:spacing w:after="0" w:line="240" w:lineRule="auto"/>
              <w:rPr>
                <w:rFonts w:ascii="Calibri" w:hAnsi="Calibri"/>
              </w:rPr>
            </w:pPr>
            <w:r w:rsidRPr="00944622">
              <w:rPr>
                <w:rFonts w:ascii="Calibri" w:hAnsi="Calibri"/>
              </w:rPr>
              <w:t xml:space="preserve">Would you like to travel? </w:t>
            </w:r>
          </w:p>
          <w:p w14:paraId="3C4370D6" w14:textId="77777777" w:rsidR="007F04E4" w:rsidRPr="00944622" w:rsidRDefault="00D4169E" w:rsidP="00944622">
            <w:pPr>
              <w:pStyle w:val="ListParagraph"/>
              <w:numPr>
                <w:ilvl w:val="0"/>
                <w:numId w:val="15"/>
              </w:numPr>
              <w:spacing w:after="0" w:line="240" w:lineRule="auto"/>
              <w:rPr>
                <w:rFonts w:ascii="Calibri" w:hAnsi="Calibri"/>
              </w:rPr>
            </w:pPr>
            <w:r w:rsidRPr="00944622">
              <w:rPr>
                <w:rFonts w:ascii="Calibri" w:hAnsi="Calibri"/>
              </w:rPr>
              <w:t xml:space="preserve">Would you like to live away from home?  </w:t>
            </w:r>
          </w:p>
          <w:p w14:paraId="024CA0C1" w14:textId="77777777" w:rsidR="005176A0" w:rsidRPr="007F04E4" w:rsidRDefault="00D4169E" w:rsidP="00BA2F36">
            <w:pPr>
              <w:rPr>
                <w:rFonts w:ascii="Calibri" w:hAnsi="Calibri"/>
              </w:rPr>
            </w:pPr>
            <w:r w:rsidRPr="007F04E4">
              <w:rPr>
                <w:rFonts w:ascii="Calibri" w:hAnsi="Calibri"/>
              </w:rPr>
              <w:lastRenderedPageBreak/>
              <w:t>These conversation</w:t>
            </w:r>
            <w:r w:rsidR="00BA2F36" w:rsidRPr="007F04E4">
              <w:rPr>
                <w:rFonts w:ascii="Calibri" w:hAnsi="Calibri"/>
              </w:rPr>
              <w:t>s</w:t>
            </w:r>
            <w:r w:rsidRPr="007F04E4">
              <w:rPr>
                <w:rFonts w:ascii="Calibri" w:hAnsi="Calibri"/>
              </w:rPr>
              <w:t xml:space="preserve"> are about encouraging people with disability (and their carers) to think about the benefits of work. To see work as a normal part of life. To imagine a life with work.  </w:t>
            </w:r>
            <w:r w:rsidR="00BA2F36" w:rsidRPr="007F04E4">
              <w:rPr>
                <w:rFonts w:ascii="Calibri" w:hAnsi="Calibri"/>
              </w:rPr>
              <w:t xml:space="preserve"> These conversations will take time.  The process needs to allow a person with disability to ‘try’ different types of work and training.  The process should be iterative and involve the person with disability and where appropriate carers and service providers such as ADEs so that the best possible employment experience can be designed and provided. </w:t>
            </w:r>
          </w:p>
          <w:p w14:paraId="50BFCBE0" w14:textId="77777777" w:rsidR="00BA2F36" w:rsidRPr="007F04E4" w:rsidRDefault="00BA2F36" w:rsidP="00BA2F36">
            <w:pPr>
              <w:rPr>
                <w:rFonts w:ascii="Calibri" w:hAnsi="Calibri"/>
              </w:rPr>
            </w:pPr>
          </w:p>
          <w:p w14:paraId="68FD4051" w14:textId="77777777" w:rsidR="00BA2F36" w:rsidRPr="007F04E4" w:rsidRDefault="00BA2F36" w:rsidP="00BA2F36">
            <w:pPr>
              <w:rPr>
                <w:rFonts w:ascii="Calibri" w:hAnsi="Calibri"/>
              </w:rPr>
            </w:pPr>
            <w:r w:rsidRPr="007F04E4">
              <w:rPr>
                <w:rFonts w:ascii="Calibri" w:hAnsi="Calibri"/>
              </w:rPr>
              <w:t xml:space="preserve">ADEs are accustomed to working in the collaborative design space.  ADEs undertake these activities when working with customers.  ADEs are skilled problem solvers who can work with potential employees, the planners and others to design and deliver meaningful work.  </w:t>
            </w:r>
          </w:p>
          <w:p w14:paraId="56996281" w14:textId="77777777" w:rsidR="00BA2F36" w:rsidRPr="007F04E4" w:rsidRDefault="00BA2F36" w:rsidP="00BA2F36">
            <w:pPr>
              <w:rPr>
                <w:rFonts w:ascii="Calibri" w:hAnsi="Calibri"/>
              </w:rPr>
            </w:pPr>
          </w:p>
        </w:tc>
      </w:tr>
      <w:tr w:rsidR="00256E18" w14:paraId="0519CDB7" w14:textId="77777777" w:rsidTr="00B13BC4">
        <w:tc>
          <w:tcPr>
            <w:tcW w:w="3114" w:type="dxa"/>
          </w:tcPr>
          <w:p w14:paraId="16D06EED" w14:textId="77777777" w:rsidR="00256E18" w:rsidRDefault="00256E18" w:rsidP="005B2FCE">
            <w:pPr>
              <w:rPr>
                <w:rFonts w:ascii="Calibri" w:hAnsi="Calibri"/>
                <w:i/>
              </w:rPr>
            </w:pPr>
            <w:r>
              <w:rPr>
                <w:rFonts w:ascii="Calibri" w:hAnsi="Calibri"/>
              </w:rPr>
              <w:lastRenderedPageBreak/>
              <w:t xml:space="preserve">18. </w:t>
            </w:r>
            <w:r w:rsidR="00FF767D">
              <w:rPr>
                <w:rFonts w:ascii="Calibri" w:hAnsi="Calibri"/>
                <w:i/>
              </w:rPr>
              <w:t>Are there different approaches to planning that could be explored for different groups of supported employees (e.g. younger workers, established work</w:t>
            </w:r>
            <w:r w:rsidR="001C1E63">
              <w:rPr>
                <w:rFonts w:ascii="Calibri" w:hAnsi="Calibri"/>
                <w:i/>
              </w:rPr>
              <w:t>er</w:t>
            </w:r>
            <w:r w:rsidR="00FF767D">
              <w:rPr>
                <w:rFonts w:ascii="Calibri" w:hAnsi="Calibri"/>
                <w:i/>
              </w:rPr>
              <w:t>s, retirement transition)?</w:t>
            </w:r>
          </w:p>
          <w:p w14:paraId="553C42B4" w14:textId="77777777" w:rsidR="00FF767D" w:rsidRPr="00FF767D" w:rsidRDefault="00FF767D" w:rsidP="00FF767D">
            <w:pPr>
              <w:pStyle w:val="ListParagraph"/>
              <w:numPr>
                <w:ilvl w:val="0"/>
                <w:numId w:val="7"/>
              </w:numPr>
              <w:spacing w:after="0" w:line="240" w:lineRule="auto"/>
              <w:rPr>
                <w:rFonts w:ascii="Calibri" w:hAnsi="Calibri"/>
                <w:i/>
              </w:rPr>
            </w:pPr>
            <w:r>
              <w:rPr>
                <w:rFonts w:ascii="Calibri" w:hAnsi="Calibri"/>
                <w:i/>
                <w:sz w:val="22"/>
                <w:szCs w:val="22"/>
              </w:rPr>
              <w:t>How could SLES better support school leavers to build skills and confidence in order to move from school to employment?</w:t>
            </w:r>
          </w:p>
        </w:tc>
        <w:tc>
          <w:tcPr>
            <w:tcW w:w="5902" w:type="dxa"/>
          </w:tcPr>
          <w:p w14:paraId="03D7CD9C" w14:textId="77777777" w:rsidR="00256E18" w:rsidRPr="00A24ED9" w:rsidRDefault="001C1E63" w:rsidP="00A679FD">
            <w:r w:rsidRPr="00A24ED9">
              <w:t xml:space="preserve">The principle of ‘person centred planning’ applies throughout these life/employment stages. As mentioned earlier, the process needs to be iterative and allow for the contribution of those who support the person with disability including employers. </w:t>
            </w:r>
          </w:p>
          <w:p w14:paraId="08F78176" w14:textId="77777777" w:rsidR="001C1E63" w:rsidRPr="00A24ED9" w:rsidRDefault="001C1E63" w:rsidP="00A679FD"/>
          <w:p w14:paraId="1A2E50A7" w14:textId="77777777" w:rsidR="00A679FD" w:rsidRPr="00A24ED9" w:rsidRDefault="00A679FD" w:rsidP="00A679FD"/>
          <w:p w14:paraId="7DD8E6C3" w14:textId="77777777" w:rsidR="00A679FD" w:rsidRPr="00A679FD" w:rsidRDefault="00A679FD" w:rsidP="00A679FD">
            <w:pPr>
              <w:rPr>
                <w:color w:val="FF0000"/>
              </w:rPr>
            </w:pPr>
            <w:r w:rsidRPr="00A24ED9">
              <w:t xml:space="preserve">The SLES model does not fully assist students to transition to </w:t>
            </w:r>
            <w:r w:rsidR="000D0566" w:rsidRPr="00A24ED9">
              <w:t>into employment.</w:t>
            </w:r>
          </w:p>
        </w:tc>
      </w:tr>
      <w:tr w:rsidR="00FF767D" w14:paraId="66401B98" w14:textId="77777777" w:rsidTr="00B13BC4">
        <w:tc>
          <w:tcPr>
            <w:tcW w:w="3114" w:type="dxa"/>
          </w:tcPr>
          <w:p w14:paraId="49F59728" w14:textId="77777777" w:rsidR="00FF767D" w:rsidRPr="00FF767D" w:rsidRDefault="00FF767D" w:rsidP="005B2FCE">
            <w:pPr>
              <w:rPr>
                <w:rFonts w:ascii="Calibri" w:hAnsi="Calibri"/>
                <w:i/>
              </w:rPr>
            </w:pPr>
            <w:r>
              <w:rPr>
                <w:rFonts w:ascii="Calibri" w:hAnsi="Calibri"/>
              </w:rPr>
              <w:t xml:space="preserve">19. </w:t>
            </w:r>
            <w:r w:rsidR="00484D2A">
              <w:rPr>
                <w:rFonts w:ascii="Calibri" w:hAnsi="Calibri"/>
                <w:i/>
              </w:rPr>
              <w:t>What role could or should and NDIA Local Area Coordinator or planner have in linking participants to an employment opportunity/</w:t>
            </w:r>
          </w:p>
        </w:tc>
        <w:tc>
          <w:tcPr>
            <w:tcW w:w="5902" w:type="dxa"/>
          </w:tcPr>
          <w:p w14:paraId="6DB4C3C7" w14:textId="77777777" w:rsidR="00FF767D" w:rsidRDefault="001C1E63" w:rsidP="005B2FCE">
            <w:pPr>
              <w:rPr>
                <w:rFonts w:ascii="Calibri" w:hAnsi="Calibri"/>
              </w:rPr>
            </w:pPr>
            <w:r>
              <w:rPr>
                <w:rFonts w:ascii="Calibri" w:hAnsi="Calibri"/>
              </w:rPr>
              <w:t xml:space="preserve">See earlier comments.  LACs need to get to know their local ADEs. They also need to recognise that ADEs have a suite of industrial relations/HR obligations that extend beyond the NDIS. There are also commercial realities that influence the availability of work, including seasonal peaks and slow downs, Christmas and other breaks and so on. </w:t>
            </w:r>
          </w:p>
          <w:p w14:paraId="4AC798DC" w14:textId="77777777" w:rsidR="001C1E63" w:rsidRDefault="001C1E63" w:rsidP="005B2FCE">
            <w:pPr>
              <w:rPr>
                <w:rFonts w:ascii="Calibri" w:hAnsi="Calibri"/>
              </w:rPr>
            </w:pPr>
          </w:p>
        </w:tc>
      </w:tr>
      <w:tr w:rsidR="00484D2A" w14:paraId="026C7D46" w14:textId="77777777" w:rsidTr="00B13BC4">
        <w:tc>
          <w:tcPr>
            <w:tcW w:w="3114" w:type="dxa"/>
          </w:tcPr>
          <w:p w14:paraId="446F70BB" w14:textId="77777777" w:rsidR="00484D2A" w:rsidRPr="00484D2A" w:rsidRDefault="00484D2A" w:rsidP="005B2FCE">
            <w:pPr>
              <w:rPr>
                <w:rFonts w:ascii="Calibri" w:hAnsi="Calibri"/>
                <w:i/>
              </w:rPr>
            </w:pPr>
            <w:r>
              <w:rPr>
                <w:rFonts w:ascii="Calibri" w:hAnsi="Calibri"/>
              </w:rPr>
              <w:t xml:space="preserve">20. </w:t>
            </w:r>
            <w:r w:rsidR="00DB03F3">
              <w:rPr>
                <w:rFonts w:ascii="Calibri" w:hAnsi="Calibri"/>
                <w:i/>
              </w:rPr>
              <w:t>What role could or should NDIA market stewardship have in developing a market with a range of employment, other support, or participation options for existing employees?</w:t>
            </w:r>
          </w:p>
        </w:tc>
        <w:tc>
          <w:tcPr>
            <w:tcW w:w="5902" w:type="dxa"/>
          </w:tcPr>
          <w:p w14:paraId="02449FF6" w14:textId="77777777" w:rsidR="00484D2A" w:rsidRDefault="001C1E63" w:rsidP="00A11941">
            <w:pPr>
              <w:rPr>
                <w:rFonts w:ascii="Calibri" w:hAnsi="Calibri"/>
              </w:rPr>
            </w:pPr>
            <w:r>
              <w:rPr>
                <w:rFonts w:ascii="Calibri" w:hAnsi="Calibri"/>
              </w:rPr>
              <w:t xml:space="preserve">One opportunity for NDIA to identify and analyse the sorts of employment experiences that NDIS participants wish to have. This </w:t>
            </w:r>
            <w:r w:rsidR="00A11941">
              <w:rPr>
                <w:rFonts w:ascii="Calibri" w:hAnsi="Calibri"/>
              </w:rPr>
              <w:t>data</w:t>
            </w:r>
            <w:r>
              <w:rPr>
                <w:rFonts w:ascii="Calibri" w:hAnsi="Calibri"/>
              </w:rPr>
              <w:t xml:space="preserve"> could assist ADEs </w:t>
            </w:r>
            <w:r w:rsidR="00A11941">
              <w:rPr>
                <w:rFonts w:ascii="Calibri" w:hAnsi="Calibri"/>
              </w:rPr>
              <w:t xml:space="preserve">to identify </w:t>
            </w:r>
            <w:r>
              <w:rPr>
                <w:rFonts w:ascii="Calibri" w:hAnsi="Calibri"/>
              </w:rPr>
              <w:t xml:space="preserve">new commercial opportunities for which they know there may be a potential workforce available. For example, NDIA could discover through this process that young people aged 15 – 29 years who live in north west Tasmania would like to work outdoors. This may mean that there could be opportunities for garden crews, delivery of brochures and so on. </w:t>
            </w:r>
            <w:r w:rsidR="00A11941">
              <w:rPr>
                <w:rFonts w:ascii="Calibri" w:hAnsi="Calibri"/>
              </w:rPr>
              <w:t xml:space="preserve"> We could also learn that older participants in metropolitan Hobart are keen to work in hospitality</w:t>
            </w:r>
            <w:r w:rsidR="00BF08A6">
              <w:rPr>
                <w:rFonts w:ascii="Calibri" w:hAnsi="Calibri"/>
              </w:rPr>
              <w:t>, retail, manufacturing or administration.</w:t>
            </w:r>
          </w:p>
          <w:p w14:paraId="1DB954AB" w14:textId="77777777" w:rsidR="00A11941" w:rsidRDefault="00A11941" w:rsidP="00A11941">
            <w:pPr>
              <w:rPr>
                <w:rFonts w:ascii="Calibri" w:hAnsi="Calibri"/>
              </w:rPr>
            </w:pPr>
          </w:p>
          <w:p w14:paraId="69F1F5B8" w14:textId="77777777" w:rsidR="00A11941" w:rsidRDefault="00A11941" w:rsidP="00A11941">
            <w:pPr>
              <w:rPr>
                <w:rFonts w:ascii="Calibri" w:hAnsi="Calibri"/>
              </w:rPr>
            </w:pPr>
          </w:p>
        </w:tc>
      </w:tr>
    </w:tbl>
    <w:p w14:paraId="170E8959" w14:textId="77777777" w:rsidR="00AF3D4A" w:rsidRPr="00683C55" w:rsidRDefault="00AF3D4A" w:rsidP="005B2FCE">
      <w:pPr>
        <w:rPr>
          <w:rFonts w:ascii="Calibri" w:hAnsi="Calibri"/>
          <w:i/>
        </w:rPr>
      </w:pPr>
    </w:p>
    <w:p w14:paraId="23B7E78A" w14:textId="77777777" w:rsidR="00CB5401" w:rsidRDefault="00CB5401" w:rsidP="005B2FCE">
      <w:pPr>
        <w:rPr>
          <w:rFonts w:ascii="Calibri" w:hAnsi="Calibri"/>
          <w:color w:val="FF0000"/>
        </w:rPr>
      </w:pPr>
    </w:p>
    <w:p w14:paraId="613A5932" w14:textId="77777777" w:rsidR="00CB5401" w:rsidRPr="00CB5401" w:rsidRDefault="00CB5401" w:rsidP="005B2FCE">
      <w:pPr>
        <w:rPr>
          <w:rFonts w:ascii="Calibri" w:hAnsi="Calibri"/>
          <w:color w:val="FF0000"/>
        </w:rPr>
      </w:pPr>
    </w:p>
    <w:p w14:paraId="167CB89F" w14:textId="77777777" w:rsidR="00555CFE" w:rsidRPr="005B2FCE" w:rsidRDefault="00555CFE" w:rsidP="005B2FCE">
      <w:pPr>
        <w:rPr>
          <w:rFonts w:ascii="Calibri" w:hAnsi="Calibri"/>
        </w:rPr>
      </w:pPr>
    </w:p>
    <w:p w14:paraId="49C35CFD" w14:textId="77777777" w:rsidR="00983F31" w:rsidRPr="003130D2" w:rsidRDefault="00983F31"/>
    <w:p w14:paraId="66D33CB6" w14:textId="77777777" w:rsidR="008817F9" w:rsidRPr="006337D2" w:rsidRDefault="006337D2">
      <w:pPr>
        <w:rPr>
          <w:b/>
        </w:rPr>
      </w:pPr>
      <w:r>
        <w:rPr>
          <w:b/>
        </w:rPr>
        <w:t xml:space="preserve"> </w:t>
      </w:r>
    </w:p>
    <w:sectPr w:rsidR="008817F9" w:rsidRPr="006337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33DA" w14:textId="77777777" w:rsidR="007C36F5" w:rsidRDefault="007C36F5" w:rsidP="00E248B2">
      <w:pPr>
        <w:spacing w:after="0" w:line="240" w:lineRule="auto"/>
      </w:pPr>
      <w:r>
        <w:separator/>
      </w:r>
    </w:p>
  </w:endnote>
  <w:endnote w:type="continuationSeparator" w:id="0">
    <w:p w14:paraId="205FD3AD" w14:textId="77777777" w:rsidR="007C36F5" w:rsidRDefault="007C36F5" w:rsidP="00E2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13442"/>
      <w:docPartObj>
        <w:docPartGallery w:val="Page Numbers (Bottom of Page)"/>
        <w:docPartUnique/>
      </w:docPartObj>
    </w:sdtPr>
    <w:sdtEndPr/>
    <w:sdtContent>
      <w:sdt>
        <w:sdtPr>
          <w:id w:val="1728636285"/>
          <w:docPartObj>
            <w:docPartGallery w:val="Page Numbers (Top of Page)"/>
            <w:docPartUnique/>
          </w:docPartObj>
        </w:sdtPr>
        <w:sdtEndPr/>
        <w:sdtContent>
          <w:p w14:paraId="4ACB2DFD" w14:textId="05954E04" w:rsidR="00BF08A6" w:rsidRDefault="00BF08A6">
            <w:pPr>
              <w:pStyle w:val="Footer"/>
              <w:jc w:val="center"/>
            </w:pPr>
            <w:r>
              <w:t xml:space="preserve">TADES Submission February 2018   </w:t>
            </w:r>
            <w:r w:rsidRPr="00E248B2">
              <w:t xml:space="preserve">Page </w:t>
            </w:r>
            <w:r w:rsidRPr="00E248B2">
              <w:rPr>
                <w:bCs/>
                <w:sz w:val="24"/>
                <w:szCs w:val="24"/>
              </w:rPr>
              <w:fldChar w:fldCharType="begin"/>
            </w:r>
            <w:r w:rsidRPr="00E248B2">
              <w:rPr>
                <w:bCs/>
              </w:rPr>
              <w:instrText xml:space="preserve"> PAGE </w:instrText>
            </w:r>
            <w:r w:rsidRPr="00E248B2">
              <w:rPr>
                <w:bCs/>
                <w:sz w:val="24"/>
                <w:szCs w:val="24"/>
              </w:rPr>
              <w:fldChar w:fldCharType="separate"/>
            </w:r>
            <w:r w:rsidR="00944622">
              <w:rPr>
                <w:bCs/>
                <w:noProof/>
              </w:rPr>
              <w:t>7</w:t>
            </w:r>
            <w:r w:rsidRPr="00E248B2">
              <w:rPr>
                <w:bCs/>
                <w:sz w:val="24"/>
                <w:szCs w:val="24"/>
              </w:rPr>
              <w:fldChar w:fldCharType="end"/>
            </w:r>
            <w:r w:rsidRPr="00E248B2">
              <w:t xml:space="preserve"> of </w:t>
            </w:r>
            <w:r w:rsidRPr="00E248B2">
              <w:rPr>
                <w:bCs/>
                <w:sz w:val="24"/>
                <w:szCs w:val="24"/>
              </w:rPr>
              <w:fldChar w:fldCharType="begin"/>
            </w:r>
            <w:r w:rsidRPr="00E248B2">
              <w:rPr>
                <w:bCs/>
              </w:rPr>
              <w:instrText xml:space="preserve"> NUMPAGES  </w:instrText>
            </w:r>
            <w:r w:rsidRPr="00E248B2">
              <w:rPr>
                <w:bCs/>
                <w:sz w:val="24"/>
                <w:szCs w:val="24"/>
              </w:rPr>
              <w:fldChar w:fldCharType="separate"/>
            </w:r>
            <w:r w:rsidR="00944622">
              <w:rPr>
                <w:bCs/>
                <w:noProof/>
              </w:rPr>
              <w:t>11</w:t>
            </w:r>
            <w:r w:rsidRPr="00E248B2">
              <w:rPr>
                <w:bCs/>
                <w:sz w:val="24"/>
                <w:szCs w:val="24"/>
              </w:rPr>
              <w:fldChar w:fldCharType="end"/>
            </w:r>
          </w:p>
        </w:sdtContent>
      </w:sdt>
    </w:sdtContent>
  </w:sdt>
  <w:p w14:paraId="6FB01B06" w14:textId="77777777" w:rsidR="00BF08A6" w:rsidRDefault="00BF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5D6D" w14:textId="77777777" w:rsidR="007C36F5" w:rsidRDefault="007C36F5" w:rsidP="00E248B2">
      <w:pPr>
        <w:spacing w:after="0" w:line="240" w:lineRule="auto"/>
      </w:pPr>
      <w:r>
        <w:separator/>
      </w:r>
    </w:p>
  </w:footnote>
  <w:footnote w:type="continuationSeparator" w:id="0">
    <w:p w14:paraId="478B6092" w14:textId="77777777" w:rsidR="007C36F5" w:rsidRDefault="007C36F5" w:rsidP="00E248B2">
      <w:pPr>
        <w:spacing w:after="0" w:line="240" w:lineRule="auto"/>
      </w:pPr>
      <w:r>
        <w:continuationSeparator/>
      </w:r>
    </w:p>
  </w:footnote>
  <w:footnote w:id="1">
    <w:p w14:paraId="017B7690" w14:textId="77777777" w:rsidR="00BF08A6" w:rsidRDefault="00BF08A6">
      <w:pPr>
        <w:pStyle w:val="FootnoteText"/>
      </w:pPr>
      <w:r>
        <w:rPr>
          <w:rStyle w:val="FootnoteReference"/>
        </w:rPr>
        <w:footnoteRef/>
      </w:r>
      <w:r>
        <w:t xml:space="preserve"> </w:t>
      </w:r>
      <w:r w:rsidRPr="002B7698">
        <w:t>http://guides.dss.gov.au/guide-social-security-law/1/1/s/430</w:t>
      </w:r>
    </w:p>
  </w:footnote>
  <w:footnote w:id="2">
    <w:p w14:paraId="788017D9" w14:textId="77777777" w:rsidR="00BF08A6" w:rsidRDefault="00BF08A6">
      <w:pPr>
        <w:pStyle w:val="FootnoteText"/>
      </w:pPr>
      <w:r>
        <w:rPr>
          <w:rStyle w:val="FootnoteReference"/>
        </w:rPr>
        <w:footnoteRef/>
      </w:r>
      <w:r>
        <w:t xml:space="preserve"> BuyAbility Impact Tool July 2017 Report  </w:t>
      </w:r>
    </w:p>
  </w:footnote>
  <w:footnote w:id="3">
    <w:p w14:paraId="651FE01C" w14:textId="77777777" w:rsidR="00BF08A6" w:rsidRDefault="00BF08A6" w:rsidP="00B13BC4">
      <w:pPr>
        <w:pStyle w:val="FootnoteText"/>
      </w:pPr>
      <w:r>
        <w:rPr>
          <w:rStyle w:val="FootnoteReference"/>
        </w:rPr>
        <w:footnoteRef/>
      </w:r>
      <w:r>
        <w:t xml:space="preserve"> BuyAbility Impact Tool July 2017 Report  </w:t>
      </w:r>
    </w:p>
  </w:footnote>
  <w:footnote w:id="4">
    <w:p w14:paraId="12E5765B" w14:textId="77777777" w:rsidR="00BF08A6" w:rsidRDefault="00BF08A6">
      <w:pPr>
        <w:pStyle w:val="FootnoteText"/>
      </w:pPr>
      <w:r>
        <w:rPr>
          <w:rStyle w:val="FootnoteReference"/>
        </w:rPr>
        <w:footnoteRef/>
      </w:r>
      <w:r>
        <w:t xml:space="preserve"> BuyAbility Impact Tool July 2017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7456"/>
    <w:multiLevelType w:val="hybridMultilevel"/>
    <w:tmpl w:val="5D1C69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EC215A"/>
    <w:multiLevelType w:val="hybridMultilevel"/>
    <w:tmpl w:val="59CEC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63398"/>
    <w:multiLevelType w:val="hybridMultilevel"/>
    <w:tmpl w:val="0C50D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A1CB0"/>
    <w:multiLevelType w:val="hybridMultilevel"/>
    <w:tmpl w:val="8E9EC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736390"/>
    <w:multiLevelType w:val="hybridMultilevel"/>
    <w:tmpl w:val="CE4E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1738B"/>
    <w:multiLevelType w:val="hybridMultilevel"/>
    <w:tmpl w:val="B8D2FB1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6AF7BEA"/>
    <w:multiLevelType w:val="hybridMultilevel"/>
    <w:tmpl w:val="31947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D86C0F"/>
    <w:multiLevelType w:val="hybridMultilevel"/>
    <w:tmpl w:val="D5BC4D38"/>
    <w:lvl w:ilvl="0" w:tplc="7A385A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2959B8"/>
    <w:multiLevelType w:val="hybridMultilevel"/>
    <w:tmpl w:val="50B47E00"/>
    <w:lvl w:ilvl="0" w:tplc="38AC6C80">
      <w:start w:val="1"/>
      <w:numFmt w:val="bullet"/>
      <w:lvlText w:val=""/>
      <w:lvlJc w:val="left"/>
      <w:pPr>
        <w:ind w:left="3763" w:hanging="360"/>
      </w:pPr>
      <w:rPr>
        <w:rFonts w:ascii="Symbol" w:hAnsi="Symbol" w:hint="default"/>
        <w:sz w:val="22"/>
        <w:szCs w:val="22"/>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10" w15:restartNumberingAfterBreak="0">
    <w:nsid w:val="563D3CC8"/>
    <w:multiLevelType w:val="hybridMultilevel"/>
    <w:tmpl w:val="EB747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233516"/>
    <w:multiLevelType w:val="hybridMultilevel"/>
    <w:tmpl w:val="84FA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5E5155"/>
    <w:multiLevelType w:val="hybridMultilevel"/>
    <w:tmpl w:val="CB9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A2653E"/>
    <w:multiLevelType w:val="hybridMultilevel"/>
    <w:tmpl w:val="828C93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2A76FD"/>
    <w:multiLevelType w:val="hybridMultilevel"/>
    <w:tmpl w:val="5D1C69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0"/>
  </w:num>
  <w:num w:numId="5">
    <w:abstractNumId w:val="13"/>
  </w:num>
  <w:num w:numId="6">
    <w:abstractNumId w:val="1"/>
  </w:num>
  <w:num w:numId="7">
    <w:abstractNumId w:val="14"/>
  </w:num>
  <w:num w:numId="8">
    <w:abstractNumId w:val="7"/>
  </w:num>
  <w:num w:numId="9">
    <w:abstractNumId w:val="6"/>
  </w:num>
  <w:num w:numId="10">
    <w:abstractNumId w:val="4"/>
  </w:num>
  <w:num w:numId="11">
    <w:abstractNumId w:val="11"/>
  </w:num>
  <w:num w:numId="12">
    <w:abstractNumId w:val="3"/>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9"/>
    <w:rsid w:val="00006FC0"/>
    <w:rsid w:val="00083F7F"/>
    <w:rsid w:val="00097785"/>
    <w:rsid w:val="000D0566"/>
    <w:rsid w:val="000F1C26"/>
    <w:rsid w:val="001612E9"/>
    <w:rsid w:val="0019408C"/>
    <w:rsid w:val="00197CB1"/>
    <w:rsid w:val="001B177A"/>
    <w:rsid w:val="001C1E63"/>
    <w:rsid w:val="002152F2"/>
    <w:rsid w:val="002303F9"/>
    <w:rsid w:val="00232806"/>
    <w:rsid w:val="00256E18"/>
    <w:rsid w:val="002807F5"/>
    <w:rsid w:val="002B7698"/>
    <w:rsid w:val="00306F44"/>
    <w:rsid w:val="003130D2"/>
    <w:rsid w:val="00393EAE"/>
    <w:rsid w:val="003E1FB4"/>
    <w:rsid w:val="003F32C4"/>
    <w:rsid w:val="0047217B"/>
    <w:rsid w:val="00484D2A"/>
    <w:rsid w:val="0049480B"/>
    <w:rsid w:val="004A0FB8"/>
    <w:rsid w:val="004C7F54"/>
    <w:rsid w:val="005176A0"/>
    <w:rsid w:val="005451BC"/>
    <w:rsid w:val="00555CFE"/>
    <w:rsid w:val="005B2FCE"/>
    <w:rsid w:val="005D27A7"/>
    <w:rsid w:val="006337D2"/>
    <w:rsid w:val="00683C55"/>
    <w:rsid w:val="006C209E"/>
    <w:rsid w:val="00721A1E"/>
    <w:rsid w:val="00792866"/>
    <w:rsid w:val="007A5F24"/>
    <w:rsid w:val="007B0ABA"/>
    <w:rsid w:val="007C36F5"/>
    <w:rsid w:val="007C7760"/>
    <w:rsid w:val="007F04E4"/>
    <w:rsid w:val="008413EA"/>
    <w:rsid w:val="00850F60"/>
    <w:rsid w:val="00873932"/>
    <w:rsid w:val="008817F9"/>
    <w:rsid w:val="008A3B9E"/>
    <w:rsid w:val="008D6742"/>
    <w:rsid w:val="008D704B"/>
    <w:rsid w:val="008F5007"/>
    <w:rsid w:val="00915000"/>
    <w:rsid w:val="009257A2"/>
    <w:rsid w:val="00930FDD"/>
    <w:rsid w:val="009341AA"/>
    <w:rsid w:val="00944622"/>
    <w:rsid w:val="00951FE4"/>
    <w:rsid w:val="00956EDE"/>
    <w:rsid w:val="00983F31"/>
    <w:rsid w:val="00984248"/>
    <w:rsid w:val="00992EF2"/>
    <w:rsid w:val="00995A96"/>
    <w:rsid w:val="009D1449"/>
    <w:rsid w:val="009D2CDF"/>
    <w:rsid w:val="009D44AF"/>
    <w:rsid w:val="00A11941"/>
    <w:rsid w:val="00A24ED9"/>
    <w:rsid w:val="00A47C1F"/>
    <w:rsid w:val="00A679FD"/>
    <w:rsid w:val="00A87B24"/>
    <w:rsid w:val="00AE36D9"/>
    <w:rsid w:val="00AF3D4A"/>
    <w:rsid w:val="00B13BC4"/>
    <w:rsid w:val="00B33DBF"/>
    <w:rsid w:val="00BA2F36"/>
    <w:rsid w:val="00BA44AF"/>
    <w:rsid w:val="00BD230B"/>
    <w:rsid w:val="00BD795B"/>
    <w:rsid w:val="00BF08A6"/>
    <w:rsid w:val="00C06C3B"/>
    <w:rsid w:val="00C23C0A"/>
    <w:rsid w:val="00C41633"/>
    <w:rsid w:val="00C43D58"/>
    <w:rsid w:val="00C440BF"/>
    <w:rsid w:val="00CB5401"/>
    <w:rsid w:val="00D266E5"/>
    <w:rsid w:val="00D4169E"/>
    <w:rsid w:val="00D53FBF"/>
    <w:rsid w:val="00D618FE"/>
    <w:rsid w:val="00D630DD"/>
    <w:rsid w:val="00D714D5"/>
    <w:rsid w:val="00DB03F3"/>
    <w:rsid w:val="00E11FFF"/>
    <w:rsid w:val="00E248B2"/>
    <w:rsid w:val="00E61859"/>
    <w:rsid w:val="00E80325"/>
    <w:rsid w:val="00E86C79"/>
    <w:rsid w:val="00EA40E8"/>
    <w:rsid w:val="00EA6AD9"/>
    <w:rsid w:val="00EE040D"/>
    <w:rsid w:val="00F33D06"/>
    <w:rsid w:val="00FA047D"/>
    <w:rsid w:val="00FB6D82"/>
    <w:rsid w:val="00FE2F2D"/>
    <w:rsid w:val="00FE7D37"/>
    <w:rsid w:val="00FF7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EBA4"/>
  <w15:docId w15:val="{8E917FA2-80B1-40BF-BCDF-DD6A417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2"/>
    <w:unhideWhenUsed/>
    <w:qFormat/>
    <w:rsid w:val="002807F5"/>
    <w:pPr>
      <w:spacing w:before="240" w:after="120" w:line="240" w:lineRule="auto"/>
      <w:outlineLvl w:val="1"/>
    </w:pPr>
    <w:rPr>
      <w:rFonts w:ascii="Georgia" w:eastAsiaTheme="majorEastAsia" w:hAnsi="Georgia" w:cstheme="majorBidi"/>
      <w:bCs/>
      <w:color w:val="005A70"/>
      <w:spacing w:val="4"/>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2807F5"/>
    <w:rPr>
      <w:rFonts w:ascii="Georgia" w:eastAsiaTheme="majorEastAsia" w:hAnsi="Georgia" w:cstheme="majorBidi"/>
      <w:bCs/>
      <w:color w:val="005A70"/>
      <w:spacing w:val="4"/>
      <w:sz w:val="32"/>
      <w:szCs w:val="26"/>
      <w:lang w:eastAsia="en-AU"/>
    </w:rPr>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2807F5"/>
    <w:pPr>
      <w:spacing w:before="120" w:after="180" w:line="280" w:lineRule="atLeast"/>
      <w:ind w:left="720"/>
      <w:contextualSpacing/>
    </w:pPr>
    <w:rPr>
      <w:rFonts w:ascii="Arial" w:eastAsia="Times New Roman" w:hAnsi="Arial" w:cs="Times New Roman"/>
      <w:spacing w:val="4"/>
      <w:sz w:val="24"/>
      <w:szCs w:val="24"/>
      <w:lang w:eastAsia="en-AU"/>
    </w:r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2807F5"/>
    <w:rPr>
      <w:rFonts w:ascii="Arial" w:eastAsia="Times New Roman" w:hAnsi="Arial" w:cs="Times New Roman"/>
      <w:spacing w:val="4"/>
      <w:sz w:val="24"/>
      <w:szCs w:val="24"/>
      <w:lang w:eastAsia="en-AU"/>
    </w:rPr>
  </w:style>
  <w:style w:type="paragraph" w:styleId="Header">
    <w:name w:val="header"/>
    <w:basedOn w:val="Normal"/>
    <w:link w:val="HeaderChar"/>
    <w:uiPriority w:val="99"/>
    <w:unhideWhenUsed/>
    <w:rsid w:val="00E2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B2"/>
  </w:style>
  <w:style w:type="paragraph" w:styleId="Footer">
    <w:name w:val="footer"/>
    <w:basedOn w:val="Normal"/>
    <w:link w:val="FooterChar"/>
    <w:uiPriority w:val="99"/>
    <w:unhideWhenUsed/>
    <w:rsid w:val="00E2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B2"/>
  </w:style>
  <w:style w:type="paragraph" w:styleId="FootnoteText">
    <w:name w:val="footnote text"/>
    <w:basedOn w:val="Normal"/>
    <w:link w:val="FootnoteTextChar"/>
    <w:uiPriority w:val="99"/>
    <w:semiHidden/>
    <w:unhideWhenUsed/>
    <w:rsid w:val="002B7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698"/>
    <w:rPr>
      <w:sz w:val="20"/>
      <w:szCs w:val="20"/>
    </w:rPr>
  </w:style>
  <w:style w:type="character" w:styleId="FootnoteReference">
    <w:name w:val="footnote reference"/>
    <w:basedOn w:val="DefaultParagraphFont"/>
    <w:uiPriority w:val="99"/>
    <w:semiHidden/>
    <w:unhideWhenUsed/>
    <w:rsid w:val="002B7698"/>
    <w:rPr>
      <w:vertAlign w:val="superscript"/>
    </w:rPr>
  </w:style>
  <w:style w:type="character" w:styleId="CommentReference">
    <w:name w:val="annotation reference"/>
    <w:basedOn w:val="DefaultParagraphFont"/>
    <w:uiPriority w:val="99"/>
    <w:semiHidden/>
    <w:unhideWhenUsed/>
    <w:rsid w:val="00792866"/>
    <w:rPr>
      <w:sz w:val="16"/>
      <w:szCs w:val="16"/>
    </w:rPr>
  </w:style>
  <w:style w:type="paragraph" w:styleId="CommentText">
    <w:name w:val="annotation text"/>
    <w:basedOn w:val="Normal"/>
    <w:link w:val="CommentTextChar"/>
    <w:uiPriority w:val="99"/>
    <w:semiHidden/>
    <w:unhideWhenUsed/>
    <w:rsid w:val="00792866"/>
    <w:pPr>
      <w:spacing w:line="240" w:lineRule="auto"/>
    </w:pPr>
    <w:rPr>
      <w:sz w:val="20"/>
      <w:szCs w:val="20"/>
    </w:rPr>
  </w:style>
  <w:style w:type="character" w:customStyle="1" w:styleId="CommentTextChar">
    <w:name w:val="Comment Text Char"/>
    <w:basedOn w:val="DefaultParagraphFont"/>
    <w:link w:val="CommentText"/>
    <w:uiPriority w:val="99"/>
    <w:semiHidden/>
    <w:rsid w:val="00792866"/>
    <w:rPr>
      <w:sz w:val="20"/>
      <w:szCs w:val="20"/>
    </w:rPr>
  </w:style>
  <w:style w:type="paragraph" w:styleId="CommentSubject">
    <w:name w:val="annotation subject"/>
    <w:basedOn w:val="CommentText"/>
    <w:next w:val="CommentText"/>
    <w:link w:val="CommentSubjectChar"/>
    <w:uiPriority w:val="99"/>
    <w:semiHidden/>
    <w:unhideWhenUsed/>
    <w:rsid w:val="00792866"/>
    <w:rPr>
      <w:b/>
      <w:bCs/>
    </w:rPr>
  </w:style>
  <w:style w:type="character" w:customStyle="1" w:styleId="CommentSubjectChar">
    <w:name w:val="Comment Subject Char"/>
    <w:basedOn w:val="CommentTextChar"/>
    <w:link w:val="CommentSubject"/>
    <w:uiPriority w:val="99"/>
    <w:semiHidden/>
    <w:rsid w:val="00792866"/>
    <w:rPr>
      <w:b/>
      <w:bCs/>
      <w:sz w:val="20"/>
      <w:szCs w:val="20"/>
    </w:rPr>
  </w:style>
  <w:style w:type="paragraph" w:styleId="BalloonText">
    <w:name w:val="Balloon Text"/>
    <w:basedOn w:val="Normal"/>
    <w:link w:val="BalloonTextChar"/>
    <w:uiPriority w:val="99"/>
    <w:semiHidden/>
    <w:unhideWhenUsed/>
    <w:rsid w:val="0079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6"/>
    <w:rPr>
      <w:rFonts w:ascii="Tahoma" w:hAnsi="Tahoma" w:cs="Tahoma"/>
      <w:sz w:val="16"/>
      <w:szCs w:val="16"/>
    </w:rPr>
  </w:style>
  <w:style w:type="character" w:styleId="Hyperlink">
    <w:name w:val="Hyperlink"/>
    <w:basedOn w:val="DefaultParagraphFont"/>
    <w:uiPriority w:val="99"/>
    <w:unhideWhenUsed/>
    <w:rsid w:val="00BF08A6"/>
    <w:rPr>
      <w:color w:val="0563C1" w:themeColor="hyperlink"/>
      <w:u w:val="single"/>
    </w:rPr>
  </w:style>
  <w:style w:type="character" w:customStyle="1" w:styleId="UnresolvedMention1">
    <w:name w:val="Unresolved Mention1"/>
    <w:basedOn w:val="DefaultParagraphFont"/>
    <w:uiPriority w:val="99"/>
    <w:semiHidden/>
    <w:unhideWhenUsed/>
    <w:rsid w:val="00BF0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t@colony47.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E927-F88D-4F25-8C7D-970EB097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Todeschini</dc:creator>
  <cp:lastModifiedBy>Kevin Todeschini</cp:lastModifiedBy>
  <cp:revision>3</cp:revision>
  <dcterms:created xsi:type="dcterms:W3CDTF">2018-03-06T23:47:00Z</dcterms:created>
  <dcterms:modified xsi:type="dcterms:W3CDTF">2018-03-06T23:49:00Z</dcterms:modified>
</cp:coreProperties>
</file>