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C8" w:rsidRPr="00D7565C" w:rsidRDefault="007C7FC8" w:rsidP="007C7FC8">
      <w:pPr>
        <w:pStyle w:val="Title"/>
        <w:spacing w:before="10200"/>
        <w:rPr>
          <w:b w:val="0"/>
          <w:sz w:val="56"/>
        </w:rPr>
      </w:pPr>
      <w:r>
        <w:rPr>
          <w:b w:val="0"/>
          <w:sz w:val="56"/>
        </w:rPr>
        <w:t>Integrated Carer Support Service: Regional Delivery Partners</w:t>
      </w:r>
    </w:p>
    <w:p w:rsidR="00AD7CDC" w:rsidRPr="00481898" w:rsidRDefault="007C7FC8" w:rsidP="00481898">
      <w:pPr>
        <w:rPr>
          <w:color w:val="2E74B5" w:themeColor="accent1" w:themeShade="BF"/>
          <w:sz w:val="32"/>
          <w:szCs w:val="32"/>
        </w:rPr>
      </w:pPr>
      <w:bookmarkStart w:id="0" w:name="_Toc503529684"/>
      <w:r w:rsidRPr="00481898">
        <w:rPr>
          <w:color w:val="2E74B5" w:themeColor="accent1" w:themeShade="BF"/>
          <w:sz w:val="32"/>
          <w:szCs w:val="32"/>
        </w:rPr>
        <w:t>A draft on the regional delivery model</w:t>
      </w:r>
      <w:bookmarkEnd w:id="0"/>
    </w:p>
    <w:p w:rsidR="00B514E7" w:rsidRDefault="00B514E7">
      <w:pPr>
        <w:rPr>
          <w:rFonts w:eastAsia="Times New Roman"/>
          <w:lang w:eastAsia="en-AU"/>
        </w:rPr>
      </w:pPr>
      <w:r>
        <w:rPr>
          <w:rFonts w:eastAsia="Times New Roman"/>
          <w:lang w:eastAsia="en-AU"/>
        </w:rPr>
        <w:br w:type="page"/>
      </w:r>
    </w:p>
    <w:p w:rsidR="00871FED" w:rsidRPr="00C26D3D" w:rsidRDefault="007C7FC8" w:rsidP="004A5883">
      <w:pPr>
        <w:spacing w:after="0" w:line="240" w:lineRule="auto"/>
        <w:rPr>
          <w:rFonts w:eastAsia="Times New Roman"/>
          <w:lang w:eastAsia="en-AU"/>
        </w:rPr>
      </w:pPr>
      <w:r>
        <w:rPr>
          <w:rFonts w:eastAsia="Times New Roman"/>
          <w:lang w:eastAsia="en-AU"/>
        </w:rPr>
        <w:lastRenderedPageBreak/>
        <w:t>© Commonwealth of Australia 2018</w:t>
      </w:r>
    </w:p>
    <w:p w:rsidR="00871FED" w:rsidRPr="00C26D3D" w:rsidRDefault="00871FED" w:rsidP="004A5883">
      <w:pPr>
        <w:spacing w:after="0" w:line="240" w:lineRule="auto"/>
        <w:rPr>
          <w:rFonts w:eastAsia="Times New Roman"/>
          <w:lang w:eastAsia="en-AU"/>
        </w:rPr>
      </w:pPr>
      <w:r w:rsidRPr="00C26D3D">
        <w:rPr>
          <w:rFonts w:eastAsia="Times New Roman"/>
          <w:lang w:eastAsia="en-AU"/>
        </w:rPr>
        <w:t>Department of Social Services</w:t>
      </w:r>
    </w:p>
    <w:p w:rsidR="00871FED" w:rsidRDefault="00871FED" w:rsidP="008D72E1">
      <w:pPr>
        <w:spacing w:line="240" w:lineRule="auto"/>
        <w:rPr>
          <w:rFonts w:eastAsia="Times New Roman"/>
          <w:lang w:eastAsia="en-AU"/>
        </w:rPr>
      </w:pPr>
      <w:r w:rsidRPr="00C26D3D">
        <w:rPr>
          <w:rFonts w:eastAsia="Times New Roman"/>
          <w:lang w:eastAsia="en-AU"/>
        </w:rPr>
        <w:t>Tuggeranong, Canberra ACT</w:t>
      </w:r>
    </w:p>
    <w:p w:rsidR="00871FED" w:rsidRDefault="00871FED" w:rsidP="00871FED">
      <w:pPr>
        <w:spacing w:line="240" w:lineRule="auto"/>
        <w:rPr>
          <w:rFonts w:eastAsia="Times New Roman"/>
          <w:lang w:eastAsia="en-AU"/>
        </w:rPr>
      </w:pPr>
      <w:r>
        <w:rPr>
          <w:noProof/>
          <w:lang w:eastAsia="en-AU"/>
        </w:rPr>
        <w:drawing>
          <wp:inline distT="0" distB="0" distL="0" distR="0" wp14:anchorId="2EB1C417" wp14:editId="74BC61D8">
            <wp:extent cx="1446530" cy="510540"/>
            <wp:effectExtent l="0" t="0" r="1270" b="3810"/>
            <wp:docPr id="12" name="Picture 12" descr="Creative Commons standar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46530" cy="510540"/>
                    </a:xfrm>
                    <a:prstGeom prst="rect">
                      <a:avLst/>
                    </a:prstGeom>
                  </pic:spPr>
                </pic:pic>
              </a:graphicData>
            </a:graphic>
          </wp:inline>
        </w:drawing>
      </w:r>
    </w:p>
    <w:p w:rsidR="00871FED" w:rsidRDefault="00871FED" w:rsidP="00871FED">
      <w:pPr>
        <w:spacing w:after="600" w:line="240" w:lineRule="auto"/>
        <w:rPr>
          <w:rFonts w:eastAsia="Times New Roman"/>
          <w:lang w:eastAsia="en-AU"/>
        </w:rPr>
      </w:pPr>
      <w:r w:rsidRPr="00C26D3D">
        <w:rPr>
          <w:rFonts w:eastAsia="Times New Roman"/>
          <w:lang w:eastAsia="en-AU"/>
        </w:rPr>
        <w:t>With the exception of the Commonwealth Coat of Arms, all material presented under a Creative Commons Attribution 3.0 Australia licence (</w:t>
      </w:r>
      <w:hyperlink r:id="rId9" w:history="1">
        <w:r w:rsidRPr="00C26D3D">
          <w:rPr>
            <w:rStyle w:val="Hyperlink"/>
            <w:rFonts w:eastAsia="Times New Roman"/>
            <w:lang w:eastAsia="en-AU"/>
          </w:rPr>
          <w:t>www.creativecommons.org/licenses/by/3.0/au</w:t>
        </w:r>
      </w:hyperlink>
      <w:r w:rsidRPr="00C26D3D">
        <w:rPr>
          <w:rFonts w:eastAsia="Times New Roman"/>
          <w:lang w:eastAsia="en-AU"/>
        </w:rPr>
        <w:t xml:space="preserve">). </w:t>
      </w:r>
    </w:p>
    <w:p w:rsidR="00871FED" w:rsidRPr="00C26D3D" w:rsidRDefault="00871FED" w:rsidP="00871FED">
      <w:pPr>
        <w:spacing w:after="600" w:line="240" w:lineRule="auto"/>
        <w:rPr>
          <w:rFonts w:eastAsia="Times New Roman"/>
          <w:lang w:eastAsia="en-AU"/>
        </w:rPr>
      </w:pPr>
      <w:r w:rsidRPr="00C26D3D">
        <w:rPr>
          <w:rFonts w:eastAsia="Times New Roman"/>
          <w:lang w:eastAsia="en-AU"/>
        </w:rPr>
        <w:t>The details of the relevant licence conditions are available on the Creative Commons website (accessible using the links provided).</w:t>
      </w:r>
    </w:p>
    <w:p w:rsidR="00871FED" w:rsidRDefault="00871FED" w:rsidP="00871FED">
      <w:pPr>
        <w:spacing w:line="240" w:lineRule="auto"/>
        <w:rPr>
          <w:rFonts w:eastAsia="Times New Roman"/>
          <w:lang w:eastAsia="en-AU"/>
        </w:rPr>
      </w:pPr>
      <w:r w:rsidRPr="00C26D3D">
        <w:rPr>
          <w:rFonts w:eastAsia="Times New Roman"/>
          <w:lang w:eastAsia="en-AU"/>
        </w:rPr>
        <w:t>This document m</w:t>
      </w:r>
      <w:r>
        <w:rPr>
          <w:rFonts w:eastAsia="Times New Roman"/>
          <w:lang w:eastAsia="en-AU"/>
        </w:rPr>
        <w:t>ust be attributed as:</w:t>
      </w:r>
      <w:r w:rsidRPr="00C26D3D">
        <w:rPr>
          <w:rFonts w:eastAsia="Times New Roman"/>
          <w:lang w:eastAsia="en-AU"/>
        </w:rPr>
        <w:t xml:space="preserve"> </w:t>
      </w:r>
    </w:p>
    <w:p w:rsidR="00871FED" w:rsidRPr="00871FED" w:rsidRDefault="007C7FC8" w:rsidP="00871FED">
      <w:pPr>
        <w:spacing w:line="240" w:lineRule="auto"/>
        <w:ind w:left="426" w:right="380"/>
        <w:rPr>
          <w:rFonts w:eastAsia="Times New Roman"/>
          <w:i/>
          <w:lang w:eastAsia="en-AU"/>
        </w:rPr>
      </w:pPr>
      <w:r w:rsidRPr="003A347E">
        <w:rPr>
          <w:rFonts w:eastAsia="Times New Roman"/>
          <w:i/>
          <w:lang w:eastAsia="en-AU"/>
        </w:rPr>
        <w:t>Dep</w:t>
      </w:r>
      <w:r>
        <w:rPr>
          <w:rFonts w:eastAsia="Times New Roman"/>
          <w:i/>
          <w:lang w:eastAsia="en-AU"/>
        </w:rPr>
        <w:t>artment of Social Services. 2018</w:t>
      </w:r>
      <w:r w:rsidRPr="003A347E">
        <w:rPr>
          <w:rFonts w:eastAsia="Times New Roman"/>
          <w:i/>
          <w:lang w:eastAsia="en-AU"/>
        </w:rPr>
        <w:t xml:space="preserve">. </w:t>
      </w:r>
      <w:r>
        <w:rPr>
          <w:rFonts w:eastAsia="Times New Roman"/>
          <w:i/>
          <w:lang w:eastAsia="en-AU"/>
        </w:rPr>
        <w:t>Integrated Carer Support Service: Regional Delivery Partners: A draft regional delivery model</w:t>
      </w:r>
      <w:r w:rsidRPr="003A347E">
        <w:rPr>
          <w:rFonts w:eastAsia="Times New Roman"/>
          <w:i/>
          <w:lang w:eastAsia="en-AU"/>
        </w:rPr>
        <w:t>, Australian Government, Canberra</w:t>
      </w:r>
      <w:r w:rsidR="00871FED" w:rsidRPr="003A347E">
        <w:rPr>
          <w:rFonts w:eastAsia="Times New Roman"/>
          <w:i/>
          <w:lang w:eastAsia="en-AU"/>
        </w:rPr>
        <w:t>.</w:t>
      </w:r>
      <w:r w:rsidR="00871FED">
        <w:br w:type="page"/>
      </w:r>
    </w:p>
    <w:sdt>
      <w:sdtPr>
        <w:rPr>
          <w:rFonts w:asciiTheme="minorHAnsi" w:eastAsiaTheme="minorHAnsi" w:hAnsiTheme="minorHAnsi" w:cstheme="minorBidi"/>
          <w:color w:val="auto"/>
          <w:sz w:val="22"/>
          <w:szCs w:val="22"/>
          <w:lang w:val="en-AU"/>
        </w:rPr>
        <w:id w:val="238529382"/>
        <w:docPartObj>
          <w:docPartGallery w:val="Table of Contents"/>
          <w:docPartUnique/>
        </w:docPartObj>
      </w:sdtPr>
      <w:sdtEndPr>
        <w:rPr>
          <w:b/>
          <w:bCs/>
          <w:noProof/>
        </w:rPr>
      </w:sdtEndPr>
      <w:sdtContent>
        <w:p w:rsidR="00C1287C" w:rsidRDefault="00C1287C">
          <w:pPr>
            <w:pStyle w:val="TOCHeading"/>
          </w:pPr>
          <w:r>
            <w:t>Contents</w:t>
          </w:r>
        </w:p>
        <w:p w:rsidR="00755462" w:rsidRDefault="00755462" w:rsidP="007A24A2">
          <w:pPr>
            <w:pStyle w:val="TOC1"/>
            <w:rPr>
              <w:noProof w:val="0"/>
            </w:rPr>
          </w:pPr>
        </w:p>
        <w:p w:rsidR="00965A07" w:rsidRDefault="00C1287C">
          <w:pPr>
            <w:pStyle w:val="TOC1"/>
            <w:rPr>
              <w:rFonts w:eastAsiaTheme="minorEastAsia"/>
              <w:b w:val="0"/>
              <w:lang w:eastAsia="en-AU"/>
            </w:rPr>
          </w:pPr>
          <w:r>
            <w:rPr>
              <w:noProof w:val="0"/>
            </w:rPr>
            <w:fldChar w:fldCharType="begin"/>
          </w:r>
          <w:r>
            <w:instrText xml:space="preserve"> TOC \o "1-3" \h \z \u </w:instrText>
          </w:r>
          <w:r>
            <w:rPr>
              <w:noProof w:val="0"/>
            </w:rPr>
            <w:fldChar w:fldCharType="separate"/>
          </w:r>
          <w:hyperlink w:anchor="_Toc509403393" w:history="1">
            <w:r w:rsidR="00965A07" w:rsidRPr="00A43921">
              <w:rPr>
                <w:rStyle w:val="Hyperlink"/>
              </w:rPr>
              <w:t>1 Overview</w:t>
            </w:r>
            <w:r w:rsidR="00965A07">
              <w:rPr>
                <w:webHidden/>
              </w:rPr>
              <w:tab/>
            </w:r>
            <w:r w:rsidR="00965A07">
              <w:rPr>
                <w:webHidden/>
              </w:rPr>
              <w:fldChar w:fldCharType="begin"/>
            </w:r>
            <w:r w:rsidR="00965A07">
              <w:rPr>
                <w:webHidden/>
              </w:rPr>
              <w:instrText xml:space="preserve"> PAGEREF _Toc509403393 \h </w:instrText>
            </w:r>
            <w:r w:rsidR="00965A07">
              <w:rPr>
                <w:webHidden/>
              </w:rPr>
            </w:r>
            <w:r w:rsidR="00965A07">
              <w:rPr>
                <w:webHidden/>
              </w:rPr>
              <w:fldChar w:fldCharType="separate"/>
            </w:r>
            <w:r w:rsidR="00FB5236">
              <w:rPr>
                <w:webHidden/>
              </w:rPr>
              <w:t>4</w:t>
            </w:r>
            <w:r w:rsidR="00965A07">
              <w:rPr>
                <w:webHidden/>
              </w:rPr>
              <w:fldChar w:fldCharType="end"/>
            </w:r>
          </w:hyperlink>
        </w:p>
        <w:p w:rsidR="00965A07" w:rsidRDefault="004D00FF">
          <w:pPr>
            <w:pStyle w:val="TOC2"/>
            <w:tabs>
              <w:tab w:val="right" w:leader="dot" w:pos="9017"/>
            </w:tabs>
            <w:rPr>
              <w:rFonts w:eastAsiaTheme="minorEastAsia"/>
              <w:noProof/>
              <w:lang w:eastAsia="en-AU"/>
            </w:rPr>
          </w:pPr>
          <w:hyperlink w:anchor="_Toc509403394" w:history="1">
            <w:r w:rsidR="00965A07" w:rsidRPr="00A43921">
              <w:rPr>
                <w:rStyle w:val="Hyperlink"/>
                <w:noProof/>
              </w:rPr>
              <w:t>Purpose</w:t>
            </w:r>
            <w:r w:rsidR="00965A07">
              <w:rPr>
                <w:noProof/>
                <w:webHidden/>
              </w:rPr>
              <w:tab/>
            </w:r>
            <w:r w:rsidR="00965A07">
              <w:rPr>
                <w:noProof/>
                <w:webHidden/>
              </w:rPr>
              <w:fldChar w:fldCharType="begin"/>
            </w:r>
            <w:r w:rsidR="00965A07">
              <w:rPr>
                <w:noProof/>
                <w:webHidden/>
              </w:rPr>
              <w:instrText xml:space="preserve"> PAGEREF _Toc509403394 \h </w:instrText>
            </w:r>
            <w:r w:rsidR="00965A07">
              <w:rPr>
                <w:noProof/>
                <w:webHidden/>
              </w:rPr>
            </w:r>
            <w:r w:rsidR="00965A07">
              <w:rPr>
                <w:noProof/>
                <w:webHidden/>
              </w:rPr>
              <w:fldChar w:fldCharType="separate"/>
            </w:r>
            <w:r w:rsidR="00FB5236">
              <w:rPr>
                <w:noProof/>
                <w:webHidden/>
              </w:rPr>
              <w:t>4</w:t>
            </w:r>
            <w:r w:rsidR="00965A07">
              <w:rPr>
                <w:noProof/>
                <w:webHidden/>
              </w:rPr>
              <w:fldChar w:fldCharType="end"/>
            </w:r>
          </w:hyperlink>
        </w:p>
        <w:p w:rsidR="00965A07" w:rsidRDefault="004D00FF">
          <w:pPr>
            <w:pStyle w:val="TOC2"/>
            <w:tabs>
              <w:tab w:val="right" w:leader="dot" w:pos="9017"/>
            </w:tabs>
            <w:rPr>
              <w:rFonts w:eastAsiaTheme="minorEastAsia"/>
              <w:noProof/>
              <w:lang w:eastAsia="en-AU"/>
            </w:rPr>
          </w:pPr>
          <w:hyperlink w:anchor="_Toc509403395" w:history="1">
            <w:r w:rsidR="00965A07" w:rsidRPr="00A43921">
              <w:rPr>
                <w:rStyle w:val="Hyperlink"/>
                <w:noProof/>
              </w:rPr>
              <w:t>Background</w:t>
            </w:r>
            <w:r w:rsidR="00965A07">
              <w:rPr>
                <w:noProof/>
                <w:webHidden/>
              </w:rPr>
              <w:tab/>
            </w:r>
            <w:r w:rsidR="00965A07">
              <w:rPr>
                <w:noProof/>
                <w:webHidden/>
              </w:rPr>
              <w:fldChar w:fldCharType="begin"/>
            </w:r>
            <w:r w:rsidR="00965A07">
              <w:rPr>
                <w:noProof/>
                <w:webHidden/>
              </w:rPr>
              <w:instrText xml:space="preserve"> PAGEREF _Toc509403395 \h </w:instrText>
            </w:r>
            <w:r w:rsidR="00965A07">
              <w:rPr>
                <w:noProof/>
                <w:webHidden/>
              </w:rPr>
            </w:r>
            <w:r w:rsidR="00965A07">
              <w:rPr>
                <w:noProof/>
                <w:webHidden/>
              </w:rPr>
              <w:fldChar w:fldCharType="separate"/>
            </w:r>
            <w:r w:rsidR="00FB5236">
              <w:rPr>
                <w:noProof/>
                <w:webHidden/>
              </w:rPr>
              <w:t>4</w:t>
            </w:r>
            <w:r w:rsidR="00965A07">
              <w:rPr>
                <w:noProof/>
                <w:webHidden/>
              </w:rPr>
              <w:fldChar w:fldCharType="end"/>
            </w:r>
          </w:hyperlink>
        </w:p>
        <w:p w:rsidR="00965A07" w:rsidRDefault="004D00FF">
          <w:pPr>
            <w:pStyle w:val="TOC2"/>
            <w:tabs>
              <w:tab w:val="right" w:leader="dot" w:pos="9017"/>
            </w:tabs>
            <w:rPr>
              <w:rFonts w:eastAsiaTheme="minorEastAsia"/>
              <w:noProof/>
              <w:lang w:eastAsia="en-AU"/>
            </w:rPr>
          </w:pPr>
          <w:hyperlink w:anchor="_Toc509403396" w:history="1">
            <w:r w:rsidR="00965A07" w:rsidRPr="00A43921">
              <w:rPr>
                <w:rStyle w:val="Hyperlink"/>
                <w:noProof/>
              </w:rPr>
              <w:t>Integrated Carer Support Service</w:t>
            </w:r>
            <w:r w:rsidR="00965A07">
              <w:rPr>
                <w:noProof/>
                <w:webHidden/>
              </w:rPr>
              <w:tab/>
            </w:r>
            <w:r w:rsidR="00965A07">
              <w:rPr>
                <w:noProof/>
                <w:webHidden/>
              </w:rPr>
              <w:fldChar w:fldCharType="begin"/>
            </w:r>
            <w:r w:rsidR="00965A07">
              <w:rPr>
                <w:noProof/>
                <w:webHidden/>
              </w:rPr>
              <w:instrText xml:space="preserve"> PAGEREF _Toc509403396 \h </w:instrText>
            </w:r>
            <w:r w:rsidR="00965A07">
              <w:rPr>
                <w:noProof/>
                <w:webHidden/>
              </w:rPr>
            </w:r>
            <w:r w:rsidR="00965A07">
              <w:rPr>
                <w:noProof/>
                <w:webHidden/>
              </w:rPr>
              <w:fldChar w:fldCharType="separate"/>
            </w:r>
            <w:r w:rsidR="00FB5236">
              <w:rPr>
                <w:noProof/>
                <w:webHidden/>
              </w:rPr>
              <w:t>4</w:t>
            </w:r>
            <w:r w:rsidR="00965A07">
              <w:rPr>
                <w:noProof/>
                <w:webHidden/>
              </w:rPr>
              <w:fldChar w:fldCharType="end"/>
            </w:r>
          </w:hyperlink>
        </w:p>
        <w:p w:rsidR="00965A07" w:rsidRDefault="004D00FF">
          <w:pPr>
            <w:pStyle w:val="TOC2"/>
            <w:tabs>
              <w:tab w:val="right" w:leader="dot" w:pos="9017"/>
            </w:tabs>
            <w:rPr>
              <w:rFonts w:eastAsiaTheme="minorEastAsia"/>
              <w:noProof/>
              <w:lang w:eastAsia="en-AU"/>
            </w:rPr>
          </w:pPr>
          <w:hyperlink w:anchor="_Toc509403397" w:history="1">
            <w:r w:rsidR="00965A07" w:rsidRPr="00A43921">
              <w:rPr>
                <w:rStyle w:val="Hyperlink"/>
                <w:noProof/>
              </w:rPr>
              <w:t>ICSS outcomes</w:t>
            </w:r>
            <w:r w:rsidR="00965A07">
              <w:rPr>
                <w:noProof/>
                <w:webHidden/>
              </w:rPr>
              <w:tab/>
            </w:r>
            <w:r w:rsidR="00965A07">
              <w:rPr>
                <w:noProof/>
                <w:webHidden/>
              </w:rPr>
              <w:fldChar w:fldCharType="begin"/>
            </w:r>
            <w:r w:rsidR="00965A07">
              <w:rPr>
                <w:noProof/>
                <w:webHidden/>
              </w:rPr>
              <w:instrText xml:space="preserve"> PAGEREF _Toc509403397 \h </w:instrText>
            </w:r>
            <w:r w:rsidR="00965A07">
              <w:rPr>
                <w:noProof/>
                <w:webHidden/>
              </w:rPr>
            </w:r>
            <w:r w:rsidR="00965A07">
              <w:rPr>
                <w:noProof/>
                <w:webHidden/>
              </w:rPr>
              <w:fldChar w:fldCharType="separate"/>
            </w:r>
            <w:r w:rsidR="00FB5236">
              <w:rPr>
                <w:noProof/>
                <w:webHidden/>
              </w:rPr>
              <w:t>5</w:t>
            </w:r>
            <w:r w:rsidR="00965A07">
              <w:rPr>
                <w:noProof/>
                <w:webHidden/>
              </w:rPr>
              <w:fldChar w:fldCharType="end"/>
            </w:r>
          </w:hyperlink>
        </w:p>
        <w:p w:rsidR="00965A07" w:rsidRDefault="004D00FF">
          <w:pPr>
            <w:pStyle w:val="TOC1"/>
            <w:rPr>
              <w:rFonts w:eastAsiaTheme="minorEastAsia"/>
              <w:b w:val="0"/>
              <w:lang w:eastAsia="en-AU"/>
            </w:rPr>
          </w:pPr>
          <w:hyperlink w:anchor="_Toc509403398" w:history="1">
            <w:r w:rsidR="00965A07" w:rsidRPr="00A43921">
              <w:rPr>
                <w:rStyle w:val="Hyperlink"/>
              </w:rPr>
              <w:t>2 Regional Delivery Partners</w:t>
            </w:r>
            <w:r w:rsidR="00965A07">
              <w:rPr>
                <w:webHidden/>
              </w:rPr>
              <w:tab/>
            </w:r>
            <w:r w:rsidR="00965A07">
              <w:rPr>
                <w:webHidden/>
              </w:rPr>
              <w:fldChar w:fldCharType="begin"/>
            </w:r>
            <w:r w:rsidR="00965A07">
              <w:rPr>
                <w:webHidden/>
              </w:rPr>
              <w:instrText xml:space="preserve"> PAGEREF _Toc509403398 \h </w:instrText>
            </w:r>
            <w:r w:rsidR="00965A07">
              <w:rPr>
                <w:webHidden/>
              </w:rPr>
            </w:r>
            <w:r w:rsidR="00965A07">
              <w:rPr>
                <w:webHidden/>
              </w:rPr>
              <w:fldChar w:fldCharType="separate"/>
            </w:r>
            <w:r w:rsidR="00FB5236">
              <w:rPr>
                <w:webHidden/>
              </w:rPr>
              <w:t>6</w:t>
            </w:r>
            <w:r w:rsidR="00965A07">
              <w:rPr>
                <w:webHidden/>
              </w:rPr>
              <w:fldChar w:fldCharType="end"/>
            </w:r>
          </w:hyperlink>
        </w:p>
        <w:p w:rsidR="00965A07" w:rsidRDefault="004D00FF">
          <w:pPr>
            <w:pStyle w:val="TOC2"/>
            <w:tabs>
              <w:tab w:val="right" w:leader="dot" w:pos="9017"/>
            </w:tabs>
            <w:rPr>
              <w:rFonts w:eastAsiaTheme="minorEastAsia"/>
              <w:noProof/>
              <w:lang w:eastAsia="en-AU"/>
            </w:rPr>
          </w:pPr>
          <w:hyperlink w:anchor="_Toc509403399" w:history="1">
            <w:r w:rsidR="00965A07" w:rsidRPr="00A43921">
              <w:rPr>
                <w:rStyle w:val="Hyperlink"/>
                <w:noProof/>
              </w:rPr>
              <w:t>Role and responsibilities</w:t>
            </w:r>
            <w:r w:rsidR="00965A07">
              <w:rPr>
                <w:noProof/>
                <w:webHidden/>
              </w:rPr>
              <w:tab/>
            </w:r>
            <w:r w:rsidR="00965A07">
              <w:rPr>
                <w:noProof/>
                <w:webHidden/>
              </w:rPr>
              <w:fldChar w:fldCharType="begin"/>
            </w:r>
            <w:r w:rsidR="00965A07">
              <w:rPr>
                <w:noProof/>
                <w:webHidden/>
              </w:rPr>
              <w:instrText xml:space="preserve"> PAGEREF _Toc509403399 \h </w:instrText>
            </w:r>
            <w:r w:rsidR="00965A07">
              <w:rPr>
                <w:noProof/>
                <w:webHidden/>
              </w:rPr>
            </w:r>
            <w:r w:rsidR="00965A07">
              <w:rPr>
                <w:noProof/>
                <w:webHidden/>
              </w:rPr>
              <w:fldChar w:fldCharType="separate"/>
            </w:r>
            <w:r w:rsidR="00FB5236">
              <w:rPr>
                <w:noProof/>
                <w:webHidden/>
              </w:rPr>
              <w:t>6</w:t>
            </w:r>
            <w:r w:rsidR="00965A07">
              <w:rPr>
                <w:noProof/>
                <w:webHidden/>
              </w:rPr>
              <w:fldChar w:fldCharType="end"/>
            </w:r>
          </w:hyperlink>
        </w:p>
        <w:p w:rsidR="00965A07" w:rsidRDefault="004D00FF">
          <w:pPr>
            <w:pStyle w:val="TOC2"/>
            <w:tabs>
              <w:tab w:val="right" w:leader="dot" w:pos="9017"/>
            </w:tabs>
            <w:rPr>
              <w:rFonts w:eastAsiaTheme="minorEastAsia"/>
              <w:noProof/>
              <w:lang w:eastAsia="en-AU"/>
            </w:rPr>
          </w:pPr>
          <w:hyperlink w:anchor="_Toc509403400" w:history="1">
            <w:r w:rsidR="00965A07" w:rsidRPr="00A43921">
              <w:rPr>
                <w:rStyle w:val="Hyperlink"/>
                <w:noProof/>
              </w:rPr>
              <w:t>Service offer</w:t>
            </w:r>
            <w:r w:rsidR="00965A07">
              <w:rPr>
                <w:noProof/>
                <w:webHidden/>
              </w:rPr>
              <w:tab/>
            </w:r>
            <w:r w:rsidR="00965A07">
              <w:rPr>
                <w:noProof/>
                <w:webHidden/>
              </w:rPr>
              <w:fldChar w:fldCharType="begin"/>
            </w:r>
            <w:r w:rsidR="00965A07">
              <w:rPr>
                <w:noProof/>
                <w:webHidden/>
              </w:rPr>
              <w:instrText xml:space="preserve"> PAGEREF _Toc509403400 \h </w:instrText>
            </w:r>
            <w:r w:rsidR="00965A07">
              <w:rPr>
                <w:noProof/>
                <w:webHidden/>
              </w:rPr>
            </w:r>
            <w:r w:rsidR="00965A07">
              <w:rPr>
                <w:noProof/>
                <w:webHidden/>
              </w:rPr>
              <w:fldChar w:fldCharType="separate"/>
            </w:r>
            <w:r w:rsidR="00FB5236">
              <w:rPr>
                <w:noProof/>
                <w:webHidden/>
              </w:rPr>
              <w:t>6</w:t>
            </w:r>
            <w:r w:rsidR="00965A07">
              <w:rPr>
                <w:noProof/>
                <w:webHidden/>
              </w:rPr>
              <w:fldChar w:fldCharType="end"/>
            </w:r>
          </w:hyperlink>
        </w:p>
        <w:p w:rsidR="00965A07" w:rsidRDefault="004D00FF">
          <w:pPr>
            <w:pStyle w:val="TOC1"/>
            <w:rPr>
              <w:rFonts w:eastAsiaTheme="minorEastAsia"/>
              <w:b w:val="0"/>
              <w:lang w:eastAsia="en-AU"/>
            </w:rPr>
          </w:pPr>
          <w:hyperlink w:anchor="_Toc509403401" w:history="1">
            <w:r w:rsidR="00965A07" w:rsidRPr="00A43921">
              <w:rPr>
                <w:rStyle w:val="Hyperlink"/>
              </w:rPr>
              <w:t>3 Service Areas</w:t>
            </w:r>
            <w:r w:rsidR="00965A07">
              <w:rPr>
                <w:webHidden/>
              </w:rPr>
              <w:tab/>
            </w:r>
            <w:r w:rsidR="00965A07">
              <w:rPr>
                <w:webHidden/>
              </w:rPr>
              <w:fldChar w:fldCharType="begin"/>
            </w:r>
            <w:r w:rsidR="00965A07">
              <w:rPr>
                <w:webHidden/>
              </w:rPr>
              <w:instrText xml:space="preserve"> PAGEREF _Toc509403401 \h </w:instrText>
            </w:r>
            <w:r w:rsidR="00965A07">
              <w:rPr>
                <w:webHidden/>
              </w:rPr>
            </w:r>
            <w:r w:rsidR="00965A07">
              <w:rPr>
                <w:webHidden/>
              </w:rPr>
              <w:fldChar w:fldCharType="separate"/>
            </w:r>
            <w:r w:rsidR="00FB5236">
              <w:rPr>
                <w:webHidden/>
              </w:rPr>
              <w:t>7</w:t>
            </w:r>
            <w:r w:rsidR="00965A07">
              <w:rPr>
                <w:webHidden/>
              </w:rPr>
              <w:fldChar w:fldCharType="end"/>
            </w:r>
          </w:hyperlink>
        </w:p>
        <w:p w:rsidR="00965A07" w:rsidRDefault="004D00FF">
          <w:pPr>
            <w:pStyle w:val="TOC2"/>
            <w:tabs>
              <w:tab w:val="right" w:leader="dot" w:pos="9017"/>
            </w:tabs>
            <w:rPr>
              <w:rFonts w:eastAsiaTheme="minorEastAsia"/>
              <w:noProof/>
              <w:lang w:eastAsia="en-AU"/>
            </w:rPr>
          </w:pPr>
          <w:hyperlink w:anchor="_Toc509403402" w:history="1">
            <w:r w:rsidR="00965A07" w:rsidRPr="00A43921">
              <w:rPr>
                <w:rStyle w:val="Hyperlink"/>
                <w:noProof/>
              </w:rPr>
              <w:t>Current model</w:t>
            </w:r>
            <w:r w:rsidR="00965A07">
              <w:rPr>
                <w:noProof/>
                <w:webHidden/>
              </w:rPr>
              <w:tab/>
            </w:r>
            <w:r w:rsidR="00965A07">
              <w:rPr>
                <w:noProof/>
                <w:webHidden/>
              </w:rPr>
              <w:fldChar w:fldCharType="begin"/>
            </w:r>
            <w:r w:rsidR="00965A07">
              <w:rPr>
                <w:noProof/>
                <w:webHidden/>
              </w:rPr>
              <w:instrText xml:space="preserve"> PAGEREF _Toc509403402 \h </w:instrText>
            </w:r>
            <w:r w:rsidR="00965A07">
              <w:rPr>
                <w:noProof/>
                <w:webHidden/>
              </w:rPr>
            </w:r>
            <w:r w:rsidR="00965A07">
              <w:rPr>
                <w:noProof/>
                <w:webHidden/>
              </w:rPr>
              <w:fldChar w:fldCharType="separate"/>
            </w:r>
            <w:r w:rsidR="00FB5236">
              <w:rPr>
                <w:noProof/>
                <w:webHidden/>
              </w:rPr>
              <w:t>7</w:t>
            </w:r>
            <w:r w:rsidR="00965A07">
              <w:rPr>
                <w:noProof/>
                <w:webHidden/>
              </w:rPr>
              <w:fldChar w:fldCharType="end"/>
            </w:r>
          </w:hyperlink>
        </w:p>
        <w:p w:rsidR="00965A07" w:rsidRDefault="004D00FF">
          <w:pPr>
            <w:pStyle w:val="TOC2"/>
            <w:tabs>
              <w:tab w:val="right" w:leader="dot" w:pos="9017"/>
            </w:tabs>
            <w:rPr>
              <w:rFonts w:eastAsiaTheme="minorEastAsia"/>
              <w:noProof/>
              <w:lang w:eastAsia="en-AU"/>
            </w:rPr>
          </w:pPr>
          <w:hyperlink w:anchor="_Toc509403403" w:history="1">
            <w:r w:rsidR="00965A07" w:rsidRPr="00A43921">
              <w:rPr>
                <w:rStyle w:val="Hyperlink"/>
                <w:noProof/>
              </w:rPr>
              <w:t>Proposed new model</w:t>
            </w:r>
            <w:r w:rsidR="00965A07">
              <w:rPr>
                <w:noProof/>
                <w:webHidden/>
              </w:rPr>
              <w:tab/>
            </w:r>
            <w:r w:rsidR="00965A07">
              <w:rPr>
                <w:noProof/>
                <w:webHidden/>
              </w:rPr>
              <w:fldChar w:fldCharType="begin"/>
            </w:r>
            <w:r w:rsidR="00965A07">
              <w:rPr>
                <w:noProof/>
                <w:webHidden/>
              </w:rPr>
              <w:instrText xml:space="preserve"> PAGEREF _Toc509403403 \h </w:instrText>
            </w:r>
            <w:r w:rsidR="00965A07">
              <w:rPr>
                <w:noProof/>
                <w:webHidden/>
              </w:rPr>
            </w:r>
            <w:r w:rsidR="00965A07">
              <w:rPr>
                <w:noProof/>
                <w:webHidden/>
              </w:rPr>
              <w:fldChar w:fldCharType="separate"/>
            </w:r>
            <w:r w:rsidR="00FB5236">
              <w:rPr>
                <w:noProof/>
                <w:webHidden/>
              </w:rPr>
              <w:t>7</w:t>
            </w:r>
            <w:r w:rsidR="00965A07">
              <w:rPr>
                <w:noProof/>
                <w:webHidden/>
              </w:rPr>
              <w:fldChar w:fldCharType="end"/>
            </w:r>
          </w:hyperlink>
        </w:p>
        <w:p w:rsidR="00965A07" w:rsidRDefault="004D00FF">
          <w:pPr>
            <w:pStyle w:val="TOC3"/>
            <w:rPr>
              <w:rFonts w:asciiTheme="minorHAnsi" w:eastAsiaTheme="minorEastAsia" w:hAnsiTheme="minorHAnsi"/>
              <w:lang w:eastAsia="en-AU"/>
            </w:rPr>
          </w:pPr>
          <w:hyperlink w:anchor="_Toc509403404" w:history="1">
            <w:r w:rsidR="00E15A92">
              <w:rPr>
                <w:rStyle w:val="Hyperlink"/>
              </w:rPr>
              <w:t>Option A – 20</w:t>
            </w:r>
            <w:r w:rsidR="00965A07" w:rsidRPr="00A43921">
              <w:rPr>
                <w:rStyle w:val="Hyperlink"/>
              </w:rPr>
              <w:t xml:space="preserve"> service areas</w:t>
            </w:r>
            <w:r w:rsidR="00965A07">
              <w:rPr>
                <w:webHidden/>
              </w:rPr>
              <w:tab/>
            </w:r>
            <w:r w:rsidR="00965A07">
              <w:rPr>
                <w:webHidden/>
              </w:rPr>
              <w:fldChar w:fldCharType="begin"/>
            </w:r>
            <w:r w:rsidR="00965A07">
              <w:rPr>
                <w:webHidden/>
              </w:rPr>
              <w:instrText xml:space="preserve"> PAGEREF _Toc509403404 \h </w:instrText>
            </w:r>
            <w:r w:rsidR="00965A07">
              <w:rPr>
                <w:webHidden/>
              </w:rPr>
            </w:r>
            <w:r w:rsidR="00965A07">
              <w:rPr>
                <w:webHidden/>
              </w:rPr>
              <w:fldChar w:fldCharType="separate"/>
            </w:r>
            <w:r w:rsidR="00FB5236">
              <w:rPr>
                <w:webHidden/>
              </w:rPr>
              <w:t>9</w:t>
            </w:r>
            <w:r w:rsidR="00965A07">
              <w:rPr>
                <w:webHidden/>
              </w:rPr>
              <w:fldChar w:fldCharType="end"/>
            </w:r>
          </w:hyperlink>
        </w:p>
        <w:p w:rsidR="00965A07" w:rsidRDefault="004D00FF">
          <w:pPr>
            <w:pStyle w:val="TOC3"/>
            <w:rPr>
              <w:rFonts w:asciiTheme="minorHAnsi" w:eastAsiaTheme="minorEastAsia" w:hAnsiTheme="minorHAnsi"/>
              <w:lang w:eastAsia="en-AU"/>
            </w:rPr>
          </w:pPr>
          <w:hyperlink w:anchor="_Toc509403405" w:history="1">
            <w:r w:rsidR="00965A07" w:rsidRPr="00A43921">
              <w:rPr>
                <w:rStyle w:val="Hyperlink"/>
              </w:rPr>
              <w:t xml:space="preserve">Option B – </w:t>
            </w:r>
            <w:r w:rsidR="00E15A92">
              <w:rPr>
                <w:rStyle w:val="Hyperlink"/>
              </w:rPr>
              <w:t>11</w:t>
            </w:r>
            <w:r w:rsidR="00965A07" w:rsidRPr="00A43921">
              <w:rPr>
                <w:rStyle w:val="Hyperlink"/>
              </w:rPr>
              <w:t xml:space="preserve"> service areas</w:t>
            </w:r>
            <w:r w:rsidR="00965A07">
              <w:rPr>
                <w:webHidden/>
              </w:rPr>
              <w:tab/>
            </w:r>
            <w:r w:rsidR="00965A07">
              <w:rPr>
                <w:webHidden/>
              </w:rPr>
              <w:fldChar w:fldCharType="begin"/>
            </w:r>
            <w:r w:rsidR="00965A07">
              <w:rPr>
                <w:webHidden/>
              </w:rPr>
              <w:instrText xml:space="preserve"> PAGEREF _Toc509403405 \h </w:instrText>
            </w:r>
            <w:r w:rsidR="00965A07">
              <w:rPr>
                <w:webHidden/>
              </w:rPr>
            </w:r>
            <w:r w:rsidR="00965A07">
              <w:rPr>
                <w:webHidden/>
              </w:rPr>
              <w:fldChar w:fldCharType="separate"/>
            </w:r>
            <w:r w:rsidR="00FB5236">
              <w:rPr>
                <w:webHidden/>
              </w:rPr>
              <w:t>10</w:t>
            </w:r>
            <w:r w:rsidR="00965A07">
              <w:rPr>
                <w:webHidden/>
              </w:rPr>
              <w:fldChar w:fldCharType="end"/>
            </w:r>
          </w:hyperlink>
        </w:p>
        <w:p w:rsidR="00965A07" w:rsidRDefault="004D00FF">
          <w:pPr>
            <w:pStyle w:val="TOC2"/>
            <w:tabs>
              <w:tab w:val="right" w:leader="dot" w:pos="9017"/>
            </w:tabs>
            <w:rPr>
              <w:rFonts w:eastAsiaTheme="minorEastAsia"/>
              <w:noProof/>
              <w:lang w:eastAsia="en-AU"/>
            </w:rPr>
          </w:pPr>
          <w:hyperlink w:anchor="_Toc509403406" w:history="1">
            <w:r w:rsidR="00965A07" w:rsidRPr="00A43921">
              <w:rPr>
                <w:rStyle w:val="Hyperlink"/>
                <w:noProof/>
              </w:rPr>
              <w:t>Sector Guidance</w:t>
            </w:r>
            <w:r w:rsidR="00965A07">
              <w:rPr>
                <w:noProof/>
                <w:webHidden/>
              </w:rPr>
              <w:tab/>
            </w:r>
            <w:r w:rsidR="00965A07">
              <w:rPr>
                <w:noProof/>
                <w:webHidden/>
              </w:rPr>
              <w:fldChar w:fldCharType="begin"/>
            </w:r>
            <w:r w:rsidR="00965A07">
              <w:rPr>
                <w:noProof/>
                <w:webHidden/>
              </w:rPr>
              <w:instrText xml:space="preserve"> PAGEREF _Toc509403406 \h </w:instrText>
            </w:r>
            <w:r w:rsidR="00965A07">
              <w:rPr>
                <w:noProof/>
                <w:webHidden/>
              </w:rPr>
            </w:r>
            <w:r w:rsidR="00965A07">
              <w:rPr>
                <w:noProof/>
                <w:webHidden/>
              </w:rPr>
              <w:fldChar w:fldCharType="separate"/>
            </w:r>
            <w:r w:rsidR="00FB5236">
              <w:rPr>
                <w:noProof/>
                <w:webHidden/>
              </w:rPr>
              <w:t>12</w:t>
            </w:r>
            <w:r w:rsidR="00965A07">
              <w:rPr>
                <w:noProof/>
                <w:webHidden/>
              </w:rPr>
              <w:fldChar w:fldCharType="end"/>
            </w:r>
          </w:hyperlink>
        </w:p>
        <w:p w:rsidR="00965A07" w:rsidRDefault="004D00FF">
          <w:pPr>
            <w:pStyle w:val="TOC1"/>
            <w:rPr>
              <w:rFonts w:eastAsiaTheme="minorEastAsia"/>
              <w:b w:val="0"/>
              <w:lang w:eastAsia="en-AU"/>
            </w:rPr>
          </w:pPr>
          <w:hyperlink w:anchor="_Toc509403407" w:history="1">
            <w:r w:rsidR="00965A07" w:rsidRPr="00A43921">
              <w:rPr>
                <w:rStyle w:val="Hyperlink"/>
              </w:rPr>
              <w:t>4 Next Steps</w:t>
            </w:r>
            <w:r w:rsidR="00965A07">
              <w:rPr>
                <w:webHidden/>
              </w:rPr>
              <w:tab/>
            </w:r>
            <w:r w:rsidR="00965A07">
              <w:rPr>
                <w:webHidden/>
              </w:rPr>
              <w:fldChar w:fldCharType="begin"/>
            </w:r>
            <w:r w:rsidR="00965A07">
              <w:rPr>
                <w:webHidden/>
              </w:rPr>
              <w:instrText xml:space="preserve"> PAGEREF _Toc509403407 \h </w:instrText>
            </w:r>
            <w:r w:rsidR="00965A07">
              <w:rPr>
                <w:webHidden/>
              </w:rPr>
            </w:r>
            <w:r w:rsidR="00965A07">
              <w:rPr>
                <w:webHidden/>
              </w:rPr>
              <w:fldChar w:fldCharType="separate"/>
            </w:r>
            <w:r w:rsidR="00FB5236">
              <w:rPr>
                <w:webHidden/>
              </w:rPr>
              <w:t>13</w:t>
            </w:r>
            <w:r w:rsidR="00965A07">
              <w:rPr>
                <w:webHidden/>
              </w:rPr>
              <w:fldChar w:fldCharType="end"/>
            </w:r>
          </w:hyperlink>
        </w:p>
        <w:p w:rsidR="00965A07" w:rsidRDefault="004D00FF">
          <w:pPr>
            <w:pStyle w:val="TOC1"/>
            <w:rPr>
              <w:rFonts w:eastAsiaTheme="minorEastAsia"/>
              <w:b w:val="0"/>
              <w:lang w:eastAsia="en-AU"/>
            </w:rPr>
          </w:pPr>
          <w:hyperlink w:anchor="_Toc509403408" w:history="1">
            <w:r w:rsidR="00965A07" w:rsidRPr="00A43921">
              <w:rPr>
                <w:rStyle w:val="Hyperlink"/>
                <w:rFonts w:eastAsia="Times New Roman"/>
                <w:lang w:eastAsia="en-AU"/>
              </w:rPr>
              <w:t>APPENDIX A:</w:t>
            </w:r>
            <w:r w:rsidR="00965A07">
              <w:rPr>
                <w:webHidden/>
              </w:rPr>
              <w:tab/>
            </w:r>
            <w:r w:rsidR="00965A07">
              <w:rPr>
                <w:webHidden/>
              </w:rPr>
              <w:fldChar w:fldCharType="begin"/>
            </w:r>
            <w:r w:rsidR="00965A07">
              <w:rPr>
                <w:webHidden/>
              </w:rPr>
              <w:instrText xml:space="preserve"> PAGEREF _Toc509403408 \h </w:instrText>
            </w:r>
            <w:r w:rsidR="00965A07">
              <w:rPr>
                <w:webHidden/>
              </w:rPr>
            </w:r>
            <w:r w:rsidR="00965A07">
              <w:rPr>
                <w:webHidden/>
              </w:rPr>
              <w:fldChar w:fldCharType="separate"/>
            </w:r>
            <w:r w:rsidR="00FB5236">
              <w:rPr>
                <w:webHidden/>
              </w:rPr>
              <w:t>14</w:t>
            </w:r>
            <w:r w:rsidR="00965A07">
              <w:rPr>
                <w:webHidden/>
              </w:rPr>
              <w:fldChar w:fldCharType="end"/>
            </w:r>
          </w:hyperlink>
        </w:p>
        <w:p w:rsidR="00965A07" w:rsidRDefault="004D00FF">
          <w:pPr>
            <w:pStyle w:val="TOC1"/>
            <w:rPr>
              <w:rFonts w:eastAsiaTheme="minorEastAsia"/>
              <w:b w:val="0"/>
              <w:lang w:eastAsia="en-AU"/>
            </w:rPr>
          </w:pPr>
          <w:hyperlink w:anchor="_Toc509403409" w:history="1">
            <w:r w:rsidR="00965A07" w:rsidRPr="00A43921">
              <w:rPr>
                <w:rStyle w:val="Hyperlink"/>
                <w:rFonts w:eastAsia="Times New Roman"/>
                <w:lang w:eastAsia="en-AU"/>
              </w:rPr>
              <w:t>Refer to the ICSS Blueprint document.</w:t>
            </w:r>
            <w:r w:rsidR="00965A07">
              <w:rPr>
                <w:webHidden/>
              </w:rPr>
              <w:tab/>
            </w:r>
            <w:r w:rsidR="00965A07">
              <w:rPr>
                <w:webHidden/>
              </w:rPr>
              <w:fldChar w:fldCharType="begin"/>
            </w:r>
            <w:r w:rsidR="00965A07">
              <w:rPr>
                <w:webHidden/>
              </w:rPr>
              <w:instrText xml:space="preserve"> PAGEREF _Toc509403409 \h </w:instrText>
            </w:r>
            <w:r w:rsidR="00965A07">
              <w:rPr>
                <w:webHidden/>
              </w:rPr>
            </w:r>
            <w:r w:rsidR="00965A07">
              <w:rPr>
                <w:webHidden/>
              </w:rPr>
              <w:fldChar w:fldCharType="separate"/>
            </w:r>
            <w:r w:rsidR="00FB5236">
              <w:rPr>
                <w:webHidden/>
              </w:rPr>
              <w:t>14</w:t>
            </w:r>
            <w:r w:rsidR="00965A07">
              <w:rPr>
                <w:webHidden/>
              </w:rPr>
              <w:fldChar w:fldCharType="end"/>
            </w:r>
          </w:hyperlink>
        </w:p>
        <w:p w:rsidR="00965A07" w:rsidRDefault="004D00FF">
          <w:pPr>
            <w:pStyle w:val="TOC1"/>
            <w:rPr>
              <w:rFonts w:eastAsiaTheme="minorEastAsia"/>
              <w:b w:val="0"/>
              <w:lang w:eastAsia="en-AU"/>
            </w:rPr>
          </w:pPr>
          <w:hyperlink w:anchor="_Toc509403410" w:history="1">
            <w:r w:rsidR="00965A07" w:rsidRPr="00A43921">
              <w:rPr>
                <w:rStyle w:val="Hyperlink"/>
                <w:rFonts w:eastAsia="Times New Roman"/>
                <w:lang w:eastAsia="en-AU"/>
              </w:rPr>
              <w:t>APPENDIX B – Carer Service Options</w:t>
            </w:r>
            <w:r w:rsidR="00965A07">
              <w:rPr>
                <w:webHidden/>
              </w:rPr>
              <w:tab/>
            </w:r>
            <w:r w:rsidR="00965A07">
              <w:rPr>
                <w:webHidden/>
              </w:rPr>
              <w:fldChar w:fldCharType="begin"/>
            </w:r>
            <w:r w:rsidR="00965A07">
              <w:rPr>
                <w:webHidden/>
              </w:rPr>
              <w:instrText xml:space="preserve"> PAGEREF _Toc509403410 \h </w:instrText>
            </w:r>
            <w:r w:rsidR="00965A07">
              <w:rPr>
                <w:webHidden/>
              </w:rPr>
            </w:r>
            <w:r w:rsidR="00965A07">
              <w:rPr>
                <w:webHidden/>
              </w:rPr>
              <w:fldChar w:fldCharType="separate"/>
            </w:r>
            <w:r w:rsidR="00FB5236">
              <w:rPr>
                <w:webHidden/>
              </w:rPr>
              <w:t>15</w:t>
            </w:r>
            <w:r w:rsidR="00965A07">
              <w:rPr>
                <w:webHidden/>
              </w:rPr>
              <w:fldChar w:fldCharType="end"/>
            </w:r>
          </w:hyperlink>
        </w:p>
        <w:p w:rsidR="00965A07" w:rsidRDefault="004D00FF">
          <w:pPr>
            <w:pStyle w:val="TOC1"/>
            <w:rPr>
              <w:rFonts w:eastAsiaTheme="minorEastAsia"/>
              <w:b w:val="0"/>
              <w:lang w:eastAsia="en-AU"/>
            </w:rPr>
          </w:pPr>
          <w:hyperlink w:anchor="_Toc509403411" w:history="1">
            <w:r w:rsidR="00965A07" w:rsidRPr="00A43921">
              <w:rPr>
                <w:rStyle w:val="Hyperlink"/>
                <w:rFonts w:eastAsia="Times New Roman"/>
                <w:lang w:eastAsia="en-AU"/>
              </w:rPr>
              <w:t>APPENDIX C – Service Areas Statistical Area Mapping for Option 1 and 2.</w:t>
            </w:r>
            <w:r w:rsidR="00965A07">
              <w:rPr>
                <w:webHidden/>
              </w:rPr>
              <w:tab/>
            </w:r>
            <w:r w:rsidR="00965A07">
              <w:rPr>
                <w:webHidden/>
              </w:rPr>
              <w:fldChar w:fldCharType="begin"/>
            </w:r>
            <w:r w:rsidR="00965A07">
              <w:rPr>
                <w:webHidden/>
              </w:rPr>
              <w:instrText xml:space="preserve"> PAGEREF _Toc509403411 \h </w:instrText>
            </w:r>
            <w:r w:rsidR="00965A07">
              <w:rPr>
                <w:webHidden/>
              </w:rPr>
            </w:r>
            <w:r w:rsidR="00965A07">
              <w:rPr>
                <w:webHidden/>
              </w:rPr>
              <w:fldChar w:fldCharType="separate"/>
            </w:r>
            <w:r w:rsidR="00FB5236">
              <w:rPr>
                <w:webHidden/>
              </w:rPr>
              <w:t>16</w:t>
            </w:r>
            <w:r w:rsidR="00965A07">
              <w:rPr>
                <w:webHidden/>
              </w:rPr>
              <w:fldChar w:fldCharType="end"/>
            </w:r>
          </w:hyperlink>
        </w:p>
        <w:p w:rsidR="00C1287C" w:rsidRDefault="00C1287C" w:rsidP="006C4755">
          <w:pPr>
            <w:spacing w:after="60" w:line="288" w:lineRule="auto"/>
          </w:pPr>
          <w:r>
            <w:rPr>
              <w:b/>
              <w:bCs/>
              <w:noProof/>
            </w:rPr>
            <w:fldChar w:fldCharType="end"/>
          </w:r>
        </w:p>
      </w:sdtContent>
    </w:sdt>
    <w:p w:rsidR="00C1287C" w:rsidRDefault="00C1287C" w:rsidP="003F1E73">
      <w:pPr>
        <w:pStyle w:val="Heading1"/>
      </w:pPr>
      <w:r>
        <w:br w:type="page"/>
      </w:r>
    </w:p>
    <w:p w:rsidR="007C7FC8" w:rsidRPr="001E4012" w:rsidRDefault="007C7FC8" w:rsidP="007C7FC8">
      <w:pPr>
        <w:pStyle w:val="Heading1"/>
        <w:rPr>
          <w:b/>
        </w:rPr>
      </w:pPr>
      <w:bookmarkStart w:id="1" w:name="_Toc503529685"/>
      <w:bookmarkStart w:id="2" w:name="_Toc509403393"/>
      <w:r w:rsidRPr="001E4012">
        <w:rPr>
          <w:b/>
        </w:rPr>
        <w:lastRenderedPageBreak/>
        <w:t>1 Overview</w:t>
      </w:r>
      <w:bookmarkEnd w:id="1"/>
      <w:bookmarkEnd w:id="2"/>
    </w:p>
    <w:p w:rsidR="00240B9A" w:rsidRDefault="00240B9A" w:rsidP="007C7FC8">
      <w:pPr>
        <w:pStyle w:val="Heading2"/>
      </w:pPr>
      <w:bookmarkStart w:id="3" w:name="_Toc509403394"/>
      <w:bookmarkStart w:id="4" w:name="_Toc459198619"/>
      <w:bookmarkStart w:id="5" w:name="_Toc459376905"/>
      <w:bookmarkStart w:id="6" w:name="_Toc503529686"/>
      <w:r>
        <w:t>Purpose</w:t>
      </w:r>
      <w:bookmarkEnd w:id="3"/>
    </w:p>
    <w:p w:rsidR="00F01AB4" w:rsidRDefault="00F01AB4" w:rsidP="00F01AB4">
      <w:r>
        <w:t>This discussion paper sets in context the proposed role and potential options for distribution of Regional Delivery Partners</w:t>
      </w:r>
      <w:r w:rsidR="00E15A92">
        <w:t xml:space="preserve"> (RDPs)</w:t>
      </w:r>
      <w:r>
        <w:t xml:space="preserve"> within the recently announced Integrated Carer Support Service.</w:t>
      </w:r>
    </w:p>
    <w:p w:rsidR="00240B9A" w:rsidRDefault="00240B9A" w:rsidP="00875B91">
      <w:r>
        <w:t>The Department of Social Services (</w:t>
      </w:r>
      <w:r w:rsidR="00E15A92">
        <w:t>DSS</w:t>
      </w:r>
      <w:r>
        <w:t>) is seeking input</w:t>
      </w:r>
      <w:r w:rsidR="00F01AB4">
        <w:t xml:space="preserve"> via written submissions </w:t>
      </w:r>
      <w:r>
        <w:t xml:space="preserve">from stakeholders on </w:t>
      </w:r>
      <w:r w:rsidR="00F01AB4">
        <w:t xml:space="preserve">the proposed </w:t>
      </w:r>
      <w:r>
        <w:t>Regional Delivery Partner service areas</w:t>
      </w:r>
      <w:r w:rsidR="00F01AB4">
        <w:t xml:space="preserve">; </w:t>
      </w:r>
      <w:r w:rsidR="0014661E">
        <w:t xml:space="preserve">identifying any specific issues including </w:t>
      </w:r>
      <w:r w:rsidR="00F01AB4">
        <w:t>whether there are suitably capable organisations with the capacity to form consortia to</w:t>
      </w:r>
      <w:r w:rsidR="0014661E">
        <w:t xml:space="preserve"> fulfil the role of a R</w:t>
      </w:r>
      <w:r w:rsidR="00B523CE">
        <w:t>egional Delivery Partner.</w:t>
      </w:r>
    </w:p>
    <w:p w:rsidR="007C7FC8" w:rsidRDefault="008D7DFF" w:rsidP="007C7FC8">
      <w:pPr>
        <w:pStyle w:val="Heading2"/>
      </w:pPr>
      <w:bookmarkStart w:id="7" w:name="_Toc509403395"/>
      <w:r>
        <w:t>B</w:t>
      </w:r>
      <w:r w:rsidR="007C7FC8" w:rsidRPr="001E4012">
        <w:t>ackground</w:t>
      </w:r>
      <w:bookmarkEnd w:id="4"/>
      <w:bookmarkEnd w:id="5"/>
      <w:bookmarkEnd w:id="6"/>
      <w:bookmarkEnd w:id="7"/>
    </w:p>
    <w:p w:rsidR="007C7FC8" w:rsidRDefault="007C7FC8" w:rsidP="007C7FC8">
      <w:r>
        <w:t>Historically the Australian Government has invested in a range of programs and initiatives to support the important work of Australia’s unpaid carers with access to information, education, respite and counselling. The bulk of funding has been invested in a series of care recipient program</w:t>
      </w:r>
      <w:r w:rsidR="006924DA">
        <w:t>s</w:t>
      </w:r>
      <w:r>
        <w:t xml:space="preserve"> focused on the provision of reactive services supporting a carer’s immediate needs</w:t>
      </w:r>
      <w:r w:rsidR="006924DA">
        <w:t>,</w:t>
      </w:r>
      <w:r>
        <w:t xml:space="preserve"> but not </w:t>
      </w:r>
      <w:r w:rsidR="00DF4173">
        <w:t>providing any longer term contribution</w:t>
      </w:r>
      <w:r w:rsidR="00AD07F4">
        <w:t xml:space="preserve"> </w:t>
      </w:r>
      <w:r>
        <w:t>to their quality of life and/or ability to perform their caring role.</w:t>
      </w:r>
    </w:p>
    <w:p w:rsidR="007C7FC8" w:rsidRDefault="007C7FC8" w:rsidP="007C7FC8">
      <w:pPr>
        <w:spacing w:after="120" w:line="276" w:lineRule="auto"/>
      </w:pPr>
      <w:r>
        <w:t xml:space="preserve">In recognition of the need to support and sustain the vital work of unpaid carers, the Australian Government committed </w:t>
      </w:r>
      <w:r w:rsidR="000B25B3">
        <w:t xml:space="preserve">funding </w:t>
      </w:r>
      <w:r>
        <w:t xml:space="preserve">to design an </w:t>
      </w:r>
      <w:r w:rsidR="00801188">
        <w:t>I</w:t>
      </w:r>
      <w:r w:rsidR="006C16D5">
        <w:t>ntegrated</w:t>
      </w:r>
      <w:r>
        <w:t xml:space="preserve"> </w:t>
      </w:r>
      <w:r w:rsidR="00801188">
        <w:t>P</w:t>
      </w:r>
      <w:r w:rsidR="006C16D5">
        <w:t>lan for Carer Support Services (the Plan)</w:t>
      </w:r>
      <w:r>
        <w:t>. The p</w:t>
      </w:r>
      <w:r w:rsidRPr="00B142FC">
        <w:t xml:space="preserve">lan </w:t>
      </w:r>
      <w:r w:rsidR="000B25B3">
        <w:t xml:space="preserve">has been </w:t>
      </w:r>
      <w:r w:rsidRPr="00B142FC">
        <w:t xml:space="preserve">developed to reflect the Australian Government’s priorities for carers, and outlines </w:t>
      </w:r>
      <w:r>
        <w:t>actions to improve access to information and services specifically for carers</w:t>
      </w:r>
      <w:r w:rsidRPr="00B142FC">
        <w:t>.</w:t>
      </w:r>
    </w:p>
    <w:p w:rsidR="00900E82" w:rsidRPr="00A16D4B" w:rsidRDefault="00900E82" w:rsidP="00900E82">
      <w:r w:rsidRPr="00A16D4B">
        <w:t xml:space="preserve">The Plan has two key stages. </w:t>
      </w:r>
    </w:p>
    <w:p w:rsidR="00900E82" w:rsidRPr="00A16D4B" w:rsidRDefault="00900E82" w:rsidP="00900E82">
      <w:r w:rsidRPr="00A16D4B">
        <w:t>The first stage was the design and implementation of Carer Gateway.  The Carer Gateway was launched in December 2015, and established a website (</w:t>
      </w:r>
      <w:hyperlink r:id="rId10" w:history="1">
        <w:r w:rsidRPr="00A16D4B">
          <w:rPr>
            <w:color w:val="0000FF"/>
            <w:u w:val="single"/>
          </w:rPr>
          <w:t>www.carergateway.gov.au</w:t>
        </w:r>
      </w:hyperlink>
      <w:r w:rsidRPr="00A16D4B">
        <w:t xml:space="preserve">) and national contact centre, dedicated to the delivery of carer-specific information.  Its purpose </w:t>
      </w:r>
      <w:r w:rsidR="00FE3174">
        <w:t>is</w:t>
      </w:r>
      <w:r w:rsidRPr="00A16D4B">
        <w:t xml:space="preserve"> to provide carers with a recognisable source of clear, consistent and reliable information, to help them navigate the system of support and services.  </w:t>
      </w:r>
    </w:p>
    <w:p w:rsidR="00900E82" w:rsidRPr="00A16D4B" w:rsidRDefault="00900E82" w:rsidP="00900E82">
      <w:r w:rsidRPr="00A16D4B">
        <w:t xml:space="preserve">The second stage of the Plan was to work with the sector (including carers, service providers, peak bodies and individuals with carer-specific expertise in a process of co-design) to design a new integrated system of carer-specific supports and services that would be better positioned to support Australia’s carers into the future. </w:t>
      </w:r>
    </w:p>
    <w:p w:rsidR="00900E82" w:rsidRPr="00A16D4B" w:rsidRDefault="00900E82" w:rsidP="00900E82">
      <w:r w:rsidRPr="00A16D4B">
        <w:t xml:space="preserve">The resulting design reflected four principles:  </w:t>
      </w:r>
    </w:p>
    <w:p w:rsidR="00900E82" w:rsidRPr="00A16D4B" w:rsidRDefault="00900E82" w:rsidP="00900E82">
      <w:pPr>
        <w:pStyle w:val="ListParagraph"/>
        <w:numPr>
          <w:ilvl w:val="3"/>
          <w:numId w:val="15"/>
        </w:numPr>
        <w:tabs>
          <w:tab w:val="clear" w:pos="1701"/>
          <w:tab w:val="num" w:pos="1800"/>
        </w:tabs>
        <w:ind w:left="720" w:hanging="360"/>
        <w:contextualSpacing w:val="0"/>
      </w:pPr>
      <w:r w:rsidRPr="00A16D4B">
        <w:t>Invest in services that have a proven ability to improve a carer’s quality of life;</w:t>
      </w:r>
    </w:p>
    <w:p w:rsidR="00900E82" w:rsidRPr="00A16D4B" w:rsidRDefault="00900E82" w:rsidP="00900E82">
      <w:pPr>
        <w:pStyle w:val="ListParagraph"/>
        <w:numPr>
          <w:ilvl w:val="3"/>
          <w:numId w:val="15"/>
        </w:numPr>
        <w:tabs>
          <w:tab w:val="clear" w:pos="1701"/>
          <w:tab w:val="num" w:pos="1800"/>
        </w:tabs>
        <w:ind w:left="720" w:hanging="360"/>
        <w:contextualSpacing w:val="0"/>
      </w:pPr>
      <w:r w:rsidRPr="00A16D4B">
        <w:t xml:space="preserve">Prioritise investment in a range of low-cost, yet effective, preventative services available to carers (e.g. counselling, coaching and peer support); </w:t>
      </w:r>
    </w:p>
    <w:p w:rsidR="00900E82" w:rsidRPr="00A16D4B" w:rsidRDefault="00900E82" w:rsidP="00900E82">
      <w:pPr>
        <w:pStyle w:val="ListParagraph"/>
        <w:numPr>
          <w:ilvl w:val="3"/>
          <w:numId w:val="15"/>
        </w:numPr>
        <w:tabs>
          <w:tab w:val="clear" w:pos="1701"/>
          <w:tab w:val="num" w:pos="1800"/>
        </w:tabs>
        <w:ind w:left="720" w:hanging="360"/>
        <w:contextualSpacing w:val="0"/>
      </w:pPr>
      <w:r w:rsidRPr="00A16D4B">
        <w:t>Seek to intervene early in the life course of a carer; and</w:t>
      </w:r>
    </w:p>
    <w:p w:rsidR="00900E82" w:rsidRPr="00A16D4B" w:rsidRDefault="00900E82" w:rsidP="00900E82">
      <w:pPr>
        <w:pStyle w:val="ListParagraph"/>
        <w:numPr>
          <w:ilvl w:val="3"/>
          <w:numId w:val="15"/>
        </w:numPr>
        <w:tabs>
          <w:tab w:val="clear" w:pos="1701"/>
          <w:tab w:val="num" w:pos="1800"/>
        </w:tabs>
        <w:ind w:left="720" w:hanging="360"/>
        <w:contextualSpacing w:val="0"/>
      </w:pPr>
      <w:r w:rsidRPr="00A16D4B">
        <w:t>Target carers most in need of support (i.e. those carers most at risk).</w:t>
      </w:r>
    </w:p>
    <w:p w:rsidR="00900E82" w:rsidRPr="00A16D4B" w:rsidRDefault="00900E82" w:rsidP="00900E82">
      <w:pPr>
        <w:spacing w:after="0"/>
      </w:pPr>
      <w:r w:rsidRPr="00A16D4B">
        <w:t xml:space="preserve">As part of its broader reforms to the carer support system, the Australia Government </w:t>
      </w:r>
      <w:r w:rsidR="00AF13F8">
        <w:t>announced the</w:t>
      </w:r>
      <w:r w:rsidRPr="00A16D4B">
        <w:t xml:space="preserve"> new system</w:t>
      </w:r>
      <w:r w:rsidR="00F2425E" w:rsidRPr="00A16D4B">
        <w:t xml:space="preserve"> in </w:t>
      </w:r>
      <w:r w:rsidR="0014661E" w:rsidRPr="00A16D4B">
        <w:t>March</w:t>
      </w:r>
      <w:r w:rsidR="00F2425E" w:rsidRPr="00A16D4B">
        <w:t xml:space="preserve"> 2018</w:t>
      </w:r>
      <w:r w:rsidRPr="00A16D4B">
        <w:t xml:space="preserve">; referred to as the Integrated Carer Support Service (ICSS). </w:t>
      </w:r>
    </w:p>
    <w:p w:rsidR="00580D88" w:rsidRDefault="00580D88" w:rsidP="007C7FC8">
      <w:pPr>
        <w:spacing w:after="120" w:line="276" w:lineRule="auto"/>
      </w:pPr>
    </w:p>
    <w:p w:rsidR="007C7FC8" w:rsidRDefault="007C7FC8" w:rsidP="007C7FC8">
      <w:pPr>
        <w:pStyle w:val="Heading2"/>
      </w:pPr>
      <w:bookmarkStart w:id="8" w:name="_Toc503529687"/>
      <w:bookmarkStart w:id="9" w:name="_Toc509403396"/>
      <w:r>
        <w:t>Integrated Carer Support Service</w:t>
      </w:r>
      <w:bookmarkEnd w:id="8"/>
      <w:bookmarkEnd w:id="9"/>
    </w:p>
    <w:p w:rsidR="007C7FC8" w:rsidRDefault="007C7FC8" w:rsidP="007C7FC8">
      <w:r>
        <w:t xml:space="preserve">Recognising that carers have a right to access services to support their own needs, the </w:t>
      </w:r>
      <w:r w:rsidR="00F2425E">
        <w:t>I</w:t>
      </w:r>
      <w:r>
        <w:t>C</w:t>
      </w:r>
      <w:r w:rsidR="009E1F77">
        <w:t>SS</w:t>
      </w:r>
      <w:r>
        <w:t xml:space="preserve"> is a new system of services designed specifically for carers.  It is designed to make the Government’s carer supports and services easier to navigate and more accessible.  But more importantly it is designed to increase the Australian Government’s investment in services proven to improve a carer’s quality of life.</w:t>
      </w:r>
    </w:p>
    <w:p w:rsidR="007C7FC8" w:rsidRDefault="007C7FC8" w:rsidP="00105661">
      <w:pPr>
        <w:spacing w:after="40"/>
      </w:pPr>
      <w:r>
        <w:lastRenderedPageBreak/>
        <w:t xml:space="preserve">The agreed </w:t>
      </w:r>
      <w:r w:rsidR="00F2425E">
        <w:t xml:space="preserve">ICSS </w:t>
      </w:r>
      <w:r>
        <w:t>model proposes three levels of service delivery: national, regional and local.</w:t>
      </w:r>
    </w:p>
    <w:p w:rsidR="007C7FC8" w:rsidRDefault="007C7FC8" w:rsidP="00237357">
      <w:pPr>
        <w:pStyle w:val="ICSSDotPoint"/>
      </w:pPr>
      <w:r>
        <w:t xml:space="preserve">At a </w:t>
      </w:r>
      <w:r w:rsidRPr="00FE0F02">
        <w:rPr>
          <w:b/>
        </w:rPr>
        <w:t>national</w:t>
      </w:r>
      <w:r>
        <w:t xml:space="preserve"> level, it is envis</w:t>
      </w:r>
      <w:r w:rsidR="00AF13F8">
        <w:t>aged</w:t>
      </w:r>
      <w:r>
        <w:t xml:space="preserve"> that some services, such as phone and online counselling, will be delivered centrally, and the system as a whole will be supported by national infrastructure. </w:t>
      </w:r>
    </w:p>
    <w:p w:rsidR="007C7FC8" w:rsidRDefault="007C7FC8" w:rsidP="00237357">
      <w:pPr>
        <w:pStyle w:val="ICSSDotPoint"/>
      </w:pPr>
      <w:r>
        <w:t xml:space="preserve">At a </w:t>
      </w:r>
      <w:r w:rsidRPr="00FE0F02">
        <w:rPr>
          <w:b/>
        </w:rPr>
        <w:t>regional</w:t>
      </w:r>
      <w:r>
        <w:t xml:space="preserve"> level, it is envis</w:t>
      </w:r>
      <w:r w:rsidR="00AF13F8">
        <w:t>aged</w:t>
      </w:r>
      <w:r>
        <w:t xml:space="preserve"> that regional hubs </w:t>
      </w:r>
      <w:r w:rsidR="00F2425E">
        <w:t xml:space="preserve">(referred to as Regional Delivery Partners) </w:t>
      </w:r>
      <w:r>
        <w:t>will deliver services for carers, including preventative and emergency supports.</w:t>
      </w:r>
    </w:p>
    <w:p w:rsidR="007C7FC8" w:rsidRDefault="007C7FC8" w:rsidP="00237357">
      <w:pPr>
        <w:pStyle w:val="ICSSDotPoint"/>
      </w:pPr>
      <w:r>
        <w:t xml:space="preserve">At a </w:t>
      </w:r>
      <w:r w:rsidRPr="00FE0F02">
        <w:rPr>
          <w:b/>
        </w:rPr>
        <w:t>local</w:t>
      </w:r>
      <w:r>
        <w:t xml:space="preserve"> level, service providers would be contracted to deliver services coordinated by </w:t>
      </w:r>
      <w:r w:rsidR="0014661E">
        <w:t>RDPs</w:t>
      </w:r>
      <w:r>
        <w:t xml:space="preserve">. </w:t>
      </w:r>
    </w:p>
    <w:p w:rsidR="007C7FC8" w:rsidRPr="00CA3B57" w:rsidRDefault="00F2425E" w:rsidP="007C7FC8">
      <w:pPr>
        <w:spacing w:line="240" w:lineRule="auto"/>
        <w:jc w:val="both"/>
      </w:pPr>
      <w:r>
        <w:t>T</w:t>
      </w:r>
      <w:r w:rsidR="007C7FC8">
        <w:t xml:space="preserve">he ICSS will be operationalised through the </w:t>
      </w:r>
      <w:r w:rsidR="007C7FC8">
        <w:rPr>
          <w:szCs w:val="20"/>
          <w:lang w:bidi="en-US"/>
        </w:rPr>
        <w:t>s</w:t>
      </w:r>
      <w:r w:rsidR="007C7FC8" w:rsidRPr="001E784D">
        <w:rPr>
          <w:szCs w:val="20"/>
          <w:lang w:bidi="en-US"/>
        </w:rPr>
        <w:t xml:space="preserve">ourcing </w:t>
      </w:r>
      <w:r w:rsidR="00CB48AD">
        <w:rPr>
          <w:szCs w:val="20"/>
          <w:lang w:bidi="en-US"/>
        </w:rPr>
        <w:t xml:space="preserve">of providers </w:t>
      </w:r>
      <w:r w:rsidR="007C7FC8" w:rsidRPr="001E784D">
        <w:rPr>
          <w:szCs w:val="20"/>
          <w:lang w:bidi="en-US"/>
        </w:rPr>
        <w:t xml:space="preserve">and </w:t>
      </w:r>
      <w:r w:rsidR="00CB48AD">
        <w:rPr>
          <w:szCs w:val="20"/>
          <w:lang w:bidi="en-US"/>
        </w:rPr>
        <w:t>implementation of services for carers</w:t>
      </w:r>
      <w:r w:rsidR="003F7506">
        <w:rPr>
          <w:szCs w:val="20"/>
          <w:lang w:bidi="en-US"/>
        </w:rPr>
        <w:t>. The commissioning process will commence</w:t>
      </w:r>
      <w:r w:rsidR="007C7FC8" w:rsidRPr="001E784D">
        <w:rPr>
          <w:szCs w:val="20"/>
          <w:lang w:bidi="en-US"/>
        </w:rPr>
        <w:t xml:space="preserve"> from </w:t>
      </w:r>
      <w:r w:rsidR="0014661E">
        <w:rPr>
          <w:szCs w:val="20"/>
          <w:lang w:bidi="en-US"/>
        </w:rPr>
        <w:t>March</w:t>
      </w:r>
      <w:r w:rsidR="007C7FC8">
        <w:rPr>
          <w:szCs w:val="20"/>
          <w:lang w:bidi="en-US"/>
        </w:rPr>
        <w:t xml:space="preserve"> 201</w:t>
      </w:r>
      <w:r w:rsidR="0014661E">
        <w:rPr>
          <w:szCs w:val="20"/>
          <w:lang w:bidi="en-US"/>
        </w:rPr>
        <w:t>8</w:t>
      </w:r>
      <w:r w:rsidR="007C7FC8" w:rsidRPr="001E784D">
        <w:rPr>
          <w:szCs w:val="20"/>
          <w:lang w:bidi="en-US"/>
        </w:rPr>
        <w:t>, including:</w:t>
      </w:r>
    </w:p>
    <w:p w:rsidR="007C7FC8" w:rsidRPr="00BE704B" w:rsidRDefault="007C7FC8" w:rsidP="00237357">
      <w:pPr>
        <w:pStyle w:val="ICSSDotPoint"/>
      </w:pPr>
      <w:r w:rsidRPr="00BE704B">
        <w:t xml:space="preserve">Engagement and establishment of the </w:t>
      </w:r>
      <w:r>
        <w:t>R</w:t>
      </w:r>
      <w:r w:rsidR="0014661E">
        <w:t>DPs</w:t>
      </w:r>
      <w:r>
        <w:t>.</w:t>
      </w:r>
    </w:p>
    <w:p w:rsidR="007C7FC8" w:rsidRPr="00BE704B" w:rsidRDefault="007C7FC8" w:rsidP="00237357">
      <w:pPr>
        <w:pStyle w:val="ICSSDotPoint"/>
      </w:pPr>
      <w:r w:rsidRPr="00BE704B">
        <w:t>Engagement and establishment of a national counselling provider to provide carers with access to an online/telephone based counselling service</w:t>
      </w:r>
      <w:r>
        <w:t>.</w:t>
      </w:r>
    </w:p>
    <w:p w:rsidR="007C7FC8" w:rsidRPr="00BE704B" w:rsidRDefault="007C7FC8" w:rsidP="00237357">
      <w:pPr>
        <w:pStyle w:val="ICSSDotPoint"/>
      </w:pPr>
      <w:r w:rsidRPr="00BE704B">
        <w:t>Engagement and establishment of a specialist organisation to develop and operate an online community forum to provide car</w:t>
      </w:r>
      <w:r>
        <w:t>ers with access to 24/7 peer support.</w:t>
      </w:r>
    </w:p>
    <w:p w:rsidR="007C7FC8" w:rsidRPr="00BE704B" w:rsidRDefault="007C7FC8" w:rsidP="00237357">
      <w:pPr>
        <w:pStyle w:val="ICSSDotPoint"/>
      </w:pPr>
      <w:r w:rsidRPr="00BE704B">
        <w:t xml:space="preserve">Engagement of a specialist organisation to design and pilot </w:t>
      </w:r>
      <w:r>
        <w:t>a carer coaching service.</w:t>
      </w:r>
    </w:p>
    <w:p w:rsidR="007C7FC8" w:rsidRPr="00BE704B" w:rsidRDefault="007C7FC8" w:rsidP="00237357">
      <w:pPr>
        <w:pStyle w:val="ICSSDotPoint"/>
      </w:pPr>
      <w:r w:rsidRPr="00BE704B">
        <w:t>Engagement of a specialist organisation to design and deliver a na</w:t>
      </w:r>
      <w:r>
        <w:t>tional communications campaign.</w:t>
      </w:r>
    </w:p>
    <w:p w:rsidR="007C7FC8" w:rsidRDefault="007C7FC8" w:rsidP="00E15A92">
      <w:pPr>
        <w:pStyle w:val="ICSSDotPoint"/>
        <w:spacing w:after="240"/>
        <w:ind w:left="714" w:hanging="357"/>
      </w:pPr>
      <w:r w:rsidRPr="00BE704B">
        <w:t>Engagement of a specialist organisation to design and administer a</w:t>
      </w:r>
      <w:r>
        <w:t>n outcomes</w:t>
      </w:r>
      <w:r w:rsidRPr="00BE704B">
        <w:t xml:space="preserve"> framework</w:t>
      </w:r>
      <w:r>
        <w:t xml:space="preserve"> (to measure and report on the performance of the organisations engaged under the ICSS, including the RDPs)</w:t>
      </w:r>
      <w:r w:rsidRPr="00BE704B">
        <w:t>.</w:t>
      </w:r>
    </w:p>
    <w:p w:rsidR="00580D88" w:rsidRDefault="00580D88" w:rsidP="00E15A92">
      <w:pPr>
        <w:pStyle w:val="ICSSBodyText"/>
        <w:spacing w:before="0" w:after="160" w:line="259" w:lineRule="auto"/>
        <w:rPr>
          <w:lang w:eastAsia="en-US"/>
        </w:rPr>
      </w:pPr>
      <w:r>
        <w:rPr>
          <w:lang w:eastAsia="en-US"/>
        </w:rPr>
        <w:t>In ensuring continuity of carer services and to support the transition to the new RDP network from September 2019, DSS carer service providers’ current funding arrangements will be extended to</w:t>
      </w:r>
      <w:r w:rsidR="00FA66B8">
        <w:rPr>
          <w:lang w:eastAsia="en-US"/>
        </w:rPr>
        <w:br/>
      </w:r>
      <w:r>
        <w:rPr>
          <w:lang w:eastAsia="en-US"/>
        </w:rPr>
        <w:t>30 November 2019. The extension includes a three month transition period from September to</w:t>
      </w:r>
      <w:r w:rsidR="00FA66B8">
        <w:rPr>
          <w:lang w:eastAsia="en-US"/>
        </w:rPr>
        <w:br/>
      </w:r>
      <w:r>
        <w:rPr>
          <w:lang w:eastAsia="en-US"/>
        </w:rPr>
        <w:t>30 November 2019, to provide the opportunity for the new RDPs to commence operations at the same time as existing carer service providers transition out of service delivery. This will ensure minimal disruption of support services for carers during this time and mitigate the risk of creating unintended service gaps during the implementation of the new ICSS.</w:t>
      </w:r>
    </w:p>
    <w:p w:rsidR="007C7FC8" w:rsidRDefault="007C7FC8" w:rsidP="00105661">
      <w:pPr>
        <w:pStyle w:val="Heading2"/>
        <w:spacing w:before="120"/>
      </w:pPr>
      <w:bookmarkStart w:id="10" w:name="_Toc503529688"/>
      <w:bookmarkStart w:id="11" w:name="_Toc509403397"/>
      <w:r>
        <w:t>ICSS outcomes</w:t>
      </w:r>
      <w:bookmarkEnd w:id="10"/>
      <w:bookmarkEnd w:id="11"/>
    </w:p>
    <w:p w:rsidR="00E53810" w:rsidRPr="00237357" w:rsidRDefault="00E53810" w:rsidP="00E53810">
      <w:pPr>
        <w:spacing w:after="120"/>
        <w:rPr>
          <w:szCs w:val="24"/>
          <w:lang w:val="en-US"/>
        </w:rPr>
      </w:pPr>
      <w:r w:rsidRPr="00237357">
        <w:rPr>
          <w:szCs w:val="24"/>
          <w:lang w:val="en-US"/>
        </w:rPr>
        <w:t>Through its commissioning of the ICSS, the Australia</w:t>
      </w:r>
      <w:r w:rsidR="00237357" w:rsidRPr="00237357">
        <w:rPr>
          <w:szCs w:val="24"/>
          <w:lang w:val="en-US"/>
        </w:rPr>
        <w:t>n Government’s objective is to:</w:t>
      </w:r>
    </w:p>
    <w:p w:rsidR="00E53810" w:rsidRPr="00237357" w:rsidRDefault="00E53810" w:rsidP="00237357">
      <w:pPr>
        <w:spacing w:after="120"/>
        <w:ind w:left="720"/>
        <w:rPr>
          <w:b/>
          <w:bCs/>
          <w:sz w:val="24"/>
          <w:szCs w:val="24"/>
          <w:lang w:val="en-US"/>
        </w:rPr>
      </w:pPr>
      <w:r>
        <w:rPr>
          <w:b/>
          <w:bCs/>
          <w:sz w:val="24"/>
          <w:szCs w:val="24"/>
          <w:lang w:val="en-US"/>
        </w:rPr>
        <w:t>Improve carer wellbeing, increase their capacity and support their participation, socially and economically.</w:t>
      </w:r>
    </w:p>
    <w:p w:rsidR="00E53810" w:rsidRPr="00237357" w:rsidRDefault="00E53810" w:rsidP="00E53810">
      <w:pPr>
        <w:spacing w:after="120"/>
        <w:rPr>
          <w:szCs w:val="24"/>
          <w:lang w:val="en-US"/>
        </w:rPr>
      </w:pPr>
      <w:r w:rsidRPr="00237357">
        <w:rPr>
          <w:szCs w:val="24"/>
          <w:lang w:val="en-US"/>
        </w:rPr>
        <w:t>Achieving this vision depends on the contribution of commissioned organisations to the following outcomes:</w:t>
      </w:r>
    </w:p>
    <w:p w:rsidR="00E53810" w:rsidRPr="00237357" w:rsidRDefault="00E53810" w:rsidP="00237357">
      <w:pPr>
        <w:pStyle w:val="ICSSDotPoint"/>
      </w:pPr>
      <w:r w:rsidRPr="00237357">
        <w:rPr>
          <w:b/>
        </w:rPr>
        <w:t>Awareness</w:t>
      </w:r>
      <w:r w:rsidRPr="00237357">
        <w:t xml:space="preserve"> – Carers and their family and friends along with the general community are aware of carers and the support and services available.</w:t>
      </w:r>
    </w:p>
    <w:p w:rsidR="00E53810" w:rsidRPr="00237357" w:rsidRDefault="00E53810" w:rsidP="00237357">
      <w:pPr>
        <w:pStyle w:val="ICSSDotPoint"/>
      </w:pPr>
      <w:r w:rsidRPr="00237357">
        <w:rPr>
          <w:b/>
        </w:rPr>
        <w:t>Knowledge</w:t>
      </w:r>
      <w:r w:rsidRPr="00237357">
        <w:t xml:space="preserve"> – Carers are better informed about the caring role and the associated stresses.</w:t>
      </w:r>
    </w:p>
    <w:p w:rsidR="00E53810" w:rsidRPr="00237357" w:rsidRDefault="00E53810" w:rsidP="00237357">
      <w:pPr>
        <w:pStyle w:val="ICSSDotPoint"/>
      </w:pPr>
      <w:r w:rsidRPr="00237357">
        <w:rPr>
          <w:b/>
        </w:rPr>
        <w:t>Skills</w:t>
      </w:r>
      <w:r w:rsidRPr="00237357">
        <w:t xml:space="preserve"> – Carers gain skills to manage stress associated with the caring role.</w:t>
      </w:r>
    </w:p>
    <w:p w:rsidR="00E53810" w:rsidRPr="00237357" w:rsidRDefault="00E53810" w:rsidP="00237357">
      <w:pPr>
        <w:pStyle w:val="ICSSDotPoint"/>
      </w:pPr>
      <w:r w:rsidRPr="00237357">
        <w:rPr>
          <w:b/>
        </w:rPr>
        <w:t>Policy</w:t>
      </w:r>
      <w:r w:rsidRPr="00237357">
        <w:t xml:space="preserve"> – Prioritise investment towards carers most in need, and low-cost, preventative, services.</w:t>
      </w:r>
    </w:p>
    <w:p w:rsidR="00E53810" w:rsidRPr="00237357" w:rsidRDefault="00E53810" w:rsidP="00237357">
      <w:pPr>
        <w:pStyle w:val="ICSSDotPoint"/>
      </w:pPr>
      <w:r w:rsidRPr="00237357">
        <w:rPr>
          <w:b/>
        </w:rPr>
        <w:t>Support</w:t>
      </w:r>
      <w:r w:rsidRPr="00237357">
        <w:t xml:space="preserve"> – Carers are able to access crisis services.</w:t>
      </w:r>
    </w:p>
    <w:p w:rsidR="00E53810" w:rsidRPr="00237357" w:rsidRDefault="00E53810" w:rsidP="00237357">
      <w:pPr>
        <w:pStyle w:val="ICSSDotPoint"/>
      </w:pPr>
      <w:r w:rsidRPr="00237357">
        <w:rPr>
          <w:b/>
        </w:rPr>
        <w:t>Economic</w:t>
      </w:r>
      <w:r w:rsidRPr="00237357">
        <w:t xml:space="preserve"> – Improve the effectiveness of supports and services available to carers.</w:t>
      </w:r>
    </w:p>
    <w:p w:rsidR="007C7FC8" w:rsidRPr="001E4012" w:rsidRDefault="007C7FC8" w:rsidP="007C7FC8">
      <w:pPr>
        <w:pStyle w:val="Heading1"/>
        <w:rPr>
          <w:b/>
        </w:rPr>
      </w:pPr>
      <w:bookmarkStart w:id="12" w:name="_Toc503529689"/>
      <w:bookmarkStart w:id="13" w:name="_Toc509403398"/>
      <w:r w:rsidRPr="001E4012">
        <w:rPr>
          <w:b/>
        </w:rPr>
        <w:lastRenderedPageBreak/>
        <w:t>2 Regional Delivery Partners</w:t>
      </w:r>
      <w:bookmarkEnd w:id="12"/>
      <w:bookmarkEnd w:id="13"/>
    </w:p>
    <w:p w:rsidR="007C7FC8" w:rsidRDefault="007C7FC8" w:rsidP="007C7FC8">
      <w:pPr>
        <w:pStyle w:val="Heading2"/>
      </w:pPr>
      <w:bookmarkStart w:id="14" w:name="_Toc503529690"/>
      <w:bookmarkStart w:id="15" w:name="_Toc509403399"/>
      <w:r>
        <w:t>Role and responsibilities</w:t>
      </w:r>
      <w:bookmarkEnd w:id="14"/>
      <w:bookmarkEnd w:id="15"/>
    </w:p>
    <w:p w:rsidR="007C7FC8" w:rsidRPr="00237357" w:rsidRDefault="007C7FC8" w:rsidP="007C7FC8">
      <w:r w:rsidRPr="00237357">
        <w:t xml:space="preserve">The ICSS service delivery model relies on the establishment of a regional and local presence across Australia where carers would access services such as coaching, </w:t>
      </w:r>
      <w:r w:rsidR="009860AD">
        <w:t xml:space="preserve">counselling, </w:t>
      </w:r>
      <w:r w:rsidRPr="00237357">
        <w:t xml:space="preserve">emergency respite, carer directed respite care and peer support. Pivotal to the success of the ICSS model is the establishment of this presence through a number of RDPs who will be prime contractors for </w:t>
      </w:r>
      <w:r w:rsidR="00E15A92">
        <w:t>DSS</w:t>
      </w:r>
      <w:r w:rsidRPr="00237357">
        <w:t>.</w:t>
      </w:r>
    </w:p>
    <w:p w:rsidR="007C7FC8" w:rsidRPr="00237357" w:rsidRDefault="007C7FC8" w:rsidP="007C7FC8">
      <w:r w:rsidRPr="00237357">
        <w:t>RDPs form a critical component of the regional delivery of the ICSS where they will predominately be the first point of contact, and the primary source of information and assistance for carers. RDPs will work closely with carers to identify their needs, provide them information, and facilitate and/or deliver a range of support services.</w:t>
      </w:r>
    </w:p>
    <w:p w:rsidR="007C7FC8" w:rsidRPr="00237357" w:rsidRDefault="007C7FC8" w:rsidP="007C7FC8">
      <w:r w:rsidRPr="00237357">
        <w:t>RDPs will also play an important role in establishing and maintaining relationships with social, health, education, cultural and community groups, to understand regional needs, and promote awareness of the role of informal carers and the services available to them.</w:t>
      </w:r>
    </w:p>
    <w:p w:rsidR="007C7FC8" w:rsidRPr="00237357" w:rsidRDefault="007C7FC8" w:rsidP="007C7FC8">
      <w:pPr>
        <w:spacing w:before="120" w:after="120" w:line="276" w:lineRule="auto"/>
      </w:pPr>
      <w:r w:rsidRPr="00237357">
        <w:t>It is expected that a R</w:t>
      </w:r>
      <w:r w:rsidR="0014661E" w:rsidRPr="00237357">
        <w:t>D</w:t>
      </w:r>
      <w:r w:rsidR="00B523CE" w:rsidRPr="00237357">
        <w:t>P</w:t>
      </w:r>
      <w:r w:rsidRPr="00237357">
        <w:t xml:space="preserve"> would establish:</w:t>
      </w:r>
    </w:p>
    <w:p w:rsidR="007C7FC8" w:rsidRPr="00237357" w:rsidRDefault="007C7FC8" w:rsidP="00237357">
      <w:pPr>
        <w:pStyle w:val="ICSSDotPoint"/>
      </w:pPr>
      <w:r w:rsidRPr="00237357">
        <w:t>a central hub to deliver those services without a face to face component (e.g. managing 1800 enquiries, brokering emergency respite and coordinating carer directed respite care), and</w:t>
      </w:r>
    </w:p>
    <w:p w:rsidR="007C7FC8" w:rsidRPr="00237357" w:rsidRDefault="007C7FC8" w:rsidP="00237357">
      <w:pPr>
        <w:pStyle w:val="ICSSDotPoint"/>
      </w:pPr>
      <w:r w:rsidRPr="00237357">
        <w:t xml:space="preserve">smaller service outlets </w:t>
      </w:r>
      <w:r w:rsidR="00237357">
        <w:t>to deliver services with a face-to-</w:t>
      </w:r>
      <w:r w:rsidRPr="00237357">
        <w:t xml:space="preserve">face component (i.e. where proximity to </w:t>
      </w:r>
      <w:r w:rsidR="00AE7231">
        <w:t xml:space="preserve">the </w:t>
      </w:r>
      <w:r w:rsidRPr="00237357">
        <w:t xml:space="preserve">carer is important) such as peer support groups and </w:t>
      </w:r>
      <w:r w:rsidR="00CE2602" w:rsidRPr="00237357">
        <w:t xml:space="preserve">a </w:t>
      </w:r>
      <w:r w:rsidRPr="00237357">
        <w:t xml:space="preserve">coaching </w:t>
      </w:r>
      <w:r w:rsidR="009751D5">
        <w:t>services</w:t>
      </w:r>
      <w:r w:rsidRPr="00237357">
        <w:t xml:space="preserve">. </w:t>
      </w:r>
    </w:p>
    <w:p w:rsidR="007C7FC8" w:rsidRPr="00237357" w:rsidRDefault="007C7FC8" w:rsidP="007C7FC8">
      <w:r w:rsidRPr="00237357">
        <w:t xml:space="preserve">A </w:t>
      </w:r>
      <w:r w:rsidRPr="00237357">
        <w:rPr>
          <w:lang w:val="en-US"/>
        </w:rPr>
        <w:t>service outlet represents a physical staff presence but not necessarily dedicated office space i.e. staff may be</w:t>
      </w:r>
      <w:r w:rsidR="009860AD">
        <w:rPr>
          <w:lang w:val="en-US"/>
        </w:rPr>
        <w:t xml:space="preserve"> co-located in a local hospital or have a mobile workforce. </w:t>
      </w:r>
    </w:p>
    <w:p w:rsidR="007C7FC8" w:rsidRPr="00237357" w:rsidRDefault="007C7FC8" w:rsidP="007C7FC8">
      <w:r w:rsidRPr="00237357">
        <w:t>RDPs are expected to make the greatest contribution to the ICSS outcomes. With respect to maxi</w:t>
      </w:r>
      <w:r w:rsidR="00CD4E89" w:rsidRPr="00237357">
        <w:t xml:space="preserve">mising outcomes, DSS requires </w:t>
      </w:r>
      <w:r w:rsidRPr="00237357">
        <w:t>e</w:t>
      </w:r>
      <w:r w:rsidR="00CD4E89" w:rsidRPr="00237357">
        <w:t>ach</w:t>
      </w:r>
      <w:r w:rsidRPr="00237357">
        <w:t xml:space="preserve"> RDP to demonstrate how its business model supports the following priorities:</w:t>
      </w:r>
    </w:p>
    <w:p w:rsidR="007C7FC8" w:rsidRPr="00237357" w:rsidRDefault="007C7FC8" w:rsidP="00237357">
      <w:pPr>
        <w:pStyle w:val="ICSSDotPoint"/>
      </w:pPr>
      <w:r w:rsidRPr="00237357">
        <w:t>Effective and low-cost preventati</w:t>
      </w:r>
      <w:r w:rsidR="009F0E18">
        <w:t xml:space="preserve">ve supports and services (e.g. </w:t>
      </w:r>
      <w:r w:rsidRPr="00237357">
        <w:t>In-Person P</w:t>
      </w:r>
      <w:r w:rsidR="00CD4E89" w:rsidRPr="00237357">
        <w:t>eer Support and Carer Coaching).</w:t>
      </w:r>
    </w:p>
    <w:p w:rsidR="007C7FC8" w:rsidRPr="00237357" w:rsidRDefault="007C7FC8" w:rsidP="00237357">
      <w:pPr>
        <w:pStyle w:val="ICSSDotPoint"/>
      </w:pPr>
      <w:r w:rsidRPr="00237357">
        <w:t>Targeting carers most in need of support (i.e. those carers most at risk).</w:t>
      </w:r>
    </w:p>
    <w:p w:rsidR="007C7FC8" w:rsidRPr="00237357" w:rsidRDefault="007C7FC8" w:rsidP="00237357">
      <w:pPr>
        <w:pStyle w:val="ICSSDotPoint"/>
      </w:pPr>
      <w:r w:rsidRPr="00237357">
        <w:t>Reducing carer reliance on reactive services (e.g. Emergency Respite Care) by maximising the uptake of preventative supports and services and by delivering an active Outreach program focused on raising awareness</w:t>
      </w:r>
      <w:r w:rsidR="00CD4E89" w:rsidRPr="00237357">
        <w:t>.</w:t>
      </w:r>
    </w:p>
    <w:p w:rsidR="007C7FC8" w:rsidRPr="00237357" w:rsidRDefault="007C7FC8" w:rsidP="00237357">
      <w:pPr>
        <w:pStyle w:val="ICSSDotPoint"/>
      </w:pPr>
      <w:r w:rsidRPr="00237357">
        <w:t>Active monitoring of the outcomes being achieved and through a program of continuous improvement</w:t>
      </w:r>
      <w:r w:rsidR="00CD4E89" w:rsidRPr="00237357">
        <w:t>.</w:t>
      </w:r>
    </w:p>
    <w:p w:rsidR="00862A90" w:rsidRDefault="00862A90" w:rsidP="007C7FC8">
      <w:pPr>
        <w:pStyle w:val="Heading2"/>
      </w:pPr>
      <w:bookmarkStart w:id="16" w:name="_Toc503529691"/>
      <w:bookmarkStart w:id="17" w:name="_Toc509403400"/>
    </w:p>
    <w:p w:rsidR="007C7FC8" w:rsidRDefault="007C7FC8" w:rsidP="007C7FC8">
      <w:pPr>
        <w:pStyle w:val="Heading2"/>
      </w:pPr>
      <w:r>
        <w:t>Service offer</w:t>
      </w:r>
      <w:bookmarkEnd w:id="16"/>
      <w:bookmarkEnd w:id="17"/>
    </w:p>
    <w:p w:rsidR="007C7FC8" w:rsidRPr="00237357" w:rsidRDefault="00AE140A" w:rsidP="007C7FC8">
      <w:r w:rsidRPr="00237357">
        <w:t>An</w:t>
      </w:r>
      <w:r w:rsidR="007C7FC8" w:rsidRPr="00237357">
        <w:t xml:space="preserve"> overview of the services that would be available</w:t>
      </w:r>
      <w:r w:rsidR="00BA285C" w:rsidRPr="00237357">
        <w:t xml:space="preserve"> to carers</w:t>
      </w:r>
      <w:r w:rsidR="007C7FC8" w:rsidRPr="00237357">
        <w:t xml:space="preserve"> </w:t>
      </w:r>
      <w:r w:rsidR="00BA285C" w:rsidRPr="00237357">
        <w:t xml:space="preserve">across the ICSS by service provider </w:t>
      </w:r>
      <w:r w:rsidRPr="00237357">
        <w:t xml:space="preserve">is provided in </w:t>
      </w:r>
      <w:r w:rsidRPr="00E15A92">
        <w:rPr>
          <w:u w:val="single"/>
        </w:rPr>
        <w:t>Appendix A</w:t>
      </w:r>
      <w:r w:rsidR="007C7FC8" w:rsidRPr="00237357">
        <w:t>.</w:t>
      </w:r>
    </w:p>
    <w:p w:rsidR="00E15A92" w:rsidRDefault="00AE140A" w:rsidP="007C7FC8">
      <w:r w:rsidRPr="00237357">
        <w:t>T</w:t>
      </w:r>
      <w:r w:rsidR="007C7FC8" w:rsidRPr="00237357">
        <w:t xml:space="preserve">he </w:t>
      </w:r>
      <w:r w:rsidRPr="00237357">
        <w:t xml:space="preserve">possible </w:t>
      </w:r>
      <w:r w:rsidR="007C7FC8" w:rsidRPr="00237357">
        <w:t>options carer</w:t>
      </w:r>
      <w:r w:rsidRPr="00237357">
        <w:t>s</w:t>
      </w:r>
      <w:r w:rsidR="007C7FC8" w:rsidRPr="00237357">
        <w:t xml:space="preserve"> could choose to access and receive support</w:t>
      </w:r>
      <w:r w:rsidRPr="00237357">
        <w:t xml:space="preserve"> are shown in </w:t>
      </w:r>
      <w:r w:rsidRPr="00E15A92">
        <w:rPr>
          <w:u w:val="single"/>
        </w:rPr>
        <w:t xml:space="preserve">Appendix </w:t>
      </w:r>
      <w:r w:rsidR="005F6393" w:rsidRPr="00E15A92">
        <w:rPr>
          <w:u w:val="single"/>
        </w:rPr>
        <w:t>B</w:t>
      </w:r>
      <w:r w:rsidR="007C7FC8" w:rsidRPr="00237357">
        <w:t>.</w:t>
      </w:r>
      <w:r w:rsidR="007C7FC8">
        <w:t xml:space="preserve"> </w:t>
      </w:r>
    </w:p>
    <w:p w:rsidR="00862A90" w:rsidRDefault="00862A90">
      <w:pPr>
        <w:rPr>
          <w:rFonts w:asciiTheme="majorHAnsi" w:eastAsiaTheme="majorEastAsia" w:hAnsiTheme="majorHAnsi" w:cstheme="majorBidi"/>
          <w:b/>
          <w:color w:val="2E74B5" w:themeColor="accent1" w:themeShade="BF"/>
          <w:sz w:val="32"/>
          <w:szCs w:val="32"/>
        </w:rPr>
      </w:pPr>
      <w:bookmarkStart w:id="18" w:name="_Toc503529692"/>
      <w:bookmarkStart w:id="19" w:name="_Toc509403401"/>
      <w:r>
        <w:rPr>
          <w:b/>
        </w:rPr>
        <w:br w:type="page"/>
      </w:r>
    </w:p>
    <w:p w:rsidR="007C7FC8" w:rsidRPr="001E4012" w:rsidRDefault="007C7FC8" w:rsidP="00E15A92">
      <w:pPr>
        <w:pStyle w:val="Heading1"/>
        <w:spacing w:before="360"/>
        <w:rPr>
          <w:b/>
        </w:rPr>
      </w:pPr>
      <w:r w:rsidRPr="001E4012">
        <w:rPr>
          <w:b/>
        </w:rPr>
        <w:lastRenderedPageBreak/>
        <w:t xml:space="preserve">3 </w:t>
      </w:r>
      <w:bookmarkEnd w:id="18"/>
      <w:r w:rsidR="00105661">
        <w:rPr>
          <w:b/>
        </w:rPr>
        <w:t xml:space="preserve"> </w:t>
      </w:r>
      <w:r>
        <w:rPr>
          <w:b/>
        </w:rPr>
        <w:t>Service Areas</w:t>
      </w:r>
      <w:bookmarkEnd w:id="19"/>
    </w:p>
    <w:p w:rsidR="007C7FC8" w:rsidRDefault="007C7FC8" w:rsidP="00862A90">
      <w:pPr>
        <w:pStyle w:val="Heading2"/>
        <w:spacing w:before="120"/>
      </w:pPr>
      <w:bookmarkStart w:id="20" w:name="_Toc503529693"/>
      <w:bookmarkStart w:id="21" w:name="_Toc509403402"/>
      <w:r>
        <w:t>Current model</w:t>
      </w:r>
      <w:bookmarkEnd w:id="20"/>
      <w:bookmarkEnd w:id="21"/>
    </w:p>
    <w:p w:rsidR="007C7FC8" w:rsidRPr="00237357" w:rsidRDefault="007C7FC8" w:rsidP="007C7FC8">
      <w:r w:rsidRPr="00237357">
        <w:t>At the core of the ICSS are the organisations commission</w:t>
      </w:r>
      <w:r w:rsidR="00BE6133" w:rsidRPr="00237357">
        <w:t>ed</w:t>
      </w:r>
      <w:r w:rsidR="004417E5">
        <w:t xml:space="preserve"> to perform the role of RD</w:t>
      </w:r>
      <w:r w:rsidRPr="00237357">
        <w:t>P</w:t>
      </w:r>
      <w:r w:rsidR="00996961" w:rsidRPr="00237357">
        <w:t>s</w:t>
      </w:r>
      <w:r w:rsidRPr="00237357">
        <w:t>. Therefore</w:t>
      </w:r>
      <w:r w:rsidR="006916D8">
        <w:t>,</w:t>
      </w:r>
      <w:r w:rsidRPr="00237357">
        <w:t xml:space="preserve"> the ICSS requires </w:t>
      </w:r>
      <w:r w:rsidR="00B523CE" w:rsidRPr="00237357">
        <w:t>d</w:t>
      </w:r>
      <w:r w:rsidRPr="00237357">
        <w:t>efinition of service areas and agreement on the number of organisations contracted to support each service area. The service area sets out where an organisation will work, the communities it will work with and where most of its clients will be drawn.</w:t>
      </w:r>
    </w:p>
    <w:p w:rsidR="00996961" w:rsidRPr="00237357" w:rsidRDefault="007C7FC8" w:rsidP="007C7FC8">
      <w:r w:rsidRPr="00237357">
        <w:t>Currently more than 100 organisations - of which 38 operate the</w:t>
      </w:r>
      <w:r w:rsidR="004417E5">
        <w:t xml:space="preserve"> 54</w:t>
      </w:r>
      <w:r w:rsidRPr="00237357">
        <w:t xml:space="preserve"> Commonwealth Respite and Carelink </w:t>
      </w:r>
      <w:r w:rsidR="00E15A92">
        <w:t>C</w:t>
      </w:r>
      <w:r w:rsidRPr="00237357">
        <w:t xml:space="preserve">entres (CRCCs) - are funded to deliver carer services across the previous 52 </w:t>
      </w:r>
      <w:r w:rsidR="00E15A92">
        <w:t xml:space="preserve">Aged Care </w:t>
      </w:r>
      <w:r w:rsidRPr="00237357">
        <w:t xml:space="preserve">Home and Community Care (HACC) Planning Regions. Since the cessation of the HACC program, these regions are no longer recognised or maintained by Government, resulting in a lack of demographic data necessary for service planning. </w:t>
      </w:r>
    </w:p>
    <w:p w:rsidR="007C7FC8" w:rsidRPr="00237357" w:rsidRDefault="007C7FC8" w:rsidP="007C7FC8">
      <w:r w:rsidRPr="00237357">
        <w:t xml:space="preserve">It is important to note that the future RDPs would replace the organisations </w:t>
      </w:r>
      <w:r w:rsidR="004417E5">
        <w:t xml:space="preserve">currently </w:t>
      </w:r>
      <w:r w:rsidRPr="00237357">
        <w:t xml:space="preserve">funded </w:t>
      </w:r>
      <w:r w:rsidR="004417E5">
        <w:t xml:space="preserve">to deliver DSS Carer Support Services. </w:t>
      </w:r>
    </w:p>
    <w:p w:rsidR="007C7FC8" w:rsidRDefault="007C7FC8" w:rsidP="00862A90">
      <w:pPr>
        <w:pStyle w:val="Heading2"/>
        <w:spacing w:before="240"/>
      </w:pPr>
      <w:bookmarkStart w:id="22" w:name="_Toc503529694"/>
      <w:bookmarkStart w:id="23" w:name="_Toc509403403"/>
      <w:r>
        <w:t>Proposed new model</w:t>
      </w:r>
      <w:bookmarkEnd w:id="22"/>
      <w:bookmarkEnd w:id="23"/>
    </w:p>
    <w:p w:rsidR="007C7FC8" w:rsidRDefault="007C7FC8" w:rsidP="007C7FC8">
      <w:r w:rsidRPr="00237357">
        <w:t>In developi</w:t>
      </w:r>
      <w:r w:rsidR="003417F7">
        <w:t>ng options for the proposed RDP</w:t>
      </w:r>
      <w:r w:rsidRPr="00237357">
        <w:t xml:space="preserve"> service areas, </w:t>
      </w:r>
      <w:r w:rsidR="00BA16BD" w:rsidRPr="00237357">
        <w:t>DSS</w:t>
      </w:r>
      <w:r w:rsidRPr="00237357">
        <w:t xml:space="preserve"> conducted detailed service analysis and mapping work that focussed on carer population and location, data on current carer and mainstream services, as well as consideration of the service regions currently utilised. </w:t>
      </w:r>
    </w:p>
    <w:p w:rsidR="00FD1925" w:rsidRPr="00237357" w:rsidRDefault="00555A87" w:rsidP="007C7FC8">
      <w:r>
        <w:t xml:space="preserve">Prior to the detailed statistical analysis undertaken by </w:t>
      </w:r>
      <w:r w:rsidR="00E15A92">
        <w:t>DSS</w:t>
      </w:r>
      <w:r>
        <w:t>, t</w:t>
      </w:r>
      <w:r w:rsidR="00FD1925">
        <w:t xml:space="preserve">he concept of larger service areas was discussed through a consultation </w:t>
      </w:r>
      <w:r w:rsidR="00E15A92">
        <w:t>DSS</w:t>
      </w:r>
      <w:r w:rsidR="00FD1925">
        <w:t xml:space="preserve"> </w:t>
      </w:r>
      <w:r w:rsidR="00E15A92">
        <w:t>ran</w:t>
      </w:r>
      <w:r w:rsidR="00FD1925">
        <w:t xml:space="preserve"> with the Subject Matter Expert Working Group, as part of the service delivery model design process. Consensus was that </w:t>
      </w:r>
      <w:r>
        <w:t xml:space="preserve">a number of around 22 service areas could be a feasible option. </w:t>
      </w:r>
      <w:r w:rsidR="00FD1925">
        <w:t xml:space="preserve"> </w:t>
      </w:r>
    </w:p>
    <w:p w:rsidR="007C7FC8" w:rsidRPr="00237357" w:rsidRDefault="007C7FC8" w:rsidP="00E15A92">
      <w:pPr>
        <w:spacing w:after="120"/>
      </w:pPr>
      <w:r w:rsidRPr="00237357">
        <w:t>In considering the most appropriat</w:t>
      </w:r>
      <w:r w:rsidR="00006759">
        <w:t>e regions to establish the RDP</w:t>
      </w:r>
      <w:r w:rsidRPr="00237357">
        <w:t xml:space="preserve"> service areas it is proposed that the service areas be based on the Statistical Areas (level 4) managed by the A</w:t>
      </w:r>
      <w:r w:rsidR="00CE2602" w:rsidRPr="00237357">
        <w:t xml:space="preserve">ustralian </w:t>
      </w:r>
      <w:r w:rsidRPr="00237357">
        <w:t>B</w:t>
      </w:r>
      <w:r w:rsidR="00CE2602" w:rsidRPr="00237357">
        <w:t xml:space="preserve">ureau of </w:t>
      </w:r>
      <w:r w:rsidRPr="00237357">
        <w:t>S</w:t>
      </w:r>
      <w:r w:rsidR="00CE2602" w:rsidRPr="00237357">
        <w:t>tatistics (ABS)</w:t>
      </w:r>
      <w:r w:rsidRPr="00237357">
        <w:t xml:space="preserve">. The Department </w:t>
      </w:r>
      <w:r w:rsidR="00CE2602" w:rsidRPr="00237357">
        <w:t xml:space="preserve">has </w:t>
      </w:r>
      <w:r w:rsidRPr="00237357">
        <w:t>consolidated the 88 ABS</w:t>
      </w:r>
      <w:r w:rsidR="00CE2602" w:rsidRPr="00237357">
        <w:t>’</w:t>
      </w:r>
      <w:r w:rsidRPr="00237357">
        <w:t xml:space="preserve"> Statistical Areas (SA) Level 4 regions into two suitable options: </w:t>
      </w:r>
    </w:p>
    <w:p w:rsidR="007C7FC8" w:rsidRPr="00237357" w:rsidRDefault="007C7FC8" w:rsidP="00E15A92">
      <w:pPr>
        <w:pStyle w:val="ListParagraph"/>
        <w:numPr>
          <w:ilvl w:val="0"/>
          <w:numId w:val="17"/>
        </w:numPr>
        <w:ind w:left="714" w:hanging="357"/>
        <w:contextualSpacing w:val="0"/>
      </w:pPr>
      <w:r w:rsidRPr="00237357">
        <w:rPr>
          <w:b/>
        </w:rPr>
        <w:t>Option A</w:t>
      </w:r>
      <w:r w:rsidR="00E15A92">
        <w:t xml:space="preserve"> - 20</w:t>
      </w:r>
      <w:r w:rsidRPr="00237357">
        <w:t xml:space="preserve"> service areas nationally with </w:t>
      </w:r>
      <w:r w:rsidR="00E15A92">
        <w:t>20</w:t>
      </w:r>
      <w:r w:rsidRPr="00237357">
        <w:t xml:space="preserve"> RDPs – one in each service area.</w:t>
      </w:r>
    </w:p>
    <w:p w:rsidR="007C7FC8" w:rsidRPr="00237357" w:rsidRDefault="007C7FC8" w:rsidP="003C5BA9">
      <w:pPr>
        <w:pStyle w:val="ListParagraph"/>
        <w:numPr>
          <w:ilvl w:val="0"/>
          <w:numId w:val="17"/>
        </w:numPr>
      </w:pPr>
      <w:r w:rsidRPr="00237357">
        <w:rPr>
          <w:b/>
        </w:rPr>
        <w:t>Option B</w:t>
      </w:r>
      <w:r w:rsidRPr="00237357">
        <w:t xml:space="preserve"> - </w:t>
      </w:r>
      <w:r w:rsidR="00E15A92">
        <w:t>11</w:t>
      </w:r>
      <w:r w:rsidRPr="00237357">
        <w:t xml:space="preserve"> service areas nationally with </w:t>
      </w:r>
      <w:r w:rsidR="00E15A92">
        <w:t>11</w:t>
      </w:r>
      <w:r w:rsidRPr="00237357">
        <w:t xml:space="preserve"> RDPs – one in each service area.</w:t>
      </w:r>
    </w:p>
    <w:p w:rsidR="007C7FC8" w:rsidRPr="00237357" w:rsidRDefault="007C7FC8" w:rsidP="007C7FC8">
      <w:r w:rsidRPr="00237357">
        <w:t xml:space="preserve">The establishment of a smaller number of RDPs forms a key change in the new model. </w:t>
      </w:r>
      <w:r w:rsidR="00BA16BD" w:rsidRPr="00237357">
        <w:t xml:space="preserve">DSS believes this approach will </w:t>
      </w:r>
      <w:r w:rsidRPr="00237357">
        <w:t xml:space="preserve">deliver economies of scale through a centralised model and consolidation of existing services into larger service outlets. With a smaller number of service areas, RDPs would be required to establish their regional presence and therefore increase their ability to support carers in rural and remote locations. This is critical as </w:t>
      </w:r>
      <w:r w:rsidR="00E7356A">
        <w:t>more than 30% of carers (approximately</w:t>
      </w:r>
      <w:r w:rsidRPr="00237357">
        <w:t xml:space="preserve"> 850,000) live outside of major cities. </w:t>
      </w:r>
    </w:p>
    <w:p w:rsidR="007C7FC8" w:rsidRPr="00237357" w:rsidRDefault="007C7FC8" w:rsidP="007C7FC8">
      <w:pPr>
        <w:spacing w:after="0"/>
      </w:pPr>
      <w:r w:rsidRPr="00237357">
        <w:t xml:space="preserve">The argument for </w:t>
      </w:r>
      <w:r w:rsidR="00B523CE" w:rsidRPr="00237357">
        <w:t xml:space="preserve">supporting a smaller </w:t>
      </w:r>
      <w:r w:rsidRPr="00237357">
        <w:t>number of service areas is threefold:</w:t>
      </w:r>
    </w:p>
    <w:p w:rsidR="007C7FC8" w:rsidRPr="00237357" w:rsidRDefault="007C7FC8" w:rsidP="00390272">
      <w:pPr>
        <w:pStyle w:val="ICSSDotPoint"/>
        <w:spacing w:before="120"/>
        <w:ind w:left="714" w:hanging="357"/>
      </w:pPr>
      <w:r w:rsidRPr="00237357">
        <w:rPr>
          <w:b/>
        </w:rPr>
        <w:t>Larger service areas can span multiple regions.</w:t>
      </w:r>
      <w:r w:rsidRPr="00237357">
        <w:t xml:space="preserve"> Delivering services in metropolitan, rural and/or remote areas would precl</w:t>
      </w:r>
      <w:r w:rsidR="003417F7">
        <w:t>ude cherry-picking by providers. A</w:t>
      </w:r>
      <w:r w:rsidRPr="00237357">
        <w:t>s shown by the Aged Care Regional Assessment Service</w:t>
      </w:r>
      <w:r w:rsidR="00996961" w:rsidRPr="00237357">
        <w:t>,</w:t>
      </w:r>
      <w:r w:rsidRPr="00237357">
        <w:t xml:space="preserve"> the market can deliver effective solutions in regional/ remote areas if they can offset these costs </w:t>
      </w:r>
      <w:r w:rsidR="00996961" w:rsidRPr="00237357">
        <w:t xml:space="preserve">by also having access to higher volumes (and lower delivery costs) </w:t>
      </w:r>
      <w:r w:rsidR="003417F7">
        <w:t>associated with metro areas</w:t>
      </w:r>
      <w:r w:rsidRPr="00237357">
        <w:t>.</w:t>
      </w:r>
    </w:p>
    <w:p w:rsidR="007C7FC8" w:rsidRPr="00237357" w:rsidRDefault="007C7FC8" w:rsidP="007F2EFC">
      <w:pPr>
        <w:pStyle w:val="ICSSDotPoint"/>
      </w:pPr>
      <w:r w:rsidRPr="00237357">
        <w:rPr>
          <w:b/>
        </w:rPr>
        <w:t>A smaller number of larger contracts is more cost effective</w:t>
      </w:r>
      <w:r w:rsidR="00BE6133" w:rsidRPr="00237357">
        <w:rPr>
          <w:b/>
        </w:rPr>
        <w:t>.</w:t>
      </w:r>
      <w:r w:rsidRPr="00237357">
        <w:t xml:space="preserve"> </w:t>
      </w:r>
      <w:r w:rsidR="00BE6133" w:rsidRPr="00237357">
        <w:t>There are</w:t>
      </w:r>
      <w:r w:rsidRPr="00237357">
        <w:t xml:space="preserve"> significant fixed costs attached to each </w:t>
      </w:r>
      <w:r w:rsidR="00996961" w:rsidRPr="00237357">
        <w:t xml:space="preserve">RDP </w:t>
      </w:r>
      <w:r w:rsidRPr="00237357">
        <w:t xml:space="preserve">contract associated with </w:t>
      </w:r>
      <w:r w:rsidR="00CE2602" w:rsidRPr="00237357">
        <w:t>establishing operations (</w:t>
      </w:r>
      <w:r w:rsidRPr="00237357">
        <w:t>the development of business</w:t>
      </w:r>
      <w:r w:rsidR="00CE2602" w:rsidRPr="00237357">
        <w:t xml:space="preserve"> administration, </w:t>
      </w:r>
      <w:r w:rsidR="00B523CE" w:rsidRPr="00237357">
        <w:t xml:space="preserve">staffing, </w:t>
      </w:r>
      <w:r w:rsidR="00996961" w:rsidRPr="00237357">
        <w:t xml:space="preserve">acquiring </w:t>
      </w:r>
      <w:r w:rsidR="00E20A7F">
        <w:t>rental facilities and</w:t>
      </w:r>
      <w:r w:rsidR="00CE2602" w:rsidRPr="00237357">
        <w:t xml:space="preserve"> </w:t>
      </w:r>
      <w:r w:rsidRPr="00237357">
        <w:t>ICT systems</w:t>
      </w:r>
      <w:r w:rsidR="00CE2602" w:rsidRPr="00237357">
        <w:t>).</w:t>
      </w:r>
      <w:r w:rsidRPr="00237357">
        <w:t xml:space="preserve"> </w:t>
      </w:r>
      <w:r w:rsidR="00BE6133" w:rsidRPr="00237357">
        <w:t>The</w:t>
      </w:r>
      <w:r w:rsidRPr="00237357">
        <w:t xml:space="preserve"> increased cost effectiveness</w:t>
      </w:r>
      <w:r w:rsidR="00BE6133" w:rsidRPr="00237357">
        <w:t xml:space="preserve"> of fewer </w:t>
      </w:r>
      <w:r w:rsidR="00996961" w:rsidRPr="00237357">
        <w:t xml:space="preserve">RDP </w:t>
      </w:r>
      <w:r w:rsidR="00BE6133" w:rsidRPr="00237357">
        <w:t>contractors</w:t>
      </w:r>
      <w:r w:rsidRPr="00237357">
        <w:t xml:space="preserve"> will </w:t>
      </w:r>
      <w:r w:rsidR="00CE2602" w:rsidRPr="00237357">
        <w:t xml:space="preserve">provide for more staff, </w:t>
      </w:r>
      <w:r w:rsidR="0011460D" w:rsidRPr="00237357">
        <w:t xml:space="preserve">better training and career pathway prospects, </w:t>
      </w:r>
      <w:r w:rsidR="00CE2602" w:rsidRPr="00237357">
        <w:t>broader geographic coverage</w:t>
      </w:r>
      <w:r w:rsidR="0011460D" w:rsidRPr="00237357">
        <w:t xml:space="preserve"> and more funding available for direct service provision activities.</w:t>
      </w:r>
    </w:p>
    <w:p w:rsidR="00862A90" w:rsidRPr="00862A90" w:rsidRDefault="007C7FC8" w:rsidP="00862A90">
      <w:pPr>
        <w:pStyle w:val="ICSSDotPoint"/>
        <w:spacing w:after="240"/>
        <w:ind w:left="714" w:hanging="357"/>
      </w:pPr>
      <w:r w:rsidRPr="00862A90">
        <w:rPr>
          <w:b/>
        </w:rPr>
        <w:lastRenderedPageBreak/>
        <w:t>A smaller number of larger contracts ensures a more equitable access and consistent service experience across regions</w:t>
      </w:r>
      <w:r w:rsidRPr="00237357">
        <w:t xml:space="preserve">. Each service outlet </w:t>
      </w:r>
      <w:r w:rsidR="00B523CE" w:rsidRPr="00237357">
        <w:t xml:space="preserve">operating within </w:t>
      </w:r>
      <w:r w:rsidR="007F2EFC" w:rsidRPr="00237357">
        <w:t>a service</w:t>
      </w:r>
      <w:r w:rsidRPr="00237357">
        <w:t xml:space="preserve"> area </w:t>
      </w:r>
      <w:r w:rsidR="007F2EFC">
        <w:t xml:space="preserve">would </w:t>
      </w:r>
      <w:r w:rsidRPr="00237357">
        <w:t>be connected by centralised business</w:t>
      </w:r>
      <w:r w:rsidR="00B523CE" w:rsidRPr="00237357">
        <w:t xml:space="preserve"> operations</w:t>
      </w:r>
      <w:r w:rsidRPr="00237357">
        <w:t xml:space="preserve"> and IC</w:t>
      </w:r>
      <w:r w:rsidR="007F2EFC">
        <w:t>T systems established by the RD</w:t>
      </w:r>
      <w:r w:rsidRPr="00237357">
        <w:t>P,</w:t>
      </w:r>
      <w:r w:rsidRPr="00862A90">
        <w:rPr>
          <w:rFonts w:cs="Times New Roman"/>
        </w:rPr>
        <w:t xml:space="preserve"> </w:t>
      </w:r>
      <w:r w:rsidR="00996961" w:rsidRPr="00862A90">
        <w:rPr>
          <w:rFonts w:cs="Times New Roman"/>
        </w:rPr>
        <w:t xml:space="preserve">supporting </w:t>
      </w:r>
      <w:r w:rsidRPr="00862A90">
        <w:rPr>
          <w:rFonts w:cs="Times New Roman"/>
        </w:rPr>
        <w:t xml:space="preserve">carers </w:t>
      </w:r>
      <w:r w:rsidR="00996961" w:rsidRPr="00862A90">
        <w:rPr>
          <w:rFonts w:cs="Times New Roman"/>
        </w:rPr>
        <w:t xml:space="preserve">to </w:t>
      </w:r>
      <w:r w:rsidRPr="00862A90">
        <w:rPr>
          <w:rFonts w:cs="Times New Roman"/>
        </w:rPr>
        <w:t xml:space="preserve">receive </w:t>
      </w:r>
      <w:r w:rsidR="00B523CE" w:rsidRPr="00862A90">
        <w:rPr>
          <w:rFonts w:cs="Times New Roman"/>
        </w:rPr>
        <w:t xml:space="preserve">a consistently high </w:t>
      </w:r>
      <w:r w:rsidRPr="00862A90">
        <w:rPr>
          <w:rFonts w:cs="Times New Roman"/>
        </w:rPr>
        <w:t xml:space="preserve">level of quality service. </w:t>
      </w:r>
    </w:p>
    <w:p w:rsidR="007C7FC8" w:rsidRPr="00237357" w:rsidRDefault="007C7FC8" w:rsidP="00862A90">
      <w:pPr>
        <w:pStyle w:val="ICSSDotPoint"/>
        <w:numPr>
          <w:ilvl w:val="0"/>
          <w:numId w:val="0"/>
        </w:numPr>
        <w:spacing w:after="240"/>
      </w:pPr>
      <w:r w:rsidRPr="00237357">
        <w:t xml:space="preserve">Given the geographic size of the proposed service areas, it is anticipated that each RDP would enter into consortium arrangements with a variety of providers engaged through subcontractor arrangements. It is also expected that </w:t>
      </w:r>
      <w:r w:rsidR="006F3B5E">
        <w:t>many</w:t>
      </w:r>
      <w:r w:rsidRPr="00237357">
        <w:t xml:space="preserve"> existing service providers </w:t>
      </w:r>
      <w:r w:rsidR="006F3B5E">
        <w:t>would be well place</w:t>
      </w:r>
      <w:r w:rsidRPr="00237357">
        <w:t>d</w:t>
      </w:r>
      <w:r w:rsidR="006F3B5E">
        <w:t xml:space="preserve"> to</w:t>
      </w:r>
      <w:r w:rsidRPr="00237357">
        <w:t xml:space="preserve"> either lead a consortium or participate in a consortium led by another organisation. </w:t>
      </w:r>
    </w:p>
    <w:p w:rsidR="007C7FC8" w:rsidRPr="00237357" w:rsidRDefault="007C7FC8" w:rsidP="007C7FC8">
      <w:r w:rsidRPr="00237357">
        <w:t>The next two paragraphs provides a breakdown of each option’s service area’s geographical location/coverage.</w:t>
      </w:r>
    </w:p>
    <w:p w:rsidR="00862A90" w:rsidRDefault="00862A90" w:rsidP="00FC7857">
      <w:pPr>
        <w:pStyle w:val="Heading3"/>
      </w:pPr>
      <w:bookmarkStart w:id="24" w:name="_Toc503529695"/>
      <w:bookmarkStart w:id="25" w:name="_Toc509403404"/>
    </w:p>
    <w:p w:rsidR="00862A90" w:rsidRDefault="00862A90">
      <w:pPr>
        <w:rPr>
          <w:rFonts w:asciiTheme="majorHAnsi" w:eastAsiaTheme="majorEastAsia" w:hAnsiTheme="majorHAnsi" w:cstheme="majorBidi"/>
          <w:color w:val="1F4D78" w:themeColor="accent1" w:themeShade="7F"/>
          <w:sz w:val="24"/>
          <w:szCs w:val="24"/>
        </w:rPr>
      </w:pPr>
      <w:r>
        <w:br w:type="page"/>
      </w:r>
    </w:p>
    <w:p w:rsidR="007C7FC8" w:rsidRPr="00E03B0D" w:rsidRDefault="007C7FC8" w:rsidP="00FC7857">
      <w:pPr>
        <w:pStyle w:val="Heading3"/>
      </w:pPr>
      <w:r>
        <w:lastRenderedPageBreak/>
        <w:t>Option A</w:t>
      </w:r>
      <w:r w:rsidRPr="00E03B0D">
        <w:t xml:space="preserve"> – </w:t>
      </w:r>
      <w:r w:rsidR="00390272">
        <w:t>20</w:t>
      </w:r>
      <w:r w:rsidRPr="00E03B0D">
        <w:t xml:space="preserve"> service areas</w:t>
      </w:r>
      <w:bookmarkEnd w:id="24"/>
      <w:bookmarkEnd w:id="25"/>
    </w:p>
    <w:p w:rsidR="00390272" w:rsidRPr="00503D23" w:rsidRDefault="007C7FC8" w:rsidP="00503D23">
      <w:r w:rsidRPr="004828B3">
        <w:t>The proposed RDP service areas under Option A</w:t>
      </w:r>
      <w:r w:rsidR="00390272">
        <w:t xml:space="preserve"> </w:t>
      </w:r>
      <w:r w:rsidRPr="004828B3">
        <w:t xml:space="preserve">are </w:t>
      </w:r>
      <w:r w:rsidR="00503D23">
        <w:t>described in Table 1</w:t>
      </w:r>
      <w:r w:rsidR="00C16D15">
        <w:t xml:space="preserve"> below.</w:t>
      </w:r>
    </w:p>
    <w:p w:rsidR="00862A90" w:rsidRPr="00A438C8" w:rsidRDefault="00862A90" w:rsidP="00862A90">
      <w:pPr>
        <w:rPr>
          <w:rFonts w:cstheme="minorHAnsi"/>
          <w:b/>
          <w:sz w:val="20"/>
          <w:szCs w:val="20"/>
        </w:rPr>
      </w:pPr>
      <w:r>
        <w:rPr>
          <w:rFonts w:cstheme="minorHAnsi"/>
          <w:b/>
          <w:sz w:val="20"/>
          <w:szCs w:val="20"/>
        </w:rPr>
        <w:t>T</w:t>
      </w:r>
      <w:r w:rsidRPr="00A438C8">
        <w:rPr>
          <w:rFonts w:cstheme="minorHAnsi"/>
          <w:b/>
          <w:sz w:val="20"/>
          <w:szCs w:val="20"/>
        </w:rPr>
        <w:t xml:space="preserve">able </w:t>
      </w:r>
      <w:r>
        <w:rPr>
          <w:rFonts w:cstheme="minorHAnsi"/>
          <w:b/>
          <w:sz w:val="20"/>
          <w:szCs w:val="20"/>
        </w:rPr>
        <w:t>1</w:t>
      </w:r>
      <w:r w:rsidRPr="00A438C8">
        <w:rPr>
          <w:rFonts w:cstheme="minorHAnsi"/>
          <w:b/>
          <w:sz w:val="20"/>
          <w:szCs w:val="20"/>
        </w:rPr>
        <w:t xml:space="preserve"> – </w:t>
      </w:r>
      <w:r>
        <w:rPr>
          <w:rFonts w:cstheme="minorHAnsi"/>
          <w:b/>
          <w:sz w:val="20"/>
          <w:szCs w:val="20"/>
        </w:rPr>
        <w:t>C</w:t>
      </w:r>
      <w:r w:rsidRPr="00A438C8">
        <w:rPr>
          <w:rFonts w:cstheme="minorHAnsi"/>
          <w:b/>
          <w:sz w:val="20"/>
          <w:szCs w:val="20"/>
        </w:rPr>
        <w:t>arer population</w:t>
      </w:r>
      <w:r>
        <w:rPr>
          <w:rFonts w:cstheme="minorHAnsi"/>
          <w:b/>
          <w:sz w:val="20"/>
          <w:szCs w:val="20"/>
        </w:rPr>
        <w:t xml:space="preserve"> and estimated number of service outlets</w:t>
      </w:r>
      <w:r w:rsidRPr="00A438C8">
        <w:rPr>
          <w:rFonts w:cstheme="minorHAnsi"/>
          <w:b/>
          <w:sz w:val="20"/>
          <w:szCs w:val="20"/>
        </w:rPr>
        <w:t xml:space="preserve"> for 20 service areas</w:t>
      </w:r>
    </w:p>
    <w:tbl>
      <w:tblPr>
        <w:tblW w:w="267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38"/>
        <w:gridCol w:w="2977"/>
      </w:tblGrid>
      <w:tr w:rsidR="00862A90" w:rsidRPr="003F4267" w:rsidTr="00AD42E7">
        <w:trPr>
          <w:trHeight w:val="290"/>
          <w:tblHeader/>
        </w:trPr>
        <w:tc>
          <w:tcPr>
            <w:tcW w:w="1909" w:type="pct"/>
            <w:shd w:val="clear" w:color="auto" w:fill="F2F2F2" w:themeFill="background1" w:themeFillShade="F2"/>
            <w:noWrap/>
            <w:hideMark/>
          </w:tcPr>
          <w:p w:rsidR="00862A90" w:rsidRPr="00A438C8" w:rsidRDefault="00862A90" w:rsidP="00AD42E7">
            <w:pPr>
              <w:spacing w:after="0"/>
              <w:jc w:val="right"/>
              <w:rPr>
                <w:rFonts w:cstheme="minorHAnsi"/>
                <w:b/>
                <w:bCs/>
                <w:color w:val="000000"/>
                <w:sz w:val="20"/>
                <w:szCs w:val="20"/>
                <w:lang w:val="en-US"/>
              </w:rPr>
            </w:pPr>
            <w:r w:rsidRPr="00A438C8">
              <w:rPr>
                <w:rFonts w:cstheme="minorHAnsi"/>
                <w:b/>
                <w:bCs/>
                <w:color w:val="000000"/>
                <w:sz w:val="20"/>
                <w:szCs w:val="20"/>
                <w:lang w:val="en-US"/>
              </w:rPr>
              <w:t>Service Area</w:t>
            </w:r>
          </w:p>
        </w:tc>
        <w:tc>
          <w:tcPr>
            <w:tcW w:w="3091" w:type="pct"/>
            <w:shd w:val="clear" w:color="auto" w:fill="F2F2F2" w:themeFill="background1" w:themeFillShade="F2"/>
            <w:noWrap/>
            <w:hideMark/>
          </w:tcPr>
          <w:p w:rsidR="00862A90" w:rsidRPr="00A438C8" w:rsidRDefault="00862A90" w:rsidP="00AD42E7">
            <w:pPr>
              <w:spacing w:after="0"/>
              <w:jc w:val="right"/>
              <w:rPr>
                <w:rFonts w:cstheme="minorHAnsi"/>
                <w:b/>
                <w:bCs/>
                <w:color w:val="000000"/>
                <w:sz w:val="20"/>
                <w:szCs w:val="20"/>
                <w:lang w:val="en-US"/>
              </w:rPr>
            </w:pPr>
            <w:r w:rsidRPr="00A438C8">
              <w:rPr>
                <w:rFonts w:cstheme="minorHAnsi"/>
                <w:b/>
                <w:bCs/>
                <w:color w:val="000000"/>
                <w:sz w:val="20"/>
                <w:szCs w:val="20"/>
                <w:lang w:val="en-US"/>
              </w:rPr>
              <w:t>Estimated Carer Population</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NSW 01a</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137,400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NSW 01b</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137,400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NSW 02a</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165,950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NSW 02b</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165,950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NSW 03a</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171,400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NSW 03b</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171,400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NT 01</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11,500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QLD 01a</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128,750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QLD 01b</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128,750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QLD 02a</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108,700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QLD 02b</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108,700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SA 01a</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122,250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SA 01b</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122,250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TAS 01</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84,900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VIC 01a</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192,350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VIC 01b</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192,350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 xml:space="preserve">VIC </w:t>
            </w:r>
            <w:r>
              <w:rPr>
                <w:rFonts w:cstheme="minorHAnsi"/>
                <w:color w:val="000000"/>
                <w:sz w:val="20"/>
                <w:szCs w:val="20"/>
                <w:lang w:val="en-US"/>
              </w:rPr>
              <w:t>0</w:t>
            </w:r>
            <w:r w:rsidRPr="00A438C8">
              <w:rPr>
                <w:rFonts w:cstheme="minorHAnsi"/>
                <w:color w:val="000000"/>
                <w:sz w:val="20"/>
                <w:szCs w:val="20"/>
                <w:lang w:val="en-US"/>
              </w:rPr>
              <w:t>2a</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173,900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4930D5">
              <w:rPr>
                <w:rFonts w:cstheme="minorHAnsi"/>
                <w:color w:val="000000"/>
                <w:sz w:val="20"/>
                <w:szCs w:val="20"/>
                <w:lang w:val="en-US"/>
              </w:rPr>
              <w:t>VIC 02b</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173,900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WA 01a</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101,500</w:t>
            </w:r>
          </w:p>
        </w:tc>
      </w:tr>
      <w:tr w:rsidR="00862A90" w:rsidRPr="003F4267" w:rsidTr="00AD42E7">
        <w:trPr>
          <w:trHeight w:val="290"/>
        </w:trPr>
        <w:tc>
          <w:tcPr>
            <w:tcW w:w="1909"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WA 01b</w:t>
            </w:r>
          </w:p>
        </w:tc>
        <w:tc>
          <w:tcPr>
            <w:tcW w:w="3091" w:type="pct"/>
            <w:shd w:val="clear" w:color="auto" w:fill="auto"/>
            <w:noWrap/>
            <w:vAlign w:val="center"/>
          </w:tcPr>
          <w:p w:rsidR="00862A90" w:rsidRPr="00A438C8" w:rsidRDefault="00862A90" w:rsidP="00AD42E7">
            <w:pPr>
              <w:spacing w:after="0"/>
              <w:jc w:val="right"/>
              <w:rPr>
                <w:rFonts w:cstheme="minorHAnsi"/>
                <w:color w:val="000000"/>
                <w:sz w:val="20"/>
                <w:szCs w:val="20"/>
                <w:lang w:val="en-US"/>
              </w:rPr>
            </w:pPr>
            <w:r w:rsidRPr="00A438C8">
              <w:rPr>
                <w:rFonts w:cstheme="minorHAnsi"/>
                <w:color w:val="000000"/>
                <w:sz w:val="20"/>
                <w:szCs w:val="20"/>
                <w:lang w:val="en-US"/>
              </w:rPr>
              <w:t>101,500</w:t>
            </w:r>
          </w:p>
        </w:tc>
      </w:tr>
      <w:tr w:rsidR="00862A90" w:rsidRPr="003F4267" w:rsidTr="00AD42E7">
        <w:trPr>
          <w:trHeight w:val="290"/>
        </w:trPr>
        <w:tc>
          <w:tcPr>
            <w:tcW w:w="1909" w:type="pct"/>
            <w:shd w:val="clear" w:color="auto" w:fill="F2F2F2" w:themeFill="background1" w:themeFillShade="F2"/>
            <w:noWrap/>
            <w:vAlign w:val="center"/>
          </w:tcPr>
          <w:p w:rsidR="00862A90" w:rsidRPr="00A438C8" w:rsidRDefault="00862A90" w:rsidP="00AD42E7">
            <w:pPr>
              <w:spacing w:after="0"/>
              <w:jc w:val="right"/>
              <w:rPr>
                <w:rFonts w:cstheme="minorHAnsi"/>
                <w:b/>
                <w:color w:val="000000"/>
                <w:sz w:val="20"/>
                <w:szCs w:val="20"/>
                <w:lang w:val="en-US"/>
              </w:rPr>
            </w:pPr>
            <w:r w:rsidRPr="004930D5">
              <w:rPr>
                <w:rFonts w:cstheme="minorHAnsi"/>
                <w:b/>
                <w:color w:val="000000"/>
                <w:sz w:val="20"/>
                <w:szCs w:val="20"/>
                <w:lang w:val="en-US"/>
              </w:rPr>
              <w:t>Total</w:t>
            </w:r>
          </w:p>
        </w:tc>
        <w:tc>
          <w:tcPr>
            <w:tcW w:w="3091" w:type="pct"/>
            <w:shd w:val="clear" w:color="auto" w:fill="F2F2F2" w:themeFill="background1" w:themeFillShade="F2"/>
            <w:noWrap/>
            <w:vAlign w:val="center"/>
          </w:tcPr>
          <w:p w:rsidR="00862A90" w:rsidRPr="00A438C8" w:rsidRDefault="00862A90" w:rsidP="00AD42E7">
            <w:pPr>
              <w:spacing w:after="0"/>
              <w:jc w:val="right"/>
              <w:rPr>
                <w:rFonts w:cstheme="minorHAnsi"/>
                <w:b/>
                <w:color w:val="000000"/>
                <w:sz w:val="20"/>
                <w:szCs w:val="20"/>
                <w:lang w:val="en-US"/>
              </w:rPr>
            </w:pPr>
            <w:r w:rsidRPr="00A438C8">
              <w:rPr>
                <w:rFonts w:cstheme="minorHAnsi"/>
                <w:b/>
                <w:color w:val="000000"/>
                <w:sz w:val="20"/>
                <w:szCs w:val="20"/>
                <w:lang w:val="en-US"/>
              </w:rPr>
              <w:t>2,700,800</w:t>
            </w:r>
          </w:p>
        </w:tc>
      </w:tr>
    </w:tbl>
    <w:p w:rsidR="00390272" w:rsidRPr="004828B3" w:rsidRDefault="00862A90" w:rsidP="00862A90">
      <w:r>
        <w:rPr>
          <w:rFonts w:cstheme="minorHAnsi"/>
          <w:b/>
          <w:sz w:val="20"/>
          <w:szCs w:val="20"/>
        </w:rPr>
        <w:br w:type="page"/>
      </w:r>
      <w:bookmarkStart w:id="26" w:name="_Toc503529696"/>
      <w:bookmarkStart w:id="27" w:name="_Toc509403405"/>
      <w:r>
        <w:lastRenderedPageBreak/>
        <w:t xml:space="preserve"> </w:t>
      </w:r>
      <w:r w:rsidR="00390272" w:rsidRPr="00862A90">
        <w:rPr>
          <w:rFonts w:asciiTheme="majorHAnsi" w:eastAsiaTheme="majorEastAsia" w:hAnsiTheme="majorHAnsi" w:cstheme="majorBidi"/>
          <w:color w:val="1F4D78" w:themeColor="accent1" w:themeShade="7F"/>
          <w:sz w:val="24"/>
          <w:szCs w:val="24"/>
        </w:rPr>
        <w:t>Option B – 11 service</w:t>
      </w:r>
      <w:r w:rsidR="00390272" w:rsidRPr="00862A90">
        <w:rPr>
          <w:color w:val="1F4D78" w:themeColor="accent1" w:themeShade="7F"/>
          <w:sz w:val="24"/>
          <w:szCs w:val="24"/>
        </w:rPr>
        <w:t xml:space="preserve"> </w:t>
      </w:r>
      <w:r w:rsidR="00390272" w:rsidRPr="00862A90">
        <w:rPr>
          <w:rFonts w:asciiTheme="majorHAnsi" w:eastAsiaTheme="majorEastAsia" w:hAnsiTheme="majorHAnsi" w:cstheme="majorBidi"/>
          <w:color w:val="1F4D78" w:themeColor="accent1" w:themeShade="7F"/>
          <w:sz w:val="24"/>
          <w:szCs w:val="24"/>
        </w:rPr>
        <w:t>areas</w:t>
      </w:r>
      <w:bookmarkEnd w:id="26"/>
      <w:bookmarkEnd w:id="27"/>
    </w:p>
    <w:p w:rsidR="00390272" w:rsidRPr="00503D23" w:rsidRDefault="00503D23" w:rsidP="00503D23">
      <w:r w:rsidRPr="004828B3">
        <w:t>The proposed RDP service are</w:t>
      </w:r>
      <w:r>
        <w:t xml:space="preserve">as under Option B </w:t>
      </w:r>
      <w:r w:rsidRPr="004828B3">
        <w:t xml:space="preserve">are </w:t>
      </w:r>
      <w:r>
        <w:t>described in Table 2 below.</w:t>
      </w:r>
    </w:p>
    <w:p w:rsidR="00390272" w:rsidRPr="00A438C8" w:rsidRDefault="00390272" w:rsidP="00390272">
      <w:pPr>
        <w:spacing w:after="60"/>
        <w:rPr>
          <w:rFonts w:cstheme="minorHAnsi"/>
          <w:b/>
          <w:sz w:val="20"/>
          <w:szCs w:val="20"/>
        </w:rPr>
      </w:pPr>
      <w:r w:rsidRPr="00A438C8">
        <w:rPr>
          <w:rFonts w:cstheme="minorHAnsi"/>
          <w:b/>
          <w:sz w:val="20"/>
          <w:szCs w:val="20"/>
        </w:rPr>
        <w:t xml:space="preserve">Table </w:t>
      </w:r>
      <w:r>
        <w:rPr>
          <w:rFonts w:cstheme="minorHAnsi"/>
          <w:b/>
          <w:sz w:val="20"/>
          <w:szCs w:val="20"/>
        </w:rPr>
        <w:t>2</w:t>
      </w:r>
      <w:r w:rsidRPr="00A438C8">
        <w:rPr>
          <w:rFonts w:cstheme="minorHAnsi"/>
          <w:b/>
          <w:sz w:val="20"/>
          <w:szCs w:val="20"/>
        </w:rPr>
        <w:t xml:space="preserve"> –</w:t>
      </w:r>
      <w:r>
        <w:rPr>
          <w:rFonts w:cstheme="minorHAnsi"/>
          <w:b/>
          <w:sz w:val="20"/>
          <w:szCs w:val="20"/>
        </w:rPr>
        <w:t>C</w:t>
      </w:r>
      <w:r w:rsidRPr="00A438C8">
        <w:rPr>
          <w:rFonts w:cstheme="minorHAnsi"/>
          <w:b/>
          <w:sz w:val="20"/>
          <w:szCs w:val="20"/>
        </w:rPr>
        <w:t>arer population</w:t>
      </w:r>
      <w:r>
        <w:rPr>
          <w:rFonts w:cstheme="minorHAnsi"/>
          <w:b/>
          <w:sz w:val="20"/>
          <w:szCs w:val="20"/>
        </w:rPr>
        <w:t xml:space="preserve"> and estimated number of service outlets</w:t>
      </w:r>
      <w:r w:rsidRPr="00A438C8">
        <w:rPr>
          <w:rFonts w:cstheme="minorHAnsi"/>
          <w:b/>
          <w:sz w:val="20"/>
          <w:szCs w:val="20"/>
        </w:rPr>
        <w:t xml:space="preserve"> for 11 service areas</w:t>
      </w:r>
    </w:p>
    <w:tbl>
      <w:tblPr>
        <w:tblW w:w="290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407"/>
        <w:gridCol w:w="2834"/>
      </w:tblGrid>
      <w:tr w:rsidR="00390272" w:rsidRPr="00C43C40" w:rsidTr="00AD42E7">
        <w:trPr>
          <w:trHeight w:val="373"/>
        </w:trPr>
        <w:tc>
          <w:tcPr>
            <w:tcW w:w="2296" w:type="pct"/>
            <w:shd w:val="clear" w:color="auto" w:fill="F2F2F2" w:themeFill="background1" w:themeFillShade="F2"/>
            <w:noWrap/>
            <w:hideMark/>
          </w:tcPr>
          <w:p w:rsidR="00390272" w:rsidRPr="00A438C8" w:rsidRDefault="00390272" w:rsidP="00AD42E7">
            <w:pPr>
              <w:spacing w:after="0"/>
              <w:jc w:val="right"/>
              <w:rPr>
                <w:rFonts w:cstheme="minorHAnsi"/>
                <w:b/>
                <w:bCs/>
                <w:color w:val="000000"/>
                <w:sz w:val="20"/>
                <w:szCs w:val="20"/>
                <w:lang w:val="en-US"/>
              </w:rPr>
            </w:pPr>
            <w:r w:rsidRPr="00A438C8">
              <w:rPr>
                <w:rFonts w:cstheme="minorHAnsi"/>
                <w:b/>
                <w:bCs/>
                <w:color w:val="000000"/>
                <w:sz w:val="20"/>
                <w:szCs w:val="20"/>
                <w:lang w:val="en-US"/>
              </w:rPr>
              <w:t>Service Area</w:t>
            </w:r>
          </w:p>
        </w:tc>
        <w:tc>
          <w:tcPr>
            <w:tcW w:w="2704" w:type="pct"/>
            <w:shd w:val="clear" w:color="auto" w:fill="F2F2F2" w:themeFill="background1" w:themeFillShade="F2"/>
            <w:noWrap/>
            <w:hideMark/>
          </w:tcPr>
          <w:p w:rsidR="00390272" w:rsidRPr="00A438C8" w:rsidRDefault="00390272" w:rsidP="00AD42E7">
            <w:pPr>
              <w:spacing w:after="0"/>
              <w:jc w:val="right"/>
              <w:rPr>
                <w:rFonts w:cstheme="minorHAnsi"/>
                <w:b/>
                <w:bCs/>
                <w:color w:val="000000"/>
                <w:sz w:val="20"/>
                <w:szCs w:val="20"/>
                <w:lang w:val="en-US"/>
              </w:rPr>
            </w:pPr>
            <w:r w:rsidRPr="00A438C8">
              <w:rPr>
                <w:rFonts w:cstheme="minorHAnsi"/>
                <w:b/>
                <w:bCs/>
                <w:color w:val="000000"/>
                <w:sz w:val="20"/>
                <w:szCs w:val="20"/>
                <w:lang w:val="en-US"/>
              </w:rPr>
              <w:t>Estimated Carer Population</w:t>
            </w:r>
          </w:p>
        </w:tc>
      </w:tr>
      <w:tr w:rsidR="00390272" w:rsidRPr="00C43C40" w:rsidTr="00AD42E7">
        <w:trPr>
          <w:trHeight w:val="290"/>
        </w:trPr>
        <w:tc>
          <w:tcPr>
            <w:tcW w:w="2296"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NSW 01</w:t>
            </w:r>
          </w:p>
        </w:tc>
        <w:tc>
          <w:tcPr>
            <w:tcW w:w="2704"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274,800</w:t>
            </w:r>
          </w:p>
        </w:tc>
      </w:tr>
      <w:tr w:rsidR="00390272" w:rsidRPr="00C43C40" w:rsidTr="00AD42E7">
        <w:trPr>
          <w:trHeight w:val="290"/>
        </w:trPr>
        <w:tc>
          <w:tcPr>
            <w:tcW w:w="2296"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NSW 02</w:t>
            </w:r>
          </w:p>
        </w:tc>
        <w:tc>
          <w:tcPr>
            <w:tcW w:w="2704"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331,900</w:t>
            </w:r>
          </w:p>
        </w:tc>
      </w:tr>
      <w:tr w:rsidR="00390272" w:rsidRPr="00C43C40" w:rsidTr="00AD42E7">
        <w:trPr>
          <w:trHeight w:val="290"/>
        </w:trPr>
        <w:tc>
          <w:tcPr>
            <w:tcW w:w="2296"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NSW 03</w:t>
            </w:r>
          </w:p>
        </w:tc>
        <w:tc>
          <w:tcPr>
            <w:tcW w:w="2704"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342,800</w:t>
            </w:r>
          </w:p>
        </w:tc>
      </w:tr>
      <w:tr w:rsidR="00390272" w:rsidRPr="00C43C40" w:rsidTr="00AD42E7">
        <w:trPr>
          <w:trHeight w:val="290"/>
        </w:trPr>
        <w:tc>
          <w:tcPr>
            <w:tcW w:w="2296"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NT 01</w:t>
            </w:r>
          </w:p>
        </w:tc>
        <w:tc>
          <w:tcPr>
            <w:tcW w:w="2704"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11,500</w:t>
            </w:r>
          </w:p>
        </w:tc>
      </w:tr>
      <w:tr w:rsidR="00390272" w:rsidRPr="00C43C40" w:rsidTr="00AD42E7">
        <w:trPr>
          <w:trHeight w:val="290"/>
        </w:trPr>
        <w:tc>
          <w:tcPr>
            <w:tcW w:w="2296"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QLD 01</w:t>
            </w:r>
          </w:p>
        </w:tc>
        <w:tc>
          <w:tcPr>
            <w:tcW w:w="2704"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257,500</w:t>
            </w:r>
          </w:p>
        </w:tc>
      </w:tr>
      <w:tr w:rsidR="00390272" w:rsidRPr="00C43C40" w:rsidTr="00AD42E7">
        <w:trPr>
          <w:trHeight w:val="290"/>
        </w:trPr>
        <w:tc>
          <w:tcPr>
            <w:tcW w:w="2296"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QLD 02</w:t>
            </w:r>
          </w:p>
        </w:tc>
        <w:tc>
          <w:tcPr>
            <w:tcW w:w="2704"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217,400</w:t>
            </w:r>
          </w:p>
        </w:tc>
      </w:tr>
      <w:tr w:rsidR="00390272" w:rsidRPr="00C43C40" w:rsidTr="00AD42E7">
        <w:trPr>
          <w:trHeight w:val="290"/>
        </w:trPr>
        <w:tc>
          <w:tcPr>
            <w:tcW w:w="2296"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SA 01</w:t>
            </w:r>
          </w:p>
        </w:tc>
        <w:tc>
          <w:tcPr>
            <w:tcW w:w="2704"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244,500</w:t>
            </w:r>
          </w:p>
        </w:tc>
      </w:tr>
      <w:tr w:rsidR="00390272" w:rsidRPr="00C43C40" w:rsidTr="00AD42E7">
        <w:trPr>
          <w:trHeight w:val="290"/>
        </w:trPr>
        <w:tc>
          <w:tcPr>
            <w:tcW w:w="2296"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TAS 01</w:t>
            </w:r>
          </w:p>
        </w:tc>
        <w:tc>
          <w:tcPr>
            <w:tcW w:w="2704"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84,900</w:t>
            </w:r>
          </w:p>
        </w:tc>
      </w:tr>
      <w:tr w:rsidR="00390272" w:rsidRPr="00C43C40" w:rsidTr="00AD42E7">
        <w:trPr>
          <w:trHeight w:val="290"/>
        </w:trPr>
        <w:tc>
          <w:tcPr>
            <w:tcW w:w="2296"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VIC 01</w:t>
            </w:r>
          </w:p>
        </w:tc>
        <w:tc>
          <w:tcPr>
            <w:tcW w:w="2704"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384,700</w:t>
            </w:r>
          </w:p>
        </w:tc>
      </w:tr>
      <w:tr w:rsidR="00390272" w:rsidRPr="00C43C40" w:rsidTr="00AD42E7">
        <w:trPr>
          <w:trHeight w:val="290"/>
        </w:trPr>
        <w:tc>
          <w:tcPr>
            <w:tcW w:w="2296"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VIC 02</w:t>
            </w:r>
          </w:p>
        </w:tc>
        <w:tc>
          <w:tcPr>
            <w:tcW w:w="2704"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347,800</w:t>
            </w:r>
          </w:p>
        </w:tc>
      </w:tr>
      <w:tr w:rsidR="00390272" w:rsidRPr="00C43C40" w:rsidTr="00AD42E7">
        <w:trPr>
          <w:trHeight w:val="290"/>
        </w:trPr>
        <w:tc>
          <w:tcPr>
            <w:tcW w:w="2296"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WA 01</w:t>
            </w:r>
          </w:p>
        </w:tc>
        <w:tc>
          <w:tcPr>
            <w:tcW w:w="2704" w:type="pct"/>
            <w:shd w:val="clear" w:color="auto" w:fill="auto"/>
            <w:noWrap/>
            <w:vAlign w:val="center"/>
          </w:tcPr>
          <w:p w:rsidR="00390272" w:rsidRPr="008F7F0E" w:rsidRDefault="00390272" w:rsidP="00AD42E7">
            <w:pPr>
              <w:spacing w:after="0"/>
              <w:jc w:val="right"/>
              <w:rPr>
                <w:rFonts w:cstheme="minorHAnsi"/>
                <w:bCs/>
                <w:color w:val="000000"/>
                <w:sz w:val="20"/>
                <w:szCs w:val="20"/>
                <w:lang w:val="en-US"/>
              </w:rPr>
            </w:pPr>
            <w:r w:rsidRPr="008F7F0E">
              <w:rPr>
                <w:rFonts w:cstheme="minorHAnsi"/>
                <w:bCs/>
                <w:color w:val="000000"/>
                <w:sz w:val="20"/>
                <w:szCs w:val="20"/>
                <w:lang w:val="en-US"/>
              </w:rPr>
              <w:t>203,000</w:t>
            </w:r>
          </w:p>
        </w:tc>
      </w:tr>
      <w:tr w:rsidR="00390272" w:rsidRPr="00C43C40" w:rsidTr="00AD42E7">
        <w:trPr>
          <w:trHeight w:val="290"/>
        </w:trPr>
        <w:tc>
          <w:tcPr>
            <w:tcW w:w="2296" w:type="pct"/>
            <w:shd w:val="clear" w:color="auto" w:fill="F2F2F2" w:themeFill="background1" w:themeFillShade="F2"/>
            <w:noWrap/>
            <w:vAlign w:val="center"/>
          </w:tcPr>
          <w:p w:rsidR="00390272" w:rsidRPr="000425BE" w:rsidRDefault="00390272" w:rsidP="00AD42E7">
            <w:pPr>
              <w:spacing w:after="0"/>
              <w:jc w:val="right"/>
              <w:rPr>
                <w:rFonts w:cstheme="minorHAnsi"/>
                <w:b/>
                <w:bCs/>
                <w:color w:val="000000"/>
                <w:sz w:val="20"/>
                <w:szCs w:val="20"/>
                <w:lang w:val="en-US"/>
              </w:rPr>
            </w:pPr>
            <w:r w:rsidRPr="000425BE">
              <w:rPr>
                <w:rFonts w:cstheme="minorHAnsi"/>
                <w:b/>
                <w:bCs/>
                <w:color w:val="000000"/>
                <w:sz w:val="20"/>
                <w:szCs w:val="20"/>
                <w:lang w:val="en-US"/>
              </w:rPr>
              <w:t>Total</w:t>
            </w:r>
          </w:p>
        </w:tc>
        <w:tc>
          <w:tcPr>
            <w:tcW w:w="2704" w:type="pct"/>
            <w:shd w:val="clear" w:color="auto" w:fill="F2F2F2" w:themeFill="background1" w:themeFillShade="F2"/>
            <w:noWrap/>
            <w:vAlign w:val="center"/>
          </w:tcPr>
          <w:p w:rsidR="00390272" w:rsidRPr="000425BE" w:rsidRDefault="00390272" w:rsidP="00AD42E7">
            <w:pPr>
              <w:spacing w:after="0"/>
              <w:jc w:val="right"/>
              <w:rPr>
                <w:rFonts w:cstheme="minorHAnsi"/>
                <w:b/>
                <w:bCs/>
                <w:color w:val="000000"/>
                <w:sz w:val="20"/>
                <w:szCs w:val="20"/>
                <w:lang w:val="en-US"/>
              </w:rPr>
            </w:pPr>
            <w:r w:rsidRPr="000425BE">
              <w:rPr>
                <w:rFonts w:cstheme="minorHAnsi"/>
                <w:b/>
                <w:bCs/>
                <w:color w:val="000000"/>
                <w:sz w:val="20"/>
                <w:szCs w:val="20"/>
                <w:lang w:val="en-US"/>
              </w:rPr>
              <w:t>2,700,800</w:t>
            </w:r>
          </w:p>
        </w:tc>
      </w:tr>
    </w:tbl>
    <w:p w:rsidR="00390272" w:rsidRPr="00390272" w:rsidRDefault="00390272" w:rsidP="00390272">
      <w:pPr>
        <w:rPr>
          <w:sz w:val="12"/>
          <w:szCs w:val="12"/>
          <w:lang w:eastAsia="en-AU"/>
        </w:rPr>
      </w:pPr>
    </w:p>
    <w:p w:rsidR="00390272" w:rsidRDefault="00390272" w:rsidP="00390272">
      <w:pPr>
        <w:rPr>
          <w:rFonts w:cstheme="minorHAnsi"/>
          <w:b/>
          <w:sz w:val="20"/>
          <w:szCs w:val="20"/>
        </w:rPr>
      </w:pPr>
      <w:r w:rsidRPr="00290032">
        <w:rPr>
          <w:lang w:eastAsia="en-AU"/>
        </w:rPr>
        <w:t>Full mapping of the proposed RDP service areas and the Statistical Areas (level</w:t>
      </w:r>
      <w:r>
        <w:rPr>
          <w:lang w:eastAsia="en-AU"/>
        </w:rPr>
        <w:t>s</w:t>
      </w:r>
      <w:r w:rsidRPr="00290032">
        <w:rPr>
          <w:lang w:eastAsia="en-AU"/>
        </w:rPr>
        <w:t xml:space="preserve"> 2, 3 and 4) </w:t>
      </w:r>
      <w:r>
        <w:rPr>
          <w:lang w:eastAsia="en-AU"/>
        </w:rPr>
        <w:t>are provided in</w:t>
      </w:r>
      <w:r w:rsidRPr="00290032">
        <w:rPr>
          <w:lang w:eastAsia="en-AU"/>
        </w:rPr>
        <w:t xml:space="preserve"> </w:t>
      </w:r>
      <w:r w:rsidRPr="00390272">
        <w:rPr>
          <w:u w:val="single"/>
          <w:lang w:eastAsia="en-AU"/>
        </w:rPr>
        <w:t>Appendix C</w:t>
      </w:r>
      <w:r w:rsidRPr="00290032">
        <w:rPr>
          <w:lang w:eastAsia="en-AU"/>
        </w:rPr>
        <w:t>.</w:t>
      </w:r>
    </w:p>
    <w:p w:rsidR="007C7FC8" w:rsidRPr="00C4602C" w:rsidRDefault="007C7FC8" w:rsidP="006F3B5E">
      <w:pPr>
        <w:pStyle w:val="ICSSDotPoint"/>
        <w:numPr>
          <w:ilvl w:val="0"/>
          <w:numId w:val="0"/>
        </w:numPr>
        <w:spacing w:after="0"/>
        <w:rPr>
          <w:rFonts w:cs="Times New Roman"/>
          <w:u w:val="single"/>
        </w:rPr>
      </w:pPr>
      <w:r w:rsidRPr="00C4602C">
        <w:rPr>
          <w:rFonts w:cs="Times New Roman"/>
          <w:u w:val="single"/>
        </w:rPr>
        <w:t xml:space="preserve">Advantages of Option </w:t>
      </w:r>
      <w:r w:rsidR="00390272">
        <w:rPr>
          <w:rFonts w:cs="Times New Roman"/>
          <w:u w:val="single"/>
        </w:rPr>
        <w:t>A</w:t>
      </w:r>
    </w:p>
    <w:p w:rsidR="007C7FC8" w:rsidRPr="001A2DF4" w:rsidRDefault="007C7FC8" w:rsidP="00390272">
      <w:pPr>
        <w:pStyle w:val="ICSSDotPoint"/>
        <w:ind w:left="284" w:hanging="284"/>
        <w:rPr>
          <w:rFonts w:cs="Times New Roman"/>
        </w:rPr>
      </w:pPr>
      <w:r w:rsidRPr="001A2DF4">
        <w:rPr>
          <w:rFonts w:cs="Times New Roman"/>
        </w:rPr>
        <w:t xml:space="preserve">Provides for a smaller carer population for each RDP to manage.  </w:t>
      </w:r>
    </w:p>
    <w:p w:rsidR="007C7FC8" w:rsidRPr="001A2DF4" w:rsidRDefault="007C7FC8" w:rsidP="00390272">
      <w:pPr>
        <w:pStyle w:val="ICSSDotPoint"/>
        <w:ind w:left="284" w:hanging="284"/>
        <w:rPr>
          <w:rFonts w:cs="Times New Roman"/>
        </w:rPr>
      </w:pPr>
      <w:r w:rsidRPr="001A2DF4">
        <w:rPr>
          <w:rFonts w:cs="Times New Roman"/>
        </w:rPr>
        <w:t>Provides smaller sized service areas retaining a mix of metro</w:t>
      </w:r>
      <w:r w:rsidR="00390272">
        <w:rPr>
          <w:rFonts w:cs="Times New Roman"/>
        </w:rPr>
        <w:t>politan</w:t>
      </w:r>
      <w:r w:rsidRPr="001A2DF4">
        <w:rPr>
          <w:rFonts w:cs="Times New Roman"/>
        </w:rPr>
        <w:t>, regional and rural areas</w:t>
      </w:r>
      <w:r w:rsidR="00390272">
        <w:rPr>
          <w:rFonts w:cs="Times New Roman"/>
        </w:rPr>
        <w:t>.</w:t>
      </w:r>
      <w:r w:rsidRPr="001A2DF4">
        <w:rPr>
          <w:rFonts w:cs="Times New Roman"/>
        </w:rPr>
        <w:t xml:space="preserve"> </w:t>
      </w:r>
    </w:p>
    <w:p w:rsidR="006F3B5E" w:rsidRDefault="006F3B5E" w:rsidP="007C7FC8">
      <w:pPr>
        <w:spacing w:after="0" w:line="240" w:lineRule="auto"/>
        <w:rPr>
          <w:rFonts w:cs="Times New Roman"/>
          <w:u w:val="single"/>
        </w:rPr>
      </w:pPr>
    </w:p>
    <w:p w:rsidR="007C7FC8" w:rsidRPr="004828B3" w:rsidRDefault="007C7FC8" w:rsidP="007C7FC8">
      <w:pPr>
        <w:spacing w:after="0" w:line="240" w:lineRule="auto"/>
        <w:rPr>
          <w:rFonts w:cs="Times New Roman"/>
          <w:u w:val="single"/>
        </w:rPr>
      </w:pPr>
      <w:r w:rsidRPr="004828B3">
        <w:rPr>
          <w:rFonts w:cs="Times New Roman"/>
          <w:u w:val="single"/>
        </w:rPr>
        <w:t xml:space="preserve">Disadvantages of Option </w:t>
      </w:r>
      <w:r w:rsidR="00390272">
        <w:rPr>
          <w:rFonts w:cs="Times New Roman"/>
          <w:u w:val="single"/>
        </w:rPr>
        <w:t>A</w:t>
      </w:r>
    </w:p>
    <w:p w:rsidR="007C7FC8" w:rsidRPr="001A2DF4" w:rsidRDefault="007C7FC8" w:rsidP="00390272">
      <w:pPr>
        <w:pStyle w:val="ICSSDotPoint"/>
        <w:ind w:left="284" w:hanging="284"/>
      </w:pPr>
      <w:r w:rsidRPr="001A2DF4">
        <w:t>As the metro</w:t>
      </w:r>
      <w:r w:rsidR="003879CD">
        <w:t>politan</w:t>
      </w:r>
      <w:r w:rsidRPr="001A2DF4">
        <w:t xml:space="preserve"> areas for the services areas would be significantly smaller in size, this may restrict a RDP’s ability to establish a regional presence throughout</w:t>
      </w:r>
      <w:r w:rsidR="003879CD">
        <w:t xml:space="preserve"> its entire service area, as metropolitan areas traditionally provide a service provider with the ability to off set potential increased costs experienced in regional and remote areas.</w:t>
      </w:r>
    </w:p>
    <w:p w:rsidR="007C7FC8" w:rsidRPr="001A2DF4" w:rsidRDefault="007C7FC8" w:rsidP="00390272">
      <w:pPr>
        <w:pStyle w:val="ICSSDotPoint"/>
        <w:ind w:left="284" w:hanging="284"/>
      </w:pPr>
      <w:r w:rsidRPr="001A2DF4">
        <w:t xml:space="preserve">Due to the higher funding amount required for establishing 20 RDPs under this option, there would </w:t>
      </w:r>
      <w:r w:rsidR="00C4602C">
        <w:t xml:space="preserve">be </w:t>
      </w:r>
      <w:r w:rsidR="007929AE">
        <w:t xml:space="preserve">less </w:t>
      </w:r>
      <w:r w:rsidRPr="001A2DF4">
        <w:t xml:space="preserve">funding </w:t>
      </w:r>
      <w:r w:rsidR="00B523CE">
        <w:t xml:space="preserve">for direct service provision to carers compared with </w:t>
      </w:r>
      <w:r w:rsidR="00390272">
        <w:t>Option B</w:t>
      </w:r>
      <w:r w:rsidRPr="001A2DF4">
        <w:t xml:space="preserve">. </w:t>
      </w:r>
    </w:p>
    <w:p w:rsidR="00390272" w:rsidRPr="004828B3" w:rsidRDefault="00390272" w:rsidP="00390272">
      <w:pPr>
        <w:spacing w:before="240" w:after="0" w:line="240" w:lineRule="auto"/>
        <w:rPr>
          <w:rFonts w:cs="Times New Roman"/>
          <w:u w:val="single"/>
        </w:rPr>
      </w:pPr>
      <w:bookmarkStart w:id="28" w:name="_Toc503529697"/>
      <w:r w:rsidRPr="004828B3">
        <w:rPr>
          <w:rFonts w:cs="Times New Roman"/>
          <w:u w:val="single"/>
        </w:rPr>
        <w:t xml:space="preserve">Advantages of Option </w:t>
      </w:r>
      <w:r>
        <w:rPr>
          <w:rFonts w:cs="Times New Roman"/>
          <w:u w:val="single"/>
        </w:rPr>
        <w:t>B</w:t>
      </w:r>
    </w:p>
    <w:p w:rsidR="00390272" w:rsidRPr="004828B3" w:rsidRDefault="00390272" w:rsidP="00390272">
      <w:pPr>
        <w:pStyle w:val="ICSSDotPoint"/>
        <w:ind w:left="284" w:hanging="284"/>
      </w:pPr>
      <w:r w:rsidRPr="004828B3">
        <w:t xml:space="preserve">Larger sized service areas with a good mix of metropolitan, regional and rural regions. This aids in reducing ‘cherry picking’ from providers as each service area (within each state) is approximately the same size.  </w:t>
      </w:r>
    </w:p>
    <w:p w:rsidR="00390272" w:rsidRPr="004828B3" w:rsidRDefault="00390272" w:rsidP="00390272">
      <w:pPr>
        <w:pStyle w:val="ICSSDotPoint"/>
        <w:ind w:left="284" w:hanging="284"/>
      </w:pPr>
      <w:r w:rsidRPr="004828B3">
        <w:t>Substantial funding allocation for each service area, enabling service providers to achieve economies of scale in their service delivery models.</w:t>
      </w:r>
    </w:p>
    <w:p w:rsidR="00390272" w:rsidRPr="004828B3" w:rsidRDefault="00390272" w:rsidP="00390272">
      <w:pPr>
        <w:pStyle w:val="ICSSDotPoint"/>
        <w:ind w:left="284" w:hanging="284"/>
      </w:pPr>
      <w:r w:rsidRPr="004828B3">
        <w:t>Greater amount of the funding allocation would be available for the direct provision of carer services.</w:t>
      </w:r>
    </w:p>
    <w:p w:rsidR="00390272" w:rsidRDefault="00390272" w:rsidP="00390272">
      <w:pPr>
        <w:spacing w:after="0" w:line="240" w:lineRule="auto"/>
        <w:rPr>
          <w:rFonts w:cs="Times New Roman"/>
          <w:u w:val="single"/>
        </w:rPr>
      </w:pPr>
    </w:p>
    <w:p w:rsidR="00390272" w:rsidRPr="004828B3" w:rsidRDefault="00390272" w:rsidP="00390272">
      <w:pPr>
        <w:spacing w:after="0" w:line="240" w:lineRule="auto"/>
        <w:rPr>
          <w:rFonts w:cs="Times New Roman"/>
          <w:u w:val="single"/>
        </w:rPr>
      </w:pPr>
      <w:r w:rsidRPr="004828B3">
        <w:rPr>
          <w:rFonts w:cs="Times New Roman"/>
          <w:u w:val="single"/>
        </w:rPr>
        <w:t xml:space="preserve">Disadvantage of Option </w:t>
      </w:r>
      <w:r>
        <w:rPr>
          <w:rFonts w:cs="Times New Roman"/>
          <w:u w:val="single"/>
        </w:rPr>
        <w:t>B</w:t>
      </w:r>
      <w:r w:rsidRPr="004828B3">
        <w:rPr>
          <w:rFonts w:cs="Times New Roman"/>
          <w:u w:val="single"/>
        </w:rPr>
        <w:t xml:space="preserve"> </w:t>
      </w:r>
    </w:p>
    <w:p w:rsidR="00390272" w:rsidRPr="006F3B5E" w:rsidRDefault="00390272" w:rsidP="00390272">
      <w:pPr>
        <w:pStyle w:val="ICSSDotPoint"/>
        <w:ind w:left="284" w:hanging="284"/>
        <w:rPr>
          <w:rFonts w:cs="Times New Roman"/>
          <w:u w:val="single"/>
        </w:rPr>
      </w:pPr>
      <w:r w:rsidRPr="004828B3">
        <w:t>The market depth for organisations with the characteristics and capability to support the larger service areas</w:t>
      </w:r>
      <w:r>
        <w:t xml:space="preserve"> is</w:t>
      </w:r>
      <w:r w:rsidRPr="004828B3">
        <w:t xml:space="preserve"> not fully known across all regions. </w:t>
      </w:r>
    </w:p>
    <w:p w:rsidR="00862A90" w:rsidRDefault="00862A90" w:rsidP="00875B91">
      <w:pPr>
        <w:spacing w:before="240" w:after="0" w:line="240" w:lineRule="auto"/>
        <w:rPr>
          <w:rFonts w:cs="Times New Roman"/>
          <w:b/>
          <w:u w:val="single"/>
        </w:rPr>
      </w:pPr>
    </w:p>
    <w:p w:rsidR="00EE51EF" w:rsidRDefault="00EE51EF" w:rsidP="00875B91">
      <w:pPr>
        <w:spacing w:before="240" w:after="0" w:line="240" w:lineRule="auto"/>
        <w:rPr>
          <w:rFonts w:cs="Times New Roman"/>
          <w:b/>
          <w:u w:val="single"/>
        </w:rPr>
      </w:pPr>
      <w:r w:rsidRPr="00875B91">
        <w:rPr>
          <w:rFonts w:cs="Times New Roman"/>
          <w:b/>
          <w:u w:val="single"/>
        </w:rPr>
        <w:t>Service Outlets</w:t>
      </w:r>
    </w:p>
    <w:p w:rsidR="00194133" w:rsidRDefault="00EE51EF" w:rsidP="00390272">
      <w:pPr>
        <w:spacing w:before="120" w:after="120" w:line="240" w:lineRule="auto"/>
        <w:rPr>
          <w:rFonts w:cs="Times New Roman"/>
        </w:rPr>
      </w:pPr>
      <w:r>
        <w:rPr>
          <w:rFonts w:cs="Times New Roman"/>
        </w:rPr>
        <w:lastRenderedPageBreak/>
        <w:t>RDPs will be required to establish a suitable number of service outlets across each service area to ensure they are best placed to service local carers, particularly in regards to the following in person carer support services:</w:t>
      </w:r>
    </w:p>
    <w:tbl>
      <w:tblPr>
        <w:tblStyle w:val="TableGrid"/>
        <w:tblW w:w="9493" w:type="dxa"/>
        <w:tblLook w:val="04A0" w:firstRow="1" w:lastRow="0" w:firstColumn="1" w:lastColumn="0" w:noHBand="0" w:noVBand="1"/>
      </w:tblPr>
      <w:tblGrid>
        <w:gridCol w:w="3005"/>
        <w:gridCol w:w="6488"/>
      </w:tblGrid>
      <w:tr w:rsidR="00BA18B4" w:rsidTr="00081E91">
        <w:trPr>
          <w:cantSplit/>
          <w:tblHeader/>
        </w:trPr>
        <w:tc>
          <w:tcPr>
            <w:tcW w:w="3005" w:type="dxa"/>
            <w:shd w:val="clear" w:color="auto" w:fill="7F7F7F" w:themeFill="text1" w:themeFillTint="80"/>
          </w:tcPr>
          <w:p w:rsidR="00BA18B4" w:rsidRPr="00875B91" w:rsidRDefault="00BA18B4" w:rsidP="00615CBE">
            <w:pPr>
              <w:spacing w:before="240"/>
              <w:rPr>
                <w:rFonts w:cs="Times New Roman"/>
                <w:b/>
              </w:rPr>
            </w:pPr>
            <w:r w:rsidRPr="00875B91">
              <w:rPr>
                <w:rFonts w:cs="Times New Roman"/>
                <w:b/>
              </w:rPr>
              <w:t xml:space="preserve">Service </w:t>
            </w:r>
          </w:p>
        </w:tc>
        <w:tc>
          <w:tcPr>
            <w:tcW w:w="6488" w:type="dxa"/>
            <w:shd w:val="clear" w:color="auto" w:fill="7F7F7F" w:themeFill="text1" w:themeFillTint="80"/>
          </w:tcPr>
          <w:p w:rsidR="00BA18B4" w:rsidRPr="00875B91" w:rsidRDefault="00BA18B4" w:rsidP="00EE51EF">
            <w:pPr>
              <w:spacing w:before="240"/>
              <w:rPr>
                <w:rFonts w:cs="Times New Roman"/>
                <w:b/>
              </w:rPr>
            </w:pPr>
            <w:r w:rsidRPr="00875B91">
              <w:rPr>
                <w:rFonts w:cs="Times New Roman"/>
                <w:b/>
              </w:rPr>
              <w:t>Description</w:t>
            </w:r>
          </w:p>
        </w:tc>
      </w:tr>
      <w:tr w:rsidR="00BA18B4" w:rsidTr="00875B91">
        <w:tc>
          <w:tcPr>
            <w:tcW w:w="3005" w:type="dxa"/>
          </w:tcPr>
          <w:p w:rsidR="00BA18B4" w:rsidRDefault="00551AA2" w:rsidP="00390272">
            <w:pPr>
              <w:spacing w:before="120"/>
              <w:rPr>
                <w:rFonts w:cs="Times New Roman"/>
              </w:rPr>
            </w:pPr>
            <w:r>
              <w:rPr>
                <w:rFonts w:cs="Times New Roman"/>
              </w:rPr>
              <w:t>In-</w:t>
            </w:r>
            <w:r w:rsidR="00BA18B4">
              <w:rPr>
                <w:rFonts w:cs="Times New Roman"/>
              </w:rPr>
              <w:t>person counselling</w:t>
            </w:r>
          </w:p>
        </w:tc>
        <w:tc>
          <w:tcPr>
            <w:tcW w:w="6488" w:type="dxa"/>
          </w:tcPr>
          <w:p w:rsidR="00BA18B4" w:rsidRDefault="00BA18B4" w:rsidP="00390272">
            <w:pPr>
              <w:spacing w:before="120"/>
            </w:pPr>
            <w:r>
              <w:t xml:space="preserve">A </w:t>
            </w:r>
            <w:r w:rsidRPr="00BA7A93">
              <w:t xml:space="preserve">free counselling service for carers </w:t>
            </w:r>
            <w:r>
              <w:t xml:space="preserve">who are </w:t>
            </w:r>
            <w:r w:rsidRPr="00BA7A93">
              <w:t>experiencing difficulties with anxiety, stress, depression and low mood</w:t>
            </w:r>
            <w:r>
              <w:t xml:space="preserve"> as a result of their caring role.</w:t>
            </w:r>
          </w:p>
          <w:p w:rsidR="00BA18B4" w:rsidRDefault="00BA18B4" w:rsidP="00EE51EF">
            <w:pPr>
              <w:spacing w:before="240"/>
              <w:rPr>
                <w:rFonts w:cs="Times New Roman"/>
              </w:rPr>
            </w:pPr>
            <w:r>
              <w:t>Carers can access the Service by registering for a call back online or by calling the Carer Gateway 1800 number, with the RDPs acting as the referral point for entry into the service.</w:t>
            </w:r>
          </w:p>
        </w:tc>
      </w:tr>
      <w:tr w:rsidR="00BA18B4" w:rsidTr="00875B91">
        <w:tc>
          <w:tcPr>
            <w:tcW w:w="3005" w:type="dxa"/>
          </w:tcPr>
          <w:p w:rsidR="00BA18B4" w:rsidRDefault="00305B98" w:rsidP="00390272">
            <w:pPr>
              <w:spacing w:before="120"/>
              <w:rPr>
                <w:rFonts w:cs="Times New Roman"/>
              </w:rPr>
            </w:pPr>
            <w:r>
              <w:rPr>
                <w:rFonts w:cs="Times New Roman"/>
              </w:rPr>
              <w:t>In-</w:t>
            </w:r>
            <w:r w:rsidR="00BA18B4">
              <w:rPr>
                <w:rFonts w:cs="Times New Roman"/>
              </w:rPr>
              <w:t>person peer support</w:t>
            </w:r>
          </w:p>
        </w:tc>
        <w:tc>
          <w:tcPr>
            <w:tcW w:w="6488" w:type="dxa"/>
          </w:tcPr>
          <w:p w:rsidR="00BA18B4" w:rsidRPr="009263F7" w:rsidRDefault="00BA18B4" w:rsidP="00194133">
            <w:pPr>
              <w:pStyle w:val="ICSSBodyText"/>
            </w:pPr>
            <w:r>
              <w:t>A</w:t>
            </w:r>
            <w:r w:rsidRPr="009263F7">
              <w:t xml:space="preserve"> free facilitated</w:t>
            </w:r>
            <w:r>
              <w:t xml:space="preserve"> peer</w:t>
            </w:r>
            <w:r w:rsidRPr="009263F7">
              <w:t xml:space="preserve"> support forum</w:t>
            </w:r>
            <w:r w:rsidR="000F0871">
              <w:t xml:space="preserve"> (delivered face-to-</w:t>
            </w:r>
            <w:r>
              <w:t>face)</w:t>
            </w:r>
            <w:r w:rsidRPr="009263F7">
              <w:t xml:space="preserve"> specifically designed to assist carers to:</w:t>
            </w:r>
          </w:p>
          <w:p w:rsidR="00BA18B4" w:rsidRDefault="00BA18B4" w:rsidP="000F0871">
            <w:pPr>
              <w:pStyle w:val="ICSSDotPoint"/>
            </w:pPr>
            <w:r>
              <w:t>connect with people in similar circumstances;</w:t>
            </w:r>
          </w:p>
          <w:p w:rsidR="00BA18B4" w:rsidRPr="00194133" w:rsidRDefault="00BA18B4" w:rsidP="000F0871">
            <w:pPr>
              <w:pStyle w:val="ICSSDotPoint"/>
              <w:rPr>
                <w:rFonts w:cs="Times New Roman"/>
              </w:rPr>
            </w:pPr>
            <w:r>
              <w:t xml:space="preserve">learn from their peers through the sharing of lived experiences; and </w:t>
            </w:r>
          </w:p>
          <w:p w:rsidR="00BA18B4" w:rsidRDefault="00BA18B4" w:rsidP="000F0871">
            <w:pPr>
              <w:pStyle w:val="ICSSDotPoint"/>
              <w:rPr>
                <w:rFonts w:cs="Times New Roman"/>
              </w:rPr>
            </w:pPr>
            <w:r>
              <w:t>experience relief from carer stress through forming personal connections and sharing of personal stories and experiences</w:t>
            </w:r>
          </w:p>
        </w:tc>
      </w:tr>
      <w:tr w:rsidR="00BA18B4" w:rsidTr="00875B91">
        <w:tc>
          <w:tcPr>
            <w:tcW w:w="3005" w:type="dxa"/>
          </w:tcPr>
          <w:p w:rsidR="00BA18B4" w:rsidRDefault="00BA18B4" w:rsidP="00EE51EF">
            <w:pPr>
              <w:spacing w:before="240"/>
              <w:rPr>
                <w:rFonts w:cs="Times New Roman"/>
              </w:rPr>
            </w:pPr>
            <w:r>
              <w:rPr>
                <w:rFonts w:cs="Times New Roman"/>
              </w:rPr>
              <w:t>Facilitated coaching</w:t>
            </w:r>
          </w:p>
        </w:tc>
        <w:tc>
          <w:tcPr>
            <w:tcW w:w="6488" w:type="dxa"/>
          </w:tcPr>
          <w:p w:rsidR="00BA18B4" w:rsidRDefault="00BA18B4" w:rsidP="00194133">
            <w:pPr>
              <w:pStyle w:val="ICSSBodyText"/>
            </w:pPr>
            <w:r>
              <w:t>A</w:t>
            </w:r>
            <w:r w:rsidRPr="00F16354">
              <w:t xml:space="preserve"> </w:t>
            </w:r>
            <w:r>
              <w:t>free service specifically designed to assist</w:t>
            </w:r>
            <w:r w:rsidRPr="00C20514">
              <w:t xml:space="preserve"> carers to acquire </w:t>
            </w:r>
            <w:r>
              <w:t xml:space="preserve">the </w:t>
            </w:r>
            <w:r w:rsidRPr="00C20514">
              <w:t xml:space="preserve">skills and resilience </w:t>
            </w:r>
            <w:r>
              <w:t xml:space="preserve">needed </w:t>
            </w:r>
            <w:r w:rsidRPr="00C20514">
              <w:t>in their caring role</w:t>
            </w:r>
            <w:r>
              <w:t>.</w:t>
            </w:r>
          </w:p>
          <w:p w:rsidR="00BA18B4" w:rsidRDefault="00BA18B4" w:rsidP="00875B91">
            <w:pPr>
              <w:pStyle w:val="ICSSBodyText"/>
              <w:rPr>
                <w:rFonts w:cs="Times New Roman"/>
              </w:rPr>
            </w:pPr>
            <w:r w:rsidRPr="00EF0EED">
              <w:t xml:space="preserve">The </w:t>
            </w:r>
            <w:r>
              <w:t>facilitated service</w:t>
            </w:r>
            <w:r w:rsidRPr="00EF0EED">
              <w:t xml:space="preserve"> will </w:t>
            </w:r>
            <w:r>
              <w:t xml:space="preserve">allow carers to engage with a coach across a defined period </w:t>
            </w:r>
            <w:r w:rsidRPr="00EF0EED">
              <w:t>using a combination of</w:t>
            </w:r>
            <w:r>
              <w:t xml:space="preserve"> in-person, </w:t>
            </w:r>
            <w:r w:rsidRPr="00EF0EED">
              <w:t>telephone and online channels</w:t>
            </w:r>
            <w:r>
              <w:t xml:space="preserve"> to build and develop skills identified during consultation with a coach.</w:t>
            </w:r>
          </w:p>
        </w:tc>
      </w:tr>
      <w:tr w:rsidR="00BA18B4" w:rsidTr="00081E91">
        <w:trPr>
          <w:cantSplit/>
        </w:trPr>
        <w:tc>
          <w:tcPr>
            <w:tcW w:w="3005" w:type="dxa"/>
          </w:tcPr>
          <w:p w:rsidR="00BA18B4" w:rsidRDefault="00BA18B4" w:rsidP="00EE51EF">
            <w:pPr>
              <w:spacing w:before="240"/>
              <w:rPr>
                <w:rFonts w:cs="Times New Roman"/>
              </w:rPr>
            </w:pPr>
            <w:r>
              <w:rPr>
                <w:rFonts w:cs="Times New Roman"/>
              </w:rPr>
              <w:t>Carer Directed Support</w:t>
            </w:r>
          </w:p>
        </w:tc>
        <w:tc>
          <w:tcPr>
            <w:tcW w:w="6488" w:type="dxa"/>
          </w:tcPr>
          <w:p w:rsidR="00BA18B4" w:rsidRDefault="00BA18B4" w:rsidP="00194133">
            <w:pPr>
              <w:pStyle w:val="ICSSBodyText"/>
            </w:pPr>
            <w:r>
              <w:t>A</w:t>
            </w:r>
            <w:r w:rsidRPr="003F7662">
              <w:t xml:space="preserve"> consumer directed approach to </w:t>
            </w:r>
            <w:r>
              <w:t>supporting carers in their caring role</w:t>
            </w:r>
            <w:r w:rsidRPr="003F7662">
              <w:t xml:space="preserve">.  It </w:t>
            </w:r>
            <w:r w:rsidRPr="00AB697A">
              <w:t xml:space="preserve">gives carers a greater say and more control over the design and delivery of </w:t>
            </w:r>
            <w:r>
              <w:t xml:space="preserve">the support </w:t>
            </w:r>
            <w:r w:rsidRPr="00AB697A">
              <w:t xml:space="preserve">provided to them </w:t>
            </w:r>
            <w:r w:rsidR="00FA66B8">
              <w:t>and the person/s they care for.</w:t>
            </w:r>
          </w:p>
          <w:p w:rsidR="004F6454" w:rsidRDefault="004F6454" w:rsidP="004F6454">
            <w:pPr>
              <w:pStyle w:val="ICSSBodyText"/>
            </w:pPr>
            <w:r w:rsidRPr="002854D4">
              <w:t>The</w:t>
            </w:r>
            <w:r>
              <w:t xml:space="preserve"> Service will be delivered in two formats:</w:t>
            </w:r>
          </w:p>
          <w:p w:rsidR="004F6454" w:rsidRDefault="004F6454" w:rsidP="000F0871">
            <w:pPr>
              <w:pStyle w:val="ICSSDotPoint"/>
            </w:pPr>
            <w:r>
              <w:t xml:space="preserve">Through provision of </w:t>
            </w:r>
            <w:r w:rsidRPr="004668E6">
              <w:rPr>
                <w:b/>
              </w:rPr>
              <w:t>one</w:t>
            </w:r>
            <w:r>
              <w:rPr>
                <w:b/>
              </w:rPr>
              <w:t>-</w:t>
            </w:r>
            <w:r w:rsidRPr="004668E6">
              <w:rPr>
                <w:b/>
              </w:rPr>
              <w:t>off practical support</w:t>
            </w:r>
            <w:r>
              <w:t xml:space="preserve"> that enables carers, (without the need for ongoing assistance and/or multiple supports), to access support.  </w:t>
            </w:r>
          </w:p>
          <w:p w:rsidR="004F6454" w:rsidRDefault="004F6454" w:rsidP="000F0871">
            <w:pPr>
              <w:pStyle w:val="ICSSDotPoint"/>
            </w:pPr>
            <w:r>
              <w:t xml:space="preserve">Through the provision of </w:t>
            </w:r>
            <w:r w:rsidRPr="004668E6">
              <w:rPr>
                <w:b/>
              </w:rPr>
              <w:t>Carer Directed Packages</w:t>
            </w:r>
            <w:r>
              <w:t xml:space="preserve"> (packages) that can </w:t>
            </w:r>
            <w:r w:rsidRPr="00692EAB">
              <w:t xml:space="preserve">be directed towards </w:t>
            </w:r>
            <w:r>
              <w:t xml:space="preserve">a range of </w:t>
            </w:r>
            <w:r w:rsidRPr="00692EAB">
              <w:t xml:space="preserve">practical supports to assist </w:t>
            </w:r>
            <w:r>
              <w:t>carers</w:t>
            </w:r>
            <w:r w:rsidRPr="00692EAB">
              <w:t xml:space="preserve"> in their caring role (e.g. cleaning, respite, cooking, and assistance with transport).</w:t>
            </w:r>
          </w:p>
        </w:tc>
      </w:tr>
    </w:tbl>
    <w:p w:rsidR="00862A90" w:rsidRDefault="00862A90" w:rsidP="00823DC4">
      <w:pPr>
        <w:spacing w:before="240" w:after="0" w:line="240" w:lineRule="auto"/>
        <w:rPr>
          <w:rFonts w:cs="Times New Roman"/>
        </w:rPr>
      </w:pPr>
    </w:p>
    <w:p w:rsidR="00081E91" w:rsidRDefault="00194133" w:rsidP="00EC3B63">
      <w:pPr>
        <w:spacing w:before="120" w:after="0" w:line="240" w:lineRule="auto"/>
        <w:rPr>
          <w:rFonts w:cs="Times New Roman"/>
        </w:rPr>
      </w:pPr>
      <w:r>
        <w:rPr>
          <w:rFonts w:cs="Times New Roman"/>
        </w:rPr>
        <w:t>In addition</w:t>
      </w:r>
      <w:r w:rsidR="00D40D33">
        <w:rPr>
          <w:rFonts w:cs="Times New Roman"/>
        </w:rPr>
        <w:t>,</w:t>
      </w:r>
      <w:r>
        <w:rPr>
          <w:rFonts w:cs="Times New Roman"/>
        </w:rPr>
        <w:t xml:space="preserve"> RDPs will be required to undertake service area planning and outreach services, w</w:t>
      </w:r>
      <w:r w:rsidR="00823DC4">
        <w:rPr>
          <w:rFonts w:cs="Times New Roman"/>
        </w:rPr>
        <w:t>hich will require a suitable in-</w:t>
      </w:r>
      <w:r>
        <w:rPr>
          <w:rFonts w:cs="Times New Roman"/>
        </w:rPr>
        <w:t>person presence across regions.  This will include:</w:t>
      </w:r>
    </w:p>
    <w:p w:rsidR="00194133" w:rsidRPr="00875B91" w:rsidRDefault="00194133" w:rsidP="001930C3">
      <w:pPr>
        <w:pStyle w:val="ICSSDotPoint"/>
        <w:spacing w:before="120"/>
        <w:ind w:left="714" w:hanging="357"/>
      </w:pPr>
      <w:r w:rsidRPr="00875B91">
        <w:t>Undertaking service mapping of RDP service areas to understand the services available to carers</w:t>
      </w:r>
      <w:r w:rsidR="005D1211">
        <w:t>;</w:t>
      </w:r>
      <w:r w:rsidRPr="00875B91">
        <w:t xml:space="preserve">  </w:t>
      </w:r>
    </w:p>
    <w:p w:rsidR="00194133" w:rsidRPr="00875B91" w:rsidRDefault="00194133" w:rsidP="00823DC4">
      <w:pPr>
        <w:pStyle w:val="ICSSDotPoint"/>
      </w:pPr>
      <w:r w:rsidRPr="00875B91">
        <w:t>Creating and maintaining a network of professionals and service providers</w:t>
      </w:r>
      <w:r w:rsidR="005D1211">
        <w:t>; and</w:t>
      </w:r>
      <w:r w:rsidRPr="00875B91">
        <w:t xml:space="preserve"> </w:t>
      </w:r>
    </w:p>
    <w:p w:rsidR="00EE51EF" w:rsidRDefault="00194133" w:rsidP="007C7FC8">
      <w:pPr>
        <w:pStyle w:val="ICSSDotPoint"/>
      </w:pPr>
      <w:r w:rsidRPr="00875B91">
        <w:t>Running and promoting relevant engagement activities with service providers and the professional network</w:t>
      </w:r>
      <w:r w:rsidR="005D1211">
        <w:t>.</w:t>
      </w:r>
    </w:p>
    <w:p w:rsidR="001930C3" w:rsidRDefault="001930C3" w:rsidP="007C7FC8">
      <w:pPr>
        <w:pStyle w:val="Heading2"/>
      </w:pPr>
      <w:bookmarkStart w:id="29" w:name="_Toc509403406"/>
    </w:p>
    <w:p w:rsidR="007C7FC8" w:rsidRDefault="00B523CE" w:rsidP="007C7FC8">
      <w:pPr>
        <w:pStyle w:val="Heading2"/>
      </w:pPr>
      <w:r>
        <w:t>Sector Guidance</w:t>
      </w:r>
      <w:bookmarkEnd w:id="28"/>
      <w:bookmarkEnd w:id="29"/>
    </w:p>
    <w:p w:rsidR="00BA16BD" w:rsidRDefault="00B523CE" w:rsidP="000217AE">
      <w:r>
        <w:t>Through the ICSS service design consultations with the sector</w:t>
      </w:r>
      <w:r w:rsidR="002C273A">
        <w:t>,</w:t>
      </w:r>
      <w:r>
        <w:t xml:space="preserve"> DSS has engaged with organisations </w:t>
      </w:r>
      <w:r w:rsidR="00BA16BD">
        <w:t xml:space="preserve">to gauge whether there is </w:t>
      </w:r>
      <w:r>
        <w:t xml:space="preserve">existing capability and capacity </w:t>
      </w:r>
      <w:r w:rsidR="00BA16BD">
        <w:t xml:space="preserve">in the sector </w:t>
      </w:r>
      <w:r>
        <w:t>to</w:t>
      </w:r>
      <w:r w:rsidR="00BA16BD">
        <w:t xml:space="preserve"> operate RDPs across a smaller number of larger service areas.  </w:t>
      </w:r>
    </w:p>
    <w:p w:rsidR="00BA16BD" w:rsidRDefault="00710D27" w:rsidP="000217AE">
      <w:r>
        <w:t xml:space="preserve">Feedback to </w:t>
      </w:r>
      <w:r w:rsidR="00BA16BD">
        <w:t>date has indicated that there are organisations who would be able to undertake the role of an RDP and would be capable of proposing a consortia based response to ensure there is coverage (at a service outlet level) by suitably equipped parties across the service area.</w:t>
      </w:r>
    </w:p>
    <w:p w:rsidR="001930C3" w:rsidRDefault="00BA16BD" w:rsidP="000217AE">
      <w:r>
        <w:t>DSS is seeking feedback from the sector on the proposed approach to RDP service areas; identifying any specific issues including whether there are suitably capable organisations with the capacity to form consort</w:t>
      </w:r>
      <w:r w:rsidR="00FA66B8">
        <w:t>ia to fulfil the role of a RDP.</w:t>
      </w:r>
    </w:p>
    <w:p w:rsidR="001930C3" w:rsidRDefault="001930C3">
      <w:r>
        <w:br w:type="page"/>
      </w:r>
    </w:p>
    <w:p w:rsidR="00BA16BD" w:rsidRDefault="00BA16BD" w:rsidP="000217AE"/>
    <w:p w:rsidR="0059207F" w:rsidRDefault="0059207F" w:rsidP="0059207F">
      <w:pPr>
        <w:spacing w:after="120"/>
        <w:jc w:val="both"/>
        <w:rPr>
          <w:rFonts w:ascii="Century Gothic" w:eastAsia="Times New Roman" w:hAnsi="Century Gothic" w:cs="Arial"/>
          <w:color w:val="504C8F"/>
          <w:sz w:val="24"/>
          <w:szCs w:val="24"/>
          <w:lang w:eastAsia="en-AU"/>
        </w:rPr>
      </w:pPr>
      <w:r>
        <w:rPr>
          <w:rFonts w:ascii="Century Gothic" w:eastAsia="Times New Roman" w:hAnsi="Century Gothic" w:cs="Arial"/>
          <w:color w:val="504C8F"/>
          <w:sz w:val="24"/>
          <w:szCs w:val="24"/>
          <w:lang w:eastAsia="en-AU"/>
        </w:rPr>
        <w:t xml:space="preserve">Discussion </w:t>
      </w:r>
      <w:r w:rsidR="00DA0874">
        <w:rPr>
          <w:rFonts w:ascii="Century Gothic" w:eastAsia="Times New Roman" w:hAnsi="Century Gothic" w:cs="Arial"/>
          <w:color w:val="504C8F"/>
          <w:sz w:val="24"/>
          <w:szCs w:val="24"/>
          <w:lang w:eastAsia="en-AU"/>
        </w:rPr>
        <w:t xml:space="preserve">Points </w:t>
      </w:r>
    </w:p>
    <w:p w:rsidR="00D10E12" w:rsidRDefault="008B1F1E" w:rsidP="000217AE">
      <w:r>
        <w:t xml:space="preserve">In providing a written submission, respondents should make reference </w:t>
      </w:r>
      <w:r w:rsidR="005801D6">
        <w:t xml:space="preserve">to </w:t>
      </w:r>
      <w:r>
        <w:t xml:space="preserve">the following points: </w:t>
      </w:r>
    </w:p>
    <w:p w:rsidR="00D10E12" w:rsidRDefault="008B1F1E" w:rsidP="001930C3">
      <w:pPr>
        <w:pStyle w:val="ListParagraph"/>
        <w:numPr>
          <w:ilvl w:val="0"/>
          <w:numId w:val="26"/>
        </w:numPr>
        <w:ind w:left="714" w:hanging="357"/>
        <w:contextualSpacing w:val="0"/>
      </w:pPr>
      <w:r>
        <w:t>K</w:t>
      </w:r>
      <w:r w:rsidR="00D10E12">
        <w:t>ey issues with the approach to s</w:t>
      </w:r>
      <w:r>
        <w:t>tructuring the service areas.</w:t>
      </w:r>
    </w:p>
    <w:p w:rsidR="00D10E12" w:rsidRPr="00B91E3E" w:rsidRDefault="008B1F1E" w:rsidP="001930C3">
      <w:pPr>
        <w:pStyle w:val="ListParagraph"/>
        <w:numPr>
          <w:ilvl w:val="0"/>
          <w:numId w:val="26"/>
        </w:numPr>
        <w:ind w:left="714" w:hanging="357"/>
        <w:contextualSpacing w:val="0"/>
      </w:pPr>
      <w:r>
        <w:t>C</w:t>
      </w:r>
      <w:r w:rsidR="00D10E12">
        <w:t>apacity and capability</w:t>
      </w:r>
      <w:r>
        <w:t xml:space="preserve"> of organisations</w:t>
      </w:r>
      <w:r w:rsidR="00D10E12">
        <w:t xml:space="preserve"> to establish and manage a regional presence throughout a large service area, including the ability lead a consortia-based model, and undertake service area planning</w:t>
      </w:r>
      <w:r>
        <w:t>.</w:t>
      </w:r>
      <w:r w:rsidR="00D10E12">
        <w:t xml:space="preserve">  </w:t>
      </w:r>
    </w:p>
    <w:p w:rsidR="00D10E12" w:rsidRDefault="00D10E12" w:rsidP="001930C3">
      <w:pPr>
        <w:pStyle w:val="ListParagraph"/>
        <w:numPr>
          <w:ilvl w:val="0"/>
          <w:numId w:val="26"/>
        </w:numPr>
        <w:ind w:left="714" w:hanging="357"/>
        <w:contextualSpacing w:val="0"/>
      </w:pPr>
      <w:r>
        <w:t xml:space="preserve">How </w:t>
      </w:r>
      <w:r w:rsidR="008B1F1E">
        <w:t>to</w:t>
      </w:r>
      <w:r>
        <w:t xml:space="preserve"> ensure the brea</w:t>
      </w:r>
      <w:r w:rsidR="005801D6">
        <w:t>d</w:t>
      </w:r>
      <w:r>
        <w:t xml:space="preserve">th and reach of services provided under the proposed service area models, including </w:t>
      </w:r>
      <w:r w:rsidR="008B1F1E">
        <w:t>the incorporation of</w:t>
      </w:r>
      <w:r>
        <w:t xml:space="preserve"> local service providers</w:t>
      </w:r>
      <w:r w:rsidR="008B1F1E">
        <w:t>.</w:t>
      </w:r>
      <w:r>
        <w:t xml:space="preserve"> </w:t>
      </w:r>
    </w:p>
    <w:p w:rsidR="003879CD" w:rsidRDefault="003879CD" w:rsidP="00D10E12">
      <w:pPr>
        <w:pStyle w:val="ListParagraph"/>
        <w:numPr>
          <w:ilvl w:val="0"/>
          <w:numId w:val="26"/>
        </w:numPr>
      </w:pPr>
      <w:r>
        <w:t>Are there any alternate RDP service area models that you think the Department should c</w:t>
      </w:r>
      <w:r w:rsidR="00CD0686">
        <w:t xml:space="preserve">onsider?  If so, on what basis?  Your statistical analysis and / or evidence base </w:t>
      </w:r>
      <w:r w:rsidR="007929AE">
        <w:t>should</w:t>
      </w:r>
      <w:r w:rsidR="00CD0686">
        <w:t xml:space="preserve"> be provided to support this.  </w:t>
      </w:r>
    </w:p>
    <w:p w:rsidR="007C7FC8" w:rsidRPr="009846F5" w:rsidRDefault="00BA16BD" w:rsidP="001930C3">
      <w:pPr>
        <w:spacing w:before="120"/>
      </w:pPr>
      <w:r w:rsidRPr="009846F5">
        <w:t xml:space="preserve">All written submissions should be submitted by </w:t>
      </w:r>
      <w:r w:rsidR="009F4C4A" w:rsidRPr="008B7734">
        <w:rPr>
          <w:u w:val="single"/>
        </w:rPr>
        <w:t>11</w:t>
      </w:r>
      <w:r w:rsidR="00723865" w:rsidRPr="008B7734">
        <w:rPr>
          <w:u w:val="single"/>
        </w:rPr>
        <w:t xml:space="preserve"> M</w:t>
      </w:r>
      <w:r w:rsidR="00723865" w:rsidRPr="001930C3">
        <w:rPr>
          <w:u w:val="single"/>
        </w:rPr>
        <w:t>ay 2018</w:t>
      </w:r>
      <w:r w:rsidR="00723865" w:rsidRPr="009846F5">
        <w:t xml:space="preserve"> through DSS Engage.  </w:t>
      </w:r>
    </w:p>
    <w:p w:rsidR="007C7FC8" w:rsidRPr="001632B4" w:rsidRDefault="007C7FC8" w:rsidP="001930C3">
      <w:pPr>
        <w:pStyle w:val="Heading1"/>
        <w:spacing w:before="360"/>
        <w:rPr>
          <w:b/>
        </w:rPr>
      </w:pPr>
      <w:bookmarkStart w:id="30" w:name="_6_Implementing_a"/>
      <w:bookmarkStart w:id="31" w:name="_Toc503529701"/>
      <w:bookmarkStart w:id="32" w:name="_Toc509403407"/>
      <w:bookmarkStart w:id="33" w:name="_Toc458710830"/>
      <w:bookmarkEnd w:id="30"/>
      <w:r w:rsidRPr="001632B4">
        <w:rPr>
          <w:b/>
        </w:rPr>
        <w:t xml:space="preserve">4 </w:t>
      </w:r>
      <w:r w:rsidR="001930C3">
        <w:rPr>
          <w:b/>
        </w:rPr>
        <w:t xml:space="preserve"> </w:t>
      </w:r>
      <w:r w:rsidRPr="001632B4">
        <w:rPr>
          <w:b/>
        </w:rPr>
        <w:t>Next Steps</w:t>
      </w:r>
      <w:bookmarkEnd w:id="31"/>
      <w:bookmarkEnd w:id="32"/>
    </w:p>
    <w:p w:rsidR="007C7FC8" w:rsidRPr="003756C3" w:rsidRDefault="007C7FC8" w:rsidP="007C7FC8">
      <w:r w:rsidRPr="003756C3">
        <w:t>Once consultation on the draft Regional Delivery Model has been completed, DSS will review and ana</w:t>
      </w:r>
      <w:r w:rsidR="00AE7B76">
        <w:t>lyse all feedback received</w:t>
      </w:r>
      <w:r w:rsidR="005801D6">
        <w:t xml:space="preserve"> and provide ad</w:t>
      </w:r>
      <w:bookmarkStart w:id="34" w:name="_GoBack"/>
      <w:bookmarkEnd w:id="34"/>
      <w:r w:rsidR="005801D6">
        <w:t>vice</w:t>
      </w:r>
      <w:r w:rsidRPr="003756C3">
        <w:t xml:space="preserve"> to the Minister for Social Services. </w:t>
      </w:r>
    </w:p>
    <w:p w:rsidR="0020713A" w:rsidRDefault="007C7FC8" w:rsidP="007C7FC8">
      <w:r w:rsidRPr="003756C3">
        <w:t xml:space="preserve">DSS will provide updates on the progress of the Integrated Plan for Carer Support Services, </w:t>
      </w:r>
      <w:bookmarkEnd w:id="33"/>
      <w:r w:rsidR="002F3511">
        <w:t xml:space="preserve">at </w:t>
      </w:r>
      <w:hyperlink r:id="rId11" w:history="1">
        <w:r w:rsidR="002F3511" w:rsidRPr="00DE7328">
          <w:rPr>
            <w:rStyle w:val="Hyperlink"/>
          </w:rPr>
          <w:t>www.dss.gov.au</w:t>
        </w:r>
      </w:hyperlink>
    </w:p>
    <w:p w:rsidR="00397204" w:rsidRPr="00DF7B8C" w:rsidRDefault="00397204" w:rsidP="00397204"/>
    <w:p w:rsidR="00111BF5" w:rsidRDefault="00111BF5" w:rsidP="00397204">
      <w:pPr>
        <w:sectPr w:rsidR="00111BF5" w:rsidSect="00390272">
          <w:footerReference w:type="default" r:id="rId12"/>
          <w:headerReference w:type="first" r:id="rId13"/>
          <w:pgSz w:w="11907" w:h="16840" w:code="9"/>
          <w:pgMar w:top="682" w:right="1440" w:bottom="993" w:left="1440" w:header="568" w:footer="709" w:gutter="0"/>
          <w:cols w:space="708"/>
          <w:titlePg/>
          <w:docGrid w:linePitch="360"/>
        </w:sectPr>
      </w:pPr>
    </w:p>
    <w:p w:rsidR="00A15F0D" w:rsidRDefault="007F0C19" w:rsidP="007F0C19">
      <w:pPr>
        <w:pStyle w:val="Heading1"/>
        <w:spacing w:after="120"/>
        <w:rPr>
          <w:rFonts w:eastAsia="Times New Roman"/>
          <w:b/>
          <w:sz w:val="36"/>
          <w:lang w:eastAsia="en-AU"/>
        </w:rPr>
      </w:pPr>
      <w:bookmarkStart w:id="35" w:name="_Overview_of_the"/>
      <w:bookmarkStart w:id="36" w:name="_What_the_programme"/>
      <w:bookmarkStart w:id="37" w:name="_Detailed_Service_Descriptions"/>
      <w:bookmarkStart w:id="38" w:name="_About_how_carers"/>
      <w:bookmarkStart w:id="39" w:name="_Toc509403408"/>
      <w:bookmarkStart w:id="40" w:name="_Toc503529702"/>
      <w:bookmarkEnd w:id="35"/>
      <w:bookmarkEnd w:id="36"/>
      <w:bookmarkEnd w:id="37"/>
      <w:bookmarkEnd w:id="38"/>
      <w:r>
        <w:rPr>
          <w:rFonts w:eastAsia="Times New Roman"/>
          <w:b/>
          <w:sz w:val="36"/>
          <w:lang w:eastAsia="en-AU"/>
        </w:rPr>
        <w:lastRenderedPageBreak/>
        <w:t>APP</w:t>
      </w:r>
      <w:r w:rsidRPr="00EF7423">
        <w:rPr>
          <w:rFonts w:eastAsia="Times New Roman"/>
          <w:b/>
          <w:sz w:val="36"/>
          <w:lang w:eastAsia="en-AU"/>
        </w:rPr>
        <w:t>E</w:t>
      </w:r>
      <w:r>
        <w:rPr>
          <w:rFonts w:eastAsia="Times New Roman"/>
          <w:b/>
          <w:sz w:val="36"/>
          <w:lang w:eastAsia="en-AU"/>
        </w:rPr>
        <w:t>NDI</w:t>
      </w:r>
      <w:r w:rsidRPr="00EF7423">
        <w:rPr>
          <w:rFonts w:eastAsia="Times New Roman"/>
          <w:b/>
          <w:sz w:val="36"/>
          <w:lang w:eastAsia="en-AU"/>
        </w:rPr>
        <w:t>X A:</w:t>
      </w:r>
      <w:bookmarkEnd w:id="39"/>
      <w:r w:rsidRPr="00EF7423">
        <w:rPr>
          <w:rFonts w:eastAsia="Times New Roman"/>
          <w:b/>
          <w:sz w:val="36"/>
          <w:lang w:eastAsia="en-AU"/>
        </w:rPr>
        <w:t xml:space="preserve"> </w:t>
      </w:r>
    </w:p>
    <w:p w:rsidR="007F0C19" w:rsidRDefault="00A15F0D" w:rsidP="007F0C19">
      <w:pPr>
        <w:pStyle w:val="Heading1"/>
        <w:spacing w:after="120"/>
        <w:rPr>
          <w:b/>
        </w:rPr>
      </w:pPr>
      <w:bookmarkStart w:id="41" w:name="_Toc509403409"/>
      <w:r>
        <w:rPr>
          <w:rFonts w:eastAsia="Times New Roman"/>
          <w:b/>
          <w:sz w:val="36"/>
          <w:lang w:eastAsia="en-AU"/>
        </w:rPr>
        <w:t>Refer to the ICSS Blueprint document.</w:t>
      </w:r>
      <w:bookmarkEnd w:id="41"/>
    </w:p>
    <w:p w:rsidR="00875B91" w:rsidRPr="00875B91" w:rsidRDefault="00875B91" w:rsidP="00875B91"/>
    <w:p w:rsidR="00A15F0D" w:rsidRDefault="00A15F0D">
      <w:pPr>
        <w:rPr>
          <w:rFonts w:eastAsia="Times New Roman"/>
          <w:sz w:val="36"/>
          <w:lang w:eastAsia="en-AU"/>
        </w:rPr>
        <w:sectPr w:rsidR="00A15F0D" w:rsidSect="00F16E71">
          <w:pgSz w:w="11906" w:h="16838" w:code="9"/>
          <w:pgMar w:top="1440" w:right="1440" w:bottom="1440" w:left="1440" w:header="709" w:footer="709" w:gutter="0"/>
          <w:cols w:space="708"/>
          <w:docGrid w:linePitch="360"/>
        </w:sectPr>
      </w:pPr>
      <w:bookmarkStart w:id="42" w:name="_ANNEX_B:_Program"/>
      <w:bookmarkEnd w:id="40"/>
      <w:bookmarkEnd w:id="42"/>
    </w:p>
    <w:p w:rsidR="007F0C19" w:rsidRDefault="00A15F0D" w:rsidP="007F0C19">
      <w:pPr>
        <w:pStyle w:val="Heading1"/>
        <w:rPr>
          <w:rFonts w:eastAsia="Times New Roman"/>
          <w:b/>
          <w:sz w:val="36"/>
          <w:lang w:eastAsia="en-AU"/>
        </w:rPr>
      </w:pPr>
      <w:bookmarkStart w:id="43" w:name="_Toc509403410"/>
      <w:r>
        <w:rPr>
          <w:rFonts w:eastAsia="Times New Roman"/>
          <w:b/>
          <w:sz w:val="36"/>
          <w:lang w:eastAsia="en-AU"/>
        </w:rPr>
        <w:lastRenderedPageBreak/>
        <w:t>APP</w:t>
      </w:r>
      <w:r w:rsidRPr="00EF7423">
        <w:rPr>
          <w:rFonts w:eastAsia="Times New Roman"/>
          <w:b/>
          <w:sz w:val="36"/>
          <w:lang w:eastAsia="en-AU"/>
        </w:rPr>
        <w:t>E</w:t>
      </w:r>
      <w:r>
        <w:rPr>
          <w:rFonts w:eastAsia="Times New Roman"/>
          <w:b/>
          <w:sz w:val="36"/>
          <w:lang w:eastAsia="en-AU"/>
        </w:rPr>
        <w:t>NDI</w:t>
      </w:r>
      <w:r w:rsidRPr="00EF7423">
        <w:rPr>
          <w:rFonts w:eastAsia="Times New Roman"/>
          <w:b/>
          <w:sz w:val="36"/>
          <w:lang w:eastAsia="en-AU"/>
        </w:rPr>
        <w:t xml:space="preserve">X </w:t>
      </w:r>
      <w:r>
        <w:rPr>
          <w:rFonts w:eastAsia="Times New Roman"/>
          <w:b/>
          <w:sz w:val="36"/>
          <w:lang w:eastAsia="en-AU"/>
        </w:rPr>
        <w:t xml:space="preserve">B – Carer </w:t>
      </w:r>
      <w:r w:rsidR="00BF1764">
        <w:rPr>
          <w:rFonts w:eastAsia="Times New Roman"/>
          <w:b/>
          <w:sz w:val="36"/>
          <w:lang w:eastAsia="en-AU"/>
        </w:rPr>
        <w:t>Service Options</w:t>
      </w:r>
      <w:bookmarkEnd w:id="43"/>
    </w:p>
    <w:p w:rsidR="00BF1764" w:rsidRPr="00BF1764" w:rsidRDefault="00BF1764" w:rsidP="00BF1764">
      <w:pPr>
        <w:rPr>
          <w:lang w:eastAsia="en-AU"/>
        </w:rPr>
      </w:pPr>
    </w:p>
    <w:p w:rsidR="00C34DC5" w:rsidRDefault="00C34DC5" w:rsidP="00C34DC5">
      <w:pPr>
        <w:tabs>
          <w:tab w:val="left" w:pos="649"/>
        </w:tabs>
        <w:spacing w:before="77"/>
        <w:ind w:left="102"/>
      </w:pPr>
      <w:r>
        <w:t>External organisations will be engaged by the Department to support the ongoing operation of ICSS. The providers will be responsible for undertaking a range of client activities that corresponds to specific services carer can access to support them in their caring role.</w:t>
      </w:r>
    </w:p>
    <w:p w:rsidR="00C34DC5" w:rsidRDefault="00C34DC5" w:rsidP="00C34DC5">
      <w:pPr>
        <w:tabs>
          <w:tab w:val="left" w:pos="649"/>
        </w:tabs>
        <w:spacing w:before="77"/>
        <w:ind w:left="649"/>
      </w:pPr>
    </w:p>
    <w:tbl>
      <w:tblPr>
        <w:tblStyle w:val="TableGrid2"/>
        <w:tblW w:w="5000" w:type="pct"/>
        <w:tblInd w:w="0" w:type="dxa"/>
        <w:tblCellMar>
          <w:top w:w="57" w:type="dxa"/>
          <w:left w:w="113" w:type="dxa"/>
          <w:bottom w:w="57" w:type="dxa"/>
          <w:right w:w="113" w:type="dxa"/>
        </w:tblCellMar>
        <w:tblLook w:val="04A0" w:firstRow="1" w:lastRow="0" w:firstColumn="1" w:lastColumn="0" w:noHBand="0" w:noVBand="1"/>
        <w:tblDescription w:val="ICSS Service for Carers"/>
      </w:tblPr>
      <w:tblGrid>
        <w:gridCol w:w="6975"/>
        <w:gridCol w:w="6975"/>
        <w:gridCol w:w="6971"/>
      </w:tblGrid>
      <w:tr w:rsidR="00C34DC5" w:rsidTr="00C34DC5">
        <w:trPr>
          <w:trHeight w:val="244"/>
          <w:tblHeader/>
        </w:trPr>
        <w:tc>
          <w:tcPr>
            <w:tcW w:w="166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DC5" w:rsidRDefault="00C34DC5">
            <w:pPr>
              <w:rPr>
                <w:rFonts w:cstheme="minorHAnsi"/>
                <w:b/>
                <w:sz w:val="20"/>
                <w:szCs w:val="20"/>
              </w:rPr>
            </w:pPr>
            <w:r>
              <w:rPr>
                <w:rFonts w:cstheme="minorHAnsi"/>
                <w:b/>
                <w:bCs/>
                <w:sz w:val="20"/>
                <w:szCs w:val="20"/>
              </w:rPr>
              <w:t>Providers</w:t>
            </w:r>
          </w:p>
        </w:tc>
        <w:tc>
          <w:tcPr>
            <w:tcW w:w="166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DC5" w:rsidRDefault="00C34DC5">
            <w:pPr>
              <w:rPr>
                <w:rFonts w:cstheme="minorHAnsi"/>
                <w:b/>
                <w:sz w:val="20"/>
                <w:szCs w:val="20"/>
              </w:rPr>
            </w:pPr>
            <w:r>
              <w:rPr>
                <w:rFonts w:cstheme="minorHAnsi"/>
                <w:b/>
                <w:sz w:val="20"/>
                <w:szCs w:val="20"/>
              </w:rPr>
              <w:t>Client Activities</w:t>
            </w:r>
          </w:p>
        </w:tc>
        <w:tc>
          <w:tcPr>
            <w:tcW w:w="1666"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34DC5" w:rsidRDefault="00C34DC5">
            <w:pPr>
              <w:rPr>
                <w:rFonts w:cstheme="minorHAnsi"/>
                <w:b/>
                <w:sz w:val="20"/>
                <w:szCs w:val="20"/>
              </w:rPr>
            </w:pPr>
            <w:r>
              <w:rPr>
                <w:rFonts w:cstheme="minorHAnsi"/>
                <w:b/>
                <w:sz w:val="20"/>
                <w:szCs w:val="20"/>
              </w:rPr>
              <w:t>Services</w:t>
            </w:r>
          </w:p>
        </w:tc>
      </w:tr>
      <w:tr w:rsidR="00C34DC5" w:rsidTr="00C34DC5">
        <w:trPr>
          <w:trHeight w:val="42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eastAsia="Calibri" w:hAnsi="Calibri" w:cstheme="minorHAnsi"/>
                <w:b/>
                <w:sz w:val="20"/>
                <w:szCs w:val="20"/>
                <w:lang w:bidi="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eastAsia="Calibri" w:hAnsi="Calibri" w:cstheme="minorHAnsi"/>
                <w:b/>
                <w:sz w:val="20"/>
                <w:szCs w:val="20"/>
                <w:lang w:bidi="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eastAsia="Calibri" w:hAnsi="Calibri" w:cstheme="minorHAnsi"/>
                <w:b/>
                <w:sz w:val="20"/>
                <w:szCs w:val="20"/>
                <w:lang w:bidi="en-AU"/>
              </w:rPr>
            </w:pPr>
          </w:p>
        </w:tc>
      </w:tr>
      <w:tr w:rsidR="00C34DC5" w:rsidTr="00C34DC5">
        <w:tc>
          <w:tcPr>
            <w:tcW w:w="1667"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spacing w:line="288" w:lineRule="auto"/>
              <w:rPr>
                <w:rFonts w:cs="Calibri"/>
                <w:color w:val="000000"/>
                <w:sz w:val="20"/>
                <w:szCs w:val="20"/>
              </w:rPr>
            </w:pPr>
            <w:r>
              <w:rPr>
                <w:color w:val="000000"/>
                <w:sz w:val="20"/>
                <w:szCs w:val="20"/>
              </w:rPr>
              <w:t>DSS</w:t>
            </w:r>
          </w:p>
          <w:p w:rsidR="00C34DC5" w:rsidRDefault="00C34DC5">
            <w:pPr>
              <w:rPr>
                <w:rFonts w:eastAsia="Calibri" w:cstheme="minorHAnsi"/>
                <w:sz w:val="20"/>
                <w:szCs w:val="20"/>
                <w:lang w:bidi="en-AU"/>
              </w:rPr>
            </w:pPr>
            <w:r>
              <w:rPr>
                <w:i/>
                <w:iCs/>
                <w:color w:val="000000"/>
                <w:sz w:val="18"/>
                <w:szCs w:val="18"/>
              </w:rPr>
              <w:t>(Carer gateway redevelopment)</w:t>
            </w:r>
          </w:p>
        </w:tc>
        <w:tc>
          <w:tcPr>
            <w:tcW w:w="1667" w:type="pct"/>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cstheme="minorHAnsi"/>
                <w:sz w:val="20"/>
                <w:szCs w:val="20"/>
              </w:rPr>
            </w:pPr>
            <w:r>
              <w:rPr>
                <w:color w:val="000000"/>
                <w:sz w:val="20"/>
                <w:szCs w:val="20"/>
              </w:rPr>
              <w:t>Provide easy access to resources to assist carers in their caring role</w:t>
            </w:r>
          </w:p>
        </w:tc>
        <w:tc>
          <w:tcPr>
            <w:tcW w:w="1666"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rPr>
                <w:rFonts w:cs="Calibri"/>
                <w:color w:val="000000"/>
                <w:sz w:val="20"/>
                <w:szCs w:val="20"/>
              </w:rPr>
            </w:pPr>
            <w:r>
              <w:rPr>
                <w:color w:val="000000"/>
                <w:sz w:val="20"/>
                <w:szCs w:val="20"/>
              </w:rPr>
              <w:t>Carer online resource</w:t>
            </w:r>
          </w:p>
          <w:p w:rsidR="00C34DC5" w:rsidRDefault="00C34DC5">
            <w:pPr>
              <w:rPr>
                <w:rFonts w:eastAsia="Calibri" w:cstheme="minorHAnsi"/>
                <w:sz w:val="20"/>
                <w:szCs w:val="20"/>
                <w:lang w:bidi="en-AU"/>
              </w:rPr>
            </w:pPr>
            <w:r>
              <w:rPr>
                <w:color w:val="000000"/>
                <w:sz w:val="20"/>
                <w:szCs w:val="20"/>
              </w:rPr>
              <w:t xml:space="preserve">is a service that provides information, advice, tools, resources and access to a range of digital services to help carers in their caring role. </w:t>
            </w:r>
          </w:p>
        </w:tc>
      </w:tr>
      <w:tr w:rsidR="00C34DC5" w:rsidTr="00C34DC5">
        <w:tc>
          <w:tcPr>
            <w:tcW w:w="1667"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spacing w:line="288" w:lineRule="auto"/>
              <w:rPr>
                <w:rFonts w:cs="Calibri"/>
                <w:color w:val="000000"/>
                <w:sz w:val="20"/>
                <w:szCs w:val="20"/>
              </w:rPr>
            </w:pPr>
            <w:r>
              <w:rPr>
                <w:color w:val="000000"/>
                <w:sz w:val="20"/>
                <w:szCs w:val="20"/>
              </w:rPr>
              <w:t>Online Digital Counselling Provider</w:t>
            </w:r>
          </w:p>
        </w:tc>
        <w:tc>
          <w:tcPr>
            <w:tcW w:w="1667" w:type="pct"/>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eastAsia="Calibri" w:cstheme="minorHAnsi"/>
                <w:sz w:val="20"/>
                <w:szCs w:val="20"/>
                <w:lang w:bidi="en-AU"/>
              </w:rPr>
            </w:pPr>
            <w:r>
              <w:rPr>
                <w:color w:val="000000"/>
                <w:sz w:val="20"/>
                <w:szCs w:val="20"/>
              </w:rPr>
              <w:t>Support carers experiencing difficulties with anxiety, stress, depression, low mood</w:t>
            </w:r>
          </w:p>
        </w:tc>
        <w:tc>
          <w:tcPr>
            <w:tcW w:w="1666"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rPr>
                <w:rFonts w:cs="Calibri"/>
                <w:color w:val="000000"/>
                <w:sz w:val="20"/>
                <w:szCs w:val="20"/>
              </w:rPr>
            </w:pPr>
            <w:r>
              <w:rPr>
                <w:color w:val="000000"/>
                <w:sz w:val="20"/>
                <w:szCs w:val="20"/>
              </w:rPr>
              <w:t>Digital counselling</w:t>
            </w:r>
          </w:p>
          <w:p w:rsidR="00C34DC5" w:rsidRDefault="00C34DC5">
            <w:pPr>
              <w:rPr>
                <w:rFonts w:eastAsia="Calibri" w:cstheme="minorHAnsi"/>
                <w:sz w:val="20"/>
                <w:szCs w:val="20"/>
                <w:lang w:bidi="en-AU"/>
              </w:rPr>
            </w:pPr>
            <w:r>
              <w:rPr>
                <w:color w:val="000000"/>
                <w:sz w:val="20"/>
                <w:szCs w:val="20"/>
              </w:rPr>
              <w:t>is a short-term counselling using a combination of digital channels including telephone and web  to assist carers to manage their own health.</w:t>
            </w:r>
          </w:p>
        </w:tc>
      </w:tr>
      <w:tr w:rsidR="00C34DC5" w:rsidTr="00C34DC5">
        <w:tc>
          <w:tcPr>
            <w:tcW w:w="1667"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spacing w:line="288" w:lineRule="auto"/>
              <w:rPr>
                <w:rFonts w:cs="Calibri"/>
                <w:color w:val="000000"/>
                <w:sz w:val="20"/>
                <w:szCs w:val="20"/>
              </w:rPr>
            </w:pPr>
            <w:r>
              <w:rPr>
                <w:color w:val="000000"/>
                <w:sz w:val="20"/>
                <w:szCs w:val="20"/>
              </w:rPr>
              <w:t>Online Peer Support Provider</w:t>
            </w:r>
          </w:p>
        </w:tc>
        <w:tc>
          <w:tcPr>
            <w:tcW w:w="1667" w:type="pct"/>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eastAsia="Calibri" w:cstheme="minorHAnsi"/>
                <w:sz w:val="20"/>
                <w:szCs w:val="20"/>
                <w:lang w:bidi="en-AU"/>
              </w:rPr>
            </w:pPr>
            <w:r>
              <w:rPr>
                <w:color w:val="000000"/>
                <w:sz w:val="20"/>
                <w:szCs w:val="20"/>
              </w:rPr>
              <w:t>Provide carers with an online community of support</w:t>
            </w:r>
          </w:p>
        </w:tc>
        <w:tc>
          <w:tcPr>
            <w:tcW w:w="1666"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rPr>
                <w:rFonts w:cs="Calibri"/>
                <w:color w:val="000000"/>
                <w:sz w:val="20"/>
                <w:szCs w:val="20"/>
              </w:rPr>
            </w:pPr>
            <w:r>
              <w:rPr>
                <w:color w:val="000000"/>
                <w:sz w:val="20"/>
                <w:szCs w:val="20"/>
              </w:rPr>
              <w:t>Online peer support</w:t>
            </w:r>
          </w:p>
          <w:p w:rsidR="00C34DC5" w:rsidRDefault="00C34DC5">
            <w:pPr>
              <w:rPr>
                <w:rFonts w:eastAsia="Calibri" w:cstheme="minorHAnsi"/>
                <w:sz w:val="20"/>
                <w:szCs w:val="20"/>
                <w:lang w:bidi="en-AU"/>
              </w:rPr>
            </w:pPr>
            <w:r>
              <w:rPr>
                <w:color w:val="000000"/>
                <w:sz w:val="20"/>
                <w:szCs w:val="20"/>
              </w:rPr>
              <w:t>is a online support forum to assist carers to connect with their peers to provide emotional support.</w:t>
            </w:r>
          </w:p>
        </w:tc>
      </w:tr>
      <w:tr w:rsidR="00C34DC5" w:rsidTr="00C34DC5">
        <w:tc>
          <w:tcPr>
            <w:tcW w:w="1667" w:type="pct"/>
            <w:vMerge w:val="restar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spacing w:line="288" w:lineRule="auto"/>
              <w:rPr>
                <w:rFonts w:cs="Calibri"/>
                <w:color w:val="000000"/>
                <w:sz w:val="20"/>
                <w:szCs w:val="20"/>
              </w:rPr>
            </w:pPr>
            <w:r>
              <w:rPr>
                <w:color w:val="000000"/>
                <w:sz w:val="20"/>
                <w:szCs w:val="20"/>
              </w:rPr>
              <w:t>Regional Delivery Partners</w:t>
            </w:r>
          </w:p>
        </w:tc>
        <w:tc>
          <w:tcPr>
            <w:tcW w:w="1667" w:type="pct"/>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eastAsia="Calibri" w:cstheme="minorHAnsi"/>
                <w:sz w:val="20"/>
                <w:szCs w:val="20"/>
                <w:lang w:bidi="en-AU"/>
              </w:rPr>
            </w:pPr>
            <w:r>
              <w:rPr>
                <w:color w:val="000000"/>
                <w:sz w:val="20"/>
                <w:szCs w:val="20"/>
              </w:rPr>
              <w:t>Manage intake, needs assessment &amp; planning</w:t>
            </w:r>
          </w:p>
        </w:tc>
        <w:tc>
          <w:tcPr>
            <w:tcW w:w="1666" w:type="pct"/>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cstheme="minorHAnsi"/>
                <w:sz w:val="20"/>
                <w:szCs w:val="20"/>
              </w:rPr>
            </w:pPr>
            <w:r>
              <w:rPr>
                <w:color w:val="000000"/>
                <w:sz w:val="20"/>
                <w:szCs w:val="20"/>
              </w:rPr>
              <w:t>Pathway navigator</w:t>
            </w:r>
            <w:r>
              <w:rPr>
                <w:color w:val="000000"/>
                <w:sz w:val="20"/>
                <w:szCs w:val="20"/>
              </w:rPr>
              <w:br/>
              <w:t>is a service designed to understand carers’ needs, determine services that best suit their personal situation and to plan and organise the delivery of face-to-face services.</w:t>
            </w:r>
          </w:p>
        </w:tc>
      </w:tr>
      <w:tr w:rsidR="00C34DC5" w:rsidTr="00C34DC5">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hAnsi="Calibri" w:cs="Calibri"/>
                <w:color w:val="000000"/>
                <w:sz w:val="20"/>
                <w:szCs w:val="20"/>
              </w:rPr>
            </w:pPr>
          </w:p>
        </w:tc>
        <w:tc>
          <w:tcPr>
            <w:tcW w:w="1667" w:type="pct"/>
            <w:vMerge w:val="restart"/>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cstheme="minorHAnsi"/>
                <w:sz w:val="20"/>
                <w:szCs w:val="20"/>
              </w:rPr>
            </w:pPr>
            <w:r>
              <w:rPr>
                <w:color w:val="000000"/>
                <w:sz w:val="20"/>
                <w:szCs w:val="20"/>
              </w:rPr>
              <w:t>Deliver preventative services</w:t>
            </w:r>
          </w:p>
        </w:tc>
        <w:tc>
          <w:tcPr>
            <w:tcW w:w="1666"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rPr>
                <w:rFonts w:cs="Calibri"/>
                <w:color w:val="000000"/>
                <w:sz w:val="20"/>
                <w:szCs w:val="20"/>
              </w:rPr>
            </w:pPr>
            <w:r>
              <w:rPr>
                <w:color w:val="000000"/>
                <w:sz w:val="20"/>
                <w:szCs w:val="20"/>
              </w:rPr>
              <w:t>Coaching</w:t>
            </w:r>
          </w:p>
          <w:p w:rsidR="00C34DC5" w:rsidRDefault="00C34DC5">
            <w:pPr>
              <w:rPr>
                <w:rFonts w:eastAsia="Calibri" w:cstheme="minorHAnsi"/>
                <w:sz w:val="20"/>
                <w:szCs w:val="20"/>
                <w:lang w:bidi="en-AU"/>
              </w:rPr>
            </w:pPr>
            <w:r>
              <w:rPr>
                <w:color w:val="000000"/>
                <w:sz w:val="20"/>
                <w:szCs w:val="20"/>
              </w:rPr>
              <w:t>is a psycho-educational service to assist carers to acquire the skills and resilience needed to assist them in their caring role.</w:t>
            </w:r>
          </w:p>
        </w:tc>
      </w:tr>
      <w:tr w:rsidR="00C34DC5" w:rsidTr="00C34DC5">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eastAsia="Calibri" w:hAnsi="Calibri" w:cstheme="minorHAnsi"/>
                <w:sz w:val="20"/>
                <w:szCs w:val="20"/>
                <w:lang w:bidi="en-AU"/>
              </w:rPr>
            </w:pPr>
          </w:p>
        </w:tc>
        <w:tc>
          <w:tcPr>
            <w:tcW w:w="1666"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rPr>
                <w:rFonts w:cs="Calibri"/>
                <w:color w:val="000000"/>
                <w:sz w:val="20"/>
                <w:szCs w:val="20"/>
              </w:rPr>
            </w:pPr>
            <w:r>
              <w:rPr>
                <w:color w:val="000000"/>
                <w:sz w:val="20"/>
                <w:szCs w:val="20"/>
              </w:rPr>
              <w:t>In-person peer support</w:t>
            </w:r>
          </w:p>
          <w:p w:rsidR="00C34DC5" w:rsidRDefault="00C34DC5">
            <w:pPr>
              <w:rPr>
                <w:rFonts w:eastAsia="Calibri" w:cstheme="minorHAnsi"/>
                <w:sz w:val="20"/>
                <w:szCs w:val="20"/>
                <w:lang w:bidi="en-AU"/>
              </w:rPr>
            </w:pPr>
            <w:r>
              <w:rPr>
                <w:color w:val="000000"/>
                <w:sz w:val="20"/>
                <w:szCs w:val="20"/>
              </w:rPr>
              <w:t xml:space="preserve">is a facilitated support forum specifically designed to assist carers to connect with people in similar circumstances. </w:t>
            </w:r>
          </w:p>
        </w:tc>
      </w:tr>
      <w:tr w:rsidR="00C34DC5" w:rsidTr="00C34DC5">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eastAsia="Calibri" w:hAnsi="Calibri" w:cstheme="minorHAnsi"/>
                <w:sz w:val="20"/>
                <w:szCs w:val="20"/>
                <w:lang w:bidi="en-AU"/>
              </w:rPr>
            </w:pPr>
          </w:p>
        </w:tc>
        <w:tc>
          <w:tcPr>
            <w:tcW w:w="1666"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rPr>
                <w:rFonts w:cs="Calibri"/>
                <w:color w:val="000000"/>
                <w:sz w:val="20"/>
                <w:szCs w:val="20"/>
              </w:rPr>
            </w:pPr>
            <w:r>
              <w:rPr>
                <w:color w:val="000000"/>
                <w:sz w:val="20"/>
                <w:szCs w:val="20"/>
              </w:rPr>
              <w:t>In-person counselling</w:t>
            </w:r>
          </w:p>
          <w:p w:rsidR="00C34DC5" w:rsidRDefault="00C34DC5">
            <w:pPr>
              <w:rPr>
                <w:rFonts w:eastAsia="Calibri" w:cstheme="minorHAnsi"/>
                <w:sz w:val="20"/>
                <w:szCs w:val="20"/>
                <w:lang w:bidi="en-AU"/>
              </w:rPr>
            </w:pPr>
            <w:r>
              <w:rPr>
                <w:color w:val="000000"/>
                <w:sz w:val="20"/>
                <w:szCs w:val="20"/>
              </w:rPr>
              <w:t>is a service to assist carers to manage their own health through a series of counselling sessions in person with a professional counsellor.</w:t>
            </w:r>
          </w:p>
        </w:tc>
      </w:tr>
      <w:tr w:rsidR="00C34DC5" w:rsidTr="00C34DC5">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eastAsia="Calibri" w:hAnsi="Calibri" w:cstheme="minorHAnsi"/>
                <w:sz w:val="20"/>
                <w:szCs w:val="20"/>
                <w:lang w:bidi="en-AU"/>
              </w:rPr>
            </w:pPr>
          </w:p>
        </w:tc>
        <w:tc>
          <w:tcPr>
            <w:tcW w:w="1666"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rPr>
                <w:rFonts w:cs="Calibri"/>
                <w:color w:val="000000"/>
                <w:sz w:val="20"/>
                <w:szCs w:val="20"/>
              </w:rPr>
            </w:pPr>
            <w:r>
              <w:rPr>
                <w:color w:val="000000"/>
                <w:sz w:val="20"/>
                <w:szCs w:val="20"/>
              </w:rPr>
              <w:t>Carer Directed support</w:t>
            </w:r>
          </w:p>
          <w:p w:rsidR="00C34DC5" w:rsidRDefault="00C34DC5">
            <w:pPr>
              <w:rPr>
                <w:rFonts w:eastAsia="Calibri" w:cstheme="minorHAnsi"/>
                <w:sz w:val="20"/>
                <w:szCs w:val="20"/>
                <w:lang w:bidi="en-AU"/>
              </w:rPr>
            </w:pPr>
            <w:r>
              <w:rPr>
                <w:color w:val="000000"/>
                <w:sz w:val="20"/>
                <w:szCs w:val="20"/>
              </w:rPr>
              <w:t>is a consumer approach to supporting carers through the provision of one-off practical support or Carer Directed Packages.</w:t>
            </w:r>
          </w:p>
        </w:tc>
      </w:tr>
      <w:tr w:rsidR="00C34DC5" w:rsidTr="00C34DC5">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hAnsi="Calibri" w:cs="Calibri"/>
                <w:color w:val="000000"/>
                <w:sz w:val="20"/>
                <w:szCs w:val="20"/>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cstheme="minorHAnsi"/>
                <w:sz w:val="20"/>
                <w:szCs w:val="20"/>
              </w:rPr>
            </w:pPr>
            <w:r>
              <w:rPr>
                <w:color w:val="000000"/>
                <w:sz w:val="20"/>
                <w:szCs w:val="20"/>
              </w:rPr>
              <w:t>Provide emergency support</w:t>
            </w:r>
          </w:p>
        </w:tc>
        <w:tc>
          <w:tcPr>
            <w:tcW w:w="1666"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rPr>
                <w:rFonts w:cs="Calibri"/>
                <w:color w:val="000000"/>
                <w:sz w:val="20"/>
                <w:szCs w:val="20"/>
              </w:rPr>
            </w:pPr>
            <w:r>
              <w:rPr>
                <w:color w:val="000000"/>
                <w:sz w:val="20"/>
                <w:szCs w:val="20"/>
              </w:rPr>
              <w:t>Emergency respite care</w:t>
            </w:r>
          </w:p>
          <w:p w:rsidR="00C34DC5" w:rsidRDefault="00C34DC5">
            <w:pPr>
              <w:rPr>
                <w:rFonts w:eastAsia="Calibri" w:cstheme="minorHAnsi"/>
                <w:sz w:val="20"/>
                <w:szCs w:val="20"/>
                <w:lang w:bidi="en-AU"/>
              </w:rPr>
            </w:pPr>
            <w:r>
              <w:rPr>
                <w:color w:val="000000"/>
                <w:sz w:val="20"/>
                <w:szCs w:val="20"/>
              </w:rPr>
              <w:t>is a service for carers who are experiencing an urgent, unplanned and imminent event to secure replacement care when all other options have been exhausted.</w:t>
            </w:r>
          </w:p>
        </w:tc>
      </w:tr>
      <w:tr w:rsidR="00C34DC5" w:rsidTr="00C34DC5">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hAnsi="Calibri" w:cs="Calibri"/>
                <w:color w:val="000000"/>
                <w:sz w:val="20"/>
                <w:szCs w:val="20"/>
              </w:rPr>
            </w:pPr>
          </w:p>
        </w:tc>
        <w:tc>
          <w:tcPr>
            <w:tcW w:w="1667" w:type="pct"/>
            <w:vMerge w:val="restart"/>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cstheme="minorHAnsi"/>
                <w:sz w:val="20"/>
                <w:szCs w:val="20"/>
              </w:rPr>
            </w:pPr>
            <w:r>
              <w:rPr>
                <w:color w:val="000000"/>
                <w:sz w:val="20"/>
                <w:szCs w:val="20"/>
              </w:rPr>
              <w:t>Promote local ICSS services</w:t>
            </w:r>
          </w:p>
        </w:tc>
        <w:tc>
          <w:tcPr>
            <w:tcW w:w="1666"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rPr>
                <w:rFonts w:cs="Calibri"/>
                <w:color w:val="000000"/>
                <w:sz w:val="20"/>
                <w:szCs w:val="20"/>
              </w:rPr>
            </w:pPr>
            <w:r>
              <w:rPr>
                <w:color w:val="000000"/>
                <w:sz w:val="20"/>
                <w:szCs w:val="20"/>
              </w:rPr>
              <w:t>Mapping of existing local services</w:t>
            </w:r>
          </w:p>
        </w:tc>
      </w:tr>
      <w:tr w:rsidR="00C34DC5" w:rsidTr="00C34DC5">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eastAsia="Calibri" w:hAnsi="Calibri" w:cstheme="minorHAnsi"/>
                <w:sz w:val="20"/>
                <w:szCs w:val="20"/>
                <w:lang w:bidi="en-AU"/>
              </w:rPr>
            </w:pPr>
          </w:p>
        </w:tc>
        <w:tc>
          <w:tcPr>
            <w:tcW w:w="1666"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rPr>
                <w:color w:val="000000"/>
                <w:sz w:val="20"/>
                <w:szCs w:val="20"/>
              </w:rPr>
            </w:pPr>
            <w:r>
              <w:rPr>
                <w:color w:val="000000"/>
                <w:sz w:val="20"/>
                <w:szCs w:val="20"/>
              </w:rPr>
              <w:t>Identification of local area needs</w:t>
            </w:r>
          </w:p>
        </w:tc>
      </w:tr>
      <w:tr w:rsidR="00C34DC5" w:rsidTr="00C34DC5">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eastAsia="Calibri" w:hAnsi="Calibri" w:cstheme="minorHAnsi"/>
                <w:sz w:val="20"/>
                <w:szCs w:val="20"/>
                <w:lang w:bidi="en-AU"/>
              </w:rPr>
            </w:pPr>
          </w:p>
        </w:tc>
        <w:tc>
          <w:tcPr>
            <w:tcW w:w="1666"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rPr>
                <w:color w:val="000000"/>
                <w:sz w:val="20"/>
                <w:szCs w:val="20"/>
              </w:rPr>
            </w:pPr>
            <w:r>
              <w:rPr>
                <w:color w:val="000000"/>
                <w:sz w:val="20"/>
                <w:szCs w:val="20"/>
              </w:rPr>
              <w:t>Brokerage of local service providers</w:t>
            </w:r>
          </w:p>
        </w:tc>
      </w:tr>
      <w:tr w:rsidR="00C34DC5" w:rsidTr="00C34DC5">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hAnsi="Calibri" w:cs="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4DC5" w:rsidRDefault="00C34DC5">
            <w:pPr>
              <w:rPr>
                <w:rFonts w:ascii="Calibri" w:eastAsia="Calibri" w:hAnsi="Calibri" w:cstheme="minorHAnsi"/>
                <w:sz w:val="20"/>
                <w:szCs w:val="20"/>
                <w:lang w:bidi="en-AU"/>
              </w:rPr>
            </w:pPr>
          </w:p>
        </w:tc>
        <w:tc>
          <w:tcPr>
            <w:tcW w:w="1666" w:type="pct"/>
            <w:tcBorders>
              <w:top w:val="single" w:sz="4" w:space="0" w:color="auto"/>
              <w:left w:val="single" w:sz="4" w:space="0" w:color="auto"/>
              <w:bottom w:val="single" w:sz="4" w:space="0" w:color="auto"/>
              <w:right w:val="single" w:sz="4" w:space="0" w:color="auto"/>
            </w:tcBorders>
            <w:vAlign w:val="center"/>
            <w:hideMark/>
          </w:tcPr>
          <w:p w:rsidR="00C34DC5" w:rsidRDefault="00C34DC5">
            <w:pPr>
              <w:widowControl/>
              <w:adjustRightInd w:val="0"/>
              <w:rPr>
                <w:color w:val="000000"/>
                <w:sz w:val="20"/>
                <w:szCs w:val="20"/>
              </w:rPr>
            </w:pPr>
            <w:r>
              <w:rPr>
                <w:color w:val="000000"/>
                <w:sz w:val="20"/>
                <w:szCs w:val="20"/>
              </w:rPr>
              <w:t>Local community outreach</w:t>
            </w:r>
          </w:p>
        </w:tc>
      </w:tr>
    </w:tbl>
    <w:p w:rsidR="00F16E71" w:rsidRPr="00F16E71" w:rsidRDefault="00F16E71" w:rsidP="00F16E71">
      <w:pPr>
        <w:rPr>
          <w:lang w:eastAsia="en-AU"/>
        </w:rPr>
      </w:pPr>
    </w:p>
    <w:p w:rsidR="00BF1764" w:rsidRDefault="00BF1764">
      <w:pPr>
        <w:rPr>
          <w:lang w:eastAsia="en-AU"/>
        </w:rPr>
        <w:sectPr w:rsidR="00BF1764" w:rsidSect="00A15F0D">
          <w:pgSz w:w="23811" w:h="16838" w:orient="landscape" w:code="8"/>
          <w:pgMar w:top="1440" w:right="1440" w:bottom="1440" w:left="1440" w:header="709" w:footer="709" w:gutter="0"/>
          <w:cols w:space="708"/>
          <w:docGrid w:linePitch="360"/>
        </w:sectPr>
      </w:pPr>
    </w:p>
    <w:p w:rsidR="00BF1764" w:rsidRDefault="00BF1764" w:rsidP="00BF1764">
      <w:pPr>
        <w:pStyle w:val="Heading1"/>
        <w:rPr>
          <w:rFonts w:eastAsia="Times New Roman"/>
          <w:b/>
          <w:sz w:val="36"/>
          <w:lang w:eastAsia="en-AU"/>
        </w:rPr>
      </w:pPr>
      <w:bookmarkStart w:id="44" w:name="_Toc509403411"/>
      <w:r>
        <w:rPr>
          <w:rFonts w:eastAsia="Times New Roman"/>
          <w:b/>
          <w:sz w:val="36"/>
          <w:lang w:eastAsia="en-AU"/>
        </w:rPr>
        <w:lastRenderedPageBreak/>
        <w:t>APP</w:t>
      </w:r>
      <w:r w:rsidRPr="00EF7423">
        <w:rPr>
          <w:rFonts w:eastAsia="Times New Roman"/>
          <w:b/>
          <w:sz w:val="36"/>
          <w:lang w:eastAsia="en-AU"/>
        </w:rPr>
        <w:t>E</w:t>
      </w:r>
      <w:r>
        <w:rPr>
          <w:rFonts w:eastAsia="Times New Roman"/>
          <w:b/>
          <w:sz w:val="36"/>
          <w:lang w:eastAsia="en-AU"/>
        </w:rPr>
        <w:t>NDI</w:t>
      </w:r>
      <w:r w:rsidRPr="00EF7423">
        <w:rPr>
          <w:rFonts w:eastAsia="Times New Roman"/>
          <w:b/>
          <w:sz w:val="36"/>
          <w:lang w:eastAsia="en-AU"/>
        </w:rPr>
        <w:t xml:space="preserve">X </w:t>
      </w:r>
      <w:r>
        <w:rPr>
          <w:rFonts w:eastAsia="Times New Roman"/>
          <w:b/>
          <w:sz w:val="36"/>
          <w:lang w:eastAsia="en-AU"/>
        </w:rPr>
        <w:t>C –</w:t>
      </w:r>
      <w:r w:rsidR="00290032">
        <w:rPr>
          <w:rFonts w:eastAsia="Times New Roman"/>
          <w:b/>
          <w:sz w:val="36"/>
          <w:lang w:eastAsia="en-AU"/>
        </w:rPr>
        <w:t xml:space="preserve"> </w:t>
      </w:r>
      <w:r>
        <w:rPr>
          <w:rFonts w:eastAsia="Times New Roman"/>
          <w:b/>
          <w:sz w:val="36"/>
          <w:lang w:eastAsia="en-AU"/>
        </w:rPr>
        <w:t>Service Areas Statistical Area Mapping</w:t>
      </w:r>
      <w:r w:rsidR="00290032">
        <w:rPr>
          <w:rFonts w:eastAsia="Times New Roman"/>
          <w:b/>
          <w:sz w:val="36"/>
          <w:lang w:eastAsia="en-AU"/>
        </w:rPr>
        <w:t xml:space="preserve"> for Option 1 and 2.</w:t>
      </w:r>
      <w:bookmarkEnd w:id="44"/>
    </w:p>
    <w:p w:rsidR="00BF1764" w:rsidRDefault="00BF1764" w:rsidP="00BF1764">
      <w:pPr>
        <w:rPr>
          <w:lang w:eastAsia="en-AU"/>
        </w:rPr>
      </w:pPr>
    </w:p>
    <w:p w:rsidR="007B346B" w:rsidRPr="00C34DC5" w:rsidRDefault="00265C0A" w:rsidP="00BF1764">
      <w:pPr>
        <w:rPr>
          <w:rFonts w:asciiTheme="majorHAnsi" w:eastAsia="Times New Roman" w:hAnsiTheme="majorHAnsi" w:cstheme="majorBidi"/>
          <w:b/>
          <w:color w:val="2E74B5" w:themeColor="accent1" w:themeShade="BF"/>
          <w:sz w:val="32"/>
          <w:szCs w:val="32"/>
          <w:lang w:eastAsia="en-AU"/>
        </w:rPr>
      </w:pPr>
      <w:r w:rsidRPr="00C34DC5">
        <w:rPr>
          <w:rFonts w:asciiTheme="majorHAnsi" w:eastAsia="Times New Roman" w:hAnsiTheme="majorHAnsi" w:cstheme="majorBidi"/>
          <w:b/>
          <w:color w:val="2E74B5" w:themeColor="accent1" w:themeShade="BF"/>
          <w:sz w:val="32"/>
          <w:szCs w:val="32"/>
          <w:lang w:eastAsia="en-AU"/>
        </w:rPr>
        <w:t>Refer to the Excel document called – RDP Service Area mapping</w:t>
      </w:r>
    </w:p>
    <w:p w:rsidR="003E388F" w:rsidRDefault="003E388F" w:rsidP="00BF1764">
      <w:pPr>
        <w:rPr>
          <w:rFonts w:asciiTheme="majorHAnsi" w:eastAsia="Times New Roman" w:hAnsiTheme="majorHAnsi" w:cstheme="majorBidi"/>
          <w:b/>
          <w:color w:val="2E74B5" w:themeColor="accent1" w:themeShade="BF"/>
          <w:sz w:val="20"/>
          <w:szCs w:val="32"/>
          <w:lang w:eastAsia="en-AU"/>
        </w:rPr>
      </w:pPr>
    </w:p>
    <w:p w:rsidR="00A15F0D" w:rsidRPr="00A15F0D" w:rsidRDefault="00A15F0D" w:rsidP="00A15F0D">
      <w:pPr>
        <w:rPr>
          <w:lang w:eastAsia="en-AU"/>
        </w:rPr>
        <w:sectPr w:rsidR="00A15F0D" w:rsidRPr="00A15F0D" w:rsidSect="008B27E9">
          <w:pgSz w:w="16838" w:h="11906" w:orient="landscape" w:code="9"/>
          <w:pgMar w:top="1440" w:right="1440" w:bottom="567" w:left="1440" w:header="709" w:footer="510" w:gutter="0"/>
          <w:cols w:space="708"/>
          <w:docGrid w:linePitch="360"/>
        </w:sectPr>
      </w:pPr>
    </w:p>
    <w:p w:rsidR="007F0C19" w:rsidRDefault="007F0C19" w:rsidP="007F0C19">
      <w:pPr>
        <w:rPr>
          <w:rFonts w:asciiTheme="majorHAnsi" w:eastAsia="Times New Roman" w:hAnsiTheme="majorHAnsi" w:cstheme="majorBidi"/>
          <w:color w:val="2E74B5" w:themeColor="accent1" w:themeShade="BF"/>
          <w:sz w:val="26"/>
          <w:szCs w:val="26"/>
          <w:lang w:eastAsia="en-AU"/>
        </w:rPr>
      </w:pPr>
      <w:bookmarkStart w:id="45" w:name="_ANNEX_C:_Carer"/>
      <w:bookmarkStart w:id="46" w:name="_Toc503529704"/>
      <w:bookmarkEnd w:id="45"/>
    </w:p>
    <w:bookmarkEnd w:id="46"/>
    <w:p w:rsidR="003B062C" w:rsidRPr="00844129" w:rsidRDefault="00D33A3F" w:rsidP="00844129">
      <w:pPr>
        <w:spacing w:after="240"/>
        <w:rPr>
          <w:rFonts w:eastAsia="Times New Roman" w:cs="Arial"/>
          <w:sz w:val="24"/>
          <w:szCs w:val="24"/>
          <w:lang w:eastAsia="en-AU"/>
        </w:rPr>
      </w:pPr>
      <w:r w:rsidRPr="00BD4D0C">
        <w:rPr>
          <w:rFonts w:ascii="Century Gothic" w:hAnsi="Century Gothic"/>
          <w:noProof/>
          <w:color w:val="FFFFFF" w:themeColor="background1"/>
          <w:sz w:val="18"/>
          <w:szCs w:val="18"/>
          <w:lang w:eastAsia="en-AU"/>
        </w:rPr>
        <mc:AlternateContent>
          <mc:Choice Requires="wps">
            <w:drawing>
              <wp:anchor distT="0" distB="0" distL="114300" distR="114300" simplePos="0" relativeHeight="251680768" behindDoc="1" locked="0" layoutInCell="1" allowOverlap="1" wp14:anchorId="7E775624" wp14:editId="4330A7ED">
                <wp:simplePos x="0" y="0"/>
                <wp:positionH relativeFrom="column">
                  <wp:posOffset>-1025396</wp:posOffset>
                </wp:positionH>
                <wp:positionV relativeFrom="paragraph">
                  <wp:posOffset>-900122</wp:posOffset>
                </wp:positionV>
                <wp:extent cx="7683500" cy="10825480"/>
                <wp:effectExtent l="0" t="0" r="0" b="0"/>
                <wp:wrapNone/>
                <wp:docPr id="18" name="Rectangle 18" descr="Border"/>
                <wp:cNvGraphicFramePr/>
                <a:graphic xmlns:a="http://schemas.openxmlformats.org/drawingml/2006/main">
                  <a:graphicData uri="http://schemas.microsoft.com/office/word/2010/wordprocessingShape">
                    <wps:wsp>
                      <wps:cNvSpPr/>
                      <wps:spPr>
                        <a:xfrm>
                          <a:off x="0" y="0"/>
                          <a:ext cx="7683500" cy="1082548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42E7" w:rsidRDefault="00AD42E7" w:rsidP="008441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75624" id="Rectangle 18" o:spid="_x0000_s1026" alt="Border" style="position:absolute;margin-left:-80.75pt;margin-top:-70.9pt;width:605pt;height:85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" fillcolor="#bfbfbf [2412]" stroked="f" strokeweight="1pt">
                <v:textbox>
                  <w:txbxContent>
                    <w:p w:rsidR="00AD42E7" w:rsidRDefault="00AD42E7" w:rsidP="00844129">
                      <w:pPr>
                        <w:jc w:val="center"/>
                      </w:pPr>
                    </w:p>
                  </w:txbxContent>
                </v:textbox>
              </v:rect>
            </w:pict>
          </mc:Fallback>
        </mc:AlternateContent>
      </w:r>
      <w:r w:rsidR="00844129">
        <w:rPr>
          <w:noProof/>
          <w:lang w:eastAsia="en-AU"/>
        </w:rPr>
        <w:drawing>
          <wp:anchor distT="0" distB="0" distL="114300" distR="114300" simplePos="0" relativeHeight="251678720" behindDoc="1" locked="0" layoutInCell="1" allowOverlap="1" wp14:anchorId="3CA70AE3" wp14:editId="6F596D7F">
            <wp:simplePos x="0" y="0"/>
            <wp:positionH relativeFrom="column">
              <wp:posOffset>-914400</wp:posOffset>
            </wp:positionH>
            <wp:positionV relativeFrom="paragraph">
              <wp:posOffset>2517140</wp:posOffset>
            </wp:positionV>
            <wp:extent cx="8671560" cy="6344285"/>
            <wp:effectExtent l="0" t="0" r="0" b="0"/>
            <wp:wrapThrough wrapText="bothSides">
              <wp:wrapPolygon edited="0">
                <wp:start x="18127" y="65"/>
                <wp:lineTo x="17747" y="259"/>
                <wp:lineTo x="16750" y="1038"/>
                <wp:lineTo x="16703" y="1297"/>
                <wp:lineTo x="16276" y="2270"/>
                <wp:lineTo x="6691" y="2789"/>
                <wp:lineTo x="4555" y="2983"/>
                <wp:lineTo x="4555" y="3308"/>
                <wp:lineTo x="3986" y="3567"/>
                <wp:lineTo x="2895" y="4281"/>
                <wp:lineTo x="2657" y="4540"/>
                <wp:lineTo x="1898" y="5383"/>
                <wp:lineTo x="1186" y="6421"/>
                <wp:lineTo x="712" y="7459"/>
                <wp:lineTo x="380" y="8496"/>
                <wp:lineTo x="190" y="9534"/>
                <wp:lineTo x="95" y="10572"/>
                <wp:lineTo x="237" y="12647"/>
                <wp:lineTo x="475" y="13685"/>
                <wp:lineTo x="1186" y="15761"/>
                <wp:lineTo x="1661" y="16798"/>
                <wp:lineTo x="2278" y="17836"/>
                <wp:lineTo x="3037" y="18874"/>
                <wp:lineTo x="4081" y="19976"/>
                <wp:lineTo x="5552" y="21014"/>
                <wp:lineTo x="6596" y="21338"/>
                <wp:lineTo x="6833" y="21468"/>
                <wp:lineTo x="7830" y="21468"/>
                <wp:lineTo x="8019" y="21338"/>
                <wp:lineTo x="9016" y="21014"/>
                <wp:lineTo x="9158" y="20949"/>
                <wp:lineTo x="10344" y="19912"/>
                <wp:lineTo x="11151" y="18874"/>
                <wp:lineTo x="12243" y="16798"/>
                <wp:lineTo x="14568" y="10572"/>
                <wp:lineTo x="16466" y="10572"/>
                <wp:lineTo x="20309" y="9858"/>
                <wp:lineTo x="20309" y="9534"/>
                <wp:lineTo x="21021" y="8496"/>
                <wp:lineTo x="21306" y="7459"/>
                <wp:lineTo x="21448" y="6421"/>
                <wp:lineTo x="21353" y="4346"/>
                <wp:lineTo x="21163" y="3308"/>
                <wp:lineTo x="20784" y="2270"/>
                <wp:lineTo x="20309" y="1297"/>
                <wp:lineTo x="20262" y="1038"/>
                <wp:lineTo x="19218" y="259"/>
                <wp:lineTo x="18838" y="65"/>
                <wp:lineTo x="18127" y="65"/>
              </wp:wrapPolygon>
            </wp:wrapThrough>
            <wp:docPr id="27" name="Picture 2" descr="Decor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tiv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71560" cy="6344285"/>
                    </a:xfrm>
                    <a:prstGeom prst="rect">
                      <a:avLst/>
                    </a:prstGeom>
                    <a:noFill/>
                  </pic:spPr>
                </pic:pic>
              </a:graphicData>
            </a:graphic>
            <wp14:sizeRelH relativeFrom="page">
              <wp14:pctWidth>0</wp14:pctWidth>
            </wp14:sizeRelH>
            <wp14:sizeRelV relativeFrom="page">
              <wp14:pctHeight>0</wp14:pctHeight>
            </wp14:sizeRelV>
          </wp:anchor>
        </w:drawing>
      </w:r>
    </w:p>
    <w:sectPr w:rsidR="003B062C" w:rsidRPr="00844129" w:rsidSect="00E9524B">
      <w:footerReference w:type="default" r:id="rId1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FF" w:rsidRDefault="004D00FF" w:rsidP="00871FED">
      <w:pPr>
        <w:spacing w:after="0" w:line="240" w:lineRule="auto"/>
      </w:pPr>
      <w:r>
        <w:separator/>
      </w:r>
    </w:p>
  </w:endnote>
  <w:endnote w:type="continuationSeparator" w:id="0">
    <w:p w:rsidR="004D00FF" w:rsidRDefault="004D00FF" w:rsidP="00871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E7" w:rsidRPr="00AF1B30" w:rsidRDefault="00AD42E7" w:rsidP="00AF1B30">
    <w:pPr>
      <w:pStyle w:val="Footer"/>
      <w:pBdr>
        <w:top w:val="single" w:sz="4" w:space="1" w:color="7F7F7F" w:themeColor="text1" w:themeTint="80"/>
      </w:pBdr>
      <w:rPr>
        <w:rFonts w:ascii="Century Gothic" w:hAnsi="Century Gothic"/>
        <w:sz w:val="20"/>
      </w:rPr>
    </w:pPr>
    <w:r>
      <w:rPr>
        <w:rFonts w:ascii="Century Gothic" w:hAnsi="Century Gothic"/>
        <w:sz w:val="20"/>
      </w:rPr>
      <w:t>Draft Regional</w:t>
    </w:r>
    <w:r w:rsidRPr="00AF1B30">
      <w:rPr>
        <w:rFonts w:ascii="Century Gothic" w:hAnsi="Century Gothic"/>
        <w:sz w:val="20"/>
      </w:rPr>
      <w:t xml:space="preserve"> Delivery Model</w:t>
    </w:r>
    <w:r>
      <w:rPr>
        <w:rFonts w:ascii="Century Gothic" w:hAnsi="Century Gothic"/>
        <w:sz w:val="12"/>
      </w:rPr>
      <w:tab/>
    </w:r>
    <w:r w:rsidRPr="00AF1B30">
      <w:rPr>
        <w:rFonts w:ascii="Century Gothic" w:hAnsi="Century Gothic"/>
        <w:sz w:val="20"/>
      </w:rPr>
      <w:tab/>
    </w:r>
    <w:r w:rsidRPr="00AF1B30">
      <w:rPr>
        <w:rFonts w:ascii="Century Gothic" w:hAnsi="Century Gothic"/>
        <w:sz w:val="20"/>
        <w:bdr w:val="single" w:sz="4" w:space="0" w:color="FFFFFF" w:themeColor="background1"/>
      </w:rPr>
      <w:t xml:space="preserve">Page </w:t>
    </w:r>
    <w:r w:rsidRPr="00AF1B30">
      <w:rPr>
        <w:rFonts w:ascii="Century Gothic" w:hAnsi="Century Gothic"/>
        <w:bCs/>
        <w:sz w:val="20"/>
        <w:bdr w:val="single" w:sz="4" w:space="0" w:color="FFFFFF" w:themeColor="background1"/>
      </w:rPr>
      <w:fldChar w:fldCharType="begin"/>
    </w:r>
    <w:r w:rsidRPr="00AF1B30">
      <w:rPr>
        <w:rFonts w:ascii="Century Gothic" w:hAnsi="Century Gothic"/>
        <w:bCs/>
        <w:sz w:val="20"/>
        <w:bdr w:val="single" w:sz="4" w:space="0" w:color="FFFFFF" w:themeColor="background1"/>
      </w:rPr>
      <w:instrText xml:space="preserve"> PAGE  \* Arabic  \* MERGEFORMAT </w:instrText>
    </w:r>
    <w:r w:rsidRPr="00AF1B30">
      <w:rPr>
        <w:rFonts w:ascii="Century Gothic" w:hAnsi="Century Gothic"/>
        <w:bCs/>
        <w:sz w:val="20"/>
        <w:bdr w:val="single" w:sz="4" w:space="0" w:color="FFFFFF" w:themeColor="background1"/>
      </w:rPr>
      <w:fldChar w:fldCharType="separate"/>
    </w:r>
    <w:r w:rsidR="008B7734">
      <w:rPr>
        <w:rFonts w:ascii="Century Gothic" w:hAnsi="Century Gothic"/>
        <w:bCs/>
        <w:noProof/>
        <w:sz w:val="20"/>
        <w:bdr w:val="single" w:sz="4" w:space="0" w:color="FFFFFF" w:themeColor="background1"/>
      </w:rPr>
      <w:t>16</w:t>
    </w:r>
    <w:r w:rsidRPr="00AF1B30">
      <w:rPr>
        <w:rFonts w:ascii="Century Gothic" w:hAnsi="Century Gothic"/>
        <w:bCs/>
        <w:sz w:val="20"/>
        <w:bdr w:val="single" w:sz="4" w:space="0" w:color="FFFFFF" w:themeColor="background1"/>
      </w:rPr>
      <w:fldChar w:fldCharType="end"/>
    </w:r>
    <w:r w:rsidRPr="00AF1B30">
      <w:rPr>
        <w:rFonts w:ascii="Century Gothic" w:hAnsi="Century Gothic"/>
        <w:sz w:val="20"/>
        <w:bdr w:val="single" w:sz="4" w:space="0" w:color="FFFFFF" w:themeColor="background1"/>
      </w:rPr>
      <w:t xml:space="preserve"> of </w:t>
    </w:r>
    <w:r w:rsidRPr="00AF1B30">
      <w:rPr>
        <w:rFonts w:ascii="Century Gothic" w:hAnsi="Century Gothic"/>
        <w:bCs/>
        <w:sz w:val="20"/>
        <w:bdr w:val="single" w:sz="4" w:space="0" w:color="FFFFFF" w:themeColor="background1"/>
      </w:rPr>
      <w:fldChar w:fldCharType="begin"/>
    </w:r>
    <w:r w:rsidRPr="00AF1B30">
      <w:rPr>
        <w:rFonts w:ascii="Century Gothic" w:hAnsi="Century Gothic"/>
        <w:bCs/>
        <w:sz w:val="20"/>
        <w:bdr w:val="single" w:sz="4" w:space="0" w:color="FFFFFF" w:themeColor="background1"/>
      </w:rPr>
      <w:instrText xml:space="preserve"> NUMPAGES  \* Arabic  \* MERGEFORMAT </w:instrText>
    </w:r>
    <w:r w:rsidRPr="00AF1B30">
      <w:rPr>
        <w:rFonts w:ascii="Century Gothic" w:hAnsi="Century Gothic"/>
        <w:bCs/>
        <w:sz w:val="20"/>
        <w:bdr w:val="single" w:sz="4" w:space="0" w:color="FFFFFF" w:themeColor="background1"/>
      </w:rPr>
      <w:fldChar w:fldCharType="separate"/>
    </w:r>
    <w:r w:rsidR="008B7734">
      <w:rPr>
        <w:rFonts w:ascii="Century Gothic" w:hAnsi="Century Gothic"/>
        <w:bCs/>
        <w:noProof/>
        <w:sz w:val="20"/>
        <w:bdr w:val="single" w:sz="4" w:space="0" w:color="FFFFFF" w:themeColor="background1"/>
      </w:rPr>
      <w:t>17</w:t>
    </w:r>
    <w:r w:rsidRPr="00AF1B30">
      <w:rPr>
        <w:rFonts w:ascii="Century Gothic" w:hAnsi="Century Gothic"/>
        <w:bCs/>
        <w:sz w:val="20"/>
        <w:bdr w:val="single" w:sz="4" w:space="0" w:color="FFFFFF" w:themeColor="background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E7" w:rsidRPr="00AF1B30" w:rsidRDefault="00AD42E7" w:rsidP="00844193">
    <w:pPr>
      <w:pStyle w:val="Footer"/>
      <w:pBdr>
        <w:top w:val="single" w:sz="4" w:space="1" w:color="7F7F7F" w:themeColor="text1" w:themeTint="80"/>
      </w:pBdr>
      <w:rPr>
        <w:rFonts w:ascii="Century Gothic" w:hAnsi="Century Gothic"/>
        <w:sz w:val="20"/>
      </w:rPr>
    </w:pPr>
    <w:r w:rsidRPr="00AF1B30">
      <w:rPr>
        <w:rFonts w:ascii="Century Gothic" w:hAnsi="Century Gothic"/>
        <w:sz w:val="20"/>
      </w:rPr>
      <w:t>Draft Service Delivery Model</w:t>
    </w:r>
    <w:r w:rsidRPr="00AF1B30">
      <w:rPr>
        <w:rFonts w:ascii="Century Gothic" w:hAnsi="Century Gothic"/>
        <w:sz w:val="20"/>
      </w:rPr>
      <w:tab/>
    </w:r>
    <w:r w:rsidRPr="00AF1B30">
      <w:rPr>
        <w:rFonts w:ascii="Century Gothic" w:hAnsi="Century Gothic"/>
        <w:sz w:val="20"/>
      </w:rPr>
      <w:tab/>
    </w:r>
    <w:r w:rsidRPr="00AF1B30">
      <w:rPr>
        <w:rFonts w:ascii="Century Gothic" w:hAnsi="Century Gothic"/>
        <w:sz w:val="20"/>
        <w:bdr w:val="single" w:sz="4" w:space="0" w:color="FFFFFF" w:themeColor="background1"/>
      </w:rPr>
      <w:t xml:space="preserve">Page </w:t>
    </w:r>
    <w:r w:rsidRPr="00AF1B30">
      <w:rPr>
        <w:rFonts w:ascii="Century Gothic" w:hAnsi="Century Gothic"/>
        <w:bCs/>
        <w:sz w:val="20"/>
        <w:bdr w:val="single" w:sz="4" w:space="0" w:color="FFFFFF" w:themeColor="background1"/>
      </w:rPr>
      <w:fldChar w:fldCharType="begin"/>
    </w:r>
    <w:r w:rsidRPr="00AF1B30">
      <w:rPr>
        <w:rFonts w:ascii="Century Gothic" w:hAnsi="Century Gothic"/>
        <w:bCs/>
        <w:sz w:val="20"/>
        <w:bdr w:val="single" w:sz="4" w:space="0" w:color="FFFFFF" w:themeColor="background1"/>
      </w:rPr>
      <w:instrText xml:space="preserve"> PAGE  \* Arabic  \* MERGEFORMAT </w:instrText>
    </w:r>
    <w:r w:rsidRPr="00AF1B30">
      <w:rPr>
        <w:rFonts w:ascii="Century Gothic" w:hAnsi="Century Gothic"/>
        <w:bCs/>
        <w:sz w:val="20"/>
        <w:bdr w:val="single" w:sz="4" w:space="0" w:color="FFFFFF" w:themeColor="background1"/>
      </w:rPr>
      <w:fldChar w:fldCharType="separate"/>
    </w:r>
    <w:r w:rsidR="009F4C4A">
      <w:rPr>
        <w:rFonts w:ascii="Century Gothic" w:hAnsi="Century Gothic"/>
        <w:bCs/>
        <w:noProof/>
        <w:sz w:val="20"/>
        <w:bdr w:val="single" w:sz="4" w:space="0" w:color="FFFFFF" w:themeColor="background1"/>
      </w:rPr>
      <w:t>17</w:t>
    </w:r>
    <w:r w:rsidRPr="00AF1B30">
      <w:rPr>
        <w:rFonts w:ascii="Century Gothic" w:hAnsi="Century Gothic"/>
        <w:bCs/>
        <w:sz w:val="20"/>
        <w:bdr w:val="single" w:sz="4" w:space="0" w:color="FFFFFF" w:themeColor="background1"/>
      </w:rPr>
      <w:fldChar w:fldCharType="end"/>
    </w:r>
    <w:r w:rsidRPr="00AF1B30">
      <w:rPr>
        <w:rFonts w:ascii="Century Gothic" w:hAnsi="Century Gothic"/>
        <w:sz w:val="20"/>
        <w:bdr w:val="single" w:sz="4" w:space="0" w:color="FFFFFF" w:themeColor="background1"/>
      </w:rPr>
      <w:t xml:space="preserve"> of </w:t>
    </w:r>
    <w:r w:rsidRPr="00AF1B30">
      <w:rPr>
        <w:rFonts w:ascii="Century Gothic" w:hAnsi="Century Gothic"/>
        <w:bCs/>
        <w:sz w:val="20"/>
        <w:bdr w:val="single" w:sz="4" w:space="0" w:color="FFFFFF" w:themeColor="background1"/>
      </w:rPr>
      <w:fldChar w:fldCharType="begin"/>
    </w:r>
    <w:r w:rsidRPr="00AF1B30">
      <w:rPr>
        <w:rFonts w:ascii="Century Gothic" w:hAnsi="Century Gothic"/>
        <w:bCs/>
        <w:sz w:val="20"/>
        <w:bdr w:val="single" w:sz="4" w:space="0" w:color="FFFFFF" w:themeColor="background1"/>
      </w:rPr>
      <w:instrText xml:space="preserve"> NUMPAGES  \* Arabic  \* MERGEFORMAT </w:instrText>
    </w:r>
    <w:r w:rsidRPr="00AF1B30">
      <w:rPr>
        <w:rFonts w:ascii="Century Gothic" w:hAnsi="Century Gothic"/>
        <w:bCs/>
        <w:sz w:val="20"/>
        <w:bdr w:val="single" w:sz="4" w:space="0" w:color="FFFFFF" w:themeColor="background1"/>
      </w:rPr>
      <w:fldChar w:fldCharType="separate"/>
    </w:r>
    <w:r w:rsidR="009F4C4A">
      <w:rPr>
        <w:rFonts w:ascii="Century Gothic" w:hAnsi="Century Gothic"/>
        <w:bCs/>
        <w:noProof/>
        <w:sz w:val="20"/>
        <w:bdr w:val="single" w:sz="4" w:space="0" w:color="FFFFFF" w:themeColor="background1"/>
      </w:rPr>
      <w:t>17</w:t>
    </w:r>
    <w:r w:rsidRPr="00AF1B30">
      <w:rPr>
        <w:rFonts w:ascii="Century Gothic" w:hAnsi="Century Gothic"/>
        <w:bCs/>
        <w:sz w:val="20"/>
        <w:bdr w:val="single" w:sz="4" w:space="0" w:color="FFFFFF" w:themeColor="background1"/>
      </w:rPr>
      <w:fldChar w:fldCharType="end"/>
    </w:r>
  </w:p>
  <w:p w:rsidR="00AD42E7" w:rsidRPr="00AF1B30" w:rsidRDefault="00AD42E7" w:rsidP="00844129">
    <w:pPr>
      <w:pStyle w:val="Footer"/>
      <w:rPr>
        <w:rFonts w:ascii="Century Gothic" w:hAnsi="Century Gothic"/>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FF" w:rsidRDefault="004D00FF" w:rsidP="00871FED">
      <w:pPr>
        <w:spacing w:after="0" w:line="240" w:lineRule="auto"/>
      </w:pPr>
      <w:r>
        <w:separator/>
      </w:r>
    </w:p>
  </w:footnote>
  <w:footnote w:type="continuationSeparator" w:id="0">
    <w:p w:rsidR="004D00FF" w:rsidRDefault="004D00FF" w:rsidP="00871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E7" w:rsidRDefault="00AD42E7" w:rsidP="00871FED">
    <w:pPr>
      <w:pStyle w:val="Header"/>
      <w:jc w:val="right"/>
    </w:pPr>
    <w:r>
      <w:rPr>
        <w:rFonts w:ascii="Century Gothic" w:eastAsia="Times New Roman" w:hAnsi="Century Gothic" w:cstheme="majorBidi"/>
        <w:b/>
        <w:noProof/>
        <w:color w:val="5B57A4"/>
        <w:spacing w:val="5"/>
        <w:kern w:val="28"/>
        <w:sz w:val="40"/>
        <w:szCs w:val="52"/>
        <w:lang w:eastAsia="en-AU"/>
      </w:rPr>
      <w:drawing>
        <wp:anchor distT="0" distB="0" distL="114300" distR="114300" simplePos="0" relativeHeight="251657728" behindDoc="0" locked="0" layoutInCell="1" allowOverlap="1" wp14:anchorId="04BC0AC3" wp14:editId="3CF58AB8">
          <wp:simplePos x="0" y="0"/>
          <wp:positionH relativeFrom="page">
            <wp:posOffset>-603022</wp:posOffset>
          </wp:positionH>
          <wp:positionV relativeFrom="paragraph">
            <wp:posOffset>-983267</wp:posOffset>
          </wp:positionV>
          <wp:extent cx="8200752" cy="9077838"/>
          <wp:effectExtent l="419100" t="0" r="467360" b="0"/>
          <wp:wrapNone/>
          <wp:docPr id="21" name="Picture 21" descr="Background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ited-colour---brand.png"/>
                  <pic:cNvPicPr/>
                </pic:nvPicPr>
                <pic:blipFill>
                  <a:blip r:embed="rId1">
                    <a:extLst>
                      <a:ext uri="{28A0092B-C50C-407E-A947-70E740481C1C}">
                        <a14:useLocalDpi xmlns:a14="http://schemas.microsoft.com/office/drawing/2010/main" val="0"/>
                      </a:ext>
                    </a:extLst>
                  </a:blip>
                  <a:stretch>
                    <a:fillRect/>
                  </a:stretch>
                </pic:blipFill>
                <pic:spPr>
                  <a:xfrm rot="20572927">
                    <a:off x="0" y="0"/>
                    <a:ext cx="8202171" cy="9079409"/>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cstheme="majorBidi"/>
        <w:b/>
        <w:noProof/>
        <w:color w:val="5B57A4"/>
        <w:spacing w:val="5"/>
        <w:kern w:val="28"/>
        <w:sz w:val="40"/>
        <w:szCs w:val="52"/>
        <w:lang w:eastAsia="en-AU"/>
      </w:rPr>
      <mc:AlternateContent>
        <mc:Choice Requires="wps">
          <w:drawing>
            <wp:anchor distT="0" distB="0" distL="114300" distR="114300" simplePos="0" relativeHeight="251656704" behindDoc="0" locked="0" layoutInCell="1" allowOverlap="1" wp14:anchorId="32D7914E" wp14:editId="12EE3CB9">
              <wp:simplePos x="0" y="0"/>
              <wp:positionH relativeFrom="column">
                <wp:posOffset>-912495</wp:posOffset>
              </wp:positionH>
              <wp:positionV relativeFrom="paragraph">
                <wp:posOffset>-443069</wp:posOffset>
              </wp:positionV>
              <wp:extent cx="7665057" cy="10670650"/>
              <wp:effectExtent l="0" t="0" r="0" b="0"/>
              <wp:wrapNone/>
              <wp:docPr id="37" name="Rectangle 37" descr="Background"/>
              <wp:cNvGraphicFramePr/>
              <a:graphic xmlns:a="http://schemas.openxmlformats.org/drawingml/2006/main">
                <a:graphicData uri="http://schemas.microsoft.com/office/word/2010/wordprocessingShape">
                  <wps:wsp>
                    <wps:cNvSpPr/>
                    <wps:spPr>
                      <a:xfrm>
                        <a:off x="0" y="0"/>
                        <a:ext cx="7665057" cy="106706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90F74" id="Rectangle 37" o:spid="_x0000_s1026" alt="Background" style="position:absolute;margin-left:-71.85pt;margin-top:-34.9pt;width:603.55pt;height:84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" fillcolor="#e7e6e6 [321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20CE0C"/>
    <w:lvl w:ilvl="0">
      <w:numFmt w:val="bullet"/>
      <w:lvlText w:val="*"/>
      <w:lvlJc w:val="left"/>
    </w:lvl>
  </w:abstractNum>
  <w:abstractNum w:abstractNumId="1" w15:restartNumberingAfterBreak="0">
    <w:nsid w:val="05A94717"/>
    <w:multiLevelType w:val="hybridMultilevel"/>
    <w:tmpl w:val="05DE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926D1"/>
    <w:multiLevelType w:val="hybridMultilevel"/>
    <w:tmpl w:val="A8E8722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13776CD8"/>
    <w:multiLevelType w:val="hybridMultilevel"/>
    <w:tmpl w:val="C23CF8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25782F"/>
    <w:multiLevelType w:val="hybridMultilevel"/>
    <w:tmpl w:val="E9560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B13420"/>
    <w:multiLevelType w:val="hybridMultilevel"/>
    <w:tmpl w:val="BD3E6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73803"/>
    <w:multiLevelType w:val="hybridMultilevel"/>
    <w:tmpl w:val="2CA8A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86527"/>
    <w:multiLevelType w:val="hybridMultilevel"/>
    <w:tmpl w:val="FFF6432A"/>
    <w:lvl w:ilvl="0" w:tplc="272C1524">
      <w:numFmt w:val="bullet"/>
      <w:pStyle w:val="ICSSDotPoint"/>
      <w:lvlText w:val=""/>
      <w:lvlJc w:val="left"/>
      <w:pPr>
        <w:ind w:left="720" w:hanging="360"/>
      </w:pPr>
      <w:rPr>
        <w:rFonts w:ascii="Symbol" w:eastAsiaTheme="minorHAnsi" w:hAnsi="Symbol" w:cstheme="minorBidi"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E76D23"/>
    <w:multiLevelType w:val="hybridMultilevel"/>
    <w:tmpl w:val="FA82F928"/>
    <w:lvl w:ilvl="0" w:tplc="FED4B30E">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977C93"/>
    <w:multiLevelType w:val="hybridMultilevel"/>
    <w:tmpl w:val="F2CAB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5728D0"/>
    <w:multiLevelType w:val="hybridMultilevel"/>
    <w:tmpl w:val="F238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CA3A5F"/>
    <w:multiLevelType w:val="hybridMultilevel"/>
    <w:tmpl w:val="42F65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9E7350"/>
    <w:multiLevelType w:val="multilevel"/>
    <w:tmpl w:val="11EA9D8C"/>
    <w:lvl w:ilvl="0">
      <w:start w:val="1"/>
      <w:numFmt w:val="decimal"/>
      <w:lvlText w:val="%1"/>
      <w:lvlJc w:val="left"/>
      <w:pPr>
        <w:tabs>
          <w:tab w:val="num" w:pos="1021"/>
        </w:tabs>
        <w:ind w:left="1021" w:hanging="1021"/>
      </w:pPr>
      <w:rPr>
        <w:rFonts w:asciiTheme="minorHAnsi" w:hAnsiTheme="minorHAnsi" w:cs="Arial" w:hint="default"/>
        <w:sz w:val="28"/>
        <w:szCs w:val="24"/>
      </w:rPr>
    </w:lvl>
    <w:lvl w:ilvl="1">
      <w:start w:val="1"/>
      <w:numFmt w:val="decimal"/>
      <w:lvlText w:val="%1.%2"/>
      <w:lvlJc w:val="left"/>
      <w:pPr>
        <w:tabs>
          <w:tab w:val="num" w:pos="1021"/>
        </w:tabs>
        <w:ind w:left="1021" w:hanging="1021"/>
      </w:pPr>
      <w:rPr>
        <w:rFonts w:asciiTheme="minorHAnsi" w:eastAsia="Times New Roman" w:hAnsiTheme="minorHAnsi" w:cs="Arial" w:hint="default"/>
        <w:sz w:val="24"/>
        <w:szCs w:val="21"/>
      </w:rPr>
    </w:lvl>
    <w:lvl w:ilvl="2">
      <w:start w:val="1"/>
      <w:numFmt w:val="decimal"/>
      <w:lvlText w:val="%1.%2.%3"/>
      <w:lvlJc w:val="left"/>
      <w:pPr>
        <w:tabs>
          <w:tab w:val="num" w:pos="1021"/>
        </w:tabs>
        <w:ind w:left="1021" w:hanging="1021"/>
      </w:pPr>
      <w:rPr>
        <w:rFonts w:asciiTheme="minorHAnsi" w:hAnsiTheme="minorHAnsi" w:cs="Arial" w:hint="default"/>
        <w:b w:val="0"/>
        <w:bCs w:val="0"/>
        <w:i w:val="0"/>
        <w:sz w:val="22"/>
        <w:szCs w:val="22"/>
      </w:rPr>
    </w:lvl>
    <w:lvl w:ilvl="3">
      <w:start w:val="1"/>
      <w:numFmt w:val="bullet"/>
      <w:lvlText w:val=""/>
      <w:lvlJc w:val="left"/>
      <w:pPr>
        <w:tabs>
          <w:tab w:val="num" w:pos="1701"/>
        </w:tabs>
        <w:ind w:left="1701" w:hanging="680"/>
      </w:pPr>
      <w:rPr>
        <w:rFonts w:ascii="Symbol" w:hAnsi="Symbol" w:hint="default"/>
        <w:b w:val="0"/>
        <w:i w:val="0"/>
        <w:sz w:val="22"/>
        <w:szCs w:val="20"/>
      </w:rPr>
    </w:lvl>
    <w:lvl w:ilvl="4">
      <w:start w:val="1"/>
      <w:numFmt w:val="lowerRoman"/>
      <w:lvlText w:val="%5."/>
      <w:lvlJc w:val="right"/>
      <w:pPr>
        <w:tabs>
          <w:tab w:val="num" w:pos="2552"/>
        </w:tabs>
        <w:ind w:left="2552" w:hanging="567"/>
      </w:pPr>
      <w:rPr>
        <w:rFonts w:hint="default"/>
        <w:b w:val="0"/>
        <w:sz w:val="20"/>
        <w:szCs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46654278"/>
    <w:multiLevelType w:val="hybridMultilevel"/>
    <w:tmpl w:val="556C9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9D166F"/>
    <w:multiLevelType w:val="hybridMultilevel"/>
    <w:tmpl w:val="577E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CB61FD"/>
    <w:multiLevelType w:val="hybridMultilevel"/>
    <w:tmpl w:val="CB2CE0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246955"/>
    <w:multiLevelType w:val="hybridMultilevel"/>
    <w:tmpl w:val="48B6DA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313107"/>
    <w:multiLevelType w:val="multilevel"/>
    <w:tmpl w:val="50203C6C"/>
    <w:lvl w:ilvl="0">
      <w:start w:val="1"/>
      <w:numFmt w:val="decimal"/>
      <w:lvlText w:val="%1"/>
      <w:lvlJc w:val="left"/>
      <w:pPr>
        <w:tabs>
          <w:tab w:val="num" w:pos="1021"/>
        </w:tabs>
        <w:ind w:left="1021" w:hanging="1021"/>
      </w:pPr>
      <w:rPr>
        <w:rFonts w:asciiTheme="minorHAnsi" w:hAnsiTheme="minorHAnsi" w:cs="Arial" w:hint="default"/>
        <w:sz w:val="28"/>
        <w:szCs w:val="24"/>
      </w:rPr>
    </w:lvl>
    <w:lvl w:ilvl="1">
      <w:start w:val="1"/>
      <w:numFmt w:val="decimal"/>
      <w:lvlText w:val="%1.%2"/>
      <w:lvlJc w:val="left"/>
      <w:pPr>
        <w:tabs>
          <w:tab w:val="num" w:pos="1021"/>
        </w:tabs>
        <w:ind w:left="1021" w:hanging="1021"/>
      </w:pPr>
      <w:rPr>
        <w:rFonts w:asciiTheme="minorHAnsi" w:eastAsia="Times New Roman" w:hAnsiTheme="minorHAnsi" w:cs="Arial" w:hint="default"/>
        <w:sz w:val="24"/>
        <w:szCs w:val="21"/>
      </w:rPr>
    </w:lvl>
    <w:lvl w:ilvl="2">
      <w:start w:val="1"/>
      <w:numFmt w:val="decimal"/>
      <w:lvlText w:val="%1.%2.%3"/>
      <w:lvlJc w:val="left"/>
      <w:pPr>
        <w:tabs>
          <w:tab w:val="num" w:pos="1021"/>
        </w:tabs>
        <w:ind w:left="1021" w:hanging="1021"/>
      </w:pPr>
      <w:rPr>
        <w:rFonts w:asciiTheme="minorHAnsi" w:hAnsiTheme="minorHAnsi" w:cs="Arial" w:hint="default"/>
        <w:b w:val="0"/>
        <w:bCs w:val="0"/>
        <w:i w:val="0"/>
        <w:sz w:val="22"/>
        <w:szCs w:val="22"/>
      </w:rPr>
    </w:lvl>
    <w:lvl w:ilvl="3">
      <w:start w:val="1"/>
      <w:numFmt w:val="bullet"/>
      <w:lvlText w:val=""/>
      <w:lvlJc w:val="left"/>
      <w:pPr>
        <w:tabs>
          <w:tab w:val="num" w:pos="1701"/>
        </w:tabs>
        <w:ind w:left="1701" w:hanging="680"/>
      </w:pPr>
      <w:rPr>
        <w:rFonts w:ascii="Wingdings" w:hAnsi="Wingdings" w:hint="default"/>
        <w:b w:val="0"/>
        <w:i w:val="0"/>
        <w:sz w:val="22"/>
        <w:szCs w:val="20"/>
      </w:rPr>
    </w:lvl>
    <w:lvl w:ilvl="4">
      <w:start w:val="1"/>
      <w:numFmt w:val="lowerRoman"/>
      <w:lvlText w:val="%5."/>
      <w:lvlJc w:val="right"/>
      <w:pPr>
        <w:tabs>
          <w:tab w:val="num" w:pos="2552"/>
        </w:tabs>
        <w:ind w:left="2552" w:hanging="567"/>
      </w:pPr>
      <w:rPr>
        <w:rFonts w:hint="default"/>
        <w:b w:val="0"/>
        <w:sz w:val="20"/>
        <w:szCs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555A1C53"/>
    <w:multiLevelType w:val="hybridMultilevel"/>
    <w:tmpl w:val="8466C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7634B33"/>
    <w:multiLevelType w:val="hybridMultilevel"/>
    <w:tmpl w:val="5734D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043ED2"/>
    <w:multiLevelType w:val="hybridMultilevel"/>
    <w:tmpl w:val="7D827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B920A9"/>
    <w:multiLevelType w:val="hybridMultilevel"/>
    <w:tmpl w:val="6FC20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350F78"/>
    <w:multiLevelType w:val="hybridMultilevel"/>
    <w:tmpl w:val="3D507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A33095"/>
    <w:multiLevelType w:val="hybridMultilevel"/>
    <w:tmpl w:val="17884618"/>
    <w:lvl w:ilvl="0" w:tplc="0C090003">
      <w:start w:val="1"/>
      <w:numFmt w:val="bullet"/>
      <w:lvlText w:val="o"/>
      <w:lvlJc w:val="left"/>
      <w:pPr>
        <w:ind w:left="773" w:hanging="360"/>
      </w:pPr>
      <w:rPr>
        <w:rFonts w:ascii="Courier New" w:hAnsi="Courier New" w:cs="Courier New"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4" w15:restartNumberingAfterBreak="0">
    <w:nsid w:val="79852D67"/>
    <w:multiLevelType w:val="hybridMultilevel"/>
    <w:tmpl w:val="2854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8"/>
  </w:num>
  <w:num w:numId="4">
    <w:abstractNumId w:val="3"/>
  </w:num>
  <w:num w:numId="5">
    <w:abstractNumId w:val="15"/>
  </w:num>
  <w:num w:numId="6">
    <w:abstractNumId w:val="1"/>
  </w:num>
  <w:num w:numId="7">
    <w:abstractNumId w:val="0"/>
    <w:lvlOverride w:ilvl="0">
      <w:lvl w:ilvl="0">
        <w:numFmt w:val="bullet"/>
        <w:lvlText w:val=""/>
        <w:legacy w:legacy="1" w:legacySpace="0" w:legacyIndent="0"/>
        <w:lvlJc w:val="left"/>
        <w:rPr>
          <w:rFonts w:ascii="Symbol" w:hAnsi="Symbol" w:hint="default"/>
          <w:sz w:val="18"/>
        </w:rPr>
      </w:lvl>
    </w:lvlOverride>
  </w:num>
  <w:num w:numId="8">
    <w:abstractNumId w:val="0"/>
    <w:lvlOverride w:ilvl="0">
      <w:lvl w:ilvl="0">
        <w:numFmt w:val="bullet"/>
        <w:lvlText w:val=""/>
        <w:legacy w:legacy="1" w:legacySpace="0" w:legacyIndent="0"/>
        <w:lvlJc w:val="left"/>
        <w:rPr>
          <w:rFonts w:ascii="Symbol" w:hAnsi="Symbol" w:hint="default"/>
          <w:sz w:val="12"/>
        </w:rPr>
      </w:lvl>
    </w:lvlOverride>
  </w:num>
  <w:num w:numId="9">
    <w:abstractNumId w:val="10"/>
  </w:num>
  <w:num w:numId="10">
    <w:abstractNumId w:val="23"/>
  </w:num>
  <w:num w:numId="11">
    <w:abstractNumId w:val="4"/>
  </w:num>
  <w:num w:numId="12">
    <w:abstractNumId w:val="22"/>
  </w:num>
  <w:num w:numId="13">
    <w:abstractNumId w:val="24"/>
  </w:num>
  <w:num w:numId="14">
    <w:abstractNumId w:val="17"/>
  </w:num>
  <w:num w:numId="15">
    <w:abstractNumId w:val="12"/>
  </w:num>
  <w:num w:numId="16">
    <w:abstractNumId w:val="5"/>
  </w:num>
  <w:num w:numId="17">
    <w:abstractNumId w:val="6"/>
  </w:num>
  <w:num w:numId="18">
    <w:abstractNumId w:val="21"/>
  </w:num>
  <w:num w:numId="19">
    <w:abstractNumId w:val="14"/>
  </w:num>
  <w:num w:numId="20">
    <w:abstractNumId w:val="11"/>
  </w:num>
  <w:num w:numId="21">
    <w:abstractNumId w:val="16"/>
  </w:num>
  <w:num w:numId="22">
    <w:abstractNumId w:val="2"/>
  </w:num>
  <w:num w:numId="23">
    <w:abstractNumId w:val="7"/>
  </w:num>
  <w:num w:numId="24">
    <w:abstractNumId w:val="19"/>
  </w:num>
  <w:num w:numId="25">
    <w:abstractNumId w:val="18"/>
  </w:num>
  <w:num w:numId="2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F2"/>
    <w:rsid w:val="00003D38"/>
    <w:rsid w:val="00006759"/>
    <w:rsid w:val="00012A58"/>
    <w:rsid w:val="000158A6"/>
    <w:rsid w:val="00017FC9"/>
    <w:rsid w:val="000217AE"/>
    <w:rsid w:val="00022C15"/>
    <w:rsid w:val="000343DA"/>
    <w:rsid w:val="00035830"/>
    <w:rsid w:val="00036CCC"/>
    <w:rsid w:val="00040CED"/>
    <w:rsid w:val="00041E94"/>
    <w:rsid w:val="00043A23"/>
    <w:rsid w:val="00054D8C"/>
    <w:rsid w:val="000616AF"/>
    <w:rsid w:val="00062442"/>
    <w:rsid w:val="0006281C"/>
    <w:rsid w:val="00062BFE"/>
    <w:rsid w:val="00063854"/>
    <w:rsid w:val="00063B1D"/>
    <w:rsid w:val="00065B01"/>
    <w:rsid w:val="000675B8"/>
    <w:rsid w:val="00081E91"/>
    <w:rsid w:val="00094909"/>
    <w:rsid w:val="000B25B3"/>
    <w:rsid w:val="000C4BB6"/>
    <w:rsid w:val="000C5BF6"/>
    <w:rsid w:val="000C6621"/>
    <w:rsid w:val="000D04C4"/>
    <w:rsid w:val="000D18CA"/>
    <w:rsid w:val="000D4FF0"/>
    <w:rsid w:val="000D5D56"/>
    <w:rsid w:val="000D628B"/>
    <w:rsid w:val="000E2599"/>
    <w:rsid w:val="000E27E6"/>
    <w:rsid w:val="000F0871"/>
    <w:rsid w:val="000F38FE"/>
    <w:rsid w:val="000F3F44"/>
    <w:rsid w:val="00105661"/>
    <w:rsid w:val="00106131"/>
    <w:rsid w:val="00111BF5"/>
    <w:rsid w:val="0011242D"/>
    <w:rsid w:val="001140B5"/>
    <w:rsid w:val="0011460D"/>
    <w:rsid w:val="00114F4E"/>
    <w:rsid w:val="00131AB1"/>
    <w:rsid w:val="001330A2"/>
    <w:rsid w:val="001368A3"/>
    <w:rsid w:val="001418B2"/>
    <w:rsid w:val="00144500"/>
    <w:rsid w:val="00144E0D"/>
    <w:rsid w:val="0014661E"/>
    <w:rsid w:val="00150C9F"/>
    <w:rsid w:val="001519DD"/>
    <w:rsid w:val="00163D3F"/>
    <w:rsid w:val="00163DCC"/>
    <w:rsid w:val="00164AB7"/>
    <w:rsid w:val="00172B79"/>
    <w:rsid w:val="00175C52"/>
    <w:rsid w:val="00177CB7"/>
    <w:rsid w:val="00183E79"/>
    <w:rsid w:val="00185AA8"/>
    <w:rsid w:val="00187869"/>
    <w:rsid w:val="001878FD"/>
    <w:rsid w:val="00191128"/>
    <w:rsid w:val="001930C3"/>
    <w:rsid w:val="00194133"/>
    <w:rsid w:val="0019444F"/>
    <w:rsid w:val="001959B3"/>
    <w:rsid w:val="001A6283"/>
    <w:rsid w:val="001B0829"/>
    <w:rsid w:val="001C088F"/>
    <w:rsid w:val="001C1299"/>
    <w:rsid w:val="001C1DC1"/>
    <w:rsid w:val="001C40E5"/>
    <w:rsid w:val="001D138B"/>
    <w:rsid w:val="001E4194"/>
    <w:rsid w:val="001E4757"/>
    <w:rsid w:val="001E5D8B"/>
    <w:rsid w:val="001E5D93"/>
    <w:rsid w:val="001F0B2F"/>
    <w:rsid w:val="001F0C1C"/>
    <w:rsid w:val="001F718E"/>
    <w:rsid w:val="0020378A"/>
    <w:rsid w:val="0020713A"/>
    <w:rsid w:val="00222683"/>
    <w:rsid w:val="002235FD"/>
    <w:rsid w:val="00224465"/>
    <w:rsid w:val="00227A18"/>
    <w:rsid w:val="002337CA"/>
    <w:rsid w:val="00237357"/>
    <w:rsid w:val="002406B8"/>
    <w:rsid w:val="00240B9A"/>
    <w:rsid w:val="0025441E"/>
    <w:rsid w:val="00257725"/>
    <w:rsid w:val="00265C0A"/>
    <w:rsid w:val="00274C67"/>
    <w:rsid w:val="00276586"/>
    <w:rsid w:val="00290032"/>
    <w:rsid w:val="00291932"/>
    <w:rsid w:val="00292AA4"/>
    <w:rsid w:val="00292AF7"/>
    <w:rsid w:val="002952FB"/>
    <w:rsid w:val="002A2962"/>
    <w:rsid w:val="002B2768"/>
    <w:rsid w:val="002B2788"/>
    <w:rsid w:val="002C03D6"/>
    <w:rsid w:val="002C273A"/>
    <w:rsid w:val="002C373A"/>
    <w:rsid w:val="002C625A"/>
    <w:rsid w:val="002D159D"/>
    <w:rsid w:val="002D1A8D"/>
    <w:rsid w:val="002D3AF5"/>
    <w:rsid w:val="002D3F9C"/>
    <w:rsid w:val="002D4965"/>
    <w:rsid w:val="002E1A43"/>
    <w:rsid w:val="002E79C5"/>
    <w:rsid w:val="002F3511"/>
    <w:rsid w:val="002F635E"/>
    <w:rsid w:val="002F7D7C"/>
    <w:rsid w:val="003004BB"/>
    <w:rsid w:val="003038E6"/>
    <w:rsid w:val="00305B98"/>
    <w:rsid w:val="0032314E"/>
    <w:rsid w:val="003239F9"/>
    <w:rsid w:val="003244FF"/>
    <w:rsid w:val="00325F9D"/>
    <w:rsid w:val="0032720A"/>
    <w:rsid w:val="00327CAE"/>
    <w:rsid w:val="00333EFB"/>
    <w:rsid w:val="0033487F"/>
    <w:rsid w:val="00334BB9"/>
    <w:rsid w:val="00336E4D"/>
    <w:rsid w:val="00340CAD"/>
    <w:rsid w:val="003417F7"/>
    <w:rsid w:val="003420E8"/>
    <w:rsid w:val="0034223E"/>
    <w:rsid w:val="003424D8"/>
    <w:rsid w:val="00360B23"/>
    <w:rsid w:val="003629C7"/>
    <w:rsid w:val="003753D2"/>
    <w:rsid w:val="003775E9"/>
    <w:rsid w:val="003775FA"/>
    <w:rsid w:val="00381679"/>
    <w:rsid w:val="003817FA"/>
    <w:rsid w:val="00385C17"/>
    <w:rsid w:val="00386341"/>
    <w:rsid w:val="00386DF2"/>
    <w:rsid w:val="003879CD"/>
    <w:rsid w:val="00390163"/>
    <w:rsid w:val="00390272"/>
    <w:rsid w:val="00394CB8"/>
    <w:rsid w:val="003964CB"/>
    <w:rsid w:val="00397204"/>
    <w:rsid w:val="003A1C53"/>
    <w:rsid w:val="003A58E9"/>
    <w:rsid w:val="003B062C"/>
    <w:rsid w:val="003B08D1"/>
    <w:rsid w:val="003B7840"/>
    <w:rsid w:val="003C5BA9"/>
    <w:rsid w:val="003D07E7"/>
    <w:rsid w:val="003D11CA"/>
    <w:rsid w:val="003D15C6"/>
    <w:rsid w:val="003D3BA5"/>
    <w:rsid w:val="003D5655"/>
    <w:rsid w:val="003D70BE"/>
    <w:rsid w:val="003E1229"/>
    <w:rsid w:val="003E2DA2"/>
    <w:rsid w:val="003E388F"/>
    <w:rsid w:val="003E7601"/>
    <w:rsid w:val="003E7905"/>
    <w:rsid w:val="003F19BE"/>
    <w:rsid w:val="003F1E73"/>
    <w:rsid w:val="003F3726"/>
    <w:rsid w:val="003F493C"/>
    <w:rsid w:val="003F7202"/>
    <w:rsid w:val="003F7506"/>
    <w:rsid w:val="003F7E30"/>
    <w:rsid w:val="0040106C"/>
    <w:rsid w:val="00401206"/>
    <w:rsid w:val="00402687"/>
    <w:rsid w:val="0040471D"/>
    <w:rsid w:val="004047F9"/>
    <w:rsid w:val="0041169B"/>
    <w:rsid w:val="004118D5"/>
    <w:rsid w:val="0041209C"/>
    <w:rsid w:val="00412E8B"/>
    <w:rsid w:val="004144B5"/>
    <w:rsid w:val="00414BA7"/>
    <w:rsid w:val="00422D77"/>
    <w:rsid w:val="00431146"/>
    <w:rsid w:val="00431603"/>
    <w:rsid w:val="0043276D"/>
    <w:rsid w:val="00434DA1"/>
    <w:rsid w:val="0043711A"/>
    <w:rsid w:val="00437B60"/>
    <w:rsid w:val="004417E5"/>
    <w:rsid w:val="004437FA"/>
    <w:rsid w:val="00450B4F"/>
    <w:rsid w:val="004518E9"/>
    <w:rsid w:val="00452BD9"/>
    <w:rsid w:val="00452E4A"/>
    <w:rsid w:val="00453501"/>
    <w:rsid w:val="00456BDA"/>
    <w:rsid w:val="004574AB"/>
    <w:rsid w:val="004579D6"/>
    <w:rsid w:val="004644B3"/>
    <w:rsid w:val="004650C6"/>
    <w:rsid w:val="004658F4"/>
    <w:rsid w:val="00466A61"/>
    <w:rsid w:val="00467D4F"/>
    <w:rsid w:val="004768BB"/>
    <w:rsid w:val="004775AE"/>
    <w:rsid w:val="004813AB"/>
    <w:rsid w:val="00481898"/>
    <w:rsid w:val="0048450B"/>
    <w:rsid w:val="00491D58"/>
    <w:rsid w:val="00491FAB"/>
    <w:rsid w:val="00494949"/>
    <w:rsid w:val="004972DB"/>
    <w:rsid w:val="00497BEC"/>
    <w:rsid w:val="004A19A1"/>
    <w:rsid w:val="004A497C"/>
    <w:rsid w:val="004A5883"/>
    <w:rsid w:val="004A73E5"/>
    <w:rsid w:val="004A7EDA"/>
    <w:rsid w:val="004B5F0F"/>
    <w:rsid w:val="004C23D5"/>
    <w:rsid w:val="004C2CB7"/>
    <w:rsid w:val="004D00FF"/>
    <w:rsid w:val="004E22F8"/>
    <w:rsid w:val="004E51FE"/>
    <w:rsid w:val="004E52A6"/>
    <w:rsid w:val="004F042C"/>
    <w:rsid w:val="004F1577"/>
    <w:rsid w:val="004F6454"/>
    <w:rsid w:val="005028FD"/>
    <w:rsid w:val="0050362C"/>
    <w:rsid w:val="00503BC2"/>
    <w:rsid w:val="00503D23"/>
    <w:rsid w:val="0051054A"/>
    <w:rsid w:val="00513CA0"/>
    <w:rsid w:val="00523C70"/>
    <w:rsid w:val="00523D2A"/>
    <w:rsid w:val="005241F2"/>
    <w:rsid w:val="00532D40"/>
    <w:rsid w:val="00534816"/>
    <w:rsid w:val="00534FE7"/>
    <w:rsid w:val="005370AB"/>
    <w:rsid w:val="005379B8"/>
    <w:rsid w:val="0054004B"/>
    <w:rsid w:val="00544D96"/>
    <w:rsid w:val="00544FF9"/>
    <w:rsid w:val="00546814"/>
    <w:rsid w:val="00547F10"/>
    <w:rsid w:val="00551AA2"/>
    <w:rsid w:val="00553B27"/>
    <w:rsid w:val="00555A87"/>
    <w:rsid w:val="00560138"/>
    <w:rsid w:val="00560E23"/>
    <w:rsid w:val="0056250B"/>
    <w:rsid w:val="00563EE1"/>
    <w:rsid w:val="00566F55"/>
    <w:rsid w:val="00571310"/>
    <w:rsid w:val="005722D5"/>
    <w:rsid w:val="00573849"/>
    <w:rsid w:val="005754CF"/>
    <w:rsid w:val="005801D6"/>
    <w:rsid w:val="005805F7"/>
    <w:rsid w:val="00580D88"/>
    <w:rsid w:val="00582C0A"/>
    <w:rsid w:val="00583EE0"/>
    <w:rsid w:val="00587CF7"/>
    <w:rsid w:val="0059020A"/>
    <w:rsid w:val="0059207F"/>
    <w:rsid w:val="005926B5"/>
    <w:rsid w:val="00593C3D"/>
    <w:rsid w:val="0059582A"/>
    <w:rsid w:val="00595D20"/>
    <w:rsid w:val="005A0052"/>
    <w:rsid w:val="005B72BE"/>
    <w:rsid w:val="005C2313"/>
    <w:rsid w:val="005C52B9"/>
    <w:rsid w:val="005C548F"/>
    <w:rsid w:val="005C61A6"/>
    <w:rsid w:val="005C7EEC"/>
    <w:rsid w:val="005D060B"/>
    <w:rsid w:val="005D0DE5"/>
    <w:rsid w:val="005D1211"/>
    <w:rsid w:val="005D194B"/>
    <w:rsid w:val="005D4934"/>
    <w:rsid w:val="005D500B"/>
    <w:rsid w:val="005D555C"/>
    <w:rsid w:val="005E3632"/>
    <w:rsid w:val="005E6213"/>
    <w:rsid w:val="005E7D41"/>
    <w:rsid w:val="005F0DBA"/>
    <w:rsid w:val="005F6393"/>
    <w:rsid w:val="00604657"/>
    <w:rsid w:val="00604A95"/>
    <w:rsid w:val="006063D8"/>
    <w:rsid w:val="00607EA2"/>
    <w:rsid w:val="00614155"/>
    <w:rsid w:val="00615CBE"/>
    <w:rsid w:val="00617C9B"/>
    <w:rsid w:val="00617F21"/>
    <w:rsid w:val="0062211A"/>
    <w:rsid w:val="00625338"/>
    <w:rsid w:val="006268C7"/>
    <w:rsid w:val="006272B6"/>
    <w:rsid w:val="00631EDA"/>
    <w:rsid w:val="00634CCB"/>
    <w:rsid w:val="00643084"/>
    <w:rsid w:val="006443C6"/>
    <w:rsid w:val="00645569"/>
    <w:rsid w:val="0064623B"/>
    <w:rsid w:val="00650E51"/>
    <w:rsid w:val="006520B0"/>
    <w:rsid w:val="0065657E"/>
    <w:rsid w:val="00657AEC"/>
    <w:rsid w:val="0066391E"/>
    <w:rsid w:val="00667C74"/>
    <w:rsid w:val="00671A1B"/>
    <w:rsid w:val="006850C5"/>
    <w:rsid w:val="0068726B"/>
    <w:rsid w:val="00687AB9"/>
    <w:rsid w:val="006916D8"/>
    <w:rsid w:val="006924DA"/>
    <w:rsid w:val="00693FE6"/>
    <w:rsid w:val="006975F6"/>
    <w:rsid w:val="006A36CE"/>
    <w:rsid w:val="006B094F"/>
    <w:rsid w:val="006B0A50"/>
    <w:rsid w:val="006B17CA"/>
    <w:rsid w:val="006C16D5"/>
    <w:rsid w:val="006C2EE2"/>
    <w:rsid w:val="006C4755"/>
    <w:rsid w:val="006D12C2"/>
    <w:rsid w:val="006D3527"/>
    <w:rsid w:val="006D50F6"/>
    <w:rsid w:val="006D7A46"/>
    <w:rsid w:val="006E251F"/>
    <w:rsid w:val="006E27A6"/>
    <w:rsid w:val="006E3D7C"/>
    <w:rsid w:val="006F3B5E"/>
    <w:rsid w:val="006F567C"/>
    <w:rsid w:val="007036C7"/>
    <w:rsid w:val="00706F87"/>
    <w:rsid w:val="00710620"/>
    <w:rsid w:val="00710D27"/>
    <w:rsid w:val="0071167D"/>
    <w:rsid w:val="007125F1"/>
    <w:rsid w:val="007135B9"/>
    <w:rsid w:val="00714F30"/>
    <w:rsid w:val="0071679B"/>
    <w:rsid w:val="00723865"/>
    <w:rsid w:val="00724F66"/>
    <w:rsid w:val="007346EE"/>
    <w:rsid w:val="00736A7F"/>
    <w:rsid w:val="0074792F"/>
    <w:rsid w:val="00752186"/>
    <w:rsid w:val="00755106"/>
    <w:rsid w:val="00755462"/>
    <w:rsid w:val="00760F55"/>
    <w:rsid w:val="00767239"/>
    <w:rsid w:val="0076767B"/>
    <w:rsid w:val="007723CD"/>
    <w:rsid w:val="00773ED1"/>
    <w:rsid w:val="007742C9"/>
    <w:rsid w:val="00774A70"/>
    <w:rsid w:val="007771C7"/>
    <w:rsid w:val="00777453"/>
    <w:rsid w:val="00781B49"/>
    <w:rsid w:val="007929AE"/>
    <w:rsid w:val="007939AC"/>
    <w:rsid w:val="00793CED"/>
    <w:rsid w:val="007A01BB"/>
    <w:rsid w:val="007A216D"/>
    <w:rsid w:val="007A24A2"/>
    <w:rsid w:val="007A3117"/>
    <w:rsid w:val="007A4B88"/>
    <w:rsid w:val="007B0AC7"/>
    <w:rsid w:val="007B346B"/>
    <w:rsid w:val="007B407F"/>
    <w:rsid w:val="007B5FE1"/>
    <w:rsid w:val="007C35D0"/>
    <w:rsid w:val="007C7FC8"/>
    <w:rsid w:val="007D66B2"/>
    <w:rsid w:val="007D78E9"/>
    <w:rsid w:val="007F0A11"/>
    <w:rsid w:val="007F0C19"/>
    <w:rsid w:val="007F1E79"/>
    <w:rsid w:val="007F2EFC"/>
    <w:rsid w:val="007F44CE"/>
    <w:rsid w:val="007F78F5"/>
    <w:rsid w:val="00801188"/>
    <w:rsid w:val="00805EC4"/>
    <w:rsid w:val="00806E58"/>
    <w:rsid w:val="00807248"/>
    <w:rsid w:val="00807D43"/>
    <w:rsid w:val="00812DA3"/>
    <w:rsid w:val="00813AC1"/>
    <w:rsid w:val="00817F50"/>
    <w:rsid w:val="00823DC4"/>
    <w:rsid w:val="00825201"/>
    <w:rsid w:val="00827941"/>
    <w:rsid w:val="008306B6"/>
    <w:rsid w:val="008326F8"/>
    <w:rsid w:val="00834C52"/>
    <w:rsid w:val="00842C9E"/>
    <w:rsid w:val="00842D30"/>
    <w:rsid w:val="00844129"/>
    <w:rsid w:val="00844193"/>
    <w:rsid w:val="008441E0"/>
    <w:rsid w:val="00844835"/>
    <w:rsid w:val="00851AE3"/>
    <w:rsid w:val="0085409B"/>
    <w:rsid w:val="00862A90"/>
    <w:rsid w:val="00866AAB"/>
    <w:rsid w:val="00871FED"/>
    <w:rsid w:val="0087398E"/>
    <w:rsid w:val="00875B91"/>
    <w:rsid w:val="00884070"/>
    <w:rsid w:val="008903E0"/>
    <w:rsid w:val="0089076C"/>
    <w:rsid w:val="00890D06"/>
    <w:rsid w:val="008971D3"/>
    <w:rsid w:val="00897832"/>
    <w:rsid w:val="008A00D9"/>
    <w:rsid w:val="008A1A03"/>
    <w:rsid w:val="008B0629"/>
    <w:rsid w:val="008B1F1E"/>
    <w:rsid w:val="008B25F1"/>
    <w:rsid w:val="008B27E9"/>
    <w:rsid w:val="008B2DCE"/>
    <w:rsid w:val="008B5372"/>
    <w:rsid w:val="008B62B2"/>
    <w:rsid w:val="008B7734"/>
    <w:rsid w:val="008C2224"/>
    <w:rsid w:val="008C3CCC"/>
    <w:rsid w:val="008C6DF3"/>
    <w:rsid w:val="008D16FC"/>
    <w:rsid w:val="008D72E1"/>
    <w:rsid w:val="008D7DFF"/>
    <w:rsid w:val="008E2112"/>
    <w:rsid w:val="008E3C88"/>
    <w:rsid w:val="008E677A"/>
    <w:rsid w:val="008F22F9"/>
    <w:rsid w:val="008F4C7E"/>
    <w:rsid w:val="00900E82"/>
    <w:rsid w:val="0090268D"/>
    <w:rsid w:val="00903AAC"/>
    <w:rsid w:val="0090477F"/>
    <w:rsid w:val="009048EE"/>
    <w:rsid w:val="009074FA"/>
    <w:rsid w:val="00917460"/>
    <w:rsid w:val="00920141"/>
    <w:rsid w:val="00925D72"/>
    <w:rsid w:val="009274FB"/>
    <w:rsid w:val="00936855"/>
    <w:rsid w:val="0094334A"/>
    <w:rsid w:val="00944F8C"/>
    <w:rsid w:val="009477C7"/>
    <w:rsid w:val="0095070A"/>
    <w:rsid w:val="009608ED"/>
    <w:rsid w:val="009617A4"/>
    <w:rsid w:val="00965A07"/>
    <w:rsid w:val="009751D5"/>
    <w:rsid w:val="00980974"/>
    <w:rsid w:val="0098265D"/>
    <w:rsid w:val="00983505"/>
    <w:rsid w:val="009839C7"/>
    <w:rsid w:val="009846F5"/>
    <w:rsid w:val="009860AD"/>
    <w:rsid w:val="0098753A"/>
    <w:rsid w:val="00991CAE"/>
    <w:rsid w:val="009956F8"/>
    <w:rsid w:val="00996961"/>
    <w:rsid w:val="009A13DD"/>
    <w:rsid w:val="009A31BD"/>
    <w:rsid w:val="009B2A08"/>
    <w:rsid w:val="009B33FF"/>
    <w:rsid w:val="009C010D"/>
    <w:rsid w:val="009C58DD"/>
    <w:rsid w:val="009D16A5"/>
    <w:rsid w:val="009D540E"/>
    <w:rsid w:val="009E1F77"/>
    <w:rsid w:val="009E341F"/>
    <w:rsid w:val="009E3DA6"/>
    <w:rsid w:val="009E5895"/>
    <w:rsid w:val="009E7193"/>
    <w:rsid w:val="009F02DC"/>
    <w:rsid w:val="009F0C2E"/>
    <w:rsid w:val="009F0E18"/>
    <w:rsid w:val="009F1E57"/>
    <w:rsid w:val="009F4863"/>
    <w:rsid w:val="009F4C4A"/>
    <w:rsid w:val="009F4FFA"/>
    <w:rsid w:val="009F50B1"/>
    <w:rsid w:val="00A06AF0"/>
    <w:rsid w:val="00A10AD9"/>
    <w:rsid w:val="00A11F11"/>
    <w:rsid w:val="00A15F0D"/>
    <w:rsid w:val="00A16514"/>
    <w:rsid w:val="00A16D4B"/>
    <w:rsid w:val="00A173EF"/>
    <w:rsid w:val="00A251A7"/>
    <w:rsid w:val="00A25D98"/>
    <w:rsid w:val="00A2694A"/>
    <w:rsid w:val="00A3181D"/>
    <w:rsid w:val="00A32D8F"/>
    <w:rsid w:val="00A331E5"/>
    <w:rsid w:val="00A33835"/>
    <w:rsid w:val="00A33C02"/>
    <w:rsid w:val="00A37107"/>
    <w:rsid w:val="00A57BA2"/>
    <w:rsid w:val="00A6107B"/>
    <w:rsid w:val="00A6343F"/>
    <w:rsid w:val="00A64104"/>
    <w:rsid w:val="00A6496B"/>
    <w:rsid w:val="00A70E9E"/>
    <w:rsid w:val="00A71FDF"/>
    <w:rsid w:val="00A73700"/>
    <w:rsid w:val="00A803C3"/>
    <w:rsid w:val="00A825C0"/>
    <w:rsid w:val="00A96FCF"/>
    <w:rsid w:val="00A97F9E"/>
    <w:rsid w:val="00AA4926"/>
    <w:rsid w:val="00AB1201"/>
    <w:rsid w:val="00AB50D5"/>
    <w:rsid w:val="00AB56E2"/>
    <w:rsid w:val="00AB66DA"/>
    <w:rsid w:val="00AC3CB4"/>
    <w:rsid w:val="00AC4968"/>
    <w:rsid w:val="00AC7C51"/>
    <w:rsid w:val="00AC7E70"/>
    <w:rsid w:val="00AD068A"/>
    <w:rsid w:val="00AD07F4"/>
    <w:rsid w:val="00AD14C9"/>
    <w:rsid w:val="00AD294D"/>
    <w:rsid w:val="00AD42E7"/>
    <w:rsid w:val="00AD7CDC"/>
    <w:rsid w:val="00AE140A"/>
    <w:rsid w:val="00AE3304"/>
    <w:rsid w:val="00AE3701"/>
    <w:rsid w:val="00AE7231"/>
    <w:rsid w:val="00AE792A"/>
    <w:rsid w:val="00AE7B76"/>
    <w:rsid w:val="00AF13F8"/>
    <w:rsid w:val="00AF1B30"/>
    <w:rsid w:val="00AF3583"/>
    <w:rsid w:val="00B0060E"/>
    <w:rsid w:val="00B03C1C"/>
    <w:rsid w:val="00B040FA"/>
    <w:rsid w:val="00B04D63"/>
    <w:rsid w:val="00B075A0"/>
    <w:rsid w:val="00B10960"/>
    <w:rsid w:val="00B140CD"/>
    <w:rsid w:val="00B142FC"/>
    <w:rsid w:val="00B20F07"/>
    <w:rsid w:val="00B41823"/>
    <w:rsid w:val="00B42204"/>
    <w:rsid w:val="00B4314A"/>
    <w:rsid w:val="00B446AB"/>
    <w:rsid w:val="00B46864"/>
    <w:rsid w:val="00B46A90"/>
    <w:rsid w:val="00B514E7"/>
    <w:rsid w:val="00B51EE3"/>
    <w:rsid w:val="00B523CE"/>
    <w:rsid w:val="00B536C1"/>
    <w:rsid w:val="00B56259"/>
    <w:rsid w:val="00B56FE8"/>
    <w:rsid w:val="00B614CF"/>
    <w:rsid w:val="00B628E6"/>
    <w:rsid w:val="00B701A8"/>
    <w:rsid w:val="00B74CA1"/>
    <w:rsid w:val="00B81EB6"/>
    <w:rsid w:val="00B82CDD"/>
    <w:rsid w:val="00B85CF1"/>
    <w:rsid w:val="00B86C81"/>
    <w:rsid w:val="00B908FC"/>
    <w:rsid w:val="00B91B92"/>
    <w:rsid w:val="00B9294E"/>
    <w:rsid w:val="00B963A9"/>
    <w:rsid w:val="00BA0E18"/>
    <w:rsid w:val="00BA16BD"/>
    <w:rsid w:val="00BA18B4"/>
    <w:rsid w:val="00BA1EEF"/>
    <w:rsid w:val="00BA1FEA"/>
    <w:rsid w:val="00BA285C"/>
    <w:rsid w:val="00BA3790"/>
    <w:rsid w:val="00BB0B0A"/>
    <w:rsid w:val="00BB7424"/>
    <w:rsid w:val="00BC20EB"/>
    <w:rsid w:val="00BC23BF"/>
    <w:rsid w:val="00BD0912"/>
    <w:rsid w:val="00BD5035"/>
    <w:rsid w:val="00BD57EC"/>
    <w:rsid w:val="00BD5814"/>
    <w:rsid w:val="00BD6ED7"/>
    <w:rsid w:val="00BE206A"/>
    <w:rsid w:val="00BE5810"/>
    <w:rsid w:val="00BE6133"/>
    <w:rsid w:val="00BE7970"/>
    <w:rsid w:val="00BF01C2"/>
    <w:rsid w:val="00BF1764"/>
    <w:rsid w:val="00BF4222"/>
    <w:rsid w:val="00BF4E8A"/>
    <w:rsid w:val="00BF545E"/>
    <w:rsid w:val="00BF6E38"/>
    <w:rsid w:val="00C01569"/>
    <w:rsid w:val="00C025DE"/>
    <w:rsid w:val="00C0435F"/>
    <w:rsid w:val="00C1258C"/>
    <w:rsid w:val="00C1274E"/>
    <w:rsid w:val="00C1287C"/>
    <w:rsid w:val="00C12C1A"/>
    <w:rsid w:val="00C16D15"/>
    <w:rsid w:val="00C21D5E"/>
    <w:rsid w:val="00C24B95"/>
    <w:rsid w:val="00C269F0"/>
    <w:rsid w:val="00C276FF"/>
    <w:rsid w:val="00C3180B"/>
    <w:rsid w:val="00C34DC5"/>
    <w:rsid w:val="00C3654A"/>
    <w:rsid w:val="00C36958"/>
    <w:rsid w:val="00C36973"/>
    <w:rsid w:val="00C40F75"/>
    <w:rsid w:val="00C4602C"/>
    <w:rsid w:val="00C46E38"/>
    <w:rsid w:val="00C5067F"/>
    <w:rsid w:val="00C5445D"/>
    <w:rsid w:val="00C6253B"/>
    <w:rsid w:val="00C63C9F"/>
    <w:rsid w:val="00C64D8C"/>
    <w:rsid w:val="00C70989"/>
    <w:rsid w:val="00C70ADF"/>
    <w:rsid w:val="00C721F6"/>
    <w:rsid w:val="00C76480"/>
    <w:rsid w:val="00C77E5A"/>
    <w:rsid w:val="00C81C4F"/>
    <w:rsid w:val="00CA1ADC"/>
    <w:rsid w:val="00CB224A"/>
    <w:rsid w:val="00CB48AD"/>
    <w:rsid w:val="00CB54D9"/>
    <w:rsid w:val="00CC0E05"/>
    <w:rsid w:val="00CC3606"/>
    <w:rsid w:val="00CC3866"/>
    <w:rsid w:val="00CC43C7"/>
    <w:rsid w:val="00CC48CB"/>
    <w:rsid w:val="00CC713C"/>
    <w:rsid w:val="00CD0686"/>
    <w:rsid w:val="00CD13CF"/>
    <w:rsid w:val="00CD1F96"/>
    <w:rsid w:val="00CD40A5"/>
    <w:rsid w:val="00CD4E89"/>
    <w:rsid w:val="00CE0A56"/>
    <w:rsid w:val="00CE2602"/>
    <w:rsid w:val="00CE5B01"/>
    <w:rsid w:val="00CE6210"/>
    <w:rsid w:val="00CE6AAE"/>
    <w:rsid w:val="00CF23C0"/>
    <w:rsid w:val="00CF375F"/>
    <w:rsid w:val="00CF6289"/>
    <w:rsid w:val="00D008CA"/>
    <w:rsid w:val="00D10E12"/>
    <w:rsid w:val="00D11358"/>
    <w:rsid w:val="00D11DF9"/>
    <w:rsid w:val="00D131F7"/>
    <w:rsid w:val="00D14BA8"/>
    <w:rsid w:val="00D20147"/>
    <w:rsid w:val="00D272E1"/>
    <w:rsid w:val="00D30F08"/>
    <w:rsid w:val="00D322E2"/>
    <w:rsid w:val="00D33A3F"/>
    <w:rsid w:val="00D37157"/>
    <w:rsid w:val="00D40455"/>
    <w:rsid w:val="00D40D33"/>
    <w:rsid w:val="00D435E1"/>
    <w:rsid w:val="00D442CC"/>
    <w:rsid w:val="00D44E1B"/>
    <w:rsid w:val="00D50183"/>
    <w:rsid w:val="00D51B59"/>
    <w:rsid w:val="00D531B6"/>
    <w:rsid w:val="00D55E3E"/>
    <w:rsid w:val="00D56F1B"/>
    <w:rsid w:val="00D61B8E"/>
    <w:rsid w:val="00D629DD"/>
    <w:rsid w:val="00D64479"/>
    <w:rsid w:val="00D704B2"/>
    <w:rsid w:val="00D81C6C"/>
    <w:rsid w:val="00D81EFC"/>
    <w:rsid w:val="00D84058"/>
    <w:rsid w:val="00D8676C"/>
    <w:rsid w:val="00D95715"/>
    <w:rsid w:val="00D97922"/>
    <w:rsid w:val="00DA0874"/>
    <w:rsid w:val="00DA18A8"/>
    <w:rsid w:val="00DA1CC1"/>
    <w:rsid w:val="00DA2514"/>
    <w:rsid w:val="00DA3A71"/>
    <w:rsid w:val="00DA3CC2"/>
    <w:rsid w:val="00DB5F84"/>
    <w:rsid w:val="00DB6FD6"/>
    <w:rsid w:val="00DC63D8"/>
    <w:rsid w:val="00DD0D9E"/>
    <w:rsid w:val="00DD6537"/>
    <w:rsid w:val="00DE1146"/>
    <w:rsid w:val="00DE3B98"/>
    <w:rsid w:val="00DE4F5B"/>
    <w:rsid w:val="00DE7B17"/>
    <w:rsid w:val="00DF1C05"/>
    <w:rsid w:val="00DF4173"/>
    <w:rsid w:val="00DF4A19"/>
    <w:rsid w:val="00DF706D"/>
    <w:rsid w:val="00DF7B8C"/>
    <w:rsid w:val="00E047CE"/>
    <w:rsid w:val="00E048D5"/>
    <w:rsid w:val="00E04ADF"/>
    <w:rsid w:val="00E075E9"/>
    <w:rsid w:val="00E076CE"/>
    <w:rsid w:val="00E13F5B"/>
    <w:rsid w:val="00E15A92"/>
    <w:rsid w:val="00E20A7F"/>
    <w:rsid w:val="00E22939"/>
    <w:rsid w:val="00E2591F"/>
    <w:rsid w:val="00E25C17"/>
    <w:rsid w:val="00E35B93"/>
    <w:rsid w:val="00E36C31"/>
    <w:rsid w:val="00E37C8C"/>
    <w:rsid w:val="00E40AB9"/>
    <w:rsid w:val="00E41964"/>
    <w:rsid w:val="00E44B4C"/>
    <w:rsid w:val="00E472A0"/>
    <w:rsid w:val="00E52C53"/>
    <w:rsid w:val="00E53810"/>
    <w:rsid w:val="00E54BB7"/>
    <w:rsid w:val="00E619C1"/>
    <w:rsid w:val="00E63343"/>
    <w:rsid w:val="00E639CB"/>
    <w:rsid w:val="00E667F2"/>
    <w:rsid w:val="00E73429"/>
    <w:rsid w:val="00E7356A"/>
    <w:rsid w:val="00E73C9F"/>
    <w:rsid w:val="00E80D57"/>
    <w:rsid w:val="00E826ED"/>
    <w:rsid w:val="00E926E3"/>
    <w:rsid w:val="00E94E61"/>
    <w:rsid w:val="00E950C4"/>
    <w:rsid w:val="00E9524B"/>
    <w:rsid w:val="00EA0E20"/>
    <w:rsid w:val="00EA181E"/>
    <w:rsid w:val="00EA2AEA"/>
    <w:rsid w:val="00EA3FFE"/>
    <w:rsid w:val="00EB2DB0"/>
    <w:rsid w:val="00EB4C57"/>
    <w:rsid w:val="00EC3B63"/>
    <w:rsid w:val="00EC42F2"/>
    <w:rsid w:val="00EC55A7"/>
    <w:rsid w:val="00ED149B"/>
    <w:rsid w:val="00EE51EF"/>
    <w:rsid w:val="00EE6CCB"/>
    <w:rsid w:val="00EF126C"/>
    <w:rsid w:val="00EF2E43"/>
    <w:rsid w:val="00EF4C88"/>
    <w:rsid w:val="00EF4CF9"/>
    <w:rsid w:val="00EF5EF4"/>
    <w:rsid w:val="00EF7D32"/>
    <w:rsid w:val="00F01AB4"/>
    <w:rsid w:val="00F02359"/>
    <w:rsid w:val="00F027AC"/>
    <w:rsid w:val="00F030E5"/>
    <w:rsid w:val="00F03503"/>
    <w:rsid w:val="00F1087F"/>
    <w:rsid w:val="00F12397"/>
    <w:rsid w:val="00F130CD"/>
    <w:rsid w:val="00F16E71"/>
    <w:rsid w:val="00F17B11"/>
    <w:rsid w:val="00F206D6"/>
    <w:rsid w:val="00F21C2A"/>
    <w:rsid w:val="00F2425E"/>
    <w:rsid w:val="00F259A7"/>
    <w:rsid w:val="00F26CF0"/>
    <w:rsid w:val="00F30BF1"/>
    <w:rsid w:val="00F30CB9"/>
    <w:rsid w:val="00F3239F"/>
    <w:rsid w:val="00F327DE"/>
    <w:rsid w:val="00F34974"/>
    <w:rsid w:val="00F35EFE"/>
    <w:rsid w:val="00F36B5F"/>
    <w:rsid w:val="00F371AF"/>
    <w:rsid w:val="00F40063"/>
    <w:rsid w:val="00F436AE"/>
    <w:rsid w:val="00F45709"/>
    <w:rsid w:val="00F45A1A"/>
    <w:rsid w:val="00F644C5"/>
    <w:rsid w:val="00F73148"/>
    <w:rsid w:val="00F732E8"/>
    <w:rsid w:val="00F74F6D"/>
    <w:rsid w:val="00F83B8E"/>
    <w:rsid w:val="00F8454E"/>
    <w:rsid w:val="00F905D5"/>
    <w:rsid w:val="00FA0019"/>
    <w:rsid w:val="00FA66B8"/>
    <w:rsid w:val="00FA787A"/>
    <w:rsid w:val="00FB0366"/>
    <w:rsid w:val="00FB5236"/>
    <w:rsid w:val="00FC083D"/>
    <w:rsid w:val="00FC1E0F"/>
    <w:rsid w:val="00FC3AF7"/>
    <w:rsid w:val="00FC46FE"/>
    <w:rsid w:val="00FC7857"/>
    <w:rsid w:val="00FC7A29"/>
    <w:rsid w:val="00FD0A78"/>
    <w:rsid w:val="00FD1925"/>
    <w:rsid w:val="00FD23E3"/>
    <w:rsid w:val="00FD2CF4"/>
    <w:rsid w:val="00FD343C"/>
    <w:rsid w:val="00FD393F"/>
    <w:rsid w:val="00FD3A96"/>
    <w:rsid w:val="00FD7307"/>
    <w:rsid w:val="00FD7CCD"/>
    <w:rsid w:val="00FE0F02"/>
    <w:rsid w:val="00FE3174"/>
    <w:rsid w:val="00FF4D4C"/>
    <w:rsid w:val="00FF5990"/>
    <w:rsid w:val="00FF6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F90BC"/>
  <w15:docId w15:val="{D3D387FD-E65C-456E-8DB7-4D257696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0E5"/>
  </w:style>
  <w:style w:type="paragraph" w:styleId="Heading1">
    <w:name w:val="heading 1"/>
    <w:basedOn w:val="Normal"/>
    <w:next w:val="Normal"/>
    <w:link w:val="Heading1Char"/>
    <w:uiPriority w:val="9"/>
    <w:qFormat/>
    <w:rsid w:val="003F1E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1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03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3F1E73"/>
    <w:pPr>
      <w:ind w:left="720"/>
      <w:contextualSpacing/>
    </w:pPr>
  </w:style>
  <w:style w:type="character" w:styleId="Hyperlink">
    <w:name w:val="Hyperlink"/>
    <w:basedOn w:val="DefaultParagraphFont"/>
    <w:uiPriority w:val="99"/>
    <w:unhideWhenUsed/>
    <w:rsid w:val="003F1E73"/>
    <w:rPr>
      <w:color w:val="0563C1" w:themeColor="hyperlink"/>
      <w:u w:val="single"/>
    </w:rPr>
  </w:style>
  <w:style w:type="character" w:customStyle="1" w:styleId="Heading1Char">
    <w:name w:val="Heading 1 Char"/>
    <w:basedOn w:val="DefaultParagraphFont"/>
    <w:link w:val="Heading1"/>
    <w:uiPriority w:val="9"/>
    <w:rsid w:val="003F1E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1E73"/>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3F1E73"/>
  </w:style>
  <w:style w:type="table" w:styleId="TableGrid">
    <w:name w:val="Table Grid"/>
    <w:basedOn w:val="TableNormal"/>
    <w:uiPriority w:val="59"/>
    <w:rsid w:val="00736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803C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71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FED"/>
  </w:style>
  <w:style w:type="paragraph" w:styleId="Footer">
    <w:name w:val="footer"/>
    <w:basedOn w:val="Normal"/>
    <w:link w:val="FooterChar"/>
    <w:uiPriority w:val="99"/>
    <w:unhideWhenUsed/>
    <w:rsid w:val="00871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FED"/>
  </w:style>
  <w:style w:type="paragraph" w:styleId="Title">
    <w:name w:val="Title"/>
    <w:basedOn w:val="Normal"/>
    <w:next w:val="Normal"/>
    <w:link w:val="TitleChar"/>
    <w:uiPriority w:val="10"/>
    <w:qFormat/>
    <w:rsid w:val="00871FED"/>
    <w:pPr>
      <w:spacing w:after="300" w:line="240" w:lineRule="auto"/>
      <w:contextualSpacing/>
    </w:pPr>
    <w:rPr>
      <w:rFonts w:ascii="Century Gothic" w:eastAsiaTheme="majorEastAsia" w:hAnsi="Century Gothic" w:cstheme="majorBidi"/>
      <w:b/>
      <w:color w:val="5B57A4"/>
      <w:spacing w:val="5"/>
      <w:kern w:val="28"/>
      <w:sz w:val="40"/>
      <w:szCs w:val="52"/>
    </w:rPr>
  </w:style>
  <w:style w:type="character" w:customStyle="1" w:styleId="TitleChar">
    <w:name w:val="Title Char"/>
    <w:basedOn w:val="DefaultParagraphFont"/>
    <w:link w:val="Title"/>
    <w:uiPriority w:val="10"/>
    <w:rsid w:val="00871FED"/>
    <w:rPr>
      <w:rFonts w:ascii="Century Gothic" w:eastAsiaTheme="majorEastAsia" w:hAnsi="Century Gothic" w:cstheme="majorBidi"/>
      <w:b/>
      <w:color w:val="5B57A4"/>
      <w:spacing w:val="5"/>
      <w:kern w:val="28"/>
      <w:sz w:val="40"/>
      <w:szCs w:val="52"/>
    </w:rPr>
  </w:style>
  <w:style w:type="character" w:styleId="CommentReference">
    <w:name w:val="annotation reference"/>
    <w:basedOn w:val="DefaultParagraphFont"/>
    <w:uiPriority w:val="99"/>
    <w:semiHidden/>
    <w:unhideWhenUsed/>
    <w:rsid w:val="0095070A"/>
    <w:rPr>
      <w:sz w:val="16"/>
      <w:szCs w:val="16"/>
    </w:rPr>
  </w:style>
  <w:style w:type="paragraph" w:styleId="CommentText">
    <w:name w:val="annotation text"/>
    <w:basedOn w:val="Normal"/>
    <w:link w:val="CommentTextChar"/>
    <w:uiPriority w:val="99"/>
    <w:semiHidden/>
    <w:unhideWhenUsed/>
    <w:rsid w:val="0095070A"/>
    <w:pPr>
      <w:spacing w:line="240" w:lineRule="auto"/>
    </w:pPr>
    <w:rPr>
      <w:sz w:val="20"/>
      <w:szCs w:val="20"/>
    </w:rPr>
  </w:style>
  <w:style w:type="character" w:customStyle="1" w:styleId="CommentTextChar">
    <w:name w:val="Comment Text Char"/>
    <w:basedOn w:val="DefaultParagraphFont"/>
    <w:link w:val="CommentText"/>
    <w:uiPriority w:val="99"/>
    <w:semiHidden/>
    <w:rsid w:val="0095070A"/>
    <w:rPr>
      <w:sz w:val="20"/>
      <w:szCs w:val="20"/>
    </w:rPr>
  </w:style>
  <w:style w:type="paragraph" w:styleId="CommentSubject">
    <w:name w:val="annotation subject"/>
    <w:basedOn w:val="CommentText"/>
    <w:next w:val="CommentText"/>
    <w:link w:val="CommentSubjectChar"/>
    <w:uiPriority w:val="99"/>
    <w:semiHidden/>
    <w:unhideWhenUsed/>
    <w:rsid w:val="0095070A"/>
    <w:rPr>
      <w:b/>
      <w:bCs/>
    </w:rPr>
  </w:style>
  <w:style w:type="character" w:customStyle="1" w:styleId="CommentSubjectChar">
    <w:name w:val="Comment Subject Char"/>
    <w:basedOn w:val="CommentTextChar"/>
    <w:link w:val="CommentSubject"/>
    <w:uiPriority w:val="99"/>
    <w:semiHidden/>
    <w:rsid w:val="0095070A"/>
    <w:rPr>
      <w:b/>
      <w:bCs/>
      <w:sz w:val="20"/>
      <w:szCs w:val="20"/>
    </w:rPr>
  </w:style>
  <w:style w:type="paragraph" w:styleId="BalloonText">
    <w:name w:val="Balloon Text"/>
    <w:basedOn w:val="Normal"/>
    <w:link w:val="BalloonTextChar"/>
    <w:uiPriority w:val="99"/>
    <w:semiHidden/>
    <w:unhideWhenUsed/>
    <w:rsid w:val="00950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0A"/>
    <w:rPr>
      <w:rFonts w:ascii="Segoe UI" w:hAnsi="Segoe UI" w:cs="Segoe UI"/>
      <w:sz w:val="18"/>
      <w:szCs w:val="18"/>
    </w:rPr>
  </w:style>
  <w:style w:type="character" w:styleId="BookTitle">
    <w:name w:val="Book Title"/>
    <w:uiPriority w:val="33"/>
    <w:qFormat/>
    <w:rsid w:val="003B062C"/>
    <w:rPr>
      <w:i/>
      <w:iCs/>
      <w:smallCaps/>
      <w:spacing w:val="5"/>
    </w:rPr>
  </w:style>
  <w:style w:type="paragraph" w:styleId="TOCHeading">
    <w:name w:val="TOC Heading"/>
    <w:basedOn w:val="Heading1"/>
    <w:next w:val="Normal"/>
    <w:uiPriority w:val="39"/>
    <w:unhideWhenUsed/>
    <w:qFormat/>
    <w:rsid w:val="00C1287C"/>
    <w:pPr>
      <w:outlineLvl w:val="9"/>
    </w:pPr>
    <w:rPr>
      <w:lang w:val="en-US"/>
    </w:rPr>
  </w:style>
  <w:style w:type="paragraph" w:styleId="TOC1">
    <w:name w:val="toc 1"/>
    <w:basedOn w:val="Normal"/>
    <w:next w:val="Normal"/>
    <w:autoRedefine/>
    <w:uiPriority w:val="39"/>
    <w:unhideWhenUsed/>
    <w:rsid w:val="007A24A2"/>
    <w:pPr>
      <w:tabs>
        <w:tab w:val="right" w:leader="dot" w:pos="9017"/>
      </w:tabs>
      <w:spacing w:after="60" w:line="288" w:lineRule="auto"/>
    </w:pPr>
    <w:rPr>
      <w:b/>
      <w:noProof/>
    </w:rPr>
  </w:style>
  <w:style w:type="paragraph" w:styleId="TOC2">
    <w:name w:val="toc 2"/>
    <w:basedOn w:val="Normal"/>
    <w:next w:val="Normal"/>
    <w:autoRedefine/>
    <w:uiPriority w:val="39"/>
    <w:unhideWhenUsed/>
    <w:rsid w:val="00C1287C"/>
    <w:pPr>
      <w:spacing w:after="100"/>
      <w:ind w:left="220"/>
    </w:pPr>
  </w:style>
  <w:style w:type="paragraph" w:styleId="TOC3">
    <w:name w:val="toc 3"/>
    <w:basedOn w:val="Normal"/>
    <w:next w:val="Normal"/>
    <w:autoRedefine/>
    <w:uiPriority w:val="39"/>
    <w:unhideWhenUsed/>
    <w:rsid w:val="000E2599"/>
    <w:pPr>
      <w:tabs>
        <w:tab w:val="right" w:leader="dot" w:pos="9017"/>
      </w:tabs>
      <w:spacing w:after="100"/>
      <w:ind w:left="440"/>
    </w:pPr>
    <w:rPr>
      <w:rFonts w:ascii="Calibri" w:hAnsi="Calibri"/>
      <w:noProof/>
    </w:rPr>
  </w:style>
  <w:style w:type="paragraph" w:styleId="NoSpacing">
    <w:name w:val="No Spacing"/>
    <w:link w:val="NoSpacingChar"/>
    <w:uiPriority w:val="1"/>
    <w:qFormat/>
    <w:rsid w:val="005D4934"/>
    <w:pPr>
      <w:spacing w:after="0" w:line="240" w:lineRule="auto"/>
    </w:pPr>
  </w:style>
  <w:style w:type="paragraph" w:styleId="FootnoteText">
    <w:name w:val="footnote text"/>
    <w:basedOn w:val="Normal"/>
    <w:link w:val="FootnoteTextChar"/>
    <w:uiPriority w:val="99"/>
    <w:semiHidden/>
    <w:unhideWhenUsed/>
    <w:rsid w:val="00DA25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514"/>
    <w:rPr>
      <w:sz w:val="20"/>
      <w:szCs w:val="20"/>
    </w:rPr>
  </w:style>
  <w:style w:type="character" w:styleId="FootnoteReference">
    <w:name w:val="footnote reference"/>
    <w:basedOn w:val="DefaultParagraphFont"/>
    <w:uiPriority w:val="99"/>
    <w:semiHidden/>
    <w:unhideWhenUsed/>
    <w:rsid w:val="00DA2514"/>
    <w:rPr>
      <w:vertAlign w:val="superscript"/>
    </w:rPr>
  </w:style>
  <w:style w:type="paragraph" w:styleId="Revision">
    <w:name w:val="Revision"/>
    <w:hidden/>
    <w:uiPriority w:val="99"/>
    <w:semiHidden/>
    <w:rsid w:val="00274C67"/>
    <w:pPr>
      <w:spacing w:after="0" w:line="240" w:lineRule="auto"/>
    </w:pPr>
  </w:style>
  <w:style w:type="character" w:styleId="FollowedHyperlink">
    <w:name w:val="FollowedHyperlink"/>
    <w:basedOn w:val="DefaultParagraphFont"/>
    <w:uiPriority w:val="99"/>
    <w:semiHidden/>
    <w:unhideWhenUsed/>
    <w:rsid w:val="00FD3A96"/>
    <w:rPr>
      <w:color w:val="954F72" w:themeColor="followedHyperlink"/>
      <w:u w:val="single"/>
    </w:rPr>
  </w:style>
  <w:style w:type="paragraph" w:styleId="Bibliography">
    <w:name w:val="Bibliography"/>
    <w:basedOn w:val="Normal"/>
    <w:next w:val="Normal"/>
    <w:uiPriority w:val="37"/>
    <w:unhideWhenUsed/>
    <w:rsid w:val="005722D5"/>
  </w:style>
  <w:style w:type="paragraph" w:customStyle="1" w:styleId="ICSSBodyText">
    <w:name w:val="ICSS Body Text"/>
    <w:basedOn w:val="BodyText"/>
    <w:qFormat/>
    <w:rsid w:val="00194133"/>
    <w:pPr>
      <w:spacing w:before="60" w:line="240" w:lineRule="auto"/>
    </w:pPr>
    <w:rPr>
      <w:lang w:eastAsia="en-AU"/>
    </w:rPr>
  </w:style>
  <w:style w:type="paragraph" w:styleId="BodyText">
    <w:name w:val="Body Text"/>
    <w:basedOn w:val="Normal"/>
    <w:link w:val="BodyTextChar"/>
    <w:uiPriority w:val="99"/>
    <w:semiHidden/>
    <w:unhideWhenUsed/>
    <w:rsid w:val="00194133"/>
    <w:pPr>
      <w:spacing w:after="120"/>
    </w:pPr>
  </w:style>
  <w:style w:type="character" w:customStyle="1" w:styleId="BodyTextChar">
    <w:name w:val="Body Text Char"/>
    <w:basedOn w:val="DefaultParagraphFont"/>
    <w:link w:val="BodyText"/>
    <w:uiPriority w:val="99"/>
    <w:semiHidden/>
    <w:rsid w:val="00194133"/>
  </w:style>
  <w:style w:type="paragraph" w:customStyle="1" w:styleId="ICSSDotPoint">
    <w:name w:val="ICSS Dot Point"/>
    <w:basedOn w:val="BodyText"/>
    <w:qFormat/>
    <w:rsid w:val="00194133"/>
    <w:pPr>
      <w:numPr>
        <w:numId w:val="23"/>
      </w:numPr>
    </w:pPr>
  </w:style>
  <w:style w:type="paragraph" w:customStyle="1" w:styleId="ReportDescription">
    <w:name w:val="ReportDescription"/>
    <w:basedOn w:val="Normal"/>
    <w:rsid w:val="004F6454"/>
    <w:pPr>
      <w:spacing w:before="120" w:after="0" w:line="240" w:lineRule="auto"/>
      <w:jc w:val="both"/>
    </w:pPr>
    <w:rPr>
      <w:rFonts w:ascii="Calibri" w:eastAsia="Times New Roman" w:hAnsi="Calibri" w:cs="Times New Roman"/>
      <w:sz w:val="32"/>
      <w:szCs w:val="24"/>
      <w:lang w:eastAsia="en-AU"/>
    </w:rPr>
  </w:style>
  <w:style w:type="character" w:customStyle="1" w:styleId="NoSpacingChar">
    <w:name w:val="No Spacing Char"/>
    <w:basedOn w:val="DefaultParagraphFont"/>
    <w:link w:val="NoSpacing"/>
    <w:uiPriority w:val="1"/>
    <w:locked/>
    <w:rsid w:val="00E53810"/>
  </w:style>
  <w:style w:type="table" w:customStyle="1" w:styleId="TableGrid2">
    <w:name w:val="Table Grid2"/>
    <w:basedOn w:val="TableNormal"/>
    <w:uiPriority w:val="39"/>
    <w:rsid w:val="00C34DC5"/>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324">
      <w:bodyDiv w:val="1"/>
      <w:marLeft w:val="0"/>
      <w:marRight w:val="0"/>
      <w:marTop w:val="0"/>
      <w:marBottom w:val="0"/>
      <w:divBdr>
        <w:top w:val="none" w:sz="0" w:space="0" w:color="auto"/>
        <w:left w:val="none" w:sz="0" w:space="0" w:color="auto"/>
        <w:bottom w:val="none" w:sz="0" w:space="0" w:color="auto"/>
        <w:right w:val="none" w:sz="0" w:space="0" w:color="auto"/>
      </w:divBdr>
    </w:div>
    <w:div w:id="213741514">
      <w:bodyDiv w:val="1"/>
      <w:marLeft w:val="0"/>
      <w:marRight w:val="0"/>
      <w:marTop w:val="0"/>
      <w:marBottom w:val="0"/>
      <w:divBdr>
        <w:top w:val="none" w:sz="0" w:space="0" w:color="auto"/>
        <w:left w:val="none" w:sz="0" w:space="0" w:color="auto"/>
        <w:bottom w:val="none" w:sz="0" w:space="0" w:color="auto"/>
        <w:right w:val="none" w:sz="0" w:space="0" w:color="auto"/>
      </w:divBdr>
    </w:div>
    <w:div w:id="448361613">
      <w:bodyDiv w:val="1"/>
      <w:marLeft w:val="0"/>
      <w:marRight w:val="0"/>
      <w:marTop w:val="0"/>
      <w:marBottom w:val="0"/>
      <w:divBdr>
        <w:top w:val="none" w:sz="0" w:space="0" w:color="auto"/>
        <w:left w:val="none" w:sz="0" w:space="0" w:color="auto"/>
        <w:bottom w:val="none" w:sz="0" w:space="0" w:color="auto"/>
        <w:right w:val="none" w:sz="0" w:space="0" w:color="auto"/>
      </w:divBdr>
    </w:div>
    <w:div w:id="472063589">
      <w:bodyDiv w:val="1"/>
      <w:marLeft w:val="0"/>
      <w:marRight w:val="0"/>
      <w:marTop w:val="0"/>
      <w:marBottom w:val="0"/>
      <w:divBdr>
        <w:top w:val="none" w:sz="0" w:space="0" w:color="auto"/>
        <w:left w:val="none" w:sz="0" w:space="0" w:color="auto"/>
        <w:bottom w:val="none" w:sz="0" w:space="0" w:color="auto"/>
        <w:right w:val="none" w:sz="0" w:space="0" w:color="auto"/>
      </w:divBdr>
    </w:div>
    <w:div w:id="473068012">
      <w:bodyDiv w:val="1"/>
      <w:marLeft w:val="0"/>
      <w:marRight w:val="0"/>
      <w:marTop w:val="0"/>
      <w:marBottom w:val="0"/>
      <w:divBdr>
        <w:top w:val="none" w:sz="0" w:space="0" w:color="auto"/>
        <w:left w:val="none" w:sz="0" w:space="0" w:color="auto"/>
        <w:bottom w:val="none" w:sz="0" w:space="0" w:color="auto"/>
        <w:right w:val="none" w:sz="0" w:space="0" w:color="auto"/>
      </w:divBdr>
    </w:div>
    <w:div w:id="566888614">
      <w:bodyDiv w:val="1"/>
      <w:marLeft w:val="0"/>
      <w:marRight w:val="0"/>
      <w:marTop w:val="0"/>
      <w:marBottom w:val="0"/>
      <w:divBdr>
        <w:top w:val="none" w:sz="0" w:space="0" w:color="auto"/>
        <w:left w:val="none" w:sz="0" w:space="0" w:color="auto"/>
        <w:bottom w:val="none" w:sz="0" w:space="0" w:color="auto"/>
        <w:right w:val="none" w:sz="0" w:space="0" w:color="auto"/>
      </w:divBdr>
    </w:div>
    <w:div w:id="982658841">
      <w:bodyDiv w:val="1"/>
      <w:marLeft w:val="0"/>
      <w:marRight w:val="0"/>
      <w:marTop w:val="0"/>
      <w:marBottom w:val="0"/>
      <w:divBdr>
        <w:top w:val="none" w:sz="0" w:space="0" w:color="auto"/>
        <w:left w:val="none" w:sz="0" w:space="0" w:color="auto"/>
        <w:bottom w:val="none" w:sz="0" w:space="0" w:color="auto"/>
        <w:right w:val="none" w:sz="0" w:space="0" w:color="auto"/>
      </w:divBdr>
    </w:div>
    <w:div w:id="1220097720">
      <w:bodyDiv w:val="1"/>
      <w:marLeft w:val="0"/>
      <w:marRight w:val="0"/>
      <w:marTop w:val="0"/>
      <w:marBottom w:val="0"/>
      <w:divBdr>
        <w:top w:val="none" w:sz="0" w:space="0" w:color="auto"/>
        <w:left w:val="none" w:sz="0" w:space="0" w:color="auto"/>
        <w:bottom w:val="none" w:sz="0" w:space="0" w:color="auto"/>
        <w:right w:val="none" w:sz="0" w:space="0" w:color="auto"/>
      </w:divBdr>
    </w:div>
    <w:div w:id="1224411123">
      <w:bodyDiv w:val="1"/>
      <w:marLeft w:val="0"/>
      <w:marRight w:val="0"/>
      <w:marTop w:val="0"/>
      <w:marBottom w:val="0"/>
      <w:divBdr>
        <w:top w:val="none" w:sz="0" w:space="0" w:color="auto"/>
        <w:left w:val="none" w:sz="0" w:space="0" w:color="auto"/>
        <w:bottom w:val="none" w:sz="0" w:space="0" w:color="auto"/>
        <w:right w:val="none" w:sz="0" w:space="0" w:color="auto"/>
      </w:divBdr>
      <w:divsChild>
        <w:div w:id="1144128991">
          <w:marLeft w:val="0"/>
          <w:marRight w:val="0"/>
          <w:marTop w:val="0"/>
          <w:marBottom w:val="0"/>
          <w:divBdr>
            <w:top w:val="none" w:sz="0" w:space="0" w:color="auto"/>
            <w:left w:val="none" w:sz="0" w:space="0" w:color="auto"/>
            <w:bottom w:val="none" w:sz="0" w:space="0" w:color="auto"/>
            <w:right w:val="none" w:sz="0" w:space="0" w:color="auto"/>
          </w:divBdr>
        </w:div>
      </w:divsChild>
    </w:div>
    <w:div w:id="1585915318">
      <w:bodyDiv w:val="1"/>
      <w:marLeft w:val="0"/>
      <w:marRight w:val="0"/>
      <w:marTop w:val="0"/>
      <w:marBottom w:val="0"/>
      <w:divBdr>
        <w:top w:val="none" w:sz="0" w:space="0" w:color="auto"/>
        <w:left w:val="none" w:sz="0" w:space="0" w:color="auto"/>
        <w:bottom w:val="none" w:sz="0" w:space="0" w:color="auto"/>
        <w:right w:val="none" w:sz="0" w:space="0" w:color="auto"/>
      </w:divBdr>
    </w:div>
    <w:div w:id="1735813144">
      <w:bodyDiv w:val="1"/>
      <w:marLeft w:val="0"/>
      <w:marRight w:val="0"/>
      <w:marTop w:val="0"/>
      <w:marBottom w:val="0"/>
      <w:divBdr>
        <w:top w:val="none" w:sz="0" w:space="0" w:color="auto"/>
        <w:left w:val="none" w:sz="0" w:space="0" w:color="auto"/>
        <w:bottom w:val="none" w:sz="0" w:space="0" w:color="auto"/>
        <w:right w:val="none" w:sz="0" w:space="0" w:color="auto"/>
      </w:divBdr>
    </w:div>
    <w:div w:id="20524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rergateway.gov.au" TargetMode="External"/><Relationship Id="rId4" Type="http://schemas.openxmlformats.org/officeDocument/2006/relationships/settings" Target="settings.xml"/><Relationship Id="rId9" Type="http://schemas.openxmlformats.org/officeDocument/2006/relationships/hyperlink" Target="http://www.creativecommons.org/licenses/by/3.0/au"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Goo16</b:Tag>
    <b:SourceType>InternetSite</b:SourceType>
    <b:Guid>{0AFD5DF3-7073-430C-B729-97FCCE7053E5}</b:Guid>
    <b:Title>Trended Data- Australia</b:Title>
    <b:Year>2016</b:Year>
    <b:Month>May</b:Month>
    <b:Day>31</b:Day>
    <b:InternetSiteTitle>Consumer Barometer with Google</b:InternetSiteTitle>
    <b:URL>www.consumerbarometer.com/en/trending</b:URL>
    <b:Author>
      <b:Author>
        <b:Corporate>Google</b:Corporate>
      </b:Author>
    </b:Author>
    <b:RefOrder>1</b:RefOrder>
  </b:Source>
  <b:Source>
    <b:Tag>Gov12</b:Tag>
    <b:SourceType>DocumentFromInternetSite</b:SourceType>
    <b:Guid>{12AF8B9A-40DE-4EEB-8109-760548DBFDB4}</b:Guid>
    <b:Title>Digital Efficiency Report</b:Title>
    <b:InternetSiteTitle>Gov.uk</b:InternetSiteTitle>
    <b:Year>2012</b:Year>
    <b:Month>November</b:Month>
    <b:Day>6</b:Day>
    <b:URL>https://www.gov.uk/government/publications/digital-efficiency-report/digital-efficiency-report</b:URL>
    <b:Author>
      <b:Author>
        <b:Corporate>Government Digital Office</b:Corporate>
      </b:Author>
    </b:Author>
    <b:Publisher>Gov.uk</b:Publisher>
    <b:City>London</b:City>
    <b:RefOrder>3</b:RefOrder>
  </b:Source>
  <b:Source>
    <b:Tag>AMR15</b:Tag>
    <b:SourceType>DocumentFromInternetSite</b:SourceType>
    <b:Guid>{38D265AC-06FB-4943-A01F-1ADD57D928F3}</b:Guid>
    <b:Title>Carer Service Development Research</b:Title>
    <b:Year>2015</b:Year>
    <b:City>Sydney</b:City>
    <b:Publisher>Department of Social Services</b:Publisher>
    <b:Author>
      <b:Author>
        <b:Corporate>AMR Australia</b:Corporate>
      </b:Author>
    </b:Author>
    <b:InternetSiteTitle>Department of Social Services</b:InternetSiteTitle>
    <b:URL>https://www.dss.gov.au/disability-and-carers/programmes-services/for-carers/national-carer-gateway-research/carer-service-development-research-report-2015-amr</b:URL>
    <b:RefOrder>2</b:RefOrder>
  </b:Source>
</b:Sources>
</file>

<file path=customXml/itemProps1.xml><?xml version="1.0" encoding="utf-8"?>
<ds:datastoreItem xmlns:ds="http://schemas.openxmlformats.org/officeDocument/2006/customXml" ds:itemID="{0CD424CA-9202-4779-8967-E733B7E6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Delivering an integrated carer support service</vt:lpstr>
    </vt:vector>
  </TitlesOfParts>
  <Company>FaHCSIA</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an integrated carer support service</dc:title>
  <dc:creator>Briana van Tilburg</dc:creator>
  <cp:lastModifiedBy>THWAITES, Douglas</cp:lastModifiedBy>
  <cp:revision>5</cp:revision>
  <cp:lastPrinted>2018-04-04T04:01:00Z</cp:lastPrinted>
  <dcterms:created xsi:type="dcterms:W3CDTF">2018-04-09T06:12:00Z</dcterms:created>
  <dcterms:modified xsi:type="dcterms:W3CDTF">2018-04-09T06:14:00Z</dcterms:modified>
</cp:coreProperties>
</file>