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BA7" w:rsidRPr="00A678DB" w:rsidRDefault="00BF4BA7" w:rsidP="00BF4BA7">
      <w:pPr>
        <w:pStyle w:val="Subtitle"/>
        <w:ind w:left="-709"/>
        <w:rPr>
          <w:bCs/>
          <w:color w:val="24596E"/>
          <w:spacing w:val="0"/>
          <w:sz w:val="66"/>
          <w:szCs w:val="52"/>
        </w:rPr>
      </w:pPr>
      <w:bookmarkStart w:id="0" w:name="_Toc508100161"/>
      <w:bookmarkStart w:id="1" w:name="_Toc508716015"/>
      <w:bookmarkStart w:id="2" w:name="_Toc395536189"/>
      <w:r w:rsidRPr="00A678DB">
        <w:rPr>
          <w:bCs/>
          <w:color w:val="24596E"/>
          <w:spacing w:val="0"/>
          <w:sz w:val="66"/>
          <w:szCs w:val="52"/>
        </w:rPr>
        <w:t>Summary Modelling Results of the New Means Test Rules for Pooled Lifetime Retirement Income Streams</w:t>
      </w:r>
    </w:p>
    <w:p w:rsidR="00BF4BA7" w:rsidRPr="00A678DB" w:rsidRDefault="00BF4BA7" w:rsidP="00BF4BA7">
      <w:pPr>
        <w:pStyle w:val="Subtitle"/>
        <w:ind w:hanging="709"/>
        <w:sectPr w:rsidR="00BF4BA7" w:rsidRPr="00A678DB" w:rsidSect="00A74769">
          <w:footerReference w:type="default" r:id="rId8"/>
          <w:headerReference w:type="first" r:id="rId9"/>
          <w:footerReference w:type="first" r:id="rId10"/>
          <w:pgSz w:w="11906" w:h="16838"/>
          <w:pgMar w:top="1440" w:right="1440" w:bottom="1440" w:left="1440" w:header="283" w:footer="0" w:gutter="0"/>
          <w:cols w:space="708"/>
          <w:titlePg/>
          <w:docGrid w:linePitch="360"/>
        </w:sectPr>
      </w:pPr>
      <w:r w:rsidRPr="00A678DB">
        <w:t>July 2018</w:t>
      </w:r>
    </w:p>
    <w:p w:rsidR="00BF4BA7" w:rsidRPr="00A678DB" w:rsidRDefault="00BF4BA7" w:rsidP="00BF4BA7">
      <w:pPr>
        <w:rPr>
          <w:i/>
          <w:iCs/>
        </w:rPr>
      </w:pPr>
      <w:r w:rsidRPr="00A678DB">
        <w:rPr>
          <w:i/>
          <w:iCs/>
        </w:rPr>
        <w:lastRenderedPageBreak/>
        <w:t xml:space="preserve">The results in this paper have been provided to indicate the broad impacts of the new means test rules for pooled lifetime income streams. They are general in nature and do not take into account specific individual circumstances. This paper does not constitute professional or expert advice. </w:t>
      </w:r>
    </w:p>
    <w:p w:rsidR="00BF4BA7" w:rsidRPr="00A678DB" w:rsidRDefault="00BF4BA7" w:rsidP="00BF4BA7">
      <w:pPr>
        <w:rPr>
          <w:i/>
          <w:iCs/>
        </w:rPr>
      </w:pPr>
      <w:r w:rsidRPr="00A678DB">
        <w:rPr>
          <w:i/>
          <w:iCs/>
        </w:rPr>
        <w:t>The Department of Social Services disclaims all liability to any person in respect of anything, and of the consequences of anything, done or omitted to be done, by any such person in reliance, whether wholly or partially, upon any information presented in this paper.</w:t>
      </w:r>
    </w:p>
    <w:p w:rsidR="00BF4BA7" w:rsidRPr="00A678DB" w:rsidRDefault="00BF4BA7" w:rsidP="00A21F6F">
      <w:pPr>
        <w:rPr>
          <w:rFonts w:ascii="Georgia" w:eastAsiaTheme="majorEastAsia" w:hAnsi="Georgia" w:cstheme="majorBidi"/>
          <w:bCs/>
          <w:color w:val="24596E"/>
          <w:sz w:val="36"/>
          <w:szCs w:val="28"/>
        </w:rPr>
      </w:pPr>
      <w:r w:rsidRPr="00A678DB">
        <w:rPr>
          <w:i/>
          <w:iCs/>
        </w:rPr>
        <w:t>This paper is made available on the understanding that the Department of Social Services is not providing professional financial advice. When making decisions around financial products, purchasers or providers should not rely on this paper and should obtain appropriate professional financial advice.</w:t>
      </w:r>
      <w:r w:rsidR="00A21F6F" w:rsidRPr="00A678DB">
        <w:rPr>
          <w:rFonts w:ascii="Georgia" w:eastAsiaTheme="majorEastAsia" w:hAnsi="Georgia" w:cstheme="majorBidi"/>
          <w:bCs/>
          <w:color w:val="24596E"/>
          <w:sz w:val="36"/>
          <w:szCs w:val="28"/>
        </w:rPr>
        <w:t xml:space="preserve"> </w:t>
      </w:r>
    </w:p>
    <w:bookmarkEnd w:id="0"/>
    <w:bookmarkEnd w:id="1"/>
    <w:p w:rsidR="00BF4BA7" w:rsidRPr="00A678DB" w:rsidRDefault="00BF4BA7" w:rsidP="00BF4BA7">
      <w:pPr>
        <w:keepLines w:val="0"/>
        <w:spacing w:before="0" w:after="200" w:line="276" w:lineRule="auto"/>
        <w:sectPr w:rsidR="00BF4BA7" w:rsidRPr="00A678DB" w:rsidSect="00BF4BA7">
          <w:footerReference w:type="default" r:id="rId11"/>
          <w:headerReference w:type="first" r:id="rId12"/>
          <w:footerReference w:type="first" r:id="rId13"/>
          <w:pgSz w:w="11906" w:h="16838"/>
          <w:pgMar w:top="1134" w:right="1418" w:bottom="1418" w:left="1134" w:header="851" w:footer="0" w:gutter="0"/>
          <w:pgNumType w:fmt="lowerRoman" w:start="1"/>
          <w:cols w:space="708"/>
          <w:titlePg/>
          <w:docGrid w:linePitch="360"/>
        </w:sectPr>
      </w:pPr>
    </w:p>
    <w:p w:rsidR="008D6FF2" w:rsidRPr="00A678DB" w:rsidRDefault="00BF4BA7" w:rsidP="00BF4BA7">
      <w:pPr>
        <w:pStyle w:val="Heading2"/>
        <w:rPr>
          <w:color w:val="24596E"/>
          <w:sz w:val="36"/>
          <w:szCs w:val="28"/>
        </w:rPr>
      </w:pPr>
      <w:r w:rsidRPr="00A678DB">
        <w:lastRenderedPageBreak/>
        <w:t>Overview</w:t>
      </w:r>
    </w:p>
    <w:p w:rsidR="00250820" w:rsidRPr="00A678DB" w:rsidRDefault="00250820" w:rsidP="008D6FF2">
      <w:pPr>
        <w:rPr>
          <w:rFonts w:eastAsia="Calibri"/>
        </w:rPr>
      </w:pPr>
      <w:bookmarkStart w:id="3" w:name="_Toc443661897"/>
      <w:r w:rsidRPr="00A678DB">
        <w:rPr>
          <w:rFonts w:eastAsia="Calibri"/>
        </w:rPr>
        <w:t xml:space="preserve">The Government announced new means test rules for pooled lifetime retirement income streams (lifetime products) in the 2018-19 Budget. </w:t>
      </w:r>
    </w:p>
    <w:p w:rsidR="008D6FF2" w:rsidRPr="00A678DB" w:rsidRDefault="008D6FF2" w:rsidP="008D6FF2">
      <w:pPr>
        <w:rPr>
          <w:rFonts w:eastAsia="Calibri"/>
        </w:rPr>
      </w:pPr>
      <w:r w:rsidRPr="00A678DB">
        <w:rPr>
          <w:rFonts w:eastAsia="Calibri"/>
        </w:rPr>
        <w:t xml:space="preserve">The Department of Social Services </w:t>
      </w:r>
      <w:r w:rsidR="00250820" w:rsidRPr="00A678DB">
        <w:rPr>
          <w:rFonts w:eastAsia="Calibri"/>
        </w:rPr>
        <w:t xml:space="preserve">previously </w:t>
      </w:r>
      <w:r w:rsidRPr="00A678DB">
        <w:rPr>
          <w:rFonts w:eastAsia="Calibri"/>
        </w:rPr>
        <w:t xml:space="preserve">released a position paper for public comment on 16 January 2018, which detailed proposed new means test rules for </w:t>
      </w:r>
      <w:r w:rsidR="00250820" w:rsidRPr="00A678DB">
        <w:rPr>
          <w:rFonts w:eastAsia="Calibri"/>
        </w:rPr>
        <w:t xml:space="preserve">lifetime products. </w:t>
      </w:r>
      <w:r w:rsidRPr="00A678DB">
        <w:rPr>
          <w:rFonts w:eastAsia="Calibri"/>
        </w:rPr>
        <w:t xml:space="preserve">An attachment to the position paper provided scenario modelling showing retirement outcomes under the proposed means test rules, drawing on modelling prepared by the Australian Government Actuary. </w:t>
      </w:r>
    </w:p>
    <w:p w:rsidR="006A2694" w:rsidRPr="00A678DB" w:rsidRDefault="005A77A3" w:rsidP="008D6FF2">
      <w:pPr>
        <w:rPr>
          <w:rFonts w:eastAsia="Calibri"/>
        </w:rPr>
      </w:pPr>
      <w:r w:rsidRPr="00A678DB">
        <w:rPr>
          <w:rFonts w:eastAsia="Calibri"/>
        </w:rPr>
        <w:t>The new rules announced in the 2018-19 Budget varied from those pu</w:t>
      </w:r>
      <w:r w:rsidR="00CB3718" w:rsidRPr="00A678DB">
        <w:rPr>
          <w:rFonts w:eastAsia="Calibri"/>
        </w:rPr>
        <w:t>t forward in the position paper</w:t>
      </w:r>
      <w:r w:rsidR="008D6FF2" w:rsidRPr="00A678DB">
        <w:rPr>
          <w:rFonts w:eastAsia="Calibri"/>
        </w:rPr>
        <w:t xml:space="preserve">. This document presents modelling of the </w:t>
      </w:r>
      <w:r w:rsidRPr="00A678DB">
        <w:rPr>
          <w:rFonts w:eastAsia="Calibri"/>
        </w:rPr>
        <w:t>final</w:t>
      </w:r>
      <w:r w:rsidR="008D6FF2" w:rsidRPr="00A678DB">
        <w:rPr>
          <w:rFonts w:eastAsia="Calibri"/>
        </w:rPr>
        <w:t xml:space="preserve"> rules, with updated </w:t>
      </w:r>
      <w:r w:rsidRPr="00A678DB">
        <w:rPr>
          <w:rFonts w:eastAsia="Calibri"/>
        </w:rPr>
        <w:t xml:space="preserve">modelling assumptions. </w:t>
      </w:r>
      <w:r w:rsidR="008D6FF2" w:rsidRPr="00A678DB">
        <w:rPr>
          <w:rFonts w:eastAsia="Calibri"/>
        </w:rPr>
        <w:t xml:space="preserve"> It also provides modelling of additional scenarios involving people purchasing products at later ages. </w:t>
      </w:r>
    </w:p>
    <w:p w:rsidR="00CB3718" w:rsidRPr="00A678DB" w:rsidRDefault="00CB3718" w:rsidP="008D6FF2">
      <w:pPr>
        <w:rPr>
          <w:rFonts w:eastAsia="Calibri"/>
        </w:rPr>
      </w:pPr>
      <w:r w:rsidRPr="00A678DB">
        <w:rPr>
          <w:rFonts w:eastAsia="Calibri"/>
        </w:rPr>
        <w:t xml:space="preserve">The modelling in this document was prepared by the Australian Government Actuary (AGA). </w:t>
      </w:r>
    </w:p>
    <w:p w:rsidR="008D6FF2" w:rsidRPr="00A678DB" w:rsidRDefault="008D6FF2" w:rsidP="008D6FF2">
      <w:pPr>
        <w:rPr>
          <w:rFonts w:eastAsia="Calibri"/>
        </w:rPr>
      </w:pPr>
      <w:r w:rsidRPr="00A678DB">
        <w:rPr>
          <w:rFonts w:eastAsia="Calibri"/>
        </w:rPr>
        <w:t xml:space="preserve">Updates to </w:t>
      </w:r>
      <w:r w:rsidR="006A2694" w:rsidRPr="00A678DB">
        <w:rPr>
          <w:rFonts w:eastAsia="Calibri"/>
        </w:rPr>
        <w:t xml:space="preserve">the </w:t>
      </w:r>
      <w:r w:rsidRPr="00A678DB">
        <w:rPr>
          <w:rFonts w:eastAsia="Calibri"/>
        </w:rPr>
        <w:t>assumptions</w:t>
      </w:r>
      <w:r w:rsidR="005A77A3" w:rsidRPr="00A678DB">
        <w:rPr>
          <w:rFonts w:eastAsia="Calibri"/>
        </w:rPr>
        <w:t xml:space="preserve"> about the modelling of account</w:t>
      </w:r>
      <w:r w:rsidR="005A77A3" w:rsidRPr="00A678DB">
        <w:rPr>
          <w:rFonts w:eastAsia="Calibri"/>
        </w:rPr>
        <w:noBreakHyphen/>
      </w:r>
      <w:r w:rsidRPr="00A678DB">
        <w:rPr>
          <w:rFonts w:eastAsia="Calibri"/>
        </w:rPr>
        <w:t xml:space="preserve">based income streams and </w:t>
      </w:r>
      <w:r w:rsidR="006A2694" w:rsidRPr="00A678DB">
        <w:rPr>
          <w:rFonts w:eastAsia="Calibri"/>
        </w:rPr>
        <w:t xml:space="preserve">the </w:t>
      </w:r>
      <w:r w:rsidR="005A77A3" w:rsidRPr="00A678DB">
        <w:rPr>
          <w:rFonts w:eastAsia="Calibri"/>
        </w:rPr>
        <w:t>additional modelling of those retiring</w:t>
      </w:r>
      <w:r w:rsidRPr="00A678DB">
        <w:rPr>
          <w:rFonts w:eastAsia="Calibri"/>
        </w:rPr>
        <w:t xml:space="preserve"> at later ages reflect </w:t>
      </w:r>
      <w:r w:rsidR="005A77A3" w:rsidRPr="00A678DB">
        <w:rPr>
          <w:rFonts w:eastAsia="Calibri"/>
        </w:rPr>
        <w:t xml:space="preserve">feedback received on the modelling presented in the position paper. </w:t>
      </w:r>
    </w:p>
    <w:p w:rsidR="005A77A3" w:rsidRPr="00A678DB" w:rsidRDefault="005A77A3" w:rsidP="008D6FF2">
      <w:pPr>
        <w:rPr>
          <w:lang w:val="en-US"/>
        </w:rPr>
      </w:pPr>
      <w:r w:rsidRPr="00A678DB">
        <w:rPr>
          <w:lang w:val="en-US"/>
        </w:rPr>
        <w:t xml:space="preserve">Please note that </w:t>
      </w:r>
      <w:r w:rsidR="006A2694" w:rsidRPr="00A678DB">
        <w:rPr>
          <w:lang w:val="en-US"/>
        </w:rPr>
        <w:t>the</w:t>
      </w:r>
      <w:r w:rsidRPr="00A678DB">
        <w:rPr>
          <w:lang w:val="en-US"/>
        </w:rPr>
        <w:t xml:space="preserve"> change</w:t>
      </w:r>
      <w:r w:rsidR="006A2694" w:rsidRPr="00A678DB">
        <w:rPr>
          <w:lang w:val="en-US"/>
        </w:rPr>
        <w:t>s</w:t>
      </w:r>
      <w:r w:rsidRPr="00A678DB">
        <w:rPr>
          <w:lang w:val="en-US"/>
        </w:rPr>
        <w:t xml:space="preserve"> in assumptions means that the results presented in this document are not directly comparable to those presented in the position paper. </w:t>
      </w:r>
    </w:p>
    <w:p w:rsidR="008D6FF2" w:rsidRPr="00A678DB" w:rsidRDefault="008D6FF2" w:rsidP="008D6FF2">
      <w:pPr>
        <w:rPr>
          <w:rFonts w:eastAsia="Calibri"/>
        </w:rPr>
      </w:pPr>
      <w:r w:rsidRPr="00A678DB">
        <w:rPr>
          <w:rFonts w:eastAsia="Calibri"/>
        </w:rPr>
        <w:t xml:space="preserve">Each scenario presents the Age Pension and product income that may be received over retirement, based on a consistent set of modelling assumptions. It presents results for a range of </w:t>
      </w:r>
      <w:r w:rsidR="001C4BE7" w:rsidRPr="00A678DB">
        <w:rPr>
          <w:rFonts w:eastAsia="Calibri"/>
        </w:rPr>
        <w:t>product</w:t>
      </w:r>
      <w:r w:rsidRPr="00A678DB">
        <w:rPr>
          <w:rFonts w:eastAsia="Calibri"/>
        </w:rPr>
        <w:t xml:space="preserve"> options involving a pooled lifetime retirement income stream. It also presents outcomes for an account-based income stream, which is the most common form of retirement income product.</w:t>
      </w:r>
    </w:p>
    <w:p w:rsidR="008D6FF2" w:rsidRPr="00A678DB" w:rsidRDefault="008D6FF2" w:rsidP="008D6FF2">
      <w:pPr>
        <w:rPr>
          <w:rFonts w:eastAsia="Calibri"/>
        </w:rPr>
      </w:pPr>
      <w:r w:rsidRPr="00A678DB">
        <w:rPr>
          <w:rFonts w:eastAsia="Calibri"/>
        </w:rPr>
        <w:t xml:space="preserve">This information is provided for both single </w:t>
      </w:r>
      <w:r w:rsidR="005A77A3" w:rsidRPr="00A678DB">
        <w:rPr>
          <w:rFonts w:eastAsia="Calibri"/>
        </w:rPr>
        <w:t xml:space="preserve">pensioners </w:t>
      </w:r>
      <w:r w:rsidRPr="00A678DB">
        <w:rPr>
          <w:rFonts w:eastAsia="Calibri"/>
        </w:rPr>
        <w:t xml:space="preserve">and </w:t>
      </w:r>
      <w:r w:rsidR="005A77A3" w:rsidRPr="00A678DB">
        <w:rPr>
          <w:rFonts w:eastAsia="Calibri"/>
        </w:rPr>
        <w:t>pensioner couples</w:t>
      </w:r>
      <w:r w:rsidRPr="00A678DB">
        <w:rPr>
          <w:rFonts w:eastAsia="Calibri"/>
        </w:rPr>
        <w:t xml:space="preserve"> </w:t>
      </w:r>
      <w:r w:rsidR="00AE6CF8" w:rsidRPr="00A678DB">
        <w:rPr>
          <w:rFonts w:eastAsia="Calibri"/>
        </w:rPr>
        <w:t>with</w:t>
      </w:r>
      <w:r w:rsidRPr="00A678DB">
        <w:rPr>
          <w:rFonts w:eastAsia="Calibri"/>
        </w:rPr>
        <w:t xml:space="preserve"> different levels of retirement savings t</w:t>
      </w:r>
      <w:r w:rsidR="00AE6CF8" w:rsidRPr="00A678DB">
        <w:rPr>
          <w:rFonts w:eastAsia="Calibri"/>
        </w:rPr>
        <w:t>o</w:t>
      </w:r>
      <w:r w:rsidRPr="00A678DB">
        <w:rPr>
          <w:rFonts w:eastAsia="Calibri"/>
        </w:rPr>
        <w:t xml:space="preserve"> highlight elements of the means test rules. </w:t>
      </w:r>
    </w:p>
    <w:p w:rsidR="008D6FF2" w:rsidRPr="00A678DB" w:rsidRDefault="008D6FF2" w:rsidP="008D6FF2">
      <w:pPr>
        <w:rPr>
          <w:rFonts w:eastAsia="Calibri"/>
        </w:rPr>
      </w:pPr>
      <w:r w:rsidRPr="00A678DB">
        <w:rPr>
          <w:rFonts w:eastAsia="Calibri"/>
        </w:rPr>
        <w:t>People with lower levels of assessable retirement savings (excluding their home) are likely to be either receiving the maximum rate of Age Pension, or assessed under the income test. Those with higher levels of savings are likely to be assessed by the assets test for a period of time. They may then shift to the income test as the value of their assessable assets reduces over time. An example for a non-homeowner is also provided.  Non</w:t>
      </w:r>
      <w:r w:rsidRPr="00A678DB">
        <w:rPr>
          <w:rFonts w:eastAsia="Calibri"/>
        </w:rPr>
        <w:noBreakHyphen/>
        <w:t>homeowners receive a larger free area before assets are assessed by the assets test.  This means they are more likely to be income tested.</w:t>
      </w:r>
    </w:p>
    <w:p w:rsidR="008D6FF2" w:rsidRPr="00A678DB" w:rsidRDefault="008D6FF2" w:rsidP="008D6FF2">
      <w:pPr>
        <w:rPr>
          <w:rFonts w:eastAsiaTheme="majorEastAsia" w:cstheme="majorBidi"/>
          <w:b/>
          <w:bCs/>
          <w:sz w:val="26"/>
          <w:szCs w:val="26"/>
        </w:rPr>
      </w:pPr>
      <w:r w:rsidRPr="00A678DB">
        <w:br w:type="page"/>
      </w:r>
    </w:p>
    <w:p w:rsidR="008D6FF2" w:rsidRPr="00A678DB" w:rsidRDefault="008D6FF2" w:rsidP="008D6FF2">
      <w:pPr>
        <w:pStyle w:val="Heading2"/>
        <w:ind w:left="567" w:hanging="567"/>
      </w:pPr>
      <w:bookmarkStart w:id="4" w:name="_Toc508099916"/>
      <w:bookmarkStart w:id="5" w:name="_Toc508100162"/>
      <w:r w:rsidRPr="00A678DB">
        <w:lastRenderedPageBreak/>
        <w:t>Changes to new rules</w:t>
      </w:r>
      <w:bookmarkEnd w:id="4"/>
      <w:bookmarkEnd w:id="5"/>
      <w:r w:rsidR="00250820" w:rsidRPr="00A678DB">
        <w:t xml:space="preserve"> from </w:t>
      </w:r>
      <w:r w:rsidR="005A77A3" w:rsidRPr="00A678DB">
        <w:t>p</w:t>
      </w:r>
      <w:r w:rsidR="00250820" w:rsidRPr="00A678DB">
        <w:t>osition</w:t>
      </w:r>
      <w:r w:rsidR="005A77A3" w:rsidRPr="00A678DB">
        <w:t xml:space="preserve"> p</w:t>
      </w:r>
      <w:r w:rsidR="00250820" w:rsidRPr="00A678DB">
        <w:t>aper</w:t>
      </w:r>
    </w:p>
    <w:p w:rsidR="008D6FF2" w:rsidRPr="00A678DB" w:rsidRDefault="008D6FF2" w:rsidP="008D6FF2">
      <w:pPr>
        <w:rPr>
          <w:lang w:val="en-US"/>
        </w:rPr>
      </w:pPr>
      <w:r w:rsidRPr="00A678DB">
        <w:rPr>
          <w:lang w:val="en-US"/>
        </w:rPr>
        <w:t>The position paper outlined proposed new rules that would assess lifetime products as follows:</w:t>
      </w:r>
    </w:p>
    <w:p w:rsidR="008D6FF2" w:rsidRPr="00A678DB" w:rsidRDefault="00695113" w:rsidP="008D6FF2">
      <w:pPr>
        <w:pStyle w:val="ListParagraph"/>
        <w:numPr>
          <w:ilvl w:val="0"/>
          <w:numId w:val="12"/>
        </w:numPr>
        <w:rPr>
          <w:lang w:val="en-US"/>
        </w:rPr>
      </w:pPr>
      <w:r w:rsidRPr="00A678DB">
        <w:rPr>
          <w:lang w:val="en-US"/>
        </w:rPr>
        <w:t xml:space="preserve">a fixed 70 per cent </w:t>
      </w:r>
      <w:r w:rsidR="008D6FF2" w:rsidRPr="00A678DB">
        <w:rPr>
          <w:lang w:val="en-US"/>
        </w:rPr>
        <w:t>of payments to an individual from a lifetime product as income under the income test; and</w:t>
      </w:r>
    </w:p>
    <w:p w:rsidR="008D6FF2" w:rsidRPr="00A678DB" w:rsidRDefault="008D6FF2" w:rsidP="008D6FF2">
      <w:pPr>
        <w:pStyle w:val="ListParagraph"/>
        <w:numPr>
          <w:ilvl w:val="0"/>
          <w:numId w:val="12"/>
        </w:numPr>
        <w:rPr>
          <w:lang w:val="en-US"/>
        </w:rPr>
      </w:pPr>
      <w:proofErr w:type="gramStart"/>
      <w:r w:rsidRPr="00A678DB">
        <w:rPr>
          <w:lang w:val="en-US"/>
        </w:rPr>
        <w:t>a</w:t>
      </w:r>
      <w:proofErr w:type="gramEnd"/>
      <w:r w:rsidRPr="00A678DB">
        <w:rPr>
          <w:lang w:val="en-US"/>
        </w:rPr>
        <w:t xml:space="preserve"> consistent value of 70 per cent of the nominal purchase price until life expectancy, and then 35 per cent for the remainder of life, under the assets test. </w:t>
      </w:r>
    </w:p>
    <w:p w:rsidR="008D6FF2" w:rsidRPr="00A678DB" w:rsidRDefault="008D6FF2" w:rsidP="008D6FF2">
      <w:pPr>
        <w:rPr>
          <w:lang w:val="en-US"/>
        </w:rPr>
      </w:pPr>
      <w:r w:rsidRPr="00A678DB">
        <w:rPr>
          <w:lang w:val="en-US"/>
        </w:rPr>
        <w:t xml:space="preserve">The final rules include changes to the proportion of payments from lifetime products to be assessed as income, along with other minor improvements to enhance the simplicity and integrity of the proposed new rules. </w:t>
      </w:r>
    </w:p>
    <w:p w:rsidR="008D6FF2" w:rsidRPr="00A678DB" w:rsidRDefault="008D6FF2" w:rsidP="008D6FF2">
      <w:pPr>
        <w:rPr>
          <w:lang w:val="en-US"/>
        </w:rPr>
      </w:pPr>
      <w:r w:rsidRPr="00A678DB">
        <w:rPr>
          <w:lang w:val="en-US"/>
        </w:rPr>
        <w:t xml:space="preserve">The final rules </w:t>
      </w:r>
      <w:r w:rsidR="005A77A3" w:rsidRPr="00A678DB">
        <w:rPr>
          <w:lang w:val="en-US"/>
        </w:rPr>
        <w:t xml:space="preserve">will </w:t>
      </w:r>
      <w:r w:rsidRPr="00A678DB">
        <w:rPr>
          <w:lang w:val="en-US"/>
        </w:rPr>
        <w:t>assess:</w:t>
      </w:r>
    </w:p>
    <w:p w:rsidR="008D6FF2" w:rsidRPr="00A678DB" w:rsidRDefault="008D6FF2" w:rsidP="008D6FF2">
      <w:pPr>
        <w:pStyle w:val="ListParagraph"/>
        <w:numPr>
          <w:ilvl w:val="0"/>
          <w:numId w:val="13"/>
        </w:numPr>
        <w:rPr>
          <w:lang w:val="en-US"/>
        </w:rPr>
      </w:pPr>
      <w:r w:rsidRPr="00A678DB">
        <w:rPr>
          <w:lang w:val="en-US"/>
        </w:rPr>
        <w:t xml:space="preserve">a fixed </w:t>
      </w:r>
      <w:r w:rsidR="00695113" w:rsidRPr="00A678DB">
        <w:rPr>
          <w:lang w:val="en-US"/>
        </w:rPr>
        <w:t>60 per cent</w:t>
      </w:r>
      <w:r w:rsidRPr="00A678DB">
        <w:rPr>
          <w:lang w:val="en-US"/>
        </w:rPr>
        <w:t xml:space="preserve"> of payments to an individual from a lifetime product as income under the income test; and</w:t>
      </w:r>
    </w:p>
    <w:p w:rsidR="008D6FF2" w:rsidRPr="00A678DB" w:rsidRDefault="008D6FF2" w:rsidP="008D6FF2">
      <w:pPr>
        <w:pStyle w:val="ListParagraph"/>
        <w:numPr>
          <w:ilvl w:val="0"/>
          <w:numId w:val="13"/>
        </w:numPr>
        <w:rPr>
          <w:lang w:val="en-US"/>
        </w:rPr>
      </w:pPr>
      <w:proofErr w:type="gramStart"/>
      <w:r w:rsidRPr="00A678DB">
        <w:rPr>
          <w:lang w:val="en-US"/>
        </w:rPr>
        <w:t>a</w:t>
      </w:r>
      <w:proofErr w:type="gramEnd"/>
      <w:r w:rsidRPr="00A678DB">
        <w:rPr>
          <w:lang w:val="en-US"/>
        </w:rPr>
        <w:t xml:space="preserve"> consistent asset value of 60 per cent of the nominal purchase price, stepping down later in life to 30 per cent for the rest of a person’s life, under the assets test. </w:t>
      </w:r>
    </w:p>
    <w:p w:rsidR="008D6FF2" w:rsidRPr="00A678DB" w:rsidRDefault="008D6FF2" w:rsidP="008D6FF2">
      <w:pPr>
        <w:rPr>
          <w:lang w:val="en-US"/>
        </w:rPr>
      </w:pPr>
      <w:r w:rsidRPr="00A678DB">
        <w:rPr>
          <w:lang w:val="en-US"/>
        </w:rPr>
        <w:t xml:space="preserve">To simplify the assessment under the proposed rules, the age at which the parameter ‘steps down’ will be based on the life expectancy of </w:t>
      </w:r>
      <w:r w:rsidR="00250820" w:rsidRPr="00A678DB">
        <w:rPr>
          <w:lang w:val="en-US"/>
        </w:rPr>
        <w:t>a 65 year old male (currently 84</w:t>
      </w:r>
      <w:r w:rsidRPr="00A678DB">
        <w:rPr>
          <w:lang w:val="en-US"/>
        </w:rPr>
        <w:t xml:space="preserve"> years), instead of an individual’s life expectancy at time of purchase. </w:t>
      </w:r>
    </w:p>
    <w:p w:rsidR="00250820" w:rsidRPr="00A678DB" w:rsidRDefault="00250820" w:rsidP="008D6FF2">
      <w:pPr>
        <w:rPr>
          <w:lang w:val="en-US"/>
        </w:rPr>
      </w:pPr>
      <w:r w:rsidRPr="00A678DB">
        <w:rPr>
          <w:lang w:val="en-US"/>
        </w:rPr>
        <w:t xml:space="preserve">Lifetime products held as an investment inside an account-based income stream will be assessed under the new rules. </w:t>
      </w:r>
    </w:p>
    <w:p w:rsidR="008D6FF2" w:rsidRPr="00A678DB" w:rsidRDefault="008D6FF2" w:rsidP="008D6FF2">
      <w:pPr>
        <w:pStyle w:val="Heading2"/>
        <w:ind w:left="567" w:hanging="567"/>
      </w:pPr>
      <w:bookmarkStart w:id="6" w:name="_Toc508099917"/>
      <w:bookmarkStart w:id="7" w:name="_Toc508100163"/>
      <w:r w:rsidRPr="00A678DB">
        <w:t>Changes to modelling assumptions</w:t>
      </w:r>
      <w:bookmarkEnd w:id="6"/>
      <w:bookmarkEnd w:id="7"/>
    </w:p>
    <w:p w:rsidR="005A77A3" w:rsidRPr="00A678DB" w:rsidRDefault="00250820" w:rsidP="008D6FF2">
      <w:pPr>
        <w:rPr>
          <w:lang w:val="en-US"/>
        </w:rPr>
      </w:pPr>
      <w:r w:rsidRPr="00A678DB">
        <w:rPr>
          <w:lang w:val="en-US"/>
        </w:rPr>
        <w:t>The Australian Government Actuary have updated the assumptions used to model the new means test rules. The new assumptions</w:t>
      </w:r>
      <w:r w:rsidR="005A77A3" w:rsidRPr="00A678DB">
        <w:rPr>
          <w:lang w:val="en-US"/>
        </w:rPr>
        <w:t xml:space="preserve"> used for the modelling presented in this document</w:t>
      </w:r>
      <w:r w:rsidRPr="00A678DB">
        <w:rPr>
          <w:lang w:val="en-US"/>
        </w:rPr>
        <w:t xml:space="preserve"> can be found at </w:t>
      </w:r>
      <w:r w:rsidRPr="00A678DB">
        <w:rPr>
          <w:b/>
          <w:lang w:val="en-US"/>
        </w:rPr>
        <w:t>Attachment A</w:t>
      </w:r>
      <w:r w:rsidRPr="00A678DB">
        <w:rPr>
          <w:lang w:val="en-US"/>
        </w:rPr>
        <w:t>. They can be compared to the assumptions</w:t>
      </w:r>
      <w:r w:rsidR="005A77A3" w:rsidRPr="00A678DB">
        <w:rPr>
          <w:lang w:val="en-US"/>
        </w:rPr>
        <w:t xml:space="preserve"> used for the modelling in the position p</w:t>
      </w:r>
      <w:r w:rsidRPr="00A678DB">
        <w:rPr>
          <w:lang w:val="en-US"/>
        </w:rPr>
        <w:t xml:space="preserve">aper at </w:t>
      </w:r>
      <w:r w:rsidRPr="00A678DB">
        <w:rPr>
          <w:b/>
          <w:lang w:val="en-US"/>
        </w:rPr>
        <w:t>Attachment B.</w:t>
      </w:r>
      <w:r w:rsidR="005A77A3" w:rsidRPr="00A678DB">
        <w:rPr>
          <w:lang w:val="en-US"/>
        </w:rPr>
        <w:t xml:space="preserve"> </w:t>
      </w:r>
    </w:p>
    <w:p w:rsidR="008D6FF2" w:rsidRPr="00A678DB" w:rsidRDefault="00250820" w:rsidP="008D6FF2">
      <w:pPr>
        <w:rPr>
          <w:lang w:val="en-US"/>
        </w:rPr>
      </w:pPr>
      <w:r w:rsidRPr="00A678DB">
        <w:rPr>
          <w:lang w:val="en-US"/>
        </w:rPr>
        <w:t>One change of note is the assumptions around the rate at which retirees draw down on their savings. T</w:t>
      </w:r>
      <w:r w:rsidR="008D6FF2" w:rsidRPr="00A678DB">
        <w:rPr>
          <w:lang w:val="en-US"/>
        </w:rPr>
        <w:t>he position paper assumed that retirees would draw down on their account-based income streams each year at the minimum rate required by superannuation regulations. These are presented in the table below.</w:t>
      </w:r>
      <w:r w:rsidR="008D6FF2" w:rsidRPr="00A678DB">
        <w:rPr>
          <w:lang w:val="en-US"/>
        </w:rPr>
        <w:br/>
      </w:r>
    </w:p>
    <w:tbl>
      <w:tblPr>
        <w:tblStyle w:val="TableGrid"/>
        <w:tblW w:w="9177" w:type="dxa"/>
        <w:tblLook w:val="04A0" w:firstRow="1" w:lastRow="0" w:firstColumn="1" w:lastColumn="0" w:noHBand="0" w:noVBand="1"/>
        <w:tblCaption w:val="Assumptions on minimum per cent withdrawls for Account-Based Income Streams used in Position Paper"/>
        <w:tblDescription w:val="Age 64-74: 5 per cent; Age 75-79: 6 per cent; Age 80-84: 7 per cent; Age 85-89: 9 per cent; Age 90-94: 11 per cent; Age Over 95: 14 per cent"/>
      </w:tblPr>
      <w:tblGrid>
        <w:gridCol w:w="2031"/>
        <w:gridCol w:w="1191"/>
        <w:gridCol w:w="1191"/>
        <w:gridCol w:w="1191"/>
        <w:gridCol w:w="1191"/>
        <w:gridCol w:w="1191"/>
        <w:gridCol w:w="1191"/>
      </w:tblGrid>
      <w:tr w:rsidR="008D6FF2" w:rsidRPr="00A678DB" w:rsidTr="005F5244">
        <w:trPr>
          <w:tblHeader/>
        </w:trPr>
        <w:tc>
          <w:tcPr>
            <w:tcW w:w="203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Age</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65-74</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75-79</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80-84</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85-89</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90-94</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Over 95</w:t>
            </w:r>
          </w:p>
        </w:tc>
      </w:tr>
      <w:tr w:rsidR="008D6FF2" w:rsidRPr="00A678DB" w:rsidTr="008D6FF2">
        <w:tc>
          <w:tcPr>
            <w:tcW w:w="2031" w:type="dxa"/>
            <w:tcBorders>
              <w:top w:val="single" w:sz="4" w:space="0" w:color="auto"/>
              <w:left w:val="single" w:sz="4" w:space="0" w:color="auto"/>
              <w:bottom w:val="single" w:sz="4" w:space="0" w:color="auto"/>
              <w:right w:val="single" w:sz="4" w:space="0" w:color="auto"/>
            </w:tcBorders>
            <w:vAlign w:val="center"/>
            <w:hideMark/>
          </w:tcPr>
          <w:p w:rsidR="008D6FF2" w:rsidRPr="00A678DB" w:rsidRDefault="008D6FF2" w:rsidP="008D6FF2">
            <w:pPr>
              <w:pStyle w:val="CABNETParagraph"/>
              <w:jc w:val="center"/>
              <w:rPr>
                <w:rFonts w:cs="Arial"/>
                <w:b/>
                <w:szCs w:val="20"/>
              </w:rPr>
            </w:pPr>
            <w:r w:rsidRPr="00A678DB">
              <w:rPr>
                <w:rFonts w:cs="Arial"/>
                <w:b/>
                <w:szCs w:val="20"/>
              </w:rPr>
              <w:t>Minimum % withdrawal</w:t>
            </w:r>
          </w:p>
          <w:p w:rsidR="008D6FF2" w:rsidRPr="00A678DB" w:rsidRDefault="008D6FF2" w:rsidP="008D6FF2">
            <w:pPr>
              <w:pStyle w:val="CABNETParagraph"/>
              <w:jc w:val="center"/>
              <w:rPr>
                <w:rFonts w:cs="Arial"/>
                <w:b/>
                <w:szCs w:val="20"/>
              </w:rPr>
            </w:pPr>
            <w:r w:rsidRPr="00A678DB">
              <w:rPr>
                <w:rFonts w:cs="Arial"/>
                <w:b/>
                <w:szCs w:val="20"/>
              </w:rPr>
              <w:t>(position paper)</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5%</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6%</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7%</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9%</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11%</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14%</w:t>
            </w:r>
          </w:p>
        </w:tc>
      </w:tr>
    </w:tbl>
    <w:p w:rsidR="00725D1D" w:rsidRPr="00A678DB" w:rsidRDefault="00725D1D" w:rsidP="00250820">
      <w:pPr>
        <w:rPr>
          <w:lang w:val="en-US"/>
        </w:rPr>
      </w:pPr>
    </w:p>
    <w:p w:rsidR="00250820" w:rsidRPr="00A678DB" w:rsidRDefault="008D6FF2" w:rsidP="00250820">
      <w:pPr>
        <w:rPr>
          <w:lang w:val="en-US"/>
        </w:rPr>
      </w:pPr>
      <w:r w:rsidRPr="00A678DB">
        <w:rPr>
          <w:lang w:val="en-US"/>
        </w:rPr>
        <w:lastRenderedPageBreak/>
        <w:t xml:space="preserve">Responses to the position paper noted that this assumption may not be representative of behavior for some retirees, including those with lower superannuation balances and in the earlier years of retirement. To reflect this feedback, the assumptions about retiree draw down behavior have been changed to reflect a slightly faster draw down in the </w:t>
      </w:r>
      <w:r w:rsidR="00250820" w:rsidRPr="00A678DB">
        <w:rPr>
          <w:lang w:val="en-US"/>
        </w:rPr>
        <w:t xml:space="preserve">first 10 years of retirement. </w:t>
      </w:r>
    </w:p>
    <w:p w:rsidR="008D6FF2" w:rsidRPr="00A678DB" w:rsidRDefault="008D6FF2" w:rsidP="00250820">
      <w:pPr>
        <w:rPr>
          <w:lang w:val="en-US"/>
        </w:rPr>
      </w:pPr>
      <w:r w:rsidRPr="00A678DB">
        <w:rPr>
          <w:lang w:val="en-US"/>
        </w:rPr>
        <w:t xml:space="preserve">These updated assumptions may better reflect outcomes if retirees draw </w:t>
      </w:r>
      <w:r w:rsidR="00AE6CF8" w:rsidRPr="00A678DB">
        <w:rPr>
          <w:lang w:val="en-US"/>
        </w:rPr>
        <w:t>down more of</w:t>
      </w:r>
      <w:r w:rsidRPr="00A678DB">
        <w:rPr>
          <w:lang w:val="en-US"/>
        </w:rPr>
        <w:t xml:space="preserve"> their savings</w:t>
      </w:r>
      <w:r w:rsidR="00734336" w:rsidRPr="00A678DB">
        <w:rPr>
          <w:lang w:val="en-US"/>
        </w:rPr>
        <w:t xml:space="preserve"> in the early years of retirement</w:t>
      </w:r>
      <w:r w:rsidRPr="00A678DB">
        <w:rPr>
          <w:lang w:val="en-US"/>
        </w:rPr>
        <w:t>. They are presented in the table below:</w:t>
      </w:r>
    </w:p>
    <w:tbl>
      <w:tblPr>
        <w:tblStyle w:val="TableGrid"/>
        <w:tblW w:w="9177" w:type="dxa"/>
        <w:tblLook w:val="04A0" w:firstRow="1" w:lastRow="0" w:firstColumn="1" w:lastColumn="0" w:noHBand="0" w:noVBand="1"/>
        <w:tblCaption w:val="Revised Assumptions on annual withdrawl percentage from Account Based Income Streams (used in this document)"/>
        <w:tblDescription w:val="Age 64-74: 6 per cent; Age 75-79: 6 per cent; Age 80-84: 7 per cent; Age 85-89: 9 per cent; Age 90-94: 11 per cent; Age Over 95: 14 per cent"/>
      </w:tblPr>
      <w:tblGrid>
        <w:gridCol w:w="2031"/>
        <w:gridCol w:w="1191"/>
        <w:gridCol w:w="1191"/>
        <w:gridCol w:w="1191"/>
        <w:gridCol w:w="1191"/>
        <w:gridCol w:w="1191"/>
        <w:gridCol w:w="1191"/>
      </w:tblGrid>
      <w:tr w:rsidR="008D6FF2" w:rsidRPr="00A678DB" w:rsidTr="005F5244">
        <w:trPr>
          <w:tblHeader/>
        </w:trPr>
        <w:tc>
          <w:tcPr>
            <w:tcW w:w="203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Age</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65-74</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75-79</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80-84</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85-89</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90-94</w:t>
            </w:r>
          </w:p>
        </w:tc>
        <w:tc>
          <w:tcPr>
            <w:tcW w:w="11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D6FF2" w:rsidRPr="00A678DB" w:rsidRDefault="008D6FF2" w:rsidP="008D6FF2">
            <w:pPr>
              <w:pStyle w:val="CABNETParagraph"/>
              <w:jc w:val="center"/>
              <w:rPr>
                <w:rFonts w:cs="Arial"/>
                <w:b/>
                <w:szCs w:val="20"/>
              </w:rPr>
            </w:pPr>
            <w:r w:rsidRPr="00A678DB">
              <w:rPr>
                <w:rFonts w:cs="Arial"/>
                <w:b/>
                <w:szCs w:val="20"/>
              </w:rPr>
              <w:t>Over 95</w:t>
            </w:r>
          </w:p>
        </w:tc>
      </w:tr>
      <w:tr w:rsidR="008D6FF2" w:rsidRPr="00A678DB" w:rsidTr="008D6FF2">
        <w:tc>
          <w:tcPr>
            <w:tcW w:w="2031" w:type="dxa"/>
            <w:tcBorders>
              <w:top w:val="single" w:sz="4" w:space="0" w:color="auto"/>
              <w:left w:val="single" w:sz="4" w:space="0" w:color="auto"/>
              <w:bottom w:val="single" w:sz="4" w:space="0" w:color="auto"/>
              <w:right w:val="single" w:sz="4" w:space="0" w:color="auto"/>
            </w:tcBorders>
            <w:vAlign w:val="center"/>
            <w:hideMark/>
          </w:tcPr>
          <w:p w:rsidR="008D6FF2" w:rsidRPr="00A678DB" w:rsidRDefault="008D6FF2" w:rsidP="008D6FF2">
            <w:pPr>
              <w:pStyle w:val="CABNETParagraph"/>
              <w:jc w:val="center"/>
              <w:rPr>
                <w:rFonts w:cs="Arial"/>
                <w:b/>
                <w:szCs w:val="20"/>
              </w:rPr>
            </w:pPr>
            <w:r w:rsidRPr="00A678DB">
              <w:rPr>
                <w:rFonts w:cs="Arial"/>
                <w:b/>
                <w:szCs w:val="20"/>
              </w:rPr>
              <w:t>Revised % withdrawal</w:t>
            </w:r>
          </w:p>
          <w:p w:rsidR="008D6FF2" w:rsidRPr="00A678DB" w:rsidRDefault="008D6FF2" w:rsidP="008D6FF2">
            <w:pPr>
              <w:pStyle w:val="CABNETParagraph"/>
              <w:jc w:val="center"/>
              <w:rPr>
                <w:rFonts w:cs="Arial"/>
                <w:b/>
                <w:szCs w:val="20"/>
              </w:rPr>
            </w:pPr>
            <w:r w:rsidRPr="00A678DB">
              <w:rPr>
                <w:rFonts w:cs="Arial"/>
                <w:b/>
                <w:szCs w:val="20"/>
              </w:rPr>
              <w:t>(this document)</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6%</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6%</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7%</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9%</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11%</w:t>
            </w:r>
          </w:p>
        </w:tc>
        <w:tc>
          <w:tcPr>
            <w:tcW w:w="1191" w:type="dxa"/>
            <w:tcBorders>
              <w:top w:val="single" w:sz="4" w:space="0" w:color="auto"/>
              <w:left w:val="single" w:sz="4" w:space="0" w:color="auto"/>
              <w:bottom w:val="single" w:sz="4" w:space="0" w:color="auto"/>
              <w:right w:val="single" w:sz="4" w:space="0" w:color="auto"/>
            </w:tcBorders>
            <w:vAlign w:val="center"/>
          </w:tcPr>
          <w:p w:rsidR="008D6FF2" w:rsidRPr="00A678DB" w:rsidRDefault="008D6FF2" w:rsidP="008D6FF2">
            <w:pPr>
              <w:pStyle w:val="CABNETParagraph"/>
              <w:jc w:val="center"/>
              <w:rPr>
                <w:rFonts w:cs="Arial"/>
                <w:b/>
                <w:szCs w:val="20"/>
              </w:rPr>
            </w:pPr>
            <w:r w:rsidRPr="00A678DB">
              <w:rPr>
                <w:rFonts w:cs="Arial"/>
                <w:b/>
                <w:szCs w:val="20"/>
              </w:rPr>
              <w:t>14%</w:t>
            </w:r>
          </w:p>
        </w:tc>
      </w:tr>
    </w:tbl>
    <w:p w:rsidR="008D6FF2" w:rsidRPr="00A678DB" w:rsidRDefault="008D6FF2" w:rsidP="008D6FF2">
      <w:pPr>
        <w:rPr>
          <w:lang w:val="en-US"/>
        </w:rPr>
      </w:pPr>
      <w:r w:rsidRPr="00A678DB">
        <w:rPr>
          <w:lang w:val="en-US"/>
        </w:rPr>
        <w:br/>
        <w:t>These updated assumptions have been used in th</w:t>
      </w:r>
      <w:r w:rsidR="006A2694" w:rsidRPr="00A678DB">
        <w:rPr>
          <w:lang w:val="en-US"/>
        </w:rPr>
        <w:t xml:space="preserve">is document when modelling the final new </w:t>
      </w:r>
      <w:r w:rsidRPr="00A678DB">
        <w:rPr>
          <w:lang w:val="en-US"/>
        </w:rPr>
        <w:t>rules. All scenarios involving a combination of a</w:t>
      </w:r>
      <w:r w:rsidR="001C4BE7" w:rsidRPr="00A678DB">
        <w:rPr>
          <w:lang w:val="en-US"/>
        </w:rPr>
        <w:t>n immediate</w:t>
      </w:r>
      <w:r w:rsidRPr="00A678DB">
        <w:rPr>
          <w:lang w:val="en-US"/>
        </w:rPr>
        <w:t xml:space="preserve"> lifetime product and an account-based income stream use these updated assumptions with respect to the account-based income stream component. </w:t>
      </w:r>
    </w:p>
    <w:p w:rsidR="008D6FF2" w:rsidRPr="00A678DB" w:rsidRDefault="008D6FF2" w:rsidP="008D6FF2">
      <w:pPr>
        <w:pStyle w:val="Heading2"/>
        <w:ind w:left="567" w:hanging="567"/>
        <w:rPr>
          <w:sz w:val="28"/>
          <w:lang w:val="en-US"/>
        </w:rPr>
      </w:pPr>
      <w:bookmarkStart w:id="8" w:name="_Toc508099918"/>
      <w:bookmarkStart w:id="9" w:name="_Toc508100164"/>
      <w:r w:rsidRPr="00A678DB">
        <w:t>Scenarios presented</w:t>
      </w:r>
      <w:bookmarkEnd w:id="8"/>
      <w:bookmarkEnd w:id="9"/>
      <w:r w:rsidRPr="00A678DB">
        <w:t xml:space="preserve"> </w:t>
      </w:r>
    </w:p>
    <w:p w:rsidR="008D6FF2" w:rsidRPr="00A678DB" w:rsidRDefault="008D6FF2" w:rsidP="008D6FF2">
      <w:pPr>
        <w:rPr>
          <w:rFonts w:eastAsia="Calibri"/>
        </w:rPr>
      </w:pPr>
      <w:r w:rsidRPr="00A678DB">
        <w:rPr>
          <w:rFonts w:eastAsia="Calibri"/>
        </w:rPr>
        <w:t>The scenarios previously presented in the position paper were:</w:t>
      </w:r>
    </w:p>
    <w:p w:rsidR="008D6FF2" w:rsidRPr="00A678DB" w:rsidRDefault="008D6FF2" w:rsidP="008D6FF2">
      <w:pPr>
        <w:pStyle w:val="ListParagraph"/>
        <w:numPr>
          <w:ilvl w:val="0"/>
          <w:numId w:val="14"/>
        </w:numPr>
        <w:rPr>
          <w:rFonts w:eastAsia="Calibri"/>
        </w:rPr>
      </w:pPr>
      <w:r w:rsidRPr="00A678DB">
        <w:rPr>
          <w:rFonts w:eastAsia="Calibri"/>
        </w:rPr>
        <w:t>a single homeowner with $300,000 in superannuation;</w:t>
      </w:r>
    </w:p>
    <w:p w:rsidR="008D6FF2" w:rsidRPr="00A678DB" w:rsidRDefault="008D6FF2" w:rsidP="008D6FF2">
      <w:pPr>
        <w:pStyle w:val="ListParagraph"/>
        <w:numPr>
          <w:ilvl w:val="0"/>
          <w:numId w:val="14"/>
        </w:numPr>
        <w:rPr>
          <w:rFonts w:eastAsia="Calibri"/>
        </w:rPr>
      </w:pPr>
      <w:r w:rsidRPr="00A678DB">
        <w:rPr>
          <w:rFonts w:eastAsia="Calibri"/>
        </w:rPr>
        <w:t>a single homeowner with $400,000 in superannuation;</w:t>
      </w:r>
    </w:p>
    <w:p w:rsidR="008D6FF2" w:rsidRPr="00A678DB" w:rsidRDefault="008D6FF2" w:rsidP="008D6FF2">
      <w:pPr>
        <w:pStyle w:val="ListParagraph"/>
        <w:numPr>
          <w:ilvl w:val="0"/>
          <w:numId w:val="14"/>
        </w:numPr>
        <w:rPr>
          <w:rFonts w:eastAsia="Calibri"/>
        </w:rPr>
      </w:pPr>
      <w:r w:rsidRPr="00A678DB">
        <w:rPr>
          <w:rFonts w:eastAsia="Calibri"/>
        </w:rPr>
        <w:t>a single homeowner with $600,000 in superannuation;</w:t>
      </w:r>
    </w:p>
    <w:p w:rsidR="008D6FF2" w:rsidRPr="00A678DB" w:rsidRDefault="008D6FF2" w:rsidP="008D6FF2">
      <w:pPr>
        <w:pStyle w:val="ListParagraph"/>
        <w:numPr>
          <w:ilvl w:val="0"/>
          <w:numId w:val="14"/>
        </w:numPr>
        <w:rPr>
          <w:rFonts w:eastAsia="Calibri"/>
        </w:rPr>
      </w:pPr>
      <w:r w:rsidRPr="00A678DB">
        <w:rPr>
          <w:rFonts w:eastAsia="Calibri"/>
        </w:rPr>
        <w:t>a coupled homeowner with $400,000 in superannuation;</w:t>
      </w:r>
    </w:p>
    <w:p w:rsidR="008D6FF2" w:rsidRPr="00A678DB" w:rsidRDefault="008D6FF2" w:rsidP="008D6FF2">
      <w:pPr>
        <w:pStyle w:val="ListParagraph"/>
        <w:numPr>
          <w:ilvl w:val="0"/>
          <w:numId w:val="14"/>
        </w:numPr>
        <w:rPr>
          <w:rFonts w:eastAsia="Calibri"/>
        </w:rPr>
      </w:pPr>
      <w:r w:rsidRPr="00A678DB">
        <w:rPr>
          <w:rFonts w:eastAsia="Calibri"/>
        </w:rPr>
        <w:t>a coupled homeowner with $800,000 in superannuation; and,</w:t>
      </w:r>
    </w:p>
    <w:p w:rsidR="008D6FF2" w:rsidRPr="00A678DB" w:rsidRDefault="008D6FF2" w:rsidP="008D6FF2">
      <w:pPr>
        <w:pStyle w:val="ListParagraph"/>
        <w:numPr>
          <w:ilvl w:val="0"/>
          <w:numId w:val="14"/>
        </w:numPr>
        <w:rPr>
          <w:rFonts w:eastAsia="Calibri"/>
        </w:rPr>
      </w:pPr>
      <w:proofErr w:type="gramStart"/>
      <w:r w:rsidRPr="00A678DB">
        <w:rPr>
          <w:rFonts w:eastAsia="Calibri"/>
        </w:rPr>
        <w:t>a</w:t>
      </w:r>
      <w:proofErr w:type="gramEnd"/>
      <w:r w:rsidRPr="00A678DB">
        <w:rPr>
          <w:rFonts w:eastAsia="Calibri"/>
        </w:rPr>
        <w:t xml:space="preserve"> single non-homeowner with $400,000 in superannuation. </w:t>
      </w:r>
    </w:p>
    <w:p w:rsidR="00734336" w:rsidRPr="00A678DB" w:rsidRDefault="008D6FF2" w:rsidP="008D6FF2">
      <w:pPr>
        <w:rPr>
          <w:rFonts w:eastAsia="Calibri"/>
        </w:rPr>
      </w:pPr>
      <w:r w:rsidRPr="00A678DB">
        <w:rPr>
          <w:rFonts w:eastAsia="Calibri"/>
        </w:rPr>
        <w:t>These scenarios have been pr</w:t>
      </w:r>
      <w:r w:rsidR="006A2694" w:rsidRPr="00A678DB">
        <w:rPr>
          <w:rFonts w:eastAsia="Calibri"/>
        </w:rPr>
        <w:t>esented again in this document, using the final rules and the</w:t>
      </w:r>
      <w:r w:rsidR="00734336" w:rsidRPr="00A678DB">
        <w:rPr>
          <w:rFonts w:eastAsia="Calibri"/>
        </w:rPr>
        <w:t xml:space="preserve"> updated modelling assumptions.</w:t>
      </w:r>
    </w:p>
    <w:p w:rsidR="008D6FF2" w:rsidRPr="00A678DB" w:rsidRDefault="008D6FF2" w:rsidP="008D6FF2">
      <w:pPr>
        <w:rPr>
          <w:rFonts w:eastAsia="Calibri"/>
        </w:rPr>
      </w:pPr>
      <w:r w:rsidRPr="00A678DB">
        <w:rPr>
          <w:rFonts w:eastAsia="Calibri"/>
        </w:rPr>
        <w:t xml:space="preserve">Each of these scenarios assumes that the recipient retires at age 65, and has no other assessable assets or income. </w:t>
      </w:r>
    </w:p>
    <w:p w:rsidR="008D6FF2" w:rsidRPr="00A678DB" w:rsidRDefault="008D6FF2" w:rsidP="008D6FF2">
      <w:pPr>
        <w:rPr>
          <w:rFonts w:eastAsia="Calibri"/>
        </w:rPr>
      </w:pPr>
      <w:r w:rsidRPr="00A678DB">
        <w:rPr>
          <w:rFonts w:eastAsia="Calibri"/>
        </w:rPr>
        <w:t xml:space="preserve">This document also provides modelling results for additional scenarios recommended by stakeholders during the consultation process. </w:t>
      </w:r>
      <w:r w:rsidR="006A2694" w:rsidRPr="00A678DB">
        <w:rPr>
          <w:rFonts w:eastAsia="Calibri"/>
        </w:rPr>
        <w:t>Responses to the position paper</w:t>
      </w:r>
      <w:r w:rsidRPr="00A678DB">
        <w:rPr>
          <w:rFonts w:eastAsia="Calibri"/>
        </w:rPr>
        <w:t xml:space="preserve"> suggested modelling outcomes for those who purchase lifetime retirement products later in life. The following additional scenarios have been modelled under </w:t>
      </w:r>
      <w:r w:rsidR="006A2694" w:rsidRPr="00A678DB">
        <w:rPr>
          <w:rFonts w:eastAsia="Calibri"/>
        </w:rPr>
        <w:t xml:space="preserve">the final rules. </w:t>
      </w:r>
    </w:p>
    <w:p w:rsidR="008D6FF2" w:rsidRPr="00A678DB" w:rsidRDefault="008D6FF2" w:rsidP="008D6FF2">
      <w:pPr>
        <w:pStyle w:val="ListParagraph"/>
        <w:numPr>
          <w:ilvl w:val="0"/>
          <w:numId w:val="14"/>
        </w:numPr>
        <w:rPr>
          <w:rFonts w:eastAsia="Calibri"/>
        </w:rPr>
      </w:pPr>
      <w:r w:rsidRPr="00A678DB">
        <w:rPr>
          <w:rFonts w:eastAsia="Calibri"/>
        </w:rPr>
        <w:t>a single homeowner with $300,000 in superannuation, retiring at age 70;</w:t>
      </w:r>
    </w:p>
    <w:p w:rsidR="008D6FF2" w:rsidRPr="00A678DB" w:rsidRDefault="008D6FF2" w:rsidP="008D6FF2">
      <w:pPr>
        <w:pStyle w:val="ListParagraph"/>
        <w:numPr>
          <w:ilvl w:val="0"/>
          <w:numId w:val="14"/>
        </w:numPr>
        <w:rPr>
          <w:rFonts w:eastAsia="Calibri"/>
        </w:rPr>
      </w:pPr>
      <w:r w:rsidRPr="00A678DB">
        <w:rPr>
          <w:rFonts w:eastAsia="Calibri"/>
        </w:rPr>
        <w:t>a single homeowner with $600,000 in superannuation, retiring at age 70;</w:t>
      </w:r>
    </w:p>
    <w:p w:rsidR="008D6FF2" w:rsidRPr="00A678DB" w:rsidRDefault="008D6FF2" w:rsidP="008D6FF2">
      <w:pPr>
        <w:pStyle w:val="ListParagraph"/>
        <w:numPr>
          <w:ilvl w:val="0"/>
          <w:numId w:val="14"/>
        </w:numPr>
        <w:rPr>
          <w:rFonts w:eastAsia="Calibri"/>
        </w:rPr>
      </w:pPr>
      <w:r w:rsidRPr="00A678DB">
        <w:rPr>
          <w:rFonts w:eastAsia="Calibri"/>
        </w:rPr>
        <w:t>a single homeowner with $300,000 in superannuation, retiring at age 75; and</w:t>
      </w:r>
    </w:p>
    <w:p w:rsidR="008D6FF2" w:rsidRPr="00A678DB" w:rsidRDefault="008D6FF2" w:rsidP="008D6FF2">
      <w:pPr>
        <w:pStyle w:val="ListParagraph"/>
        <w:numPr>
          <w:ilvl w:val="0"/>
          <w:numId w:val="14"/>
        </w:numPr>
        <w:rPr>
          <w:rFonts w:eastAsia="Calibri"/>
        </w:rPr>
      </w:pPr>
      <w:proofErr w:type="gramStart"/>
      <w:r w:rsidRPr="00A678DB">
        <w:rPr>
          <w:rFonts w:eastAsia="Calibri"/>
        </w:rPr>
        <w:t>a</w:t>
      </w:r>
      <w:proofErr w:type="gramEnd"/>
      <w:r w:rsidRPr="00A678DB">
        <w:rPr>
          <w:rFonts w:eastAsia="Calibri"/>
        </w:rPr>
        <w:t xml:space="preserve"> single homeowner with $600,000 in superannuation, retiring at age 75.</w:t>
      </w:r>
    </w:p>
    <w:p w:rsidR="008D6FF2" w:rsidRPr="00A678DB" w:rsidRDefault="008D6FF2" w:rsidP="008D6FF2">
      <w:pPr>
        <w:rPr>
          <w:rFonts w:eastAsia="Calibri"/>
        </w:rPr>
      </w:pPr>
      <w:r w:rsidRPr="00A678DB">
        <w:rPr>
          <w:rFonts w:eastAsia="Calibri"/>
        </w:rPr>
        <w:t xml:space="preserve">This analysis shows that under the </w:t>
      </w:r>
      <w:r w:rsidR="006A2694" w:rsidRPr="00A678DB">
        <w:rPr>
          <w:rFonts w:eastAsia="Calibri"/>
        </w:rPr>
        <w:t>final rules</w:t>
      </w:r>
      <w:r w:rsidRPr="00A678DB">
        <w:rPr>
          <w:rFonts w:eastAsia="Calibri"/>
        </w:rPr>
        <w:t xml:space="preserve">, those purchasing lifetime products later in life receive broadly neutral treatment when compared to an ABIS. </w:t>
      </w:r>
    </w:p>
    <w:p w:rsidR="008D6FF2" w:rsidRPr="00A678DB" w:rsidRDefault="008D6FF2" w:rsidP="008D6FF2">
      <w:pPr>
        <w:rPr>
          <w:rFonts w:eastAsia="Calibri"/>
        </w:rPr>
      </w:pPr>
      <w:r w:rsidRPr="00A678DB">
        <w:rPr>
          <w:rFonts w:eastAsia="Calibri"/>
        </w:rPr>
        <w:lastRenderedPageBreak/>
        <w:t xml:space="preserve">All these scenarios assume that the recipient has no other assessable assets or income. </w:t>
      </w:r>
    </w:p>
    <w:p w:rsidR="008D6FF2" w:rsidRPr="00A678DB" w:rsidRDefault="008D6FF2" w:rsidP="00725D1D">
      <w:pPr>
        <w:pStyle w:val="Heading2"/>
      </w:pPr>
      <w:bookmarkStart w:id="10" w:name="_Toc508099919"/>
      <w:bookmarkStart w:id="11" w:name="_Toc508100165"/>
      <w:r w:rsidRPr="00A678DB">
        <w:t>Explanation of modelling results</w:t>
      </w:r>
      <w:bookmarkEnd w:id="10"/>
      <w:bookmarkEnd w:id="11"/>
    </w:p>
    <w:p w:rsidR="008D6FF2" w:rsidRPr="00A678DB" w:rsidRDefault="008D6FF2" w:rsidP="008D6FF2">
      <w:pPr>
        <w:pStyle w:val="Heading3"/>
        <w:rPr>
          <w:rStyle w:val="SubtleEmphasis"/>
          <w:i w:val="0"/>
          <w:iCs w:val="0"/>
        </w:rPr>
      </w:pPr>
      <w:bookmarkStart w:id="12" w:name="_Toc508099920"/>
      <w:bookmarkStart w:id="13" w:name="_Toc508100166"/>
      <w:r w:rsidRPr="00A678DB">
        <w:rPr>
          <w:rStyle w:val="SubtleEmphasis"/>
          <w:iCs w:val="0"/>
        </w:rPr>
        <w:t>Charts of annual retirement outcomes</w:t>
      </w:r>
      <w:bookmarkEnd w:id="12"/>
      <w:bookmarkEnd w:id="13"/>
    </w:p>
    <w:p w:rsidR="008D6FF2" w:rsidRPr="00A678DB" w:rsidRDefault="008D6FF2" w:rsidP="008D6FF2">
      <w:pPr>
        <w:rPr>
          <w:rFonts w:eastAsia="Calibri"/>
        </w:rPr>
      </w:pPr>
      <w:r w:rsidRPr="00A678DB">
        <w:rPr>
          <w:rFonts w:eastAsia="Calibri"/>
        </w:rPr>
        <w:t xml:space="preserve">These charts show a person’s outcomes (or couple’s outcomes) in each year of retirement, assuming that they retire at age 65. All amounts have been converted into </w:t>
      </w:r>
      <w:r w:rsidR="00CD362C" w:rsidRPr="00A678DB">
        <w:rPr>
          <w:rFonts w:eastAsia="Calibri"/>
        </w:rPr>
        <w:t xml:space="preserve">current </w:t>
      </w:r>
      <w:r w:rsidRPr="00A678DB">
        <w:rPr>
          <w:rFonts w:eastAsia="Calibri"/>
        </w:rPr>
        <w:t>dollars. This allows results in each year to be directly compared.</w:t>
      </w:r>
    </w:p>
    <w:p w:rsidR="005676E5" w:rsidRPr="00A678DB" w:rsidRDefault="00D97606" w:rsidP="008D6FF2">
      <w:pPr>
        <w:rPr>
          <w:rFonts w:eastAsia="Calibri"/>
        </w:rPr>
      </w:pPr>
      <w:r w:rsidRPr="00A678DB">
        <w:rPr>
          <w:rFonts w:eastAsia="Calibri"/>
        </w:rPr>
        <w:t xml:space="preserve">Five charts have been prepared for each scenario. </w:t>
      </w:r>
    </w:p>
    <w:p w:rsidR="005676E5" w:rsidRPr="00A678DB" w:rsidRDefault="005676E5" w:rsidP="008D6FF2">
      <w:pPr>
        <w:rPr>
          <w:rFonts w:eastAsia="Calibri"/>
        </w:rPr>
      </w:pPr>
      <w:r w:rsidRPr="00A678DB">
        <w:rPr>
          <w:rFonts w:eastAsia="Calibri"/>
        </w:rPr>
        <w:t xml:space="preserve">Charts 1 and 2 show the outcomes for immediate products. Charts 3 and 4 show the outcomes for deferred products. Charts 1 and 3 show the amount of Age Pension received in each year of retirement, while charts 2 and 4 show total income </w:t>
      </w:r>
      <w:r w:rsidR="00650A2C" w:rsidRPr="00A678DB">
        <w:rPr>
          <w:rFonts w:eastAsia="Calibri"/>
        </w:rPr>
        <w:br/>
      </w:r>
      <w:r w:rsidRPr="00A678DB">
        <w:rPr>
          <w:rFonts w:eastAsia="Calibri"/>
        </w:rPr>
        <w:t>(i.e. Age Pension plus product income) for each year of retirement. These charts show outcomes for a selection of possible retirement scenarios involving a pooled lifetime product, as well as outcomes for an account-based income stream.</w:t>
      </w:r>
    </w:p>
    <w:p w:rsidR="005676E5" w:rsidRPr="00A678DB" w:rsidRDefault="00B86EA8" w:rsidP="008D6FF2">
      <w:pPr>
        <w:rPr>
          <w:rFonts w:eastAsia="Calibri"/>
        </w:rPr>
      </w:pPr>
      <w:r w:rsidRPr="00A678DB">
        <w:rPr>
          <w:rFonts w:eastAsia="Calibri"/>
        </w:rPr>
        <w:t>Chart 5 shows the difference between:</w:t>
      </w:r>
    </w:p>
    <w:p w:rsidR="00B86EA8" w:rsidRPr="00A678DB" w:rsidRDefault="00B86EA8" w:rsidP="00B86EA8">
      <w:pPr>
        <w:pStyle w:val="ListParagraph"/>
        <w:numPr>
          <w:ilvl w:val="0"/>
          <w:numId w:val="19"/>
        </w:numPr>
        <w:rPr>
          <w:rFonts w:eastAsia="Calibri"/>
        </w:rPr>
      </w:pPr>
      <w:r w:rsidRPr="00A678DB">
        <w:rPr>
          <w:rFonts w:eastAsia="Calibri"/>
        </w:rPr>
        <w:t xml:space="preserve">a person holding 30 per cent of their superannuation savings in an immediate pooled lifetime product (a lifetime annuity), with the remainder held in an account-based income stream; and </w:t>
      </w:r>
    </w:p>
    <w:p w:rsidR="00B86EA8" w:rsidRPr="00A678DB" w:rsidRDefault="00B86EA8" w:rsidP="00B86EA8">
      <w:pPr>
        <w:pStyle w:val="ListParagraph"/>
        <w:numPr>
          <w:ilvl w:val="0"/>
          <w:numId w:val="19"/>
        </w:numPr>
        <w:rPr>
          <w:rFonts w:eastAsia="Calibri"/>
        </w:rPr>
      </w:pPr>
      <w:proofErr w:type="gramStart"/>
      <w:r w:rsidRPr="00A678DB">
        <w:rPr>
          <w:rFonts w:eastAsia="Calibri"/>
        </w:rPr>
        <w:t>the</w:t>
      </w:r>
      <w:proofErr w:type="gramEnd"/>
      <w:r w:rsidRPr="00A678DB">
        <w:rPr>
          <w:rFonts w:eastAsia="Calibri"/>
        </w:rPr>
        <w:t xml:space="preserve"> same person investing all of their superannuation in an account-based income stream.</w:t>
      </w:r>
    </w:p>
    <w:p w:rsidR="00B86EA8" w:rsidRPr="00A678DB" w:rsidRDefault="00B86EA8" w:rsidP="008D6FF2">
      <w:pPr>
        <w:rPr>
          <w:rFonts w:eastAsia="Calibri"/>
        </w:rPr>
      </w:pPr>
      <w:r w:rsidRPr="00A678DB">
        <w:rPr>
          <w:rFonts w:eastAsia="Calibri"/>
        </w:rPr>
        <w:t xml:space="preserve">Investing 30 per cent of savings in a lifetime product provides a reasonable representation of outcomes if a person was to invest a significant, but realistic, proportion of their savings in a pooled lifetime product in order to manage longevity risk. Account-based income streams are the ‘default’ retirement income product for many retirees, making up over 94 per cent of retirement superannuation assets. </w:t>
      </w:r>
    </w:p>
    <w:p w:rsidR="00B86EA8" w:rsidRPr="00A678DB" w:rsidRDefault="00B86EA8" w:rsidP="008D6FF2">
      <w:pPr>
        <w:rPr>
          <w:rFonts w:eastAsia="Calibri"/>
        </w:rPr>
      </w:pPr>
      <w:r w:rsidRPr="00A678DB">
        <w:rPr>
          <w:rFonts w:eastAsia="Calibri"/>
        </w:rPr>
        <w:t>Therefore, comparing the outcomes for a person investing a portion of their savings in a lifetime product to an account-based income stream shows whether the person is better or worse off if they use a pooled lifetime product.</w:t>
      </w:r>
    </w:p>
    <w:p w:rsidR="00B86EA8" w:rsidRPr="00A678DB" w:rsidRDefault="00B86EA8" w:rsidP="008D6FF2">
      <w:pPr>
        <w:rPr>
          <w:rFonts w:eastAsia="Calibri"/>
        </w:rPr>
      </w:pPr>
      <w:r w:rsidRPr="00A678DB">
        <w:rPr>
          <w:rFonts w:eastAsia="Calibri"/>
        </w:rPr>
        <w:t xml:space="preserve">The horizontal axis of the chart represents the ‘baseline’ of someone investing all their savings in an account-based income stream. </w:t>
      </w:r>
      <w:r w:rsidR="008D6FF2" w:rsidRPr="00A678DB">
        <w:rPr>
          <w:rFonts w:eastAsia="Calibri"/>
        </w:rPr>
        <w:t>If the line is above the horizontal axis of this chart, they are better off</w:t>
      </w:r>
      <w:r w:rsidRPr="00A678DB">
        <w:rPr>
          <w:rFonts w:eastAsia="Calibri"/>
        </w:rPr>
        <w:t xml:space="preserve"> in that year having invested in the lifetime product</w:t>
      </w:r>
      <w:r w:rsidR="008D6FF2" w:rsidRPr="00A678DB">
        <w:rPr>
          <w:rFonts w:eastAsia="Calibri"/>
        </w:rPr>
        <w:t xml:space="preserve">. If the line is below, they are worse off. </w:t>
      </w:r>
    </w:p>
    <w:p w:rsidR="005A2B3D" w:rsidRPr="00A678DB" w:rsidRDefault="005A2B3D" w:rsidP="008D6FF2">
      <w:pPr>
        <w:rPr>
          <w:rFonts w:eastAsia="Calibri"/>
        </w:rPr>
      </w:pPr>
      <w:r w:rsidRPr="00A678DB">
        <w:rPr>
          <w:rFonts w:eastAsia="Calibri"/>
        </w:rPr>
        <w:t xml:space="preserve">It can also be thought of as showing the difference between the red (ABIS) and purple (30% LA / 70 % ABIS) lines in charts 1 and 2. </w:t>
      </w:r>
    </w:p>
    <w:p w:rsidR="008D6FF2" w:rsidRPr="00A678DB" w:rsidRDefault="00B86EA8" w:rsidP="00B86EA8">
      <w:pPr>
        <w:rPr>
          <w:rFonts w:eastAsia="Calibri"/>
        </w:rPr>
      </w:pPr>
      <w:r w:rsidRPr="00A678DB">
        <w:rPr>
          <w:rFonts w:eastAsia="Calibri"/>
        </w:rPr>
        <w:t>Results are shown for the Age Pension received in each year of retirement, along with the total income received in a given year. It is important to consider the appropriateness of the broad pattern across retirement.</w:t>
      </w:r>
    </w:p>
    <w:p w:rsidR="00AB1C12" w:rsidRPr="00A678DB" w:rsidRDefault="00AB1C12">
      <w:pPr>
        <w:keepLines w:val="0"/>
        <w:spacing w:before="0" w:after="200" w:line="276" w:lineRule="auto"/>
        <w:rPr>
          <w:rStyle w:val="SubtleEmphasis"/>
          <w:rFonts w:ascii="Georgia" w:eastAsiaTheme="majorEastAsia" w:hAnsi="Georgia" w:cstheme="majorBidi"/>
          <w:bCs/>
          <w:iCs w:val="0"/>
          <w:sz w:val="28"/>
        </w:rPr>
      </w:pPr>
      <w:bookmarkStart w:id="14" w:name="_Toc508099921"/>
      <w:bookmarkStart w:id="15" w:name="_Toc508100167"/>
      <w:r w:rsidRPr="00A678DB">
        <w:rPr>
          <w:rStyle w:val="SubtleEmphasis"/>
          <w:iCs w:val="0"/>
        </w:rPr>
        <w:br w:type="page"/>
      </w:r>
    </w:p>
    <w:p w:rsidR="008D6FF2" w:rsidRPr="00A678DB" w:rsidRDefault="008D6FF2" w:rsidP="00B86EA8">
      <w:pPr>
        <w:pStyle w:val="Heading3"/>
        <w:keepNext/>
        <w:rPr>
          <w:rStyle w:val="SubtleEmphasis"/>
          <w:i w:val="0"/>
          <w:iCs w:val="0"/>
        </w:rPr>
      </w:pPr>
      <w:r w:rsidRPr="00A678DB">
        <w:rPr>
          <w:rStyle w:val="SubtleEmphasis"/>
          <w:iCs w:val="0"/>
        </w:rPr>
        <w:lastRenderedPageBreak/>
        <w:t xml:space="preserve">Tables </w:t>
      </w:r>
      <w:r w:rsidRPr="00A678DB">
        <w:rPr>
          <w:rStyle w:val="SubtleEmphasis"/>
        </w:rPr>
        <w:t>showing</w:t>
      </w:r>
      <w:r w:rsidRPr="00A678DB">
        <w:rPr>
          <w:rStyle w:val="SubtleEmphasis"/>
          <w:iCs w:val="0"/>
        </w:rPr>
        <w:t xml:space="preserve"> the actuarial value of total retirement outcomes</w:t>
      </w:r>
      <w:bookmarkEnd w:id="14"/>
      <w:bookmarkEnd w:id="15"/>
    </w:p>
    <w:p w:rsidR="00B86EA8" w:rsidRPr="00A678DB" w:rsidRDefault="008D6FF2" w:rsidP="008D6FF2">
      <w:pPr>
        <w:rPr>
          <w:rFonts w:eastAsia="Calibri"/>
        </w:rPr>
      </w:pPr>
      <w:r w:rsidRPr="00A678DB">
        <w:rPr>
          <w:rFonts w:eastAsia="Calibri"/>
        </w:rPr>
        <w:t xml:space="preserve">Each scenario also shows the total actuarial value of Age Pension, product income and total retirement income. These amounts are for the whole of retirement. </w:t>
      </w:r>
      <w:r w:rsidR="00650A2C" w:rsidRPr="00A678DB">
        <w:rPr>
          <w:rFonts w:eastAsia="Calibri"/>
        </w:rPr>
        <w:br/>
      </w:r>
      <w:r w:rsidRPr="00A678DB">
        <w:rPr>
          <w:rFonts w:eastAsia="Calibri"/>
        </w:rPr>
        <w:t xml:space="preserve">They are the ‘expected present value’ of sum of the modelled outcomes in each year of retirement in </w:t>
      </w:r>
      <w:r w:rsidR="00CD362C" w:rsidRPr="00A678DB">
        <w:rPr>
          <w:rFonts w:eastAsia="Calibri"/>
        </w:rPr>
        <w:t>current</w:t>
      </w:r>
      <w:r w:rsidRPr="00A678DB">
        <w:rPr>
          <w:rFonts w:eastAsia="Calibri"/>
        </w:rPr>
        <w:t xml:space="preserve"> dollars. They have been adjusted to account for expected mortality patterns. </w:t>
      </w:r>
    </w:p>
    <w:p w:rsidR="008D6FF2" w:rsidRPr="00A678DB" w:rsidRDefault="008D6FF2" w:rsidP="008D6FF2">
      <w:pPr>
        <w:rPr>
          <w:rFonts w:eastAsia="Calibri"/>
        </w:rPr>
      </w:pPr>
      <w:r w:rsidRPr="00A678DB">
        <w:rPr>
          <w:rFonts w:eastAsia="Calibri"/>
        </w:rPr>
        <w:t xml:space="preserve">This means that outcomes in early years count more towards the total than in later years, when </w:t>
      </w:r>
      <w:r w:rsidR="00DD7CFB" w:rsidRPr="00A678DB">
        <w:rPr>
          <w:rFonts w:eastAsia="Calibri"/>
        </w:rPr>
        <w:t>fewer people are expected to be alive</w:t>
      </w:r>
      <w:r w:rsidRPr="00A678DB">
        <w:rPr>
          <w:rFonts w:eastAsia="Calibri"/>
        </w:rPr>
        <w:t>.</w:t>
      </w:r>
    </w:p>
    <w:p w:rsidR="00136416" w:rsidRPr="00A678DB" w:rsidRDefault="008D6FF2" w:rsidP="00D97606">
      <w:pPr>
        <w:rPr>
          <w:rStyle w:val="SubtleEmphasis"/>
          <w:rFonts w:eastAsia="Calibri"/>
          <w:i w:val="0"/>
          <w:iCs w:val="0"/>
        </w:rPr>
      </w:pPr>
      <w:r w:rsidRPr="00A678DB">
        <w:rPr>
          <w:rFonts w:eastAsia="Calibri"/>
        </w:rPr>
        <w:t>This approach provides a single figure that can be used to compare outcomes for different types of products and as an assessment of the overall effect of the rules.</w:t>
      </w:r>
      <w:r w:rsidR="00BA10CC" w:rsidRPr="00A678DB">
        <w:rPr>
          <w:rFonts w:eastAsia="Calibri"/>
        </w:rPr>
        <w:br/>
      </w:r>
    </w:p>
    <w:p w:rsidR="008D6FF2" w:rsidRPr="00A678DB" w:rsidRDefault="008D6FF2" w:rsidP="00D97606">
      <w:pPr>
        <w:pStyle w:val="Heading3"/>
        <w:keepNext/>
        <w:rPr>
          <w:rStyle w:val="SubtleEmphasis"/>
          <w:iCs w:val="0"/>
        </w:rPr>
      </w:pPr>
      <w:r w:rsidRPr="00A678DB">
        <w:rPr>
          <w:rStyle w:val="SubtleEmphasis"/>
          <w:iCs w:val="0"/>
        </w:rPr>
        <w:t>Products and investment combinations included in the modelling results</w:t>
      </w:r>
    </w:p>
    <w:p w:rsidR="008D6FF2" w:rsidRPr="00A678DB" w:rsidRDefault="008D6FF2" w:rsidP="008D6FF2">
      <w:pPr>
        <w:rPr>
          <w:rFonts w:eastAsia="Calibri"/>
        </w:rPr>
      </w:pPr>
      <w:r w:rsidRPr="00A678DB">
        <w:rPr>
          <w:rFonts w:eastAsia="Calibri"/>
        </w:rPr>
        <w:t>The results below show outcomes for the following types of investment products.</w:t>
      </w:r>
    </w:p>
    <w:tbl>
      <w:tblPr>
        <w:tblStyle w:val="TableGrid"/>
        <w:tblW w:w="0" w:type="auto"/>
        <w:tblLook w:val="04A0" w:firstRow="1" w:lastRow="0" w:firstColumn="1" w:lastColumn="0" w:noHBand="0" w:noVBand="1"/>
        <w:tblCaption w:val="Descriptions of particular investment products"/>
        <w:tblDescription w:val="This table shows descriptions of the investment products analysed in this paper. "/>
      </w:tblPr>
      <w:tblGrid>
        <w:gridCol w:w="2802"/>
        <w:gridCol w:w="6201"/>
      </w:tblGrid>
      <w:tr w:rsidR="008D6FF2" w:rsidRPr="00A678DB" w:rsidTr="005F5244">
        <w:trPr>
          <w:tblHeader/>
        </w:trPr>
        <w:tc>
          <w:tcPr>
            <w:tcW w:w="2802" w:type="dxa"/>
            <w:tcBorders>
              <w:bottom w:val="single" w:sz="4" w:space="0" w:color="44546A" w:themeColor="text2"/>
              <w:right w:val="single" w:sz="4" w:space="0" w:color="44546A" w:themeColor="text2"/>
            </w:tcBorders>
            <w:shd w:val="clear" w:color="auto" w:fill="002060"/>
          </w:tcPr>
          <w:p w:rsidR="008D6FF2" w:rsidRPr="00A678DB" w:rsidRDefault="008D6FF2" w:rsidP="008D6FF2">
            <w:pPr>
              <w:pStyle w:val="CABNETParagraph"/>
              <w:rPr>
                <w:rFonts w:cs="Arial"/>
                <w:b/>
                <w:szCs w:val="20"/>
              </w:rPr>
            </w:pPr>
            <w:r w:rsidRPr="00A678DB">
              <w:rPr>
                <w:rFonts w:cs="Arial"/>
                <w:b/>
                <w:szCs w:val="20"/>
              </w:rPr>
              <w:t>Product Combination</w:t>
            </w:r>
          </w:p>
        </w:tc>
        <w:tc>
          <w:tcPr>
            <w:tcW w:w="6201" w:type="dxa"/>
            <w:tcBorders>
              <w:left w:val="single" w:sz="4" w:space="0" w:color="44546A" w:themeColor="text2"/>
              <w:bottom w:val="single" w:sz="4" w:space="0" w:color="44546A" w:themeColor="text2"/>
            </w:tcBorders>
            <w:shd w:val="clear" w:color="auto" w:fill="002060"/>
          </w:tcPr>
          <w:p w:rsidR="008D6FF2" w:rsidRPr="00A678DB" w:rsidRDefault="008D6FF2" w:rsidP="008D6FF2">
            <w:pPr>
              <w:pStyle w:val="CABNETParagraph"/>
              <w:rPr>
                <w:rFonts w:cs="Arial"/>
                <w:b/>
                <w:szCs w:val="20"/>
              </w:rPr>
            </w:pPr>
            <w:r w:rsidRPr="00A678DB">
              <w:rPr>
                <w:rFonts w:cs="Arial"/>
                <w:b/>
                <w:szCs w:val="20"/>
              </w:rPr>
              <w:t>Description</w:t>
            </w:r>
          </w:p>
        </w:tc>
      </w:tr>
      <w:tr w:rsidR="008D6FF2" w:rsidRPr="00A678DB" w:rsidTr="008D6FF2">
        <w:tc>
          <w:tcPr>
            <w:tcW w:w="2802" w:type="dxa"/>
            <w:tcBorders>
              <w:top w:val="single" w:sz="4" w:space="0" w:color="44546A" w:themeColor="text2"/>
              <w:bottom w:val="single" w:sz="4" w:space="0" w:color="44546A" w:themeColor="text2"/>
              <w:right w:val="single" w:sz="4" w:space="0" w:color="44546A" w:themeColor="text2"/>
            </w:tcBorders>
          </w:tcPr>
          <w:p w:rsidR="008D6FF2" w:rsidRPr="00A678DB" w:rsidRDefault="008D6FF2" w:rsidP="008D6FF2">
            <w:pPr>
              <w:pStyle w:val="CABNETParagraph"/>
              <w:rPr>
                <w:rFonts w:cs="Arial"/>
                <w:szCs w:val="20"/>
              </w:rPr>
            </w:pPr>
            <w:r w:rsidRPr="00A678DB">
              <w:rPr>
                <w:rFonts w:cs="Arial"/>
                <w:b/>
                <w:szCs w:val="20"/>
              </w:rPr>
              <w:t>Account-based income stream</w:t>
            </w:r>
            <w:r w:rsidRPr="00A678DB">
              <w:rPr>
                <w:rFonts w:cs="Arial"/>
                <w:szCs w:val="20"/>
              </w:rPr>
              <w:t xml:space="preserve"> (ABIS (6%)</w:t>
            </w:r>
            <w:r w:rsidR="00B86EA8" w:rsidRPr="00A678DB">
              <w:rPr>
                <w:rFonts w:cs="Arial"/>
                <w:szCs w:val="20"/>
              </w:rPr>
              <w:t>)</w:t>
            </w:r>
          </w:p>
        </w:tc>
        <w:tc>
          <w:tcPr>
            <w:tcW w:w="6201" w:type="dxa"/>
            <w:tcBorders>
              <w:top w:val="single" w:sz="4" w:space="0" w:color="44546A" w:themeColor="text2"/>
              <w:left w:val="single" w:sz="4" w:space="0" w:color="44546A" w:themeColor="text2"/>
              <w:bottom w:val="single" w:sz="4" w:space="0" w:color="44546A" w:themeColor="text2"/>
            </w:tcBorders>
          </w:tcPr>
          <w:p w:rsidR="008D6FF2" w:rsidRPr="00A678DB" w:rsidRDefault="008D6FF2" w:rsidP="00AE6CF8">
            <w:pPr>
              <w:pStyle w:val="Default"/>
              <w:spacing w:before="120" w:after="120"/>
              <w:rPr>
                <w:szCs w:val="20"/>
              </w:rPr>
            </w:pPr>
            <w:r w:rsidRPr="00A678DB">
              <w:rPr>
                <w:sz w:val="20"/>
                <w:szCs w:val="20"/>
              </w:rPr>
              <w:t xml:space="preserve">An individual investment account set up with superannuation benefits from which a retiree draws a regular income. Retirees are able to select different investments, and have flexible access to their investment capital. Superannuation regulations require a minimum amount to be drawn down each year, which increases with age. This modelling assumes that 6% of the total amount is drawn down each year up to age 74 (an increase from </w:t>
            </w:r>
            <w:r w:rsidR="00AE6CF8" w:rsidRPr="00A678DB">
              <w:rPr>
                <w:sz w:val="20"/>
                <w:szCs w:val="20"/>
              </w:rPr>
              <w:t xml:space="preserve">the minimum of </w:t>
            </w:r>
            <w:r w:rsidRPr="00A678DB">
              <w:rPr>
                <w:sz w:val="20"/>
                <w:szCs w:val="20"/>
              </w:rPr>
              <w:t>5%), with the minimum amount drawn down from age 75 onwards.</w:t>
            </w:r>
          </w:p>
        </w:tc>
      </w:tr>
      <w:tr w:rsidR="008D6FF2" w:rsidRPr="00A678DB" w:rsidTr="008D6FF2">
        <w:tc>
          <w:tcPr>
            <w:tcW w:w="2802" w:type="dxa"/>
            <w:tcBorders>
              <w:top w:val="single" w:sz="4" w:space="0" w:color="44546A" w:themeColor="text2"/>
              <w:bottom w:val="single" w:sz="4" w:space="0" w:color="44546A" w:themeColor="text2"/>
              <w:right w:val="single" w:sz="4" w:space="0" w:color="44546A" w:themeColor="text2"/>
            </w:tcBorders>
          </w:tcPr>
          <w:p w:rsidR="008D6FF2" w:rsidRPr="00A678DB" w:rsidRDefault="008D6FF2" w:rsidP="008D6FF2">
            <w:pPr>
              <w:pStyle w:val="CABNETParagraph"/>
              <w:rPr>
                <w:rFonts w:cs="Arial"/>
                <w:szCs w:val="20"/>
              </w:rPr>
            </w:pPr>
            <w:r w:rsidRPr="00A678DB">
              <w:rPr>
                <w:rFonts w:cs="Arial"/>
                <w:b/>
                <w:szCs w:val="20"/>
              </w:rPr>
              <w:t>Life annuity</w:t>
            </w:r>
            <w:r w:rsidRPr="00A678DB">
              <w:rPr>
                <w:rFonts w:cs="Arial"/>
                <w:szCs w:val="20"/>
              </w:rPr>
              <w:t xml:space="preserve"> (LA)</w:t>
            </w:r>
          </w:p>
        </w:tc>
        <w:tc>
          <w:tcPr>
            <w:tcW w:w="6201" w:type="dxa"/>
            <w:tcBorders>
              <w:top w:val="single" w:sz="4" w:space="0" w:color="44546A" w:themeColor="text2"/>
              <w:left w:val="single" w:sz="4" w:space="0" w:color="44546A" w:themeColor="text2"/>
              <w:bottom w:val="single" w:sz="4" w:space="0" w:color="44546A" w:themeColor="text2"/>
            </w:tcBorders>
          </w:tcPr>
          <w:p w:rsidR="008D6FF2" w:rsidRPr="00A678DB" w:rsidRDefault="008D6FF2" w:rsidP="008D6FF2">
            <w:pPr>
              <w:pStyle w:val="Default"/>
              <w:spacing w:before="120" w:after="120"/>
              <w:rPr>
                <w:szCs w:val="20"/>
              </w:rPr>
            </w:pPr>
            <w:r w:rsidRPr="00A678DB">
              <w:rPr>
                <w:sz w:val="20"/>
                <w:szCs w:val="20"/>
              </w:rPr>
              <w:t>An annuity product that provides regular payments for the full period of a person’s lifetime after purchase. Some products may cover a person and their partner for both their lifetimes.</w:t>
            </w:r>
          </w:p>
        </w:tc>
      </w:tr>
      <w:tr w:rsidR="008D6FF2" w:rsidRPr="00A678DB" w:rsidTr="008D6FF2">
        <w:tc>
          <w:tcPr>
            <w:tcW w:w="2802" w:type="dxa"/>
            <w:tcBorders>
              <w:top w:val="single" w:sz="4" w:space="0" w:color="44546A" w:themeColor="text2"/>
              <w:bottom w:val="single" w:sz="4" w:space="0" w:color="44546A" w:themeColor="text2"/>
              <w:right w:val="single" w:sz="4" w:space="0" w:color="44546A" w:themeColor="text2"/>
            </w:tcBorders>
          </w:tcPr>
          <w:p w:rsidR="008D6FF2" w:rsidRPr="00A678DB" w:rsidRDefault="008D6FF2" w:rsidP="008D6FF2">
            <w:pPr>
              <w:pStyle w:val="CABNETParagraph"/>
              <w:rPr>
                <w:rFonts w:cs="Arial"/>
                <w:szCs w:val="20"/>
              </w:rPr>
            </w:pPr>
            <w:r w:rsidRPr="00A678DB">
              <w:rPr>
                <w:rFonts w:cs="Arial"/>
                <w:b/>
                <w:szCs w:val="20"/>
              </w:rPr>
              <w:t xml:space="preserve">Group self-annuity </w:t>
            </w:r>
            <w:r w:rsidRPr="00A678DB">
              <w:rPr>
                <w:rFonts w:cs="Arial"/>
                <w:szCs w:val="20"/>
              </w:rPr>
              <w:t>(GSA)</w:t>
            </w:r>
          </w:p>
        </w:tc>
        <w:tc>
          <w:tcPr>
            <w:tcW w:w="6201" w:type="dxa"/>
            <w:tcBorders>
              <w:top w:val="single" w:sz="4" w:space="0" w:color="44546A" w:themeColor="text2"/>
              <w:left w:val="single" w:sz="4" w:space="0" w:color="44546A" w:themeColor="text2"/>
              <w:bottom w:val="single" w:sz="4" w:space="0" w:color="44546A" w:themeColor="text2"/>
            </w:tcBorders>
          </w:tcPr>
          <w:p w:rsidR="008D6FF2" w:rsidRPr="00A678DB" w:rsidRDefault="008D6FF2" w:rsidP="008D6FF2">
            <w:pPr>
              <w:pStyle w:val="Default"/>
              <w:spacing w:before="120" w:after="120"/>
              <w:rPr>
                <w:szCs w:val="20"/>
              </w:rPr>
            </w:pPr>
            <w:r w:rsidRPr="00A678DB">
              <w:rPr>
                <w:sz w:val="20"/>
                <w:szCs w:val="20"/>
              </w:rPr>
              <w:t>An annuity product where participants contribute funds to a pool that is invested in assets. Regular payments from the pool are made to surviving members. GSAs allow members to share, but not completely eliminate, the risk of outliving their savings.</w:t>
            </w:r>
          </w:p>
        </w:tc>
      </w:tr>
      <w:tr w:rsidR="008D6FF2" w:rsidRPr="00A678DB" w:rsidTr="008D6FF2">
        <w:tc>
          <w:tcPr>
            <w:tcW w:w="2802" w:type="dxa"/>
            <w:tcBorders>
              <w:top w:val="single" w:sz="4" w:space="0" w:color="44546A" w:themeColor="text2"/>
              <w:bottom w:val="single" w:sz="4" w:space="0" w:color="44546A" w:themeColor="text2"/>
              <w:right w:val="single" w:sz="4" w:space="0" w:color="44546A" w:themeColor="text2"/>
            </w:tcBorders>
          </w:tcPr>
          <w:p w:rsidR="008D6FF2" w:rsidRPr="00A678DB" w:rsidRDefault="008D6FF2" w:rsidP="008D6FF2">
            <w:pPr>
              <w:pStyle w:val="CABNETParagraph"/>
              <w:rPr>
                <w:rFonts w:cs="Arial"/>
                <w:szCs w:val="20"/>
              </w:rPr>
            </w:pPr>
            <w:r w:rsidRPr="00A678DB">
              <w:rPr>
                <w:rFonts w:cs="Arial"/>
                <w:b/>
                <w:szCs w:val="20"/>
              </w:rPr>
              <w:t>Deferred lifetime annuity</w:t>
            </w:r>
            <w:r w:rsidRPr="00A678DB">
              <w:rPr>
                <w:rFonts w:cs="Arial"/>
                <w:szCs w:val="20"/>
              </w:rPr>
              <w:t xml:space="preserve"> (DLA)</w:t>
            </w:r>
          </w:p>
        </w:tc>
        <w:tc>
          <w:tcPr>
            <w:tcW w:w="6201" w:type="dxa"/>
            <w:tcBorders>
              <w:top w:val="single" w:sz="4" w:space="0" w:color="44546A" w:themeColor="text2"/>
              <w:left w:val="single" w:sz="4" w:space="0" w:color="44546A" w:themeColor="text2"/>
              <w:bottom w:val="single" w:sz="4" w:space="0" w:color="44546A" w:themeColor="text2"/>
            </w:tcBorders>
          </w:tcPr>
          <w:p w:rsidR="008D6FF2" w:rsidRPr="00A678DB" w:rsidRDefault="008D6FF2" w:rsidP="008D6FF2">
            <w:pPr>
              <w:pStyle w:val="Default"/>
              <w:spacing w:before="120" w:after="120"/>
              <w:rPr>
                <w:szCs w:val="20"/>
              </w:rPr>
            </w:pPr>
            <w:r w:rsidRPr="00A678DB">
              <w:rPr>
                <w:sz w:val="20"/>
                <w:szCs w:val="20"/>
              </w:rPr>
              <w:t>An annuity product where payments are delayed for a set amount of time. It provides payments for life once a person reaches a particular age.</w:t>
            </w:r>
          </w:p>
        </w:tc>
      </w:tr>
      <w:tr w:rsidR="008D6FF2" w:rsidRPr="00A678DB" w:rsidTr="008D6FF2">
        <w:tc>
          <w:tcPr>
            <w:tcW w:w="2802" w:type="dxa"/>
            <w:tcBorders>
              <w:top w:val="single" w:sz="4" w:space="0" w:color="44546A" w:themeColor="text2"/>
              <w:right w:val="single" w:sz="4" w:space="0" w:color="44546A" w:themeColor="text2"/>
            </w:tcBorders>
          </w:tcPr>
          <w:p w:rsidR="008D6FF2" w:rsidRPr="00A678DB" w:rsidRDefault="008D6FF2" w:rsidP="008D6FF2">
            <w:pPr>
              <w:pStyle w:val="CABNETParagraph"/>
              <w:rPr>
                <w:rFonts w:cs="Arial"/>
                <w:b/>
                <w:szCs w:val="20"/>
              </w:rPr>
            </w:pPr>
            <w:r w:rsidRPr="00A678DB">
              <w:rPr>
                <w:rFonts w:cs="Arial"/>
                <w:b/>
                <w:szCs w:val="20"/>
              </w:rPr>
              <w:t xml:space="preserve">Deferred group self-annuity </w:t>
            </w:r>
            <w:r w:rsidRPr="00A678DB">
              <w:rPr>
                <w:rFonts w:cs="Arial"/>
                <w:szCs w:val="20"/>
              </w:rPr>
              <w:t>(DGSA)</w:t>
            </w:r>
          </w:p>
        </w:tc>
        <w:tc>
          <w:tcPr>
            <w:tcW w:w="6201" w:type="dxa"/>
            <w:tcBorders>
              <w:top w:val="single" w:sz="4" w:space="0" w:color="44546A" w:themeColor="text2"/>
              <w:left w:val="single" w:sz="4" w:space="0" w:color="44546A" w:themeColor="text2"/>
            </w:tcBorders>
          </w:tcPr>
          <w:p w:rsidR="008D6FF2" w:rsidRPr="00A678DB" w:rsidRDefault="008D6FF2" w:rsidP="008D6FF2">
            <w:pPr>
              <w:pStyle w:val="Default"/>
              <w:spacing w:before="120" w:after="120"/>
              <w:rPr>
                <w:sz w:val="20"/>
                <w:szCs w:val="20"/>
              </w:rPr>
            </w:pPr>
            <w:r w:rsidRPr="00A678DB">
              <w:rPr>
                <w:sz w:val="20"/>
                <w:szCs w:val="20"/>
              </w:rPr>
              <w:t>A group self-annuity product that commences making payments when a person reaches a certain age.</w:t>
            </w:r>
          </w:p>
        </w:tc>
      </w:tr>
    </w:tbl>
    <w:p w:rsidR="008D6FF2" w:rsidRPr="00A678DB" w:rsidRDefault="008D6FF2" w:rsidP="008D6FF2">
      <w:pPr>
        <w:rPr>
          <w:rFonts w:eastAsia="Calibri"/>
        </w:rPr>
      </w:pPr>
      <w:r w:rsidRPr="00A678DB">
        <w:rPr>
          <w:rFonts w:eastAsia="Calibri"/>
        </w:rPr>
        <w:br/>
        <w:t xml:space="preserve">Most retirees who use a pooled lifetime product are expected to do so in combination with a more flexible type of investment. For people within superannuation, this is likely to be an account-based income stream. </w:t>
      </w:r>
    </w:p>
    <w:p w:rsidR="00BA10CC" w:rsidRPr="00A678DB" w:rsidRDefault="00BA10CC" w:rsidP="00BA10CC">
      <w:pPr>
        <w:pStyle w:val="Heading2"/>
        <w:rPr>
          <w:rFonts w:eastAsia="Calibri" w:cs="Arial"/>
          <w:iCs/>
          <w:spacing w:val="5"/>
        </w:rPr>
        <w:sectPr w:rsidR="00BA10CC" w:rsidRPr="00A678DB" w:rsidSect="00BF4BA7">
          <w:footerReference w:type="first" r:id="rId14"/>
          <w:pgSz w:w="11906" w:h="16838"/>
          <w:pgMar w:top="1134" w:right="1418" w:bottom="1418" w:left="1134" w:header="851" w:footer="0" w:gutter="0"/>
          <w:pgNumType w:start="1"/>
          <w:cols w:space="708"/>
          <w:titlePg/>
          <w:docGrid w:linePitch="360"/>
        </w:sectPr>
      </w:pPr>
    </w:p>
    <w:p w:rsidR="008D6FF2" w:rsidRPr="00A678DB" w:rsidRDefault="008D6FF2" w:rsidP="00BA10CC">
      <w:pPr>
        <w:pStyle w:val="Heading2"/>
      </w:pPr>
      <w:r w:rsidRPr="00A678DB">
        <w:rPr>
          <w:rFonts w:eastAsia="Calibri" w:cs="Arial"/>
          <w:iCs/>
          <w:spacing w:val="5"/>
        </w:rPr>
        <w:lastRenderedPageBreak/>
        <w:t xml:space="preserve">1. </w:t>
      </w:r>
      <w:bookmarkStart w:id="16" w:name="_Toc508099922"/>
      <w:bookmarkStart w:id="17" w:name="_Toc508100168"/>
      <w:r w:rsidRPr="00A678DB">
        <w:t>Outcomes for a single homeowner with $300,000 in superannuation and no other assessable assets</w:t>
      </w:r>
      <w:bookmarkEnd w:id="16"/>
      <w:bookmarkEnd w:id="17"/>
    </w:p>
    <w:p w:rsidR="00A134A2" w:rsidRPr="00A678DB" w:rsidRDefault="00A134A2" w:rsidP="00136416">
      <w:pPr>
        <w:pStyle w:val="Heading3"/>
      </w:pPr>
    </w:p>
    <w:p w:rsidR="008D6FF2" w:rsidRPr="00A678DB" w:rsidRDefault="0060283C" w:rsidP="00136416">
      <w:pPr>
        <w:pStyle w:val="Heading3"/>
      </w:pPr>
      <w:r w:rsidRPr="00A678DB">
        <w:t xml:space="preserve">Chart 1: </w:t>
      </w:r>
      <w:r w:rsidR="00A134A2" w:rsidRPr="00A678DB">
        <w:t xml:space="preserve">Immediate products - </w:t>
      </w:r>
      <w:r w:rsidR="008D6FF2" w:rsidRPr="00A678DB">
        <w:t>Age Pension</w:t>
      </w:r>
    </w:p>
    <w:p w:rsidR="008D6FF2" w:rsidRPr="00A678DB" w:rsidRDefault="00A678DB" w:rsidP="008D6FF2">
      <w:r w:rsidRPr="00A678DB">
        <w:rPr>
          <w:noProof/>
        </w:rPr>
        <w:drawing>
          <wp:inline distT="0" distB="0" distL="0" distR="0" wp14:anchorId="5667BBDC">
            <wp:extent cx="5937885" cy="3237230"/>
            <wp:effectExtent l="0" t="0" r="5715" b="1270"/>
            <wp:docPr id="21" name="Picture 21" descr="Age Pension outcomes increase with age. Outcomes for those with an ABIS component are generally higher than those without an ABIS component."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136416" w:rsidRPr="00A678DB" w:rsidRDefault="00136416" w:rsidP="00136416">
      <w:pPr>
        <w:pStyle w:val="Heading3"/>
      </w:pPr>
    </w:p>
    <w:p w:rsidR="008D6FF2" w:rsidRPr="00A678DB" w:rsidRDefault="0060283C" w:rsidP="00136416">
      <w:pPr>
        <w:pStyle w:val="Heading3"/>
      </w:pPr>
      <w:r w:rsidRPr="00A678DB">
        <w:t xml:space="preserve">Chart 2: </w:t>
      </w:r>
      <w:r w:rsidR="00A134A2" w:rsidRPr="00A678DB">
        <w:t xml:space="preserve">Immediate products - </w:t>
      </w:r>
      <w:r w:rsidR="008D6FF2" w:rsidRPr="00A678DB">
        <w:t>Total income</w:t>
      </w:r>
      <w:r w:rsidR="00CD362C" w:rsidRPr="00A678DB">
        <w:t xml:space="preserve"> (Age Pension + Product Income)</w:t>
      </w:r>
    </w:p>
    <w:p w:rsidR="008D6FF2" w:rsidRPr="00A678DB" w:rsidRDefault="00A678DB" w:rsidP="008D6FF2">
      <w:r w:rsidRPr="00A678DB">
        <w:rPr>
          <w:noProof/>
        </w:rPr>
        <w:drawing>
          <wp:inline distT="0" distB="0" distL="0" distR="0" wp14:anchorId="09D0D07F">
            <wp:extent cx="5937885" cy="3237230"/>
            <wp:effectExtent l="0" t="0" r="5715" b="1270"/>
            <wp:docPr id="22" name="Picture 22" descr="Products with a lifetime product component perform better in terms of total income over time,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136416" w:rsidRPr="00A678DB" w:rsidRDefault="00136416" w:rsidP="00136416">
      <w:pPr>
        <w:pStyle w:val="Heading3"/>
      </w:pPr>
      <w:r w:rsidRPr="00A678DB">
        <w:lastRenderedPageBreak/>
        <w:t xml:space="preserve">Chart 3: </w:t>
      </w:r>
      <w:r w:rsidR="00A134A2" w:rsidRPr="00A678DB">
        <w:t xml:space="preserve">Deferred products - </w:t>
      </w:r>
      <w:r w:rsidRPr="00A678DB">
        <w:t>Age Pension</w:t>
      </w:r>
    </w:p>
    <w:p w:rsidR="008D6FF2" w:rsidRPr="00A678DB" w:rsidRDefault="00A678DB" w:rsidP="008D6FF2">
      <w:r w:rsidRPr="00A678DB">
        <w:rPr>
          <w:noProof/>
        </w:rPr>
        <w:drawing>
          <wp:inline distT="0" distB="0" distL="0" distR="0" wp14:anchorId="608B0288">
            <wp:extent cx="5937885" cy="3237230"/>
            <wp:effectExtent l="0" t="0" r="5715" b="1270"/>
            <wp:docPr id="23" name="Picture 23"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8D6FF2" w:rsidRPr="00A678DB" w:rsidRDefault="008D6FF2" w:rsidP="008D6FF2"/>
    <w:p w:rsidR="008D6FF2" w:rsidRPr="00A678DB" w:rsidRDefault="0060283C" w:rsidP="00136416">
      <w:pPr>
        <w:pStyle w:val="Heading3"/>
      </w:pPr>
      <w:r w:rsidRPr="00A678DB">
        <w:t xml:space="preserve">Chart 4: </w:t>
      </w:r>
      <w:r w:rsidR="00A134A2" w:rsidRPr="00A678DB">
        <w:t xml:space="preserve">Deferred products - </w:t>
      </w:r>
      <w:r w:rsidR="008D6FF2" w:rsidRPr="00A678DB">
        <w:t>Total income</w:t>
      </w:r>
      <w:r w:rsidR="00136416" w:rsidRPr="00A678DB">
        <w:t xml:space="preserve"> (Age Pension + Product Income)</w:t>
      </w:r>
    </w:p>
    <w:p w:rsidR="008D6FF2" w:rsidRPr="00A678DB" w:rsidRDefault="00A678DB" w:rsidP="008D6FF2">
      <w:pPr>
        <w:spacing w:before="160" w:after="160"/>
        <w:rPr>
          <w:rFonts w:eastAsia="Calibri" w:cs="Calibri"/>
          <w:noProof/>
        </w:rPr>
      </w:pPr>
      <w:r w:rsidRPr="00A678DB">
        <w:rPr>
          <w:rFonts w:eastAsia="Calibri" w:cs="Calibri"/>
          <w:noProof/>
        </w:rPr>
        <w:drawing>
          <wp:inline distT="0" distB="0" distL="0" distR="0" wp14:anchorId="1ADB5BF3">
            <wp:extent cx="5937885" cy="3237230"/>
            <wp:effectExtent l="0" t="0" r="5715" b="1270"/>
            <wp:docPr id="24" name="Picture 24" descr="Products with a deferred component generally perform better in terms of total income during the deferral period. After the deferral period, products a deferred component perform markedly better.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136416" w:rsidRPr="00A678DB" w:rsidRDefault="00136416" w:rsidP="0060283C">
      <w:pPr>
        <w:rPr>
          <w:iCs/>
        </w:rPr>
      </w:pPr>
    </w:p>
    <w:p w:rsidR="00136416" w:rsidRPr="00A678DB" w:rsidRDefault="00136416" w:rsidP="0060283C">
      <w:pPr>
        <w:rPr>
          <w:iCs/>
        </w:rPr>
      </w:pPr>
    </w:p>
    <w:p w:rsidR="0060283C" w:rsidRPr="00A678DB" w:rsidRDefault="0060283C" w:rsidP="00136416">
      <w:pPr>
        <w:pStyle w:val="Heading3"/>
        <w:rPr>
          <w:iCs/>
        </w:rPr>
      </w:pPr>
      <w:r w:rsidRPr="00A678DB">
        <w:lastRenderedPageBreak/>
        <w:t>Chart 5: Difference in Age Pension and total income when 30 per cent is invested in a lifetime annuity, compared to if all funds were invested in an ABIS</w:t>
      </w:r>
    </w:p>
    <w:p w:rsidR="00CD362C" w:rsidRPr="00A678DB" w:rsidRDefault="00A678DB" w:rsidP="00136416">
      <w:pPr>
        <w:rPr>
          <w:rStyle w:val="SubtleEmphasis"/>
          <w:rFonts w:ascii="Georgia" w:eastAsiaTheme="majorEastAsia" w:hAnsi="Georgia" w:cstheme="majorBidi"/>
          <w:bCs/>
          <w:i w:val="0"/>
          <w:sz w:val="26"/>
        </w:rPr>
      </w:pPr>
      <w:bookmarkStart w:id="18" w:name="_Toc508099925"/>
      <w:bookmarkStart w:id="19" w:name="_Toc508100171"/>
      <w:r w:rsidRPr="00A678DB">
        <w:rPr>
          <w:rStyle w:val="SubtleEmphasis"/>
          <w:rFonts w:ascii="Georgia" w:eastAsiaTheme="majorEastAsia" w:hAnsi="Georgia" w:cstheme="majorBidi"/>
          <w:bCs/>
          <w:i w:val="0"/>
          <w:noProof/>
          <w:sz w:val="26"/>
        </w:rPr>
        <w:drawing>
          <wp:inline distT="0" distB="0" distL="0" distR="0" wp14:anchorId="4C7EF767">
            <wp:extent cx="5937885" cy="3731260"/>
            <wp:effectExtent l="0" t="0" r="5715" b="2540"/>
            <wp:docPr id="25" name="Picture 25" descr="After age 68, a person is better off in terms of total income investing 30 per cent in a lifetime annuity compared to if all funds were invested in an ABIS. &#10;&#10;After age 67, a person is worse off, or no better off, in terms of Age Pension outcomes investing 30 per cent in a lifetime annuity compared to if all funds were invested in an ABI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136416" w:rsidRPr="00A678DB" w:rsidRDefault="00136416" w:rsidP="00136416">
      <w:pPr>
        <w:rPr>
          <w:rStyle w:val="SubtleEmphasis"/>
          <w:rFonts w:ascii="Georgia" w:eastAsiaTheme="majorEastAsia" w:hAnsi="Georgia" w:cstheme="majorBidi"/>
          <w:bCs/>
          <w:i w:val="0"/>
          <w:sz w:val="26"/>
        </w:rPr>
      </w:pPr>
    </w:p>
    <w:p w:rsidR="008D6FF2" w:rsidRPr="00A678DB" w:rsidRDefault="008D6FF2" w:rsidP="00136416">
      <w:pPr>
        <w:pStyle w:val="Heading3"/>
        <w:rPr>
          <w:rStyle w:val="SubtleEmphasis"/>
          <w:i w:val="0"/>
        </w:rPr>
      </w:pPr>
      <w:r w:rsidRPr="00A678DB">
        <w:rPr>
          <w:rStyle w:val="SubtleEmphasis"/>
          <w:i w:val="0"/>
        </w:rPr>
        <w:t>Total retirement outcomes</w:t>
      </w:r>
      <w:bookmarkEnd w:id="18"/>
      <w:bookmarkEnd w:id="19"/>
      <w:r w:rsidR="00A134A2" w:rsidRPr="00A678DB">
        <w:rPr>
          <w:rStyle w:val="SubtleEmphasis"/>
          <w:i w:val="0"/>
        </w:rPr>
        <w:br/>
      </w:r>
    </w:p>
    <w:tbl>
      <w:tblPr>
        <w:tblW w:w="9836" w:type="dxa"/>
        <w:tblLook w:val="04A0" w:firstRow="1" w:lastRow="0" w:firstColumn="1" w:lastColumn="0" w:noHBand="0" w:noVBand="1"/>
        <w:tblCaption w:val="Total Retirement In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136416" w:rsidRPr="00A678DB" w:rsidTr="00A678D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136416" w:rsidRPr="00A678DB" w:rsidRDefault="00136416" w:rsidP="00136416">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136416" w:rsidRPr="00A678DB" w:rsidRDefault="00136416" w:rsidP="00136416">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136416" w:rsidRPr="00A678DB" w:rsidTr="00A678DB">
        <w:trPr>
          <w:trHeight w:val="660"/>
          <w:tblHeader/>
        </w:trPr>
        <w:tc>
          <w:tcPr>
            <w:tcW w:w="2536" w:type="dxa"/>
            <w:tcBorders>
              <w:top w:val="nil"/>
              <w:left w:val="single" w:sz="4" w:space="0" w:color="auto"/>
              <w:bottom w:val="nil"/>
              <w:right w:val="nil"/>
            </w:tcBorders>
            <w:shd w:val="clear" w:color="000000" w:fill="16365C"/>
            <w:vAlign w:val="bottom"/>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136416" w:rsidRPr="00A678DB" w:rsidRDefault="00136416" w:rsidP="0013641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136416"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136416" w:rsidRPr="00A678DB" w:rsidRDefault="00136416" w:rsidP="0013641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406,432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380,371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403,697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378,734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398,234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406,582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410,112 </w:t>
            </w:r>
          </w:p>
        </w:tc>
      </w:tr>
      <w:tr w:rsidR="00136416"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136416" w:rsidRPr="00A678DB" w:rsidRDefault="00136416" w:rsidP="0013641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222,286 </w:t>
            </w:r>
          </w:p>
        </w:tc>
        <w:tc>
          <w:tcPr>
            <w:tcW w:w="108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269,410 </w:t>
            </w:r>
          </w:p>
        </w:tc>
        <w:tc>
          <w:tcPr>
            <w:tcW w:w="108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236,423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274,866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248,576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253,693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257,090 </w:t>
            </w:r>
          </w:p>
        </w:tc>
      </w:tr>
      <w:tr w:rsidR="00136416" w:rsidRPr="00A678DB" w:rsidTr="00D2264C">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136416" w:rsidRPr="00A678DB" w:rsidRDefault="00136416" w:rsidP="00136416">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628,718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649,781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640,120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653,600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646,810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660,274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136416" w:rsidRPr="00A678DB" w:rsidRDefault="00136416" w:rsidP="0013641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667,201 </w:t>
            </w:r>
          </w:p>
        </w:tc>
      </w:tr>
      <w:tr w:rsidR="00136416"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136416" w:rsidRPr="00A678DB" w:rsidRDefault="00136416" w:rsidP="0013641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58,491 </w:t>
            </w:r>
          </w:p>
        </w:tc>
        <w:tc>
          <w:tcPr>
            <w:tcW w:w="108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19,378 </w:t>
            </w:r>
          </w:p>
        </w:tc>
        <w:tc>
          <w:tcPr>
            <w:tcW w:w="108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46,757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29,246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24,070 </w:t>
            </w:r>
          </w:p>
        </w:tc>
        <w:tc>
          <w:tcPr>
            <w:tcW w:w="1000" w:type="dxa"/>
            <w:tcBorders>
              <w:top w:val="nil"/>
              <w:left w:val="nil"/>
              <w:bottom w:val="nil"/>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20,865 </w:t>
            </w:r>
          </w:p>
        </w:tc>
      </w:tr>
      <w:tr w:rsidR="00136416"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136416" w:rsidRPr="00A678DB" w:rsidRDefault="00136416" w:rsidP="0013641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687,209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669,159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686,878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653,600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676,056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684,345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36416" w:rsidRPr="00A678DB" w:rsidRDefault="00136416" w:rsidP="0013641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688,066 </w:t>
            </w:r>
          </w:p>
        </w:tc>
      </w:tr>
    </w:tbl>
    <w:p w:rsidR="008D6FF2" w:rsidRPr="00A678DB" w:rsidRDefault="008D6FF2" w:rsidP="008D6FF2">
      <w:r w:rsidRPr="00A678DB">
        <w:br/>
      </w:r>
      <w:bookmarkStart w:id="20" w:name="_Toc508099926"/>
      <w:bookmarkStart w:id="21" w:name="_Toc508100172"/>
    </w:p>
    <w:bookmarkEnd w:id="20"/>
    <w:bookmarkEnd w:id="21"/>
    <w:p w:rsidR="00BA10CC" w:rsidRPr="00A678DB" w:rsidRDefault="00BA10CC" w:rsidP="00BA10CC">
      <w:pPr>
        <w:keepLines w:val="0"/>
        <w:spacing w:before="0" w:after="200" w:line="276" w:lineRule="auto"/>
        <w:rPr>
          <w:rFonts w:eastAsia="Calibri" w:cs="Arial"/>
          <w:iCs/>
          <w:spacing w:val="5"/>
        </w:rPr>
        <w:sectPr w:rsidR="00BA10CC" w:rsidRPr="00A678DB" w:rsidSect="00A8086B">
          <w:footerReference w:type="default" r:id="rId20"/>
          <w:pgSz w:w="11906" w:h="16838"/>
          <w:pgMar w:top="1134" w:right="1418" w:bottom="1418" w:left="1134" w:header="851" w:footer="0" w:gutter="0"/>
          <w:cols w:space="708"/>
          <w:docGrid w:linePitch="360"/>
        </w:sectPr>
      </w:pPr>
    </w:p>
    <w:p w:rsidR="00D97606" w:rsidRPr="00A678DB" w:rsidRDefault="00D97606" w:rsidP="00BA10CC">
      <w:pPr>
        <w:pStyle w:val="Heading2"/>
      </w:pPr>
      <w:r w:rsidRPr="00A678DB">
        <w:rPr>
          <w:rFonts w:eastAsia="Calibri" w:cs="Arial"/>
          <w:iCs/>
          <w:spacing w:val="5"/>
        </w:rPr>
        <w:lastRenderedPageBreak/>
        <w:t xml:space="preserve">2. </w:t>
      </w:r>
      <w:r w:rsidRPr="00A678DB">
        <w:t>Outcomes for a single homeowner with $400,000 in superannuation and no other assessable assets</w:t>
      </w:r>
    </w:p>
    <w:p w:rsidR="00D97606" w:rsidRPr="00A678DB" w:rsidRDefault="00D97606" w:rsidP="00D97606">
      <w:pPr>
        <w:pStyle w:val="Heading3"/>
      </w:pPr>
    </w:p>
    <w:p w:rsidR="00D97606" w:rsidRPr="00A678DB" w:rsidRDefault="00D97606" w:rsidP="00D97606">
      <w:pPr>
        <w:pStyle w:val="Heading3"/>
      </w:pPr>
      <w:r w:rsidRPr="00A678DB">
        <w:t>Chart 1: Immediate products - Age Pension</w:t>
      </w:r>
    </w:p>
    <w:p w:rsidR="00D97606" w:rsidRPr="00A678DB" w:rsidRDefault="00A678DB" w:rsidP="00D97606">
      <w:r w:rsidRPr="00A678DB">
        <w:rPr>
          <w:noProof/>
        </w:rPr>
        <w:drawing>
          <wp:inline distT="0" distB="0" distL="0" distR="0" wp14:anchorId="188EC47A">
            <wp:extent cx="5937885" cy="3237230"/>
            <wp:effectExtent l="0" t="0" r="5715" b="1270"/>
            <wp:docPr id="30" name="Picture 30" descr="Age Pension outcomes increase with age. Outcomes for those without an ABIS component are higher than those with an ABIS component for the first 6 years or so of retirement. After this point outcomes with an ABIS component recieve more Age Pension.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97606" w:rsidRPr="00A678DB" w:rsidRDefault="00D97606" w:rsidP="00D97606">
      <w:pPr>
        <w:pStyle w:val="Heading3"/>
      </w:pPr>
    </w:p>
    <w:p w:rsidR="00D97606" w:rsidRPr="00A678DB" w:rsidRDefault="00D97606" w:rsidP="00D97606">
      <w:pPr>
        <w:pStyle w:val="Heading3"/>
      </w:pPr>
      <w:r w:rsidRPr="00A678DB">
        <w:t>Chart 2: Immediate products - Total income (Age Pension + Product Income)</w:t>
      </w:r>
    </w:p>
    <w:p w:rsidR="00D97606" w:rsidRPr="00A678DB" w:rsidRDefault="00A678DB" w:rsidP="00D97606">
      <w:r>
        <w:rPr>
          <w:noProof/>
        </w:rPr>
        <w:drawing>
          <wp:inline distT="0" distB="0" distL="0" distR="0" wp14:anchorId="50A184B9">
            <wp:extent cx="5937885" cy="3237230"/>
            <wp:effectExtent l="0" t="0" r="5715" b="1270"/>
            <wp:docPr id="31" name="Picture 31" descr="Products with a lifetime product component perform better in terms of total income in each year,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97606" w:rsidRPr="00A678DB" w:rsidRDefault="00D97606" w:rsidP="00D97606">
      <w:pPr>
        <w:pStyle w:val="Heading3"/>
      </w:pPr>
      <w:r w:rsidRPr="00A678DB">
        <w:lastRenderedPageBreak/>
        <w:t>Chart 3: Deferred products - Age Pension</w:t>
      </w:r>
    </w:p>
    <w:p w:rsidR="00D97606" w:rsidRPr="00A678DB" w:rsidRDefault="00A678DB" w:rsidP="00D97606">
      <w:r>
        <w:rPr>
          <w:noProof/>
        </w:rPr>
        <w:drawing>
          <wp:inline distT="0" distB="0" distL="0" distR="0" wp14:anchorId="7E91D881">
            <wp:extent cx="5937885" cy="3237230"/>
            <wp:effectExtent l="0" t="0" r="5715" b="1270"/>
            <wp:docPr id="32" name="Picture 32"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97606" w:rsidRPr="00A678DB" w:rsidRDefault="00D97606" w:rsidP="00D97606"/>
    <w:p w:rsidR="00D97606" w:rsidRPr="00A678DB" w:rsidRDefault="00D97606" w:rsidP="00D97606">
      <w:pPr>
        <w:pStyle w:val="Heading3"/>
      </w:pPr>
      <w:r w:rsidRPr="00A678DB">
        <w:t>Chart 4: Deferred products - Total income (Age Pension + Product Income)</w:t>
      </w:r>
    </w:p>
    <w:p w:rsidR="00D97606" w:rsidRPr="00A678DB" w:rsidRDefault="00A678DB" w:rsidP="00D97606">
      <w:pPr>
        <w:spacing w:before="160" w:after="160"/>
        <w:rPr>
          <w:rFonts w:eastAsia="Calibri" w:cs="Calibri"/>
          <w:noProof/>
        </w:rPr>
      </w:pPr>
      <w:r>
        <w:rPr>
          <w:rFonts w:eastAsia="Calibri" w:cs="Calibri"/>
          <w:noProof/>
        </w:rPr>
        <w:drawing>
          <wp:inline distT="0" distB="0" distL="0" distR="0" wp14:anchorId="1ACFB3D6">
            <wp:extent cx="5937885" cy="3712845"/>
            <wp:effectExtent l="0" t="0" r="5715" b="1905"/>
            <wp:docPr id="33" name="Picture 33" descr="Products with a deferred component generally perform better in terms of total income during the deferral period. After the deferral period, products a deferred component perform markedly better.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712845"/>
                    </a:xfrm>
                    <a:prstGeom prst="rect">
                      <a:avLst/>
                    </a:prstGeom>
                    <a:noFill/>
                  </pic:spPr>
                </pic:pic>
              </a:graphicData>
            </a:graphic>
          </wp:inline>
        </w:drawing>
      </w:r>
    </w:p>
    <w:p w:rsidR="00D97606" w:rsidRPr="00A678DB" w:rsidRDefault="00D97606" w:rsidP="00D97606">
      <w:pPr>
        <w:rPr>
          <w:iCs/>
        </w:rPr>
      </w:pPr>
    </w:p>
    <w:p w:rsidR="00D97606" w:rsidRPr="00A678DB" w:rsidRDefault="00D97606" w:rsidP="00D97606">
      <w:pPr>
        <w:rPr>
          <w:iCs/>
        </w:rPr>
      </w:pPr>
    </w:p>
    <w:p w:rsidR="00D97606" w:rsidRPr="00A678DB" w:rsidRDefault="00D97606" w:rsidP="00D97606">
      <w:pPr>
        <w:pStyle w:val="Heading3"/>
        <w:rPr>
          <w:iCs/>
        </w:rPr>
      </w:pPr>
      <w:r w:rsidRPr="00A678DB">
        <w:lastRenderedPageBreak/>
        <w:t>Chart 5: Difference in Age Pension and total income when 30 per cent is invested in a lifetime annuity, compared to if all funds were invested in an ABIS</w:t>
      </w:r>
    </w:p>
    <w:p w:rsidR="00D97606" w:rsidRPr="00A678DB" w:rsidRDefault="002833AA" w:rsidP="00D97606">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2361CAAE">
            <wp:extent cx="5937885" cy="3731260"/>
            <wp:effectExtent l="0" t="0" r="5715" b="2540"/>
            <wp:docPr id="84" name="Picture 84" descr="After age 65, a person is better off in terms of total income investing 30 per cent in a lifetime annuity compared to if all funds were invested in an ABIS. &#10;&#10;After age 74, a person is worse off, or no better off, in terms of Age Pension outcomes investing 30 per cent in a lifetime annuity compared to if all funds were invested in an ABIS. Before this they are better off in terms of Age Pension outcomes. "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D97606" w:rsidRPr="00A678DB" w:rsidRDefault="00D97606" w:rsidP="00D97606">
      <w:pPr>
        <w:rPr>
          <w:rStyle w:val="SubtleEmphasis"/>
          <w:rFonts w:ascii="Georgia" w:eastAsiaTheme="majorEastAsia" w:hAnsi="Georgia" w:cstheme="majorBidi"/>
          <w:bCs/>
          <w:i w:val="0"/>
          <w:sz w:val="26"/>
        </w:rPr>
      </w:pPr>
    </w:p>
    <w:p w:rsidR="00D97606" w:rsidRPr="00A678DB" w:rsidRDefault="00D97606" w:rsidP="00D97606">
      <w:pPr>
        <w:pStyle w:val="Heading3"/>
        <w:rPr>
          <w:rStyle w:val="SubtleEmphasis"/>
          <w:i w:val="0"/>
        </w:rPr>
      </w:pPr>
      <w:r w:rsidRPr="00A678DB">
        <w:rPr>
          <w:rStyle w:val="SubtleEmphasis"/>
          <w:i w:val="0"/>
        </w:rPr>
        <w:t>Total retirement outcomes</w:t>
      </w:r>
      <w:r w:rsidRPr="00A678DB">
        <w:rPr>
          <w:rStyle w:val="SubtleEmphasis"/>
          <w:i w:val="0"/>
        </w:rPr>
        <w:br/>
      </w:r>
    </w:p>
    <w:tbl>
      <w:tblPr>
        <w:tblW w:w="98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D97606" w:rsidRPr="00A678DB" w:rsidTr="00D2264C">
        <w:trPr>
          <w:trHeight w:val="795"/>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D97606" w:rsidRPr="00A678DB" w:rsidRDefault="00D97606" w:rsidP="00D97606">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D97606" w:rsidRPr="00A678DB" w:rsidRDefault="00D97606" w:rsidP="00D97606">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D97606" w:rsidRPr="00A678DB" w:rsidTr="00D2264C">
        <w:trPr>
          <w:trHeight w:val="660"/>
        </w:trPr>
        <w:tc>
          <w:tcPr>
            <w:tcW w:w="2536" w:type="dxa"/>
            <w:tcBorders>
              <w:top w:val="nil"/>
              <w:left w:val="single" w:sz="4" w:space="0" w:color="auto"/>
              <w:bottom w:val="nil"/>
              <w:right w:val="nil"/>
            </w:tcBorders>
            <w:shd w:val="clear" w:color="000000" w:fill="16365C"/>
            <w:vAlign w:val="bottom"/>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D97606" w:rsidRPr="00A678DB" w:rsidRDefault="00D97606" w:rsidP="00D97606">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D97606"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D97606" w:rsidRPr="00A678DB" w:rsidRDefault="00D97606" w:rsidP="00D9760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357,187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353,430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371,988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351,248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373,471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371,556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373,027 </w:t>
            </w:r>
          </w:p>
        </w:tc>
      </w:tr>
      <w:tr w:rsidR="00D97606"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D97606" w:rsidRPr="00A678DB" w:rsidRDefault="00D97606" w:rsidP="00D9760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296,382 </w:t>
            </w:r>
          </w:p>
        </w:tc>
        <w:tc>
          <w:tcPr>
            <w:tcW w:w="108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359,213 </w:t>
            </w:r>
          </w:p>
        </w:tc>
        <w:tc>
          <w:tcPr>
            <w:tcW w:w="108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315,231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366,488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331,435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338,257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342,786 </w:t>
            </w:r>
          </w:p>
        </w:tc>
      </w:tr>
      <w:tr w:rsidR="00D97606" w:rsidRPr="00A678DB" w:rsidTr="00D2264C">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D97606" w:rsidRPr="00A678DB" w:rsidRDefault="00D97606" w:rsidP="00D97606">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653,568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712,643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687,219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717,735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704,906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709,812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D97606" w:rsidRPr="00A678DB" w:rsidRDefault="00D97606" w:rsidP="00D97606">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715,813 </w:t>
            </w:r>
          </w:p>
        </w:tc>
      </w:tr>
      <w:tr w:rsidR="00D97606"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D97606" w:rsidRPr="00A678DB" w:rsidRDefault="00D97606" w:rsidP="00D9760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77,988 </w:t>
            </w:r>
          </w:p>
        </w:tc>
        <w:tc>
          <w:tcPr>
            <w:tcW w:w="108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25,837 </w:t>
            </w:r>
          </w:p>
        </w:tc>
        <w:tc>
          <w:tcPr>
            <w:tcW w:w="108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62,343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38,994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32,094 </w:t>
            </w:r>
          </w:p>
        </w:tc>
        <w:tc>
          <w:tcPr>
            <w:tcW w:w="1000" w:type="dxa"/>
            <w:tcBorders>
              <w:top w:val="nil"/>
              <w:left w:val="nil"/>
              <w:bottom w:val="nil"/>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27,820 </w:t>
            </w:r>
          </w:p>
        </w:tc>
      </w:tr>
      <w:tr w:rsidR="00D97606"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D97606" w:rsidRPr="00A678DB" w:rsidRDefault="00D97606" w:rsidP="00D97606">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731,556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738,480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749,562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717,735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743,900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741,906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97606" w:rsidRPr="00A678DB" w:rsidRDefault="00D97606" w:rsidP="00D97606">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743,633 </w:t>
            </w:r>
          </w:p>
        </w:tc>
      </w:tr>
    </w:tbl>
    <w:p w:rsidR="0088175B" w:rsidRPr="00A678DB" w:rsidRDefault="0088175B">
      <w:pPr>
        <w:keepLines w:val="0"/>
        <w:spacing w:before="0" w:after="200" w:line="276" w:lineRule="auto"/>
        <w:rPr>
          <w:rFonts w:ascii="Georgia" w:eastAsiaTheme="majorEastAsia" w:hAnsi="Georgia" w:cstheme="majorBidi"/>
          <w:bCs/>
          <w:color w:val="005A70"/>
          <w:sz w:val="32"/>
          <w:szCs w:val="26"/>
        </w:rPr>
      </w:pPr>
    </w:p>
    <w:p w:rsidR="00BA10CC" w:rsidRPr="00A678DB" w:rsidRDefault="00BA10CC" w:rsidP="00BA10CC">
      <w:pPr>
        <w:rPr>
          <w:rFonts w:eastAsia="Calibri" w:cs="Arial"/>
          <w:iCs/>
          <w:spacing w:val="5"/>
        </w:rPr>
        <w:sectPr w:rsidR="00BA10CC" w:rsidRPr="00A678DB" w:rsidSect="00A8086B">
          <w:footerReference w:type="default" r:id="rId26"/>
          <w:footerReference w:type="first" r:id="rId27"/>
          <w:pgSz w:w="11906" w:h="16838"/>
          <w:pgMar w:top="1134" w:right="1418" w:bottom="1418" w:left="1134" w:header="851" w:footer="0" w:gutter="0"/>
          <w:cols w:space="708"/>
          <w:docGrid w:linePitch="360"/>
        </w:sectPr>
      </w:pPr>
    </w:p>
    <w:p w:rsidR="0088175B" w:rsidRPr="00A678DB" w:rsidRDefault="0088175B" w:rsidP="00BA10CC">
      <w:pPr>
        <w:pStyle w:val="Heading2"/>
      </w:pPr>
      <w:r w:rsidRPr="00A678DB">
        <w:rPr>
          <w:rFonts w:eastAsia="Calibri" w:cs="Arial"/>
          <w:iCs/>
          <w:spacing w:val="5"/>
        </w:rPr>
        <w:lastRenderedPageBreak/>
        <w:t xml:space="preserve">3. </w:t>
      </w:r>
      <w:r w:rsidRPr="00A678DB">
        <w:t>Outcomes for a single homeowner with $600,000 in superannuation and no other assessable assets</w:t>
      </w:r>
    </w:p>
    <w:p w:rsidR="0088175B" w:rsidRPr="00A678DB" w:rsidRDefault="0088175B" w:rsidP="0088175B">
      <w:pPr>
        <w:pStyle w:val="Heading3"/>
      </w:pPr>
    </w:p>
    <w:p w:rsidR="0088175B" w:rsidRPr="00A678DB" w:rsidRDefault="0088175B" w:rsidP="0088175B">
      <w:pPr>
        <w:pStyle w:val="Heading3"/>
      </w:pPr>
      <w:r w:rsidRPr="00A678DB">
        <w:t>Chart 1: Immediate products - Age Pension</w:t>
      </w:r>
    </w:p>
    <w:p w:rsidR="0088175B" w:rsidRPr="00A678DB" w:rsidRDefault="00A678DB" w:rsidP="0088175B">
      <w:r>
        <w:rPr>
          <w:noProof/>
        </w:rPr>
        <w:drawing>
          <wp:inline distT="0" distB="0" distL="0" distR="0" wp14:anchorId="708C05B3">
            <wp:extent cx="5937885" cy="3237230"/>
            <wp:effectExtent l="0" t="0" r="5715" b="1270"/>
            <wp:docPr id="35" name="Picture 35" descr="Age Pension outcomes increase with age. Outcomes for those without an ABIS component are higher than those with an ABIS component for the first 10 years or so of retirement. After this point outcomes with an ABIS component recieve more Age Pension.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88175B" w:rsidRPr="00A678DB" w:rsidRDefault="0088175B" w:rsidP="0088175B">
      <w:pPr>
        <w:pStyle w:val="Heading3"/>
      </w:pPr>
    </w:p>
    <w:p w:rsidR="0088175B" w:rsidRPr="00A678DB" w:rsidRDefault="0088175B" w:rsidP="0088175B">
      <w:pPr>
        <w:pStyle w:val="Heading3"/>
      </w:pPr>
      <w:r w:rsidRPr="00A678DB">
        <w:t>Chart 2: Immediate products - Total income (Age Pension + Product Income)</w:t>
      </w:r>
    </w:p>
    <w:p w:rsidR="0088175B" w:rsidRPr="00A678DB" w:rsidRDefault="00A678DB" w:rsidP="0088175B">
      <w:r>
        <w:rPr>
          <w:noProof/>
        </w:rPr>
        <w:drawing>
          <wp:inline distT="0" distB="0" distL="0" distR="0" wp14:anchorId="1897B80C">
            <wp:extent cx="5937885" cy="3237230"/>
            <wp:effectExtent l="0" t="0" r="5715" b="1270"/>
            <wp:docPr id="36" name="Picture 36" descr="Products with a lifetime product component perform better in terms of total income in each year,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88175B" w:rsidRPr="00A678DB" w:rsidRDefault="0088175B" w:rsidP="0088175B">
      <w:pPr>
        <w:pStyle w:val="Heading3"/>
      </w:pPr>
      <w:r w:rsidRPr="00A678DB">
        <w:lastRenderedPageBreak/>
        <w:t>Chart 3: Deferred products - Age Pension</w:t>
      </w:r>
    </w:p>
    <w:p w:rsidR="0088175B" w:rsidRPr="00A678DB" w:rsidRDefault="00A678DB" w:rsidP="0088175B">
      <w:r>
        <w:rPr>
          <w:noProof/>
        </w:rPr>
        <w:drawing>
          <wp:inline distT="0" distB="0" distL="0" distR="0" wp14:anchorId="5B69614D">
            <wp:extent cx="5937885" cy="3237230"/>
            <wp:effectExtent l="0" t="0" r="5715" b="1270"/>
            <wp:docPr id="37" name="Picture 37" descr="Products with a deferred component perform better in terms of Age Pension during the deferral period. After the deferral period, products with a greater ABIS component recieve more Age Pension."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88175B" w:rsidRPr="00A678DB" w:rsidRDefault="0088175B" w:rsidP="0088175B"/>
    <w:p w:rsidR="0088175B" w:rsidRPr="00A678DB" w:rsidRDefault="0088175B" w:rsidP="0088175B">
      <w:pPr>
        <w:pStyle w:val="Heading3"/>
      </w:pPr>
      <w:r w:rsidRPr="00A678DB">
        <w:t>Chart 4: Deferred products - Total income (Age Pension + Product Income)</w:t>
      </w:r>
    </w:p>
    <w:p w:rsidR="0088175B" w:rsidRPr="00A678DB" w:rsidRDefault="00A678DB" w:rsidP="0088175B">
      <w:pPr>
        <w:spacing w:before="160" w:after="160"/>
        <w:rPr>
          <w:rFonts w:eastAsia="Calibri" w:cs="Calibri"/>
          <w:noProof/>
        </w:rPr>
      </w:pPr>
      <w:r>
        <w:rPr>
          <w:rFonts w:eastAsia="Calibri" w:cs="Calibri"/>
          <w:noProof/>
        </w:rPr>
        <w:drawing>
          <wp:inline distT="0" distB="0" distL="0" distR="0" wp14:anchorId="01834697">
            <wp:extent cx="5937885" cy="3237230"/>
            <wp:effectExtent l="0" t="0" r="5715" b="1270"/>
            <wp:docPr id="38" name="Picture 38" descr="Products with a deferred component generally perform better in terms of total income during the deferral period. After the deferral period, products a deferred component perform markedly better. " title="Chart 4 Deferred Products Tot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88175B" w:rsidRPr="00A678DB" w:rsidRDefault="0088175B" w:rsidP="0088175B">
      <w:pPr>
        <w:rPr>
          <w:iCs/>
        </w:rPr>
      </w:pPr>
    </w:p>
    <w:p w:rsidR="0088175B" w:rsidRPr="00A678DB" w:rsidRDefault="0088175B" w:rsidP="0088175B">
      <w:pPr>
        <w:rPr>
          <w:iCs/>
        </w:rPr>
      </w:pPr>
    </w:p>
    <w:p w:rsidR="0088175B" w:rsidRPr="00A678DB" w:rsidRDefault="0088175B" w:rsidP="0088175B">
      <w:pPr>
        <w:pStyle w:val="Heading3"/>
        <w:rPr>
          <w:iCs/>
        </w:rPr>
      </w:pPr>
      <w:r w:rsidRPr="00A678DB">
        <w:lastRenderedPageBreak/>
        <w:t>Chart 5: Difference in Age Pension and total income when 30 per cent is invested in a lifetime annuity, compared to if all funds were invested in an ABIS</w:t>
      </w:r>
    </w:p>
    <w:p w:rsidR="0088175B" w:rsidRPr="00A678DB" w:rsidRDefault="00A678DB" w:rsidP="0088175B">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1F8B52E3">
            <wp:extent cx="5937885" cy="3731260"/>
            <wp:effectExtent l="0" t="0" r="5715" b="2540"/>
            <wp:docPr id="39" name="Picture 39" descr="After age 65, a person is better off in terms of total income investing 30 per cent in a lifetime annuity compared to if all funds were invested in an ABIS. &#10;&#10;After age 83, a person is worse off, or no better off, in terms of Age Pension outcomes investing 30 per cent in a lifetime annuity compared to if all funds were invested in an ABIS. Before this they are better off in terms of Age Pension outcome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88175B" w:rsidRPr="00A678DB" w:rsidRDefault="0088175B" w:rsidP="0088175B">
      <w:pPr>
        <w:rPr>
          <w:rStyle w:val="SubtleEmphasis"/>
          <w:rFonts w:ascii="Georgia" w:eastAsiaTheme="majorEastAsia" w:hAnsi="Georgia" w:cstheme="majorBidi"/>
          <w:bCs/>
          <w:i w:val="0"/>
          <w:sz w:val="26"/>
        </w:rPr>
      </w:pPr>
    </w:p>
    <w:p w:rsidR="0088175B" w:rsidRPr="00A678DB" w:rsidRDefault="0088175B" w:rsidP="0088175B">
      <w:pPr>
        <w:pStyle w:val="Heading3"/>
        <w:rPr>
          <w:rStyle w:val="SubtleEmphasis"/>
          <w:i w:val="0"/>
        </w:rPr>
      </w:pPr>
      <w:r w:rsidRPr="00A678DB">
        <w:rPr>
          <w:rStyle w:val="SubtleEmphasis"/>
          <w:i w:val="0"/>
        </w:rPr>
        <w:t>Total retirement outcomes</w:t>
      </w:r>
      <w:r w:rsidRPr="00A678DB">
        <w:rPr>
          <w:rStyle w:val="SubtleEmphasis"/>
          <w:i w:val="0"/>
        </w:rPr>
        <w:br/>
      </w:r>
    </w:p>
    <w:tbl>
      <w:tblPr>
        <w:tblW w:w="98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88175B" w:rsidRPr="00A678DB" w:rsidTr="00A678D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88175B" w:rsidRPr="00A678DB" w:rsidRDefault="0088175B" w:rsidP="0088175B">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88175B" w:rsidRPr="00A678DB" w:rsidRDefault="0088175B" w:rsidP="0088175B">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88175B" w:rsidRPr="00A678DB" w:rsidTr="00A678DB">
        <w:trPr>
          <w:trHeight w:val="660"/>
          <w:tblHeader/>
        </w:trPr>
        <w:tc>
          <w:tcPr>
            <w:tcW w:w="2536" w:type="dxa"/>
            <w:tcBorders>
              <w:top w:val="nil"/>
              <w:left w:val="single" w:sz="4" w:space="0" w:color="auto"/>
              <w:bottom w:val="nil"/>
              <w:right w:val="nil"/>
            </w:tcBorders>
            <w:shd w:val="clear" w:color="000000" w:fill="16365C"/>
            <w:vAlign w:val="bottom"/>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88175B" w:rsidRPr="00A678DB" w:rsidRDefault="0088175B" w:rsidP="0088175B">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88175B"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88175B" w:rsidRPr="00A678DB" w:rsidRDefault="0088175B" w:rsidP="0088175B">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210,957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298,319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248,478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295,424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271,963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255,873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257,408 </w:t>
            </w:r>
          </w:p>
        </w:tc>
      </w:tr>
      <w:tr w:rsidR="0088175B"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88175B" w:rsidRPr="00A678DB" w:rsidRDefault="0088175B" w:rsidP="0088175B">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444,572 </w:t>
            </w:r>
          </w:p>
        </w:tc>
        <w:tc>
          <w:tcPr>
            <w:tcW w:w="108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538,819 </w:t>
            </w:r>
          </w:p>
        </w:tc>
        <w:tc>
          <w:tcPr>
            <w:tcW w:w="108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472,846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549,732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497,152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507,385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514,179 </w:t>
            </w:r>
          </w:p>
        </w:tc>
      </w:tr>
      <w:tr w:rsidR="0088175B" w:rsidRPr="00A678DB" w:rsidTr="00D2264C">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88175B" w:rsidRPr="00A678DB" w:rsidRDefault="0088175B" w:rsidP="0088175B">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655,529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837,139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721,324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845,155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769,115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763,258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88175B" w:rsidRPr="00A678DB" w:rsidRDefault="0088175B" w:rsidP="0088175B">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771,587 </w:t>
            </w:r>
          </w:p>
        </w:tc>
      </w:tr>
      <w:tr w:rsidR="0088175B"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88175B" w:rsidRPr="00A678DB" w:rsidRDefault="0088175B" w:rsidP="0088175B">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116,982 </w:t>
            </w:r>
          </w:p>
        </w:tc>
        <w:tc>
          <w:tcPr>
            <w:tcW w:w="108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38,756 </w:t>
            </w:r>
          </w:p>
        </w:tc>
        <w:tc>
          <w:tcPr>
            <w:tcW w:w="108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93,514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58,491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48,140 </w:t>
            </w:r>
          </w:p>
        </w:tc>
        <w:tc>
          <w:tcPr>
            <w:tcW w:w="1000" w:type="dxa"/>
            <w:tcBorders>
              <w:top w:val="nil"/>
              <w:left w:val="nil"/>
              <w:bottom w:val="nil"/>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41,730 </w:t>
            </w:r>
          </w:p>
        </w:tc>
      </w:tr>
      <w:tr w:rsidR="0088175B"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88175B" w:rsidRPr="00A678DB" w:rsidRDefault="0088175B" w:rsidP="0088175B">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772,511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875,895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814,838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845,155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827,606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811,399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8175B" w:rsidRPr="00A678DB" w:rsidRDefault="0088175B" w:rsidP="0088175B">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813,317 </w:t>
            </w:r>
          </w:p>
        </w:tc>
      </w:tr>
    </w:tbl>
    <w:p w:rsidR="00D2264C" w:rsidRPr="00A678DB" w:rsidRDefault="00D2264C">
      <w:pPr>
        <w:keepLines w:val="0"/>
        <w:spacing w:before="0" w:after="200" w:line="276" w:lineRule="auto"/>
        <w:rPr>
          <w:rFonts w:ascii="Georgia" w:eastAsiaTheme="majorEastAsia" w:hAnsi="Georgia" w:cstheme="majorBidi"/>
          <w:bCs/>
          <w:color w:val="005A70"/>
          <w:sz w:val="32"/>
          <w:szCs w:val="26"/>
        </w:rPr>
      </w:pPr>
    </w:p>
    <w:p w:rsidR="00BA10CC" w:rsidRPr="00A678DB" w:rsidRDefault="00BA10CC" w:rsidP="00BA10CC">
      <w:pPr>
        <w:rPr>
          <w:rFonts w:eastAsia="Calibri" w:cs="Arial"/>
          <w:iCs/>
          <w:spacing w:val="5"/>
        </w:rPr>
        <w:sectPr w:rsidR="00BA10CC" w:rsidRPr="00A678DB" w:rsidSect="00A8086B">
          <w:footerReference w:type="default" r:id="rId33"/>
          <w:pgSz w:w="11906" w:h="16838"/>
          <w:pgMar w:top="1134" w:right="1418" w:bottom="1418" w:left="1134" w:header="851" w:footer="0" w:gutter="0"/>
          <w:cols w:space="708"/>
          <w:docGrid w:linePitch="360"/>
        </w:sectPr>
      </w:pPr>
    </w:p>
    <w:p w:rsidR="00D2264C" w:rsidRPr="00A678DB" w:rsidRDefault="00D2264C" w:rsidP="00BA10CC">
      <w:pPr>
        <w:pStyle w:val="Heading2"/>
      </w:pPr>
      <w:r w:rsidRPr="00A678DB">
        <w:rPr>
          <w:rFonts w:eastAsia="Calibri" w:cs="Arial"/>
          <w:iCs/>
          <w:spacing w:val="5"/>
        </w:rPr>
        <w:lastRenderedPageBreak/>
        <w:t xml:space="preserve">4. </w:t>
      </w:r>
      <w:r w:rsidRPr="00A678DB">
        <w:t>Outcomes for a homeowner couple with $400,000 in superannuation and no other assessable assets</w:t>
      </w:r>
    </w:p>
    <w:p w:rsidR="00D2264C" w:rsidRPr="00A678DB" w:rsidRDefault="00D2264C" w:rsidP="00D2264C">
      <w:pPr>
        <w:pStyle w:val="Heading3"/>
      </w:pPr>
    </w:p>
    <w:p w:rsidR="00D2264C" w:rsidRPr="00A678DB" w:rsidRDefault="00D2264C" w:rsidP="00D2264C">
      <w:pPr>
        <w:pStyle w:val="Heading3"/>
      </w:pPr>
      <w:r w:rsidRPr="00A678DB">
        <w:t>Chart 1: Immediate products - Age Pension</w:t>
      </w:r>
    </w:p>
    <w:p w:rsidR="00D2264C" w:rsidRPr="00A678DB" w:rsidRDefault="00A678DB" w:rsidP="00D2264C">
      <w:r>
        <w:rPr>
          <w:noProof/>
        </w:rPr>
        <w:drawing>
          <wp:inline distT="0" distB="0" distL="0" distR="0" wp14:anchorId="286C8E4D">
            <wp:extent cx="5937885" cy="3237230"/>
            <wp:effectExtent l="0" t="0" r="5715" b="1270"/>
            <wp:docPr id="40" name="Picture 40" descr="Age Pension outcomes increase with age. Outcomes for those with an ABIS component are higher than those without an ABIS component.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2264C" w:rsidRPr="00A678DB" w:rsidRDefault="00D2264C" w:rsidP="00D2264C">
      <w:pPr>
        <w:pStyle w:val="Heading3"/>
      </w:pPr>
    </w:p>
    <w:p w:rsidR="00D2264C" w:rsidRPr="00A678DB" w:rsidRDefault="00D2264C" w:rsidP="00D2264C">
      <w:pPr>
        <w:pStyle w:val="Heading3"/>
      </w:pPr>
      <w:r w:rsidRPr="00A678DB">
        <w:t>Chart 2: Immediate products - Total income (Age Pension + Product Income)</w:t>
      </w:r>
    </w:p>
    <w:p w:rsidR="00D2264C" w:rsidRPr="00A678DB" w:rsidRDefault="00A678DB" w:rsidP="00D2264C">
      <w:r>
        <w:rPr>
          <w:noProof/>
        </w:rPr>
        <w:drawing>
          <wp:inline distT="0" distB="0" distL="0" distR="0" wp14:anchorId="676EB361">
            <wp:extent cx="5937885" cy="3237230"/>
            <wp:effectExtent l="0" t="0" r="5715" b="1270"/>
            <wp:docPr id="42" name="Picture 42" descr="Products with a lifetime product component generally perform better in terms of total income,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2264C" w:rsidRPr="00A678DB" w:rsidRDefault="00D2264C" w:rsidP="00D2264C">
      <w:pPr>
        <w:pStyle w:val="Heading3"/>
      </w:pPr>
      <w:r w:rsidRPr="00A678DB">
        <w:lastRenderedPageBreak/>
        <w:t>Chart 3: Deferred products - Age Pension</w:t>
      </w:r>
    </w:p>
    <w:p w:rsidR="00D2264C" w:rsidRPr="00A678DB" w:rsidRDefault="00A678DB" w:rsidP="00D2264C">
      <w:r>
        <w:rPr>
          <w:noProof/>
        </w:rPr>
        <w:drawing>
          <wp:inline distT="0" distB="0" distL="0" distR="0" wp14:anchorId="14BD16A8">
            <wp:extent cx="5937885" cy="3237230"/>
            <wp:effectExtent l="0" t="0" r="5715" b="1270"/>
            <wp:docPr id="46" name="Picture 46"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2264C" w:rsidRPr="00A678DB" w:rsidRDefault="00D2264C" w:rsidP="00D2264C"/>
    <w:p w:rsidR="00D2264C" w:rsidRPr="00A678DB" w:rsidRDefault="00D2264C" w:rsidP="00D2264C">
      <w:pPr>
        <w:pStyle w:val="Heading3"/>
      </w:pPr>
      <w:r w:rsidRPr="00A678DB">
        <w:t>Chart 4: Deferred products - Total income (Age Pension + Product Income)</w:t>
      </w:r>
    </w:p>
    <w:p w:rsidR="00D2264C" w:rsidRPr="00A678DB" w:rsidRDefault="00A678DB" w:rsidP="00D2264C">
      <w:pPr>
        <w:spacing w:before="160" w:after="160"/>
        <w:rPr>
          <w:rFonts w:eastAsia="Calibri" w:cs="Calibri"/>
          <w:noProof/>
        </w:rPr>
      </w:pPr>
      <w:r>
        <w:rPr>
          <w:rFonts w:eastAsia="Calibri" w:cs="Calibri"/>
          <w:noProof/>
        </w:rPr>
        <w:drawing>
          <wp:inline distT="0" distB="0" distL="0" distR="0" wp14:anchorId="728E50BF">
            <wp:extent cx="5937885" cy="3237230"/>
            <wp:effectExtent l="0" t="0" r="5715" b="1270"/>
            <wp:docPr id="47" name="Picture 47" descr="Products with a deferred component generally perform better in terms of total income during the deferral period. After the deferral period, products a deferred component perform markedly better. " title="Chart 4 Deferred Products Tot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D2264C" w:rsidRPr="00A678DB" w:rsidRDefault="00D2264C" w:rsidP="00D2264C">
      <w:pPr>
        <w:rPr>
          <w:iCs/>
        </w:rPr>
      </w:pPr>
    </w:p>
    <w:p w:rsidR="00D2264C" w:rsidRPr="00A678DB" w:rsidRDefault="00D2264C" w:rsidP="00D2264C">
      <w:pPr>
        <w:rPr>
          <w:iCs/>
        </w:rPr>
      </w:pPr>
    </w:p>
    <w:p w:rsidR="00D2264C" w:rsidRPr="00A678DB" w:rsidRDefault="00D2264C" w:rsidP="00D2264C">
      <w:pPr>
        <w:pStyle w:val="Heading3"/>
        <w:rPr>
          <w:iCs/>
        </w:rPr>
      </w:pPr>
      <w:r w:rsidRPr="00A678DB">
        <w:lastRenderedPageBreak/>
        <w:t>Chart 5: Difference in Age Pension and total income when 30 per cent is invested in a lifetime annuity, compared to if all funds were invested in an ABIS</w:t>
      </w:r>
    </w:p>
    <w:p w:rsidR="00D2264C" w:rsidRPr="00A678DB" w:rsidRDefault="00A678DB" w:rsidP="00D2264C">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46A8089C">
            <wp:extent cx="5937885" cy="3731260"/>
            <wp:effectExtent l="0" t="0" r="5715" b="2540"/>
            <wp:docPr id="48" name="Picture 48" descr="After age 69, a person is better off in terms of total income investing 30 per cent in a lifetime annuity compared to if all funds were invested in an ABIS. Before this point they are worse off in terms of total income outcomes. &#10;&#10;After age 65, a person is worse off, or no better off, in terms of Age Pension outcomes investing 30 per cent in a lifetime annuity compared to if all funds were invested in an ABI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D2264C" w:rsidRPr="00A678DB" w:rsidRDefault="00D2264C" w:rsidP="00D2264C">
      <w:pPr>
        <w:rPr>
          <w:rStyle w:val="SubtleEmphasis"/>
          <w:rFonts w:ascii="Georgia" w:eastAsiaTheme="majorEastAsia" w:hAnsi="Georgia" w:cstheme="majorBidi"/>
          <w:bCs/>
          <w:i w:val="0"/>
          <w:sz w:val="26"/>
        </w:rPr>
      </w:pPr>
    </w:p>
    <w:p w:rsidR="00D2264C" w:rsidRPr="00A678DB" w:rsidRDefault="00D2264C" w:rsidP="00D2264C">
      <w:pPr>
        <w:pStyle w:val="Heading3"/>
        <w:rPr>
          <w:rStyle w:val="SubtleEmphasis"/>
          <w:i w:val="0"/>
        </w:rPr>
      </w:pPr>
      <w:r w:rsidRPr="00A678DB">
        <w:rPr>
          <w:rStyle w:val="SubtleEmphasis"/>
          <w:i w:val="0"/>
        </w:rPr>
        <w:t>Total retirement outcomes</w:t>
      </w:r>
      <w:r w:rsidRPr="00A678DB">
        <w:rPr>
          <w:rStyle w:val="SubtleEmphasis"/>
          <w:i w:val="0"/>
        </w:rPr>
        <w:br/>
      </w:r>
    </w:p>
    <w:tbl>
      <w:tblPr>
        <w:tblW w:w="103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80"/>
        <w:gridCol w:w="1140"/>
        <w:gridCol w:w="1140"/>
        <w:gridCol w:w="1140"/>
      </w:tblGrid>
      <w:tr w:rsidR="00D2264C" w:rsidRPr="00A678DB" w:rsidTr="00A678D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D2264C" w:rsidRPr="00A678DB" w:rsidRDefault="00D2264C" w:rsidP="00D2264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220" w:type="dxa"/>
            <w:gridSpan w:val="2"/>
            <w:tcBorders>
              <w:top w:val="single" w:sz="4" w:space="0" w:color="auto"/>
              <w:left w:val="nil"/>
              <w:bottom w:val="single" w:sz="4" w:space="0" w:color="auto"/>
              <w:right w:val="single" w:sz="4" w:space="0" w:color="000000"/>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28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D2264C" w:rsidRPr="00A678DB" w:rsidRDefault="00D2264C" w:rsidP="00D2264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D2264C" w:rsidRPr="00A678DB" w:rsidTr="00A678DB">
        <w:trPr>
          <w:trHeight w:val="660"/>
          <w:tblHeader/>
        </w:trPr>
        <w:tc>
          <w:tcPr>
            <w:tcW w:w="2536" w:type="dxa"/>
            <w:tcBorders>
              <w:top w:val="nil"/>
              <w:left w:val="single" w:sz="4" w:space="0" w:color="auto"/>
              <w:bottom w:val="nil"/>
              <w:right w:val="nil"/>
            </w:tcBorders>
            <w:shd w:val="clear" w:color="000000" w:fill="16365C"/>
            <w:vAlign w:val="bottom"/>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80" w:type="dxa"/>
            <w:tcBorders>
              <w:top w:val="nil"/>
              <w:left w:val="nil"/>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140" w:type="dxa"/>
            <w:tcBorders>
              <w:top w:val="nil"/>
              <w:left w:val="nil"/>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140" w:type="dxa"/>
            <w:tcBorders>
              <w:top w:val="nil"/>
              <w:left w:val="nil"/>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140" w:type="dxa"/>
            <w:tcBorders>
              <w:top w:val="nil"/>
              <w:left w:val="nil"/>
              <w:bottom w:val="nil"/>
              <w:right w:val="single" w:sz="4" w:space="0" w:color="auto"/>
            </w:tcBorders>
            <w:shd w:val="clear" w:color="000000" w:fill="16365C"/>
            <w:vAlign w:val="center"/>
            <w:hideMark/>
          </w:tcPr>
          <w:p w:rsidR="00D2264C" w:rsidRPr="00A678DB" w:rsidRDefault="00D2264C" w:rsidP="00D2264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D2264C"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D2264C" w:rsidRPr="00A678DB" w:rsidRDefault="00D2264C" w:rsidP="00D2264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630,223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597,811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627,425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595,629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623,059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622,911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630,537 </w:t>
            </w:r>
          </w:p>
        </w:tc>
      </w:tr>
      <w:tr w:rsidR="00D2264C"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D2264C" w:rsidRPr="00A678DB" w:rsidRDefault="00D2264C" w:rsidP="00D2264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296,382 </w:t>
            </w:r>
          </w:p>
        </w:tc>
        <w:tc>
          <w:tcPr>
            <w:tcW w:w="108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359,213 </w:t>
            </w:r>
          </w:p>
        </w:tc>
        <w:tc>
          <w:tcPr>
            <w:tcW w:w="108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315,231 </w:t>
            </w:r>
          </w:p>
        </w:tc>
        <w:tc>
          <w:tcPr>
            <w:tcW w:w="108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366,488 </w:t>
            </w:r>
          </w:p>
        </w:tc>
        <w:tc>
          <w:tcPr>
            <w:tcW w:w="114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331,435 </w:t>
            </w:r>
          </w:p>
        </w:tc>
        <w:tc>
          <w:tcPr>
            <w:tcW w:w="114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338,257 </w:t>
            </w:r>
          </w:p>
        </w:tc>
        <w:tc>
          <w:tcPr>
            <w:tcW w:w="114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342,786 </w:t>
            </w:r>
          </w:p>
        </w:tc>
      </w:tr>
      <w:tr w:rsidR="00D2264C" w:rsidRPr="00A678DB" w:rsidTr="00D2264C">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D2264C" w:rsidRPr="00A678DB" w:rsidRDefault="00D2264C" w:rsidP="00D2264C">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926,605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957,024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942,656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962,117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954,493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961,167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D2264C" w:rsidRPr="00A678DB" w:rsidRDefault="00D2264C" w:rsidP="00D2264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973,323 </w:t>
            </w:r>
          </w:p>
        </w:tc>
      </w:tr>
      <w:tr w:rsidR="00D2264C" w:rsidRPr="00A678DB" w:rsidTr="00D2264C">
        <w:trPr>
          <w:trHeight w:val="435"/>
        </w:trPr>
        <w:tc>
          <w:tcPr>
            <w:tcW w:w="2536" w:type="dxa"/>
            <w:tcBorders>
              <w:top w:val="nil"/>
              <w:left w:val="single" w:sz="4" w:space="0" w:color="auto"/>
              <w:bottom w:val="nil"/>
              <w:right w:val="nil"/>
            </w:tcBorders>
            <w:shd w:val="clear" w:color="auto" w:fill="auto"/>
            <w:noWrap/>
            <w:vAlign w:val="bottom"/>
            <w:hideMark/>
          </w:tcPr>
          <w:p w:rsidR="00D2264C" w:rsidRPr="00A678DB" w:rsidRDefault="00D2264C" w:rsidP="00D2264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77,988 </w:t>
            </w:r>
          </w:p>
        </w:tc>
        <w:tc>
          <w:tcPr>
            <w:tcW w:w="108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25,837 </w:t>
            </w:r>
          </w:p>
        </w:tc>
        <w:tc>
          <w:tcPr>
            <w:tcW w:w="108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62,343 </w:t>
            </w:r>
          </w:p>
        </w:tc>
        <w:tc>
          <w:tcPr>
            <w:tcW w:w="108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14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38,994 </w:t>
            </w:r>
          </w:p>
        </w:tc>
        <w:tc>
          <w:tcPr>
            <w:tcW w:w="114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32,094 </w:t>
            </w:r>
          </w:p>
        </w:tc>
        <w:tc>
          <w:tcPr>
            <w:tcW w:w="1140" w:type="dxa"/>
            <w:tcBorders>
              <w:top w:val="nil"/>
              <w:left w:val="nil"/>
              <w:bottom w:val="nil"/>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27,820 </w:t>
            </w:r>
          </w:p>
        </w:tc>
      </w:tr>
      <w:tr w:rsidR="00D2264C" w:rsidRPr="00A678DB" w:rsidTr="00D2264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D2264C" w:rsidRPr="00A678DB" w:rsidRDefault="00D2264C" w:rsidP="00D2264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1,004,593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982,862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1,004,999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962,117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993,487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993,261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D2264C" w:rsidRPr="00A678DB" w:rsidRDefault="00D2264C" w:rsidP="00D2264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1,001,143 </w:t>
            </w:r>
          </w:p>
        </w:tc>
      </w:tr>
    </w:tbl>
    <w:p w:rsidR="00D2264C" w:rsidRPr="00A678DB" w:rsidRDefault="00D2264C" w:rsidP="00D2264C">
      <w:pPr>
        <w:keepLines w:val="0"/>
        <w:spacing w:before="0" w:after="200" w:line="276" w:lineRule="auto"/>
        <w:rPr>
          <w:rFonts w:ascii="Georgia" w:eastAsiaTheme="majorEastAsia" w:hAnsi="Georgia" w:cstheme="majorBidi"/>
          <w:bCs/>
          <w:color w:val="005A70"/>
          <w:sz w:val="32"/>
          <w:szCs w:val="26"/>
        </w:rPr>
      </w:pPr>
    </w:p>
    <w:p w:rsidR="00BA10CC" w:rsidRPr="00A678DB" w:rsidRDefault="00BA10CC" w:rsidP="00BA10CC">
      <w:pPr>
        <w:keepLines w:val="0"/>
        <w:spacing w:before="0" w:after="200" w:line="276" w:lineRule="auto"/>
        <w:rPr>
          <w:rFonts w:eastAsia="Calibri" w:cs="Arial"/>
          <w:iCs/>
          <w:spacing w:val="5"/>
        </w:rPr>
        <w:sectPr w:rsidR="00BA10CC" w:rsidRPr="00A678DB" w:rsidSect="00A8086B">
          <w:footerReference w:type="default" r:id="rId39"/>
          <w:pgSz w:w="11906" w:h="16838"/>
          <w:pgMar w:top="1134" w:right="1418" w:bottom="1418" w:left="1134" w:header="851" w:footer="0" w:gutter="0"/>
          <w:cols w:space="708"/>
          <w:docGrid w:linePitch="360"/>
        </w:sectPr>
      </w:pPr>
    </w:p>
    <w:p w:rsidR="00F75124" w:rsidRPr="00A678DB" w:rsidRDefault="00F75124" w:rsidP="00BA10CC">
      <w:pPr>
        <w:pStyle w:val="Heading2"/>
      </w:pPr>
      <w:r w:rsidRPr="00A678DB">
        <w:rPr>
          <w:rFonts w:eastAsia="Calibri" w:cs="Arial"/>
          <w:iCs/>
          <w:spacing w:val="5"/>
        </w:rPr>
        <w:lastRenderedPageBreak/>
        <w:t xml:space="preserve">5. </w:t>
      </w:r>
      <w:r w:rsidRPr="00A678DB">
        <w:t>Outcomes for a homeowner couple with $800,000 in superannuation and no other assessable assets</w:t>
      </w:r>
    </w:p>
    <w:p w:rsidR="00F75124" w:rsidRPr="00A678DB" w:rsidRDefault="00F75124" w:rsidP="00F75124">
      <w:pPr>
        <w:pStyle w:val="Heading3"/>
      </w:pPr>
    </w:p>
    <w:p w:rsidR="00F75124" w:rsidRPr="00A678DB" w:rsidRDefault="00F75124" w:rsidP="00F75124">
      <w:pPr>
        <w:pStyle w:val="Heading3"/>
      </w:pPr>
      <w:r w:rsidRPr="00A678DB">
        <w:t>Chart 1: Immediate products - Age Pension</w:t>
      </w:r>
    </w:p>
    <w:p w:rsidR="00F75124" w:rsidRPr="00A678DB" w:rsidRDefault="00A678DB" w:rsidP="00F75124">
      <w:r>
        <w:rPr>
          <w:noProof/>
        </w:rPr>
        <w:drawing>
          <wp:inline distT="0" distB="0" distL="0" distR="0" wp14:anchorId="18844B36">
            <wp:extent cx="5937885" cy="3237230"/>
            <wp:effectExtent l="0" t="0" r="5715" b="1270"/>
            <wp:docPr id="49" name="Picture 49" descr="Age Pension outcomes increase with age. Outcomes for those without an ABIS component are higher than those with an ABIS component for the first 10 years or so of retirement. After this point outcomes with an ABIS component recieve more Age Pension.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Pr>
        <w:pStyle w:val="Heading3"/>
      </w:pPr>
    </w:p>
    <w:p w:rsidR="00F75124" w:rsidRPr="00A678DB" w:rsidRDefault="00F75124" w:rsidP="00F75124">
      <w:pPr>
        <w:pStyle w:val="Heading3"/>
      </w:pPr>
      <w:r w:rsidRPr="00A678DB">
        <w:t>Chart 2: Immediate products - Total income (Age Pension + Product Income)</w:t>
      </w:r>
    </w:p>
    <w:p w:rsidR="00F75124" w:rsidRPr="00A678DB" w:rsidRDefault="00A678DB" w:rsidP="00F75124">
      <w:r>
        <w:rPr>
          <w:noProof/>
        </w:rPr>
        <w:drawing>
          <wp:inline distT="0" distB="0" distL="0" distR="0" wp14:anchorId="49D32E62">
            <wp:extent cx="5937885" cy="3237230"/>
            <wp:effectExtent l="0" t="0" r="5715" b="1270"/>
            <wp:docPr id="50" name="Picture 50" descr="Products with a lifetime product component generally perform better in terms of total income in each year of retirement,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Pr>
        <w:pStyle w:val="Heading3"/>
      </w:pPr>
      <w:r w:rsidRPr="00A678DB">
        <w:lastRenderedPageBreak/>
        <w:t>Chart 3: Deferred products - Age Pension</w:t>
      </w:r>
    </w:p>
    <w:p w:rsidR="00F75124" w:rsidRPr="00A678DB" w:rsidRDefault="00A678DB" w:rsidP="00F75124">
      <w:r>
        <w:rPr>
          <w:noProof/>
        </w:rPr>
        <w:drawing>
          <wp:inline distT="0" distB="0" distL="0" distR="0" wp14:anchorId="67C849DC">
            <wp:extent cx="5937885" cy="3237230"/>
            <wp:effectExtent l="0" t="0" r="5715" b="1270"/>
            <wp:docPr id="51" name="Picture 51"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 w:rsidR="00F75124" w:rsidRPr="00A678DB" w:rsidRDefault="00F75124" w:rsidP="00F75124">
      <w:pPr>
        <w:pStyle w:val="Heading3"/>
      </w:pPr>
      <w:r w:rsidRPr="00A678DB">
        <w:t>Chart 4: Deferred products - Total income (Age Pension + Product Income)</w:t>
      </w:r>
    </w:p>
    <w:p w:rsidR="00F75124" w:rsidRPr="00A678DB" w:rsidRDefault="00A678DB" w:rsidP="00F75124">
      <w:pPr>
        <w:spacing w:before="160" w:after="160"/>
        <w:rPr>
          <w:rFonts w:eastAsia="Calibri" w:cs="Calibri"/>
          <w:noProof/>
        </w:rPr>
      </w:pPr>
      <w:r>
        <w:rPr>
          <w:rFonts w:eastAsia="Calibri" w:cs="Calibri"/>
          <w:noProof/>
        </w:rPr>
        <w:drawing>
          <wp:inline distT="0" distB="0" distL="0" distR="0" wp14:anchorId="12CFEE13">
            <wp:extent cx="5937885" cy="3237230"/>
            <wp:effectExtent l="0" t="0" r="5715" b="1270"/>
            <wp:docPr id="56" name="Picture 56" descr="Products with a deferred component generally perform better in terms of total income during the deferral period. After the deferral period, products a deferred component perform markedly better.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Pr>
        <w:rPr>
          <w:iCs/>
        </w:rPr>
      </w:pPr>
    </w:p>
    <w:p w:rsidR="00F75124" w:rsidRPr="00A678DB" w:rsidRDefault="00F75124" w:rsidP="00F75124">
      <w:pPr>
        <w:rPr>
          <w:iCs/>
        </w:rPr>
      </w:pPr>
    </w:p>
    <w:p w:rsidR="00F75124" w:rsidRPr="00A678DB" w:rsidRDefault="00F75124" w:rsidP="00F75124">
      <w:pPr>
        <w:pStyle w:val="Heading3"/>
        <w:rPr>
          <w:iCs/>
        </w:rPr>
      </w:pPr>
      <w:r w:rsidRPr="00A678DB">
        <w:lastRenderedPageBreak/>
        <w:t>Chart 5: Difference in Age Pension and total income when 30 per cent is invested in a lifetime annuity, compared to if all funds were invested in an ABIS</w:t>
      </w:r>
    </w:p>
    <w:p w:rsidR="00F75124" w:rsidRPr="00A678DB" w:rsidRDefault="00A678DB" w:rsidP="00F75124">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3B2C5555">
            <wp:extent cx="5937885" cy="3731260"/>
            <wp:effectExtent l="0" t="0" r="5715" b="2540"/>
            <wp:docPr id="57" name="Picture 57" descr="After age 65, a person is better off in terms of total income investing 30 per cent in a lifetime annuity compared to if all funds were invested in an ABIS. &#10;&#10;After age 82, a person is worse off, or no better off, in terms of Age Pension outcomes investing 30 per cent in a lifetime annuity compared to if all funds were invested in an ABIS. Before this they are better off in terms of Age Pension outcome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F75124" w:rsidRPr="00A678DB" w:rsidRDefault="00F75124" w:rsidP="00F75124">
      <w:pPr>
        <w:rPr>
          <w:rStyle w:val="SubtleEmphasis"/>
          <w:rFonts w:ascii="Georgia" w:eastAsiaTheme="majorEastAsia" w:hAnsi="Georgia" w:cstheme="majorBidi"/>
          <w:bCs/>
          <w:i w:val="0"/>
          <w:sz w:val="26"/>
        </w:rPr>
      </w:pPr>
    </w:p>
    <w:p w:rsidR="00F75124" w:rsidRPr="00A678DB" w:rsidRDefault="00F75124" w:rsidP="00F75124">
      <w:pPr>
        <w:pStyle w:val="Heading3"/>
        <w:rPr>
          <w:rStyle w:val="SubtleEmphasis"/>
          <w:i w:val="0"/>
        </w:rPr>
      </w:pPr>
      <w:r w:rsidRPr="00A678DB">
        <w:rPr>
          <w:rStyle w:val="SubtleEmphasis"/>
          <w:i w:val="0"/>
        </w:rPr>
        <w:t>Total retirement outcomes</w:t>
      </w:r>
      <w:r w:rsidRPr="00A678DB">
        <w:rPr>
          <w:rStyle w:val="SubtleEmphasis"/>
          <w:i w:val="0"/>
        </w:rPr>
        <w:br/>
      </w:r>
    </w:p>
    <w:tbl>
      <w:tblPr>
        <w:tblW w:w="103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80"/>
        <w:gridCol w:w="1140"/>
        <w:gridCol w:w="1140"/>
        <w:gridCol w:w="1140"/>
      </w:tblGrid>
      <w:tr w:rsidR="00F75124" w:rsidRPr="00A678DB" w:rsidTr="00A678D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F75124" w:rsidRPr="00A678DB" w:rsidRDefault="00F75124" w:rsidP="00F75124">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220" w:type="dxa"/>
            <w:gridSpan w:val="2"/>
            <w:tcBorders>
              <w:top w:val="single" w:sz="4" w:space="0" w:color="auto"/>
              <w:left w:val="nil"/>
              <w:bottom w:val="single" w:sz="4" w:space="0" w:color="auto"/>
              <w:right w:val="single" w:sz="4" w:space="0" w:color="000000"/>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28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F75124" w:rsidRPr="00A678DB" w:rsidRDefault="00F75124" w:rsidP="00F75124">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F75124" w:rsidRPr="00A678DB" w:rsidTr="00A678DB">
        <w:trPr>
          <w:trHeight w:val="660"/>
          <w:tblHeader/>
        </w:trPr>
        <w:tc>
          <w:tcPr>
            <w:tcW w:w="2536" w:type="dxa"/>
            <w:tcBorders>
              <w:top w:val="nil"/>
              <w:left w:val="single" w:sz="4" w:space="0" w:color="auto"/>
              <w:bottom w:val="nil"/>
              <w:right w:val="nil"/>
            </w:tcBorders>
            <w:shd w:val="clear" w:color="000000" w:fill="16365C"/>
            <w:vAlign w:val="bottom"/>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80" w:type="dxa"/>
            <w:tcBorders>
              <w:top w:val="nil"/>
              <w:left w:val="nil"/>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140" w:type="dxa"/>
            <w:tcBorders>
              <w:top w:val="nil"/>
              <w:left w:val="nil"/>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140" w:type="dxa"/>
            <w:tcBorders>
              <w:top w:val="nil"/>
              <w:left w:val="nil"/>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140" w:type="dxa"/>
            <w:tcBorders>
              <w:top w:val="nil"/>
              <w:left w:val="nil"/>
              <w:bottom w:val="nil"/>
              <w:right w:val="single" w:sz="4" w:space="0" w:color="auto"/>
            </w:tcBorders>
            <w:shd w:val="clear" w:color="000000" w:fill="16365C"/>
            <w:vAlign w:val="center"/>
            <w:hideMark/>
          </w:tcPr>
          <w:p w:rsidR="00F75124" w:rsidRPr="00A678DB" w:rsidRDefault="00F75124" w:rsidP="00F75124">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F75124" w:rsidRPr="00A678DB" w:rsidTr="00F75124">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F75124" w:rsidRPr="00A678DB" w:rsidRDefault="00F75124" w:rsidP="00F75124">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395,072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490,048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449,162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485,683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476,075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451,543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453,937 </w:t>
            </w:r>
          </w:p>
        </w:tc>
      </w:tr>
      <w:tr w:rsidR="00F75124" w:rsidRPr="00A678DB" w:rsidTr="00F75124">
        <w:trPr>
          <w:trHeight w:val="435"/>
        </w:trPr>
        <w:tc>
          <w:tcPr>
            <w:tcW w:w="2536" w:type="dxa"/>
            <w:tcBorders>
              <w:top w:val="nil"/>
              <w:left w:val="single" w:sz="4" w:space="0" w:color="auto"/>
              <w:bottom w:val="nil"/>
              <w:right w:val="nil"/>
            </w:tcBorders>
            <w:shd w:val="clear" w:color="auto" w:fill="auto"/>
            <w:noWrap/>
            <w:vAlign w:val="bottom"/>
            <w:hideMark/>
          </w:tcPr>
          <w:p w:rsidR="00F75124" w:rsidRPr="00A678DB" w:rsidRDefault="00F75124" w:rsidP="00F75124">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592,763 </w:t>
            </w:r>
          </w:p>
        </w:tc>
        <w:tc>
          <w:tcPr>
            <w:tcW w:w="108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718,426 </w:t>
            </w:r>
          </w:p>
        </w:tc>
        <w:tc>
          <w:tcPr>
            <w:tcW w:w="108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630,462 </w:t>
            </w:r>
          </w:p>
        </w:tc>
        <w:tc>
          <w:tcPr>
            <w:tcW w:w="108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732,975 </w:t>
            </w:r>
          </w:p>
        </w:tc>
        <w:tc>
          <w:tcPr>
            <w:tcW w:w="114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662,869 </w:t>
            </w:r>
          </w:p>
        </w:tc>
        <w:tc>
          <w:tcPr>
            <w:tcW w:w="114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676,514 </w:t>
            </w:r>
          </w:p>
        </w:tc>
        <w:tc>
          <w:tcPr>
            <w:tcW w:w="114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685,572 </w:t>
            </w:r>
          </w:p>
        </w:tc>
      </w:tr>
      <w:tr w:rsidR="00F75124" w:rsidRPr="00A678DB" w:rsidTr="00F75124">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F75124" w:rsidRPr="00A678DB" w:rsidRDefault="00F75124" w:rsidP="00F75124">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987,835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   1,208,474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   1,079,623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   1,218,658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1,138,945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1,128,056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F75124" w:rsidRPr="00A678DB" w:rsidRDefault="00F75124" w:rsidP="00F75124">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1,139,509 </w:t>
            </w:r>
          </w:p>
        </w:tc>
      </w:tr>
      <w:tr w:rsidR="00F75124" w:rsidRPr="00A678DB" w:rsidTr="00F75124">
        <w:trPr>
          <w:trHeight w:val="435"/>
        </w:trPr>
        <w:tc>
          <w:tcPr>
            <w:tcW w:w="2536" w:type="dxa"/>
            <w:tcBorders>
              <w:top w:val="nil"/>
              <w:left w:val="single" w:sz="4" w:space="0" w:color="auto"/>
              <w:bottom w:val="nil"/>
              <w:right w:val="nil"/>
            </w:tcBorders>
            <w:shd w:val="clear" w:color="auto" w:fill="auto"/>
            <w:noWrap/>
            <w:vAlign w:val="bottom"/>
            <w:hideMark/>
          </w:tcPr>
          <w:p w:rsidR="00F75124" w:rsidRPr="00A678DB" w:rsidRDefault="00F75124" w:rsidP="00F75124">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155,976 </w:t>
            </w:r>
          </w:p>
        </w:tc>
        <w:tc>
          <w:tcPr>
            <w:tcW w:w="108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51,675 </w:t>
            </w:r>
          </w:p>
        </w:tc>
        <w:tc>
          <w:tcPr>
            <w:tcW w:w="108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124,686 </w:t>
            </w:r>
          </w:p>
        </w:tc>
        <w:tc>
          <w:tcPr>
            <w:tcW w:w="108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14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77,988 </w:t>
            </w:r>
          </w:p>
        </w:tc>
        <w:tc>
          <w:tcPr>
            <w:tcW w:w="114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64,187 </w:t>
            </w:r>
          </w:p>
        </w:tc>
        <w:tc>
          <w:tcPr>
            <w:tcW w:w="1140" w:type="dxa"/>
            <w:tcBorders>
              <w:top w:val="nil"/>
              <w:left w:val="nil"/>
              <w:bottom w:val="nil"/>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55,640 </w:t>
            </w:r>
          </w:p>
        </w:tc>
      </w:tr>
      <w:tr w:rsidR="00F75124" w:rsidRPr="00A678DB" w:rsidTr="00F75124">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F75124" w:rsidRPr="00A678DB" w:rsidRDefault="00F75124" w:rsidP="00F75124">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1,143,811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1,260,148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1,204,309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1,218,658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1,216,933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1,192,244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75124" w:rsidRPr="00A678DB" w:rsidRDefault="00F75124" w:rsidP="00F75124">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1,195,149 </w:t>
            </w:r>
          </w:p>
        </w:tc>
      </w:tr>
    </w:tbl>
    <w:p w:rsidR="00F75124" w:rsidRPr="00A678DB" w:rsidRDefault="00F75124" w:rsidP="00F75124">
      <w:pPr>
        <w:keepLines w:val="0"/>
        <w:spacing w:before="0" w:after="200" w:line="276" w:lineRule="auto"/>
        <w:rPr>
          <w:rFonts w:ascii="Georgia" w:eastAsiaTheme="majorEastAsia" w:hAnsi="Georgia" w:cstheme="majorBidi"/>
          <w:bCs/>
          <w:color w:val="005A70"/>
          <w:sz w:val="32"/>
          <w:szCs w:val="26"/>
        </w:rPr>
      </w:pPr>
    </w:p>
    <w:p w:rsidR="00BA10CC" w:rsidRPr="00A678DB" w:rsidRDefault="00BA10CC" w:rsidP="00BA10CC">
      <w:pPr>
        <w:rPr>
          <w:rFonts w:eastAsia="Calibri" w:cs="Arial"/>
          <w:iCs/>
          <w:spacing w:val="5"/>
        </w:rPr>
        <w:sectPr w:rsidR="00BA10CC" w:rsidRPr="00A678DB" w:rsidSect="00A8086B">
          <w:footerReference w:type="default" r:id="rId45"/>
          <w:pgSz w:w="11906" w:h="16838"/>
          <w:pgMar w:top="1134" w:right="1418" w:bottom="1418" w:left="1134" w:header="851" w:footer="0" w:gutter="0"/>
          <w:cols w:space="708"/>
          <w:docGrid w:linePitch="360"/>
        </w:sectPr>
      </w:pPr>
    </w:p>
    <w:p w:rsidR="00F75124" w:rsidRPr="00A678DB" w:rsidRDefault="00F75124" w:rsidP="00BA10CC">
      <w:pPr>
        <w:pStyle w:val="Heading2"/>
      </w:pPr>
      <w:r w:rsidRPr="00A678DB">
        <w:rPr>
          <w:rFonts w:eastAsia="Calibri" w:cs="Arial"/>
          <w:iCs/>
          <w:spacing w:val="5"/>
        </w:rPr>
        <w:lastRenderedPageBreak/>
        <w:t xml:space="preserve">6. </w:t>
      </w:r>
      <w:r w:rsidRPr="00A678DB">
        <w:t>Outcomes for a single non-homeowner with $400,000 in superannuation and no other assessable assets</w:t>
      </w:r>
    </w:p>
    <w:p w:rsidR="00F75124" w:rsidRPr="00A678DB" w:rsidRDefault="00F75124" w:rsidP="00F75124">
      <w:pPr>
        <w:pStyle w:val="Heading3"/>
      </w:pPr>
    </w:p>
    <w:p w:rsidR="00F75124" w:rsidRPr="00A678DB" w:rsidRDefault="00F75124" w:rsidP="00F75124">
      <w:pPr>
        <w:pStyle w:val="Heading3"/>
      </w:pPr>
      <w:r w:rsidRPr="00A678DB">
        <w:t>Chart 1: Immediate products - Age Pension</w:t>
      </w:r>
    </w:p>
    <w:p w:rsidR="00F75124" w:rsidRPr="00A678DB" w:rsidRDefault="00A678DB" w:rsidP="00F75124">
      <w:r>
        <w:rPr>
          <w:noProof/>
        </w:rPr>
        <w:drawing>
          <wp:inline distT="0" distB="0" distL="0" distR="0" wp14:anchorId="032B5ED7">
            <wp:extent cx="5937885" cy="3237230"/>
            <wp:effectExtent l="0" t="0" r="5715" b="1270"/>
            <wp:docPr id="58" name="Picture 58" descr="Age Pension outcomes increase with age. Outcomes for those with an ABIS component are higher than those without an ABIS component.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Pr>
        <w:pStyle w:val="Heading3"/>
      </w:pPr>
    </w:p>
    <w:p w:rsidR="00F75124" w:rsidRPr="00A678DB" w:rsidRDefault="00F75124" w:rsidP="00F75124">
      <w:pPr>
        <w:pStyle w:val="Heading3"/>
      </w:pPr>
      <w:r w:rsidRPr="00A678DB">
        <w:t>Chart 2: Immediate products - Total income (Age Pension + Product Income)</w:t>
      </w:r>
    </w:p>
    <w:p w:rsidR="00F75124" w:rsidRPr="00A678DB" w:rsidRDefault="000513BB" w:rsidP="00F75124">
      <w:r>
        <w:rPr>
          <w:noProof/>
        </w:rPr>
        <w:drawing>
          <wp:inline distT="0" distB="0" distL="0" distR="0" wp14:anchorId="7F159C32">
            <wp:extent cx="5937885" cy="3237230"/>
            <wp:effectExtent l="0" t="0" r="5715" b="1270"/>
            <wp:docPr id="59" name="Picture 59" descr="Products with a lifetime product component generally perform better in terms of total income,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Pr>
        <w:pStyle w:val="Heading3"/>
      </w:pPr>
      <w:r w:rsidRPr="00A678DB">
        <w:lastRenderedPageBreak/>
        <w:t>Chart 3: Deferred products - Age Pension</w:t>
      </w:r>
    </w:p>
    <w:p w:rsidR="00F75124" w:rsidRPr="00A678DB" w:rsidRDefault="000513BB" w:rsidP="00F75124">
      <w:r>
        <w:rPr>
          <w:noProof/>
        </w:rPr>
        <w:drawing>
          <wp:inline distT="0" distB="0" distL="0" distR="0" wp14:anchorId="555FDB4A">
            <wp:extent cx="5937885" cy="3237230"/>
            <wp:effectExtent l="0" t="0" r="5715" b="1270"/>
            <wp:docPr id="60" name="Picture 60"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 w:rsidR="00F75124" w:rsidRPr="00A678DB" w:rsidRDefault="00F75124" w:rsidP="00F75124">
      <w:pPr>
        <w:pStyle w:val="Heading3"/>
      </w:pPr>
      <w:r w:rsidRPr="00A678DB">
        <w:t>Chart 4: Deferred products - Total income (Age Pension + Product Income)</w:t>
      </w:r>
    </w:p>
    <w:p w:rsidR="00F75124" w:rsidRPr="00A678DB" w:rsidRDefault="000513BB" w:rsidP="00F75124">
      <w:pPr>
        <w:spacing w:before="160" w:after="160"/>
        <w:rPr>
          <w:rFonts w:eastAsia="Calibri" w:cs="Calibri"/>
          <w:noProof/>
        </w:rPr>
      </w:pPr>
      <w:r>
        <w:rPr>
          <w:rFonts w:eastAsia="Calibri" w:cs="Calibri"/>
          <w:noProof/>
        </w:rPr>
        <w:drawing>
          <wp:inline distT="0" distB="0" distL="0" distR="0" wp14:anchorId="1E521D2C">
            <wp:extent cx="5937885" cy="3237230"/>
            <wp:effectExtent l="0" t="0" r="5715" b="1270"/>
            <wp:docPr id="61" name="Picture 61" descr="Products with a deferred component generally perform better in terms of total income during the deferral period. After the deferral period, products a deferred component perform markedly better.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75124" w:rsidRPr="00A678DB" w:rsidRDefault="00F75124" w:rsidP="00F75124">
      <w:pPr>
        <w:rPr>
          <w:iCs/>
        </w:rPr>
      </w:pPr>
    </w:p>
    <w:p w:rsidR="00F75124" w:rsidRPr="00A678DB" w:rsidRDefault="00F75124" w:rsidP="00F75124">
      <w:pPr>
        <w:rPr>
          <w:iCs/>
        </w:rPr>
      </w:pPr>
    </w:p>
    <w:p w:rsidR="00F75124" w:rsidRPr="00A678DB" w:rsidRDefault="00F75124" w:rsidP="00F75124">
      <w:pPr>
        <w:pStyle w:val="Heading3"/>
        <w:rPr>
          <w:iCs/>
        </w:rPr>
      </w:pPr>
      <w:r w:rsidRPr="00A678DB">
        <w:lastRenderedPageBreak/>
        <w:t>Chart 5: Difference in Age Pension and total income when 30 per cent is invested in a lifetime annuity, compared to if all funds were invested in an ABIS</w:t>
      </w:r>
    </w:p>
    <w:p w:rsidR="00F75124" w:rsidRPr="00A678DB" w:rsidRDefault="000513BB" w:rsidP="00F75124">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4237E232">
            <wp:extent cx="5937885" cy="3731260"/>
            <wp:effectExtent l="0" t="0" r="5715" b="2540"/>
            <wp:docPr id="62" name="Picture 62" descr="After age 69, a person is better off in terms of total income investing 30 per cent in a lifetime annuity compared to if all funds were invested in an ABIS. Before this point they are worse off in terms of total income. &#10;&#10;After age 65, a person is worse off, or no better off, in terms of Age Pension outcomes investing 30 per cent in a lifetime annuity compared to if all funds were invested in an ABI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F75124" w:rsidRPr="00A678DB" w:rsidRDefault="00F75124" w:rsidP="00F75124">
      <w:pPr>
        <w:rPr>
          <w:rStyle w:val="SubtleEmphasis"/>
          <w:rFonts w:ascii="Georgia" w:eastAsiaTheme="majorEastAsia" w:hAnsi="Georgia" w:cstheme="majorBidi"/>
          <w:bCs/>
          <w:i w:val="0"/>
          <w:sz w:val="26"/>
        </w:rPr>
      </w:pPr>
    </w:p>
    <w:p w:rsidR="00F75124" w:rsidRPr="00A678DB" w:rsidRDefault="00F75124" w:rsidP="00F75124">
      <w:pPr>
        <w:pStyle w:val="Heading3"/>
        <w:rPr>
          <w:rStyle w:val="SubtleEmphasis"/>
          <w:i w:val="0"/>
        </w:rPr>
      </w:pPr>
      <w:r w:rsidRPr="00A678DB">
        <w:rPr>
          <w:rStyle w:val="SubtleEmphasis"/>
          <w:i w:val="0"/>
        </w:rPr>
        <w:t>Total retirement outcomes</w:t>
      </w:r>
      <w:r w:rsidRPr="00A678DB">
        <w:rPr>
          <w:rStyle w:val="SubtleEmphasis"/>
          <w:i w:val="0"/>
        </w:rPr>
        <w:br/>
      </w:r>
    </w:p>
    <w:tbl>
      <w:tblPr>
        <w:tblW w:w="103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80"/>
        <w:gridCol w:w="1140"/>
        <w:gridCol w:w="1140"/>
        <w:gridCol w:w="1140"/>
      </w:tblGrid>
      <w:tr w:rsidR="00CA786C" w:rsidRPr="00A678DB" w:rsidTr="000513B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bookmarkStart w:id="22" w:name="_GoBack"/>
            <w:bookmarkEnd w:id="22"/>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CA786C" w:rsidRPr="00A678DB" w:rsidRDefault="00CA786C" w:rsidP="00CA786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220" w:type="dxa"/>
            <w:gridSpan w:val="2"/>
            <w:tcBorders>
              <w:top w:val="single" w:sz="4" w:space="0" w:color="auto"/>
              <w:left w:val="nil"/>
              <w:bottom w:val="single" w:sz="4" w:space="0" w:color="auto"/>
              <w:right w:val="single" w:sz="4" w:space="0" w:color="000000"/>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28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CA786C" w:rsidRPr="00A678DB" w:rsidRDefault="00CA786C" w:rsidP="00CA786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CA786C" w:rsidRPr="00A678DB" w:rsidTr="000513BB">
        <w:trPr>
          <w:trHeight w:val="660"/>
          <w:tblHeader/>
        </w:trPr>
        <w:tc>
          <w:tcPr>
            <w:tcW w:w="2536" w:type="dxa"/>
            <w:tcBorders>
              <w:top w:val="nil"/>
              <w:left w:val="single" w:sz="4" w:space="0" w:color="auto"/>
              <w:bottom w:val="nil"/>
              <w:right w:val="nil"/>
            </w:tcBorders>
            <w:shd w:val="clear" w:color="000000" w:fill="16365C"/>
            <w:vAlign w:val="bottom"/>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80" w:type="dxa"/>
            <w:tcBorders>
              <w:top w:val="nil"/>
              <w:left w:val="nil"/>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140" w:type="dxa"/>
            <w:tcBorders>
              <w:top w:val="nil"/>
              <w:left w:val="nil"/>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140" w:type="dxa"/>
            <w:tcBorders>
              <w:top w:val="nil"/>
              <w:left w:val="nil"/>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140" w:type="dxa"/>
            <w:tcBorders>
              <w:top w:val="nil"/>
              <w:left w:val="nil"/>
              <w:bottom w:val="nil"/>
              <w:right w:val="single" w:sz="4" w:space="0" w:color="auto"/>
            </w:tcBorders>
            <w:shd w:val="clear" w:color="000000" w:fill="16365C"/>
            <w:vAlign w:val="center"/>
            <w:hideMark/>
          </w:tcPr>
          <w:p w:rsidR="00CA786C" w:rsidRPr="00A678DB" w:rsidRDefault="00CA786C" w:rsidP="00CA786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CA786C" w:rsidRPr="00A678DB" w:rsidTr="00CA786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CA786C" w:rsidRPr="00A678DB" w:rsidRDefault="00CA786C" w:rsidP="00CA786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391,312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353,430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383,037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351,248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375,261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392,141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396,338 </w:t>
            </w:r>
          </w:p>
        </w:tc>
      </w:tr>
      <w:tr w:rsidR="00CA786C" w:rsidRPr="00A678DB" w:rsidTr="00CA786C">
        <w:trPr>
          <w:trHeight w:val="435"/>
        </w:trPr>
        <w:tc>
          <w:tcPr>
            <w:tcW w:w="2536" w:type="dxa"/>
            <w:tcBorders>
              <w:top w:val="nil"/>
              <w:left w:val="single" w:sz="4" w:space="0" w:color="auto"/>
              <w:bottom w:val="nil"/>
              <w:right w:val="nil"/>
            </w:tcBorders>
            <w:shd w:val="clear" w:color="auto" w:fill="auto"/>
            <w:noWrap/>
            <w:vAlign w:val="bottom"/>
            <w:hideMark/>
          </w:tcPr>
          <w:p w:rsidR="00CA786C" w:rsidRPr="00A678DB" w:rsidRDefault="00CA786C" w:rsidP="00CA786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296,382 </w:t>
            </w:r>
          </w:p>
        </w:tc>
        <w:tc>
          <w:tcPr>
            <w:tcW w:w="108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359,213 </w:t>
            </w:r>
          </w:p>
        </w:tc>
        <w:tc>
          <w:tcPr>
            <w:tcW w:w="108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315,231 </w:t>
            </w:r>
          </w:p>
        </w:tc>
        <w:tc>
          <w:tcPr>
            <w:tcW w:w="108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366,488 </w:t>
            </w:r>
          </w:p>
        </w:tc>
        <w:tc>
          <w:tcPr>
            <w:tcW w:w="114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331,435 </w:t>
            </w:r>
          </w:p>
        </w:tc>
        <w:tc>
          <w:tcPr>
            <w:tcW w:w="114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338,257 </w:t>
            </w:r>
          </w:p>
        </w:tc>
        <w:tc>
          <w:tcPr>
            <w:tcW w:w="114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342,786 </w:t>
            </w:r>
          </w:p>
        </w:tc>
      </w:tr>
      <w:tr w:rsidR="00CA786C" w:rsidRPr="00A678DB" w:rsidTr="00CA786C">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CA786C" w:rsidRPr="00A678DB" w:rsidRDefault="00CA786C" w:rsidP="00CA786C">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687,694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712,643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698,268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717,735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706,695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730,398 </w:t>
            </w:r>
          </w:p>
        </w:tc>
        <w:tc>
          <w:tcPr>
            <w:tcW w:w="1140" w:type="dxa"/>
            <w:tcBorders>
              <w:top w:val="single" w:sz="4" w:space="0" w:color="auto"/>
              <w:left w:val="nil"/>
              <w:bottom w:val="single" w:sz="4" w:space="0" w:color="auto"/>
              <w:right w:val="single" w:sz="4" w:space="0" w:color="auto"/>
            </w:tcBorders>
            <w:shd w:val="clear" w:color="000000" w:fill="D9D9D9"/>
            <w:noWrap/>
            <w:vAlign w:val="bottom"/>
            <w:hideMark/>
          </w:tcPr>
          <w:p w:rsidR="00CA786C" w:rsidRPr="00A678DB" w:rsidRDefault="00CA786C" w:rsidP="00CA786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739,124 </w:t>
            </w:r>
          </w:p>
        </w:tc>
      </w:tr>
      <w:tr w:rsidR="00CA786C" w:rsidRPr="00A678DB" w:rsidTr="00CA786C">
        <w:trPr>
          <w:trHeight w:val="435"/>
        </w:trPr>
        <w:tc>
          <w:tcPr>
            <w:tcW w:w="2536" w:type="dxa"/>
            <w:tcBorders>
              <w:top w:val="nil"/>
              <w:left w:val="single" w:sz="4" w:space="0" w:color="auto"/>
              <w:bottom w:val="nil"/>
              <w:right w:val="nil"/>
            </w:tcBorders>
            <w:shd w:val="clear" w:color="auto" w:fill="auto"/>
            <w:noWrap/>
            <w:vAlign w:val="bottom"/>
            <w:hideMark/>
          </w:tcPr>
          <w:p w:rsidR="00CA786C" w:rsidRPr="00A678DB" w:rsidRDefault="00CA786C" w:rsidP="00CA786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77,988 </w:t>
            </w:r>
          </w:p>
        </w:tc>
        <w:tc>
          <w:tcPr>
            <w:tcW w:w="108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25,837 </w:t>
            </w:r>
          </w:p>
        </w:tc>
        <w:tc>
          <w:tcPr>
            <w:tcW w:w="108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62,343 </w:t>
            </w:r>
          </w:p>
        </w:tc>
        <w:tc>
          <w:tcPr>
            <w:tcW w:w="108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14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38,994 </w:t>
            </w:r>
          </w:p>
        </w:tc>
        <w:tc>
          <w:tcPr>
            <w:tcW w:w="114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32,094 </w:t>
            </w:r>
          </w:p>
        </w:tc>
        <w:tc>
          <w:tcPr>
            <w:tcW w:w="1140" w:type="dxa"/>
            <w:tcBorders>
              <w:top w:val="nil"/>
              <w:left w:val="nil"/>
              <w:bottom w:val="nil"/>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27,820 </w:t>
            </w:r>
          </w:p>
        </w:tc>
      </w:tr>
      <w:tr w:rsidR="00CA786C" w:rsidRPr="00A678DB" w:rsidTr="00CA786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CA786C" w:rsidRPr="00A678DB" w:rsidRDefault="00CA786C" w:rsidP="00CA786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765,682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738,480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760,611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717,735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745,689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762,491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A786C" w:rsidRPr="00A678DB" w:rsidRDefault="00CA786C" w:rsidP="00CA786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766,944 </w:t>
            </w:r>
          </w:p>
        </w:tc>
      </w:tr>
    </w:tbl>
    <w:p w:rsidR="00F75124" w:rsidRPr="00A678DB" w:rsidRDefault="00F75124" w:rsidP="00F75124">
      <w:pPr>
        <w:keepLines w:val="0"/>
        <w:spacing w:before="0" w:after="200" w:line="276" w:lineRule="auto"/>
        <w:rPr>
          <w:rFonts w:ascii="Georgia" w:eastAsiaTheme="majorEastAsia" w:hAnsi="Georgia" w:cstheme="majorBidi"/>
          <w:bCs/>
          <w:color w:val="005A70"/>
          <w:sz w:val="32"/>
          <w:szCs w:val="26"/>
        </w:rPr>
      </w:pPr>
    </w:p>
    <w:bookmarkEnd w:id="2"/>
    <w:bookmarkEnd w:id="3"/>
    <w:p w:rsidR="00BA10CC" w:rsidRPr="00A678DB" w:rsidRDefault="00BA10CC" w:rsidP="00BA10CC">
      <w:pPr>
        <w:keepLines w:val="0"/>
        <w:spacing w:before="0" w:after="200" w:line="276" w:lineRule="auto"/>
        <w:rPr>
          <w:rFonts w:eastAsia="Calibri" w:cs="Arial"/>
          <w:iCs/>
          <w:spacing w:val="5"/>
        </w:rPr>
        <w:sectPr w:rsidR="00BA10CC" w:rsidRPr="00A678DB" w:rsidSect="00A8086B">
          <w:footerReference w:type="default" r:id="rId51"/>
          <w:footerReference w:type="first" r:id="rId52"/>
          <w:pgSz w:w="11906" w:h="16838"/>
          <w:pgMar w:top="1134" w:right="1418" w:bottom="1418" w:left="1134" w:header="851" w:footer="0" w:gutter="0"/>
          <w:cols w:space="708"/>
          <w:docGrid w:linePitch="360"/>
        </w:sectPr>
      </w:pPr>
    </w:p>
    <w:p w:rsidR="00CA786C" w:rsidRPr="00A678DB" w:rsidRDefault="00CA786C" w:rsidP="00BA10CC">
      <w:pPr>
        <w:pStyle w:val="Heading2"/>
      </w:pPr>
      <w:r w:rsidRPr="00A678DB">
        <w:rPr>
          <w:rFonts w:eastAsia="Calibri" w:cs="Arial"/>
          <w:iCs/>
          <w:spacing w:val="5"/>
        </w:rPr>
        <w:lastRenderedPageBreak/>
        <w:t xml:space="preserve">7. </w:t>
      </w:r>
      <w:r w:rsidRPr="00A678DB">
        <w:t xml:space="preserve">Outcomes for a single homeowner retiring at 70 </w:t>
      </w:r>
      <w:r w:rsidR="00306595" w:rsidRPr="00A678DB">
        <w:t>with $3</w:t>
      </w:r>
      <w:r w:rsidRPr="00A678DB">
        <w:t>00,000 in superannuation and no other assessable assets</w:t>
      </w:r>
    </w:p>
    <w:p w:rsidR="00CA786C" w:rsidRPr="00A678DB" w:rsidRDefault="00CA786C" w:rsidP="00CA786C">
      <w:pPr>
        <w:pStyle w:val="Heading3"/>
      </w:pPr>
    </w:p>
    <w:p w:rsidR="00CA786C" w:rsidRPr="00A678DB" w:rsidRDefault="00CA786C" w:rsidP="00CA786C">
      <w:pPr>
        <w:pStyle w:val="Heading3"/>
      </w:pPr>
      <w:r w:rsidRPr="00A678DB">
        <w:t>Chart 1: Immediate products - Age Pension</w:t>
      </w:r>
    </w:p>
    <w:p w:rsidR="00CA786C" w:rsidRPr="00A678DB" w:rsidRDefault="000513BB" w:rsidP="00CA786C">
      <w:r>
        <w:rPr>
          <w:noProof/>
        </w:rPr>
        <w:drawing>
          <wp:inline distT="0" distB="0" distL="0" distR="0" wp14:anchorId="38DAEC01">
            <wp:extent cx="5937885" cy="3237230"/>
            <wp:effectExtent l="0" t="0" r="5715" b="1270"/>
            <wp:docPr id="63" name="Picture 63" descr="Age Pension outcomes increase with age. Outcomes for those with an ABIS component are higher than those without an ABIS component.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CA786C" w:rsidRPr="00A678DB" w:rsidRDefault="00CA786C" w:rsidP="00CA786C">
      <w:pPr>
        <w:pStyle w:val="Heading3"/>
      </w:pPr>
    </w:p>
    <w:p w:rsidR="00CA786C" w:rsidRPr="00A678DB" w:rsidRDefault="00CA786C" w:rsidP="00CA786C">
      <w:pPr>
        <w:pStyle w:val="Heading3"/>
      </w:pPr>
      <w:r w:rsidRPr="00A678DB">
        <w:t>Chart 2: Immediate products - Total income (Age Pension + Product Income)</w:t>
      </w:r>
    </w:p>
    <w:p w:rsidR="00CA786C" w:rsidRPr="00A678DB" w:rsidRDefault="000513BB" w:rsidP="00CA786C">
      <w:r>
        <w:rPr>
          <w:noProof/>
        </w:rPr>
        <w:drawing>
          <wp:inline distT="0" distB="0" distL="0" distR="0" wp14:anchorId="32C13080">
            <wp:extent cx="5937885" cy="3237230"/>
            <wp:effectExtent l="0" t="0" r="5715" b="1270"/>
            <wp:docPr id="64" name="Picture 64" descr="Products with a lifetime product component generally perform better in terms of total income,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CA786C" w:rsidRPr="00A678DB" w:rsidRDefault="00CA786C" w:rsidP="00CA786C">
      <w:pPr>
        <w:pStyle w:val="Heading3"/>
      </w:pPr>
      <w:r w:rsidRPr="00A678DB">
        <w:lastRenderedPageBreak/>
        <w:t>Chart 3: Deferred products - Age Pension</w:t>
      </w:r>
    </w:p>
    <w:p w:rsidR="00CA786C" w:rsidRPr="00A678DB" w:rsidRDefault="000513BB" w:rsidP="00CA786C">
      <w:r>
        <w:rPr>
          <w:noProof/>
        </w:rPr>
        <w:drawing>
          <wp:inline distT="0" distB="0" distL="0" distR="0" wp14:anchorId="2D56D11B">
            <wp:extent cx="5937885" cy="3237230"/>
            <wp:effectExtent l="0" t="0" r="5715" b="1270"/>
            <wp:docPr id="65" name="Picture 65"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CA786C" w:rsidRPr="00A678DB" w:rsidRDefault="00CA786C" w:rsidP="00CA786C"/>
    <w:p w:rsidR="00CA786C" w:rsidRPr="00A678DB" w:rsidRDefault="00CA786C" w:rsidP="00CA786C">
      <w:pPr>
        <w:pStyle w:val="Heading3"/>
      </w:pPr>
      <w:r w:rsidRPr="00A678DB">
        <w:t>Chart 4: Deferred products - Total income (Age Pension + Product Income)</w:t>
      </w:r>
    </w:p>
    <w:p w:rsidR="00CA786C" w:rsidRPr="00A678DB" w:rsidRDefault="000513BB" w:rsidP="00CA786C">
      <w:pPr>
        <w:spacing w:before="160" w:after="160"/>
        <w:rPr>
          <w:rFonts w:eastAsia="Calibri" w:cs="Calibri"/>
          <w:noProof/>
        </w:rPr>
      </w:pPr>
      <w:r>
        <w:rPr>
          <w:rFonts w:eastAsia="Calibri" w:cs="Calibri"/>
          <w:noProof/>
        </w:rPr>
        <w:drawing>
          <wp:inline distT="0" distB="0" distL="0" distR="0" wp14:anchorId="660792DF">
            <wp:extent cx="5937885" cy="3237230"/>
            <wp:effectExtent l="0" t="0" r="5715" b="1270"/>
            <wp:docPr id="66" name="Picture 66" descr="Products with a deferred component generally perform better in terms of total income during the deferral period. After the deferral period, 30% DLA/70%ABIS combinations perform best. 20%GSA/80%ABIS combinations are worst off than an ABIS for 5 years after the deferral period, before being better off for the rest of retirement.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CA786C" w:rsidRPr="00A678DB" w:rsidRDefault="00CA786C" w:rsidP="00CA786C">
      <w:pPr>
        <w:rPr>
          <w:iCs/>
        </w:rPr>
      </w:pPr>
    </w:p>
    <w:p w:rsidR="00CA786C" w:rsidRPr="00A678DB" w:rsidRDefault="00CA786C" w:rsidP="00CA786C">
      <w:pPr>
        <w:rPr>
          <w:iCs/>
        </w:rPr>
      </w:pPr>
    </w:p>
    <w:p w:rsidR="00CA786C" w:rsidRPr="00A678DB" w:rsidRDefault="00CA786C" w:rsidP="00CA786C">
      <w:pPr>
        <w:pStyle w:val="Heading3"/>
        <w:rPr>
          <w:iCs/>
        </w:rPr>
      </w:pPr>
      <w:r w:rsidRPr="00A678DB">
        <w:lastRenderedPageBreak/>
        <w:t>Chart 5: Difference in Age Pension and total income when 30 per cent is invested in a lifetime annuity, compared to if all funds were invested in an ABIS</w:t>
      </w:r>
    </w:p>
    <w:p w:rsidR="00CA786C" w:rsidRPr="00A678DB" w:rsidRDefault="000513BB" w:rsidP="00CA786C">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67404132">
            <wp:extent cx="5937885" cy="3731260"/>
            <wp:effectExtent l="0" t="0" r="5715" b="2540"/>
            <wp:docPr id="67" name="Picture 67" descr="After age 70, a person is better off in terms of total income investing 30 per cent in a lifetime annuity compared to if all funds were invested in an ABIS. &#10;&#10;After age 72, a person is worse off, or no better off, in terms of Age Pension outcomes investing 30 per cent in a lifetime annuity compared to if all funds were invested in an ABIS. Before this they are better off in terms of Age Pension outcome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CA786C" w:rsidRPr="00A678DB" w:rsidRDefault="00CA786C" w:rsidP="00CA786C">
      <w:pPr>
        <w:rPr>
          <w:rStyle w:val="SubtleEmphasis"/>
          <w:rFonts w:ascii="Georgia" w:eastAsiaTheme="majorEastAsia" w:hAnsi="Georgia" w:cstheme="majorBidi"/>
          <w:bCs/>
          <w:i w:val="0"/>
          <w:sz w:val="26"/>
        </w:rPr>
      </w:pPr>
    </w:p>
    <w:p w:rsidR="00CA786C" w:rsidRPr="00A678DB" w:rsidRDefault="00CA786C" w:rsidP="00CA786C">
      <w:pPr>
        <w:pStyle w:val="Heading3"/>
        <w:rPr>
          <w:rStyle w:val="SubtleEmphasis"/>
          <w:i w:val="0"/>
        </w:rPr>
      </w:pPr>
      <w:r w:rsidRPr="00A678DB">
        <w:rPr>
          <w:rStyle w:val="SubtleEmphasis"/>
          <w:i w:val="0"/>
        </w:rPr>
        <w:t>Total retirement outcomes</w:t>
      </w:r>
      <w:r w:rsidRPr="00A678DB">
        <w:rPr>
          <w:rStyle w:val="SubtleEmphasis"/>
          <w:i w:val="0"/>
        </w:rPr>
        <w:br/>
      </w:r>
    </w:p>
    <w:tbl>
      <w:tblPr>
        <w:tblW w:w="98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306595" w:rsidRPr="00A678DB" w:rsidTr="000513B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306595" w:rsidRPr="00A678DB" w:rsidRDefault="00306595" w:rsidP="00306595">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306595" w:rsidRPr="00A678DB" w:rsidRDefault="00306595" w:rsidP="00306595">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306595" w:rsidRPr="00A678DB" w:rsidTr="000513BB">
        <w:trPr>
          <w:trHeight w:val="660"/>
          <w:tblHeader/>
        </w:trPr>
        <w:tc>
          <w:tcPr>
            <w:tcW w:w="2536" w:type="dxa"/>
            <w:tcBorders>
              <w:top w:val="nil"/>
              <w:left w:val="single" w:sz="4" w:space="0" w:color="auto"/>
              <w:bottom w:val="nil"/>
              <w:right w:val="nil"/>
            </w:tcBorders>
            <w:shd w:val="clear" w:color="000000" w:fill="16365C"/>
            <w:vAlign w:val="bottom"/>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306595" w:rsidRPr="00A678DB" w:rsidRDefault="00306595" w:rsidP="00306595">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306595" w:rsidRPr="00A678DB" w:rsidTr="00306595">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306595" w:rsidRPr="00A678DB" w:rsidRDefault="00306595" w:rsidP="00306595">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356,331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324,377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351,462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322,932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344,625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356,553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361,768 </w:t>
            </w:r>
          </w:p>
        </w:tc>
      </w:tr>
      <w:tr w:rsidR="00306595" w:rsidRPr="00A678DB" w:rsidTr="00306595">
        <w:trPr>
          <w:trHeight w:val="435"/>
        </w:trPr>
        <w:tc>
          <w:tcPr>
            <w:tcW w:w="2536" w:type="dxa"/>
            <w:tcBorders>
              <w:top w:val="nil"/>
              <w:left w:val="single" w:sz="4" w:space="0" w:color="auto"/>
              <w:bottom w:val="nil"/>
              <w:right w:val="nil"/>
            </w:tcBorders>
            <w:shd w:val="clear" w:color="auto" w:fill="auto"/>
            <w:noWrap/>
            <w:vAlign w:val="bottom"/>
            <w:hideMark/>
          </w:tcPr>
          <w:p w:rsidR="00306595" w:rsidRPr="00A678DB" w:rsidRDefault="00306595" w:rsidP="00306595">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212,094 </w:t>
            </w:r>
          </w:p>
        </w:tc>
        <w:tc>
          <w:tcPr>
            <w:tcW w:w="108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273,341 </w:t>
            </w:r>
          </w:p>
        </w:tc>
        <w:tc>
          <w:tcPr>
            <w:tcW w:w="108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230,468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278,159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245,126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262,518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263,060 </w:t>
            </w:r>
          </w:p>
        </w:tc>
      </w:tr>
      <w:tr w:rsidR="00306595" w:rsidRPr="00A678DB" w:rsidTr="00306595">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306595" w:rsidRPr="00A678DB" w:rsidRDefault="00306595" w:rsidP="00306595">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568,425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597,718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581,931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601,090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589,751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619,071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306595" w:rsidRPr="00A678DB" w:rsidRDefault="00306595" w:rsidP="00306595">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624,828 </w:t>
            </w:r>
          </w:p>
        </w:tc>
      </w:tr>
      <w:tr w:rsidR="00306595" w:rsidRPr="00A678DB" w:rsidTr="00306595">
        <w:trPr>
          <w:trHeight w:val="435"/>
        </w:trPr>
        <w:tc>
          <w:tcPr>
            <w:tcW w:w="2536" w:type="dxa"/>
            <w:tcBorders>
              <w:top w:val="nil"/>
              <w:left w:val="single" w:sz="4" w:space="0" w:color="auto"/>
              <w:bottom w:val="nil"/>
              <w:right w:val="nil"/>
            </w:tcBorders>
            <w:shd w:val="clear" w:color="auto" w:fill="auto"/>
            <w:noWrap/>
            <w:vAlign w:val="bottom"/>
            <w:hideMark/>
          </w:tcPr>
          <w:p w:rsidR="00306595" w:rsidRPr="00A678DB" w:rsidRDefault="00306595" w:rsidP="00306595">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72,294 </w:t>
            </w:r>
          </w:p>
        </w:tc>
        <w:tc>
          <w:tcPr>
            <w:tcW w:w="108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22,041 </w:t>
            </w:r>
          </w:p>
        </w:tc>
        <w:tc>
          <w:tcPr>
            <w:tcW w:w="108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57,218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36,147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24,840 </w:t>
            </w:r>
          </w:p>
        </w:tc>
        <w:tc>
          <w:tcPr>
            <w:tcW w:w="1000" w:type="dxa"/>
            <w:tcBorders>
              <w:top w:val="nil"/>
              <w:left w:val="nil"/>
              <w:bottom w:val="nil"/>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20,832 </w:t>
            </w:r>
          </w:p>
        </w:tc>
      </w:tr>
      <w:tr w:rsidR="00306595" w:rsidRPr="00A678DB" w:rsidTr="00306595">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306595" w:rsidRPr="00A678DB" w:rsidRDefault="00306595" w:rsidP="00306595">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640,719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619,759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639,149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601,090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625,898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643,911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6595" w:rsidRPr="00A678DB" w:rsidRDefault="00306595" w:rsidP="00306595">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645,660 </w:t>
            </w:r>
          </w:p>
        </w:tc>
      </w:tr>
    </w:tbl>
    <w:p w:rsidR="00306595" w:rsidRPr="00A678DB" w:rsidRDefault="00306595" w:rsidP="00CA786C">
      <w:pPr>
        <w:keepLines w:val="0"/>
        <w:spacing w:before="0" w:after="200" w:line="276" w:lineRule="auto"/>
        <w:rPr>
          <w:rFonts w:ascii="Georgia" w:eastAsiaTheme="majorEastAsia" w:hAnsi="Georgia" w:cstheme="majorBidi"/>
          <w:bCs/>
          <w:color w:val="005A70"/>
          <w:sz w:val="32"/>
          <w:szCs w:val="26"/>
        </w:rPr>
      </w:pPr>
    </w:p>
    <w:p w:rsidR="00BA10CC" w:rsidRPr="00A678DB" w:rsidRDefault="00BA10CC" w:rsidP="00BA10CC">
      <w:pPr>
        <w:rPr>
          <w:rFonts w:eastAsia="Calibri" w:cs="Arial"/>
          <w:iCs/>
          <w:spacing w:val="5"/>
        </w:rPr>
        <w:sectPr w:rsidR="00BA10CC" w:rsidRPr="00A678DB" w:rsidSect="00A8086B">
          <w:footerReference w:type="default" r:id="rId58"/>
          <w:pgSz w:w="11906" w:h="16838"/>
          <w:pgMar w:top="1134" w:right="1418" w:bottom="1418" w:left="1134" w:header="851" w:footer="0" w:gutter="0"/>
          <w:cols w:space="708"/>
          <w:docGrid w:linePitch="360"/>
        </w:sectPr>
      </w:pPr>
    </w:p>
    <w:p w:rsidR="00306595" w:rsidRPr="00A678DB" w:rsidRDefault="00306595" w:rsidP="00BA10CC">
      <w:pPr>
        <w:pStyle w:val="Heading2"/>
      </w:pPr>
      <w:r w:rsidRPr="00A678DB">
        <w:rPr>
          <w:rFonts w:eastAsia="Calibri" w:cs="Arial"/>
          <w:iCs/>
          <w:spacing w:val="5"/>
        </w:rPr>
        <w:lastRenderedPageBreak/>
        <w:t xml:space="preserve">8. </w:t>
      </w:r>
      <w:r w:rsidRPr="00A678DB">
        <w:t>Outcomes for a single homeowner retiring at 70 with $600,000 in superannuation and no other assessable assets</w:t>
      </w:r>
    </w:p>
    <w:p w:rsidR="00306595" w:rsidRPr="00A678DB" w:rsidRDefault="00306595" w:rsidP="00306595">
      <w:pPr>
        <w:pStyle w:val="Heading3"/>
      </w:pPr>
    </w:p>
    <w:p w:rsidR="00306595" w:rsidRPr="00A678DB" w:rsidRDefault="00306595" w:rsidP="00306595">
      <w:pPr>
        <w:pStyle w:val="Heading3"/>
      </w:pPr>
      <w:r w:rsidRPr="00A678DB">
        <w:t>Chart 1: Immediate products - Age Pension</w:t>
      </w:r>
    </w:p>
    <w:p w:rsidR="00306595" w:rsidRPr="00A678DB" w:rsidRDefault="000513BB" w:rsidP="00306595">
      <w:r>
        <w:rPr>
          <w:noProof/>
        </w:rPr>
        <w:drawing>
          <wp:inline distT="0" distB="0" distL="0" distR="0" wp14:anchorId="1955B933">
            <wp:extent cx="5937885" cy="3237230"/>
            <wp:effectExtent l="0" t="0" r="5715" b="1270"/>
            <wp:docPr id="68" name="Picture 68" descr="Age Pension outcomes increase with age. Outcomes for those without an ABIS component are higher than those with an ABIS component for the first 12 years or so of retirement. After this point outcomes with an ABIS component recieve more Age Pension.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306595" w:rsidRPr="00A678DB" w:rsidRDefault="00306595" w:rsidP="00306595">
      <w:pPr>
        <w:pStyle w:val="Heading3"/>
      </w:pPr>
    </w:p>
    <w:p w:rsidR="00306595" w:rsidRPr="00A678DB" w:rsidRDefault="00306595" w:rsidP="00306595">
      <w:pPr>
        <w:pStyle w:val="Heading3"/>
      </w:pPr>
      <w:r w:rsidRPr="00A678DB">
        <w:t>Chart 2: Immediate products - Total income (Age Pension + Product Income)</w:t>
      </w:r>
    </w:p>
    <w:p w:rsidR="00306595" w:rsidRPr="00A678DB" w:rsidRDefault="000513BB" w:rsidP="00306595">
      <w:r>
        <w:rPr>
          <w:noProof/>
        </w:rPr>
        <w:drawing>
          <wp:inline distT="0" distB="0" distL="0" distR="0" wp14:anchorId="34BC701D">
            <wp:extent cx="5937885" cy="3237230"/>
            <wp:effectExtent l="0" t="0" r="5715" b="1270"/>
            <wp:docPr id="69" name="Picture 69" descr="Products with a lifetime product component generally perform better in terms of total income in each year of retirement,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306595" w:rsidRPr="00A678DB" w:rsidRDefault="00306595" w:rsidP="00306595">
      <w:pPr>
        <w:pStyle w:val="Heading3"/>
      </w:pPr>
      <w:r w:rsidRPr="00A678DB">
        <w:lastRenderedPageBreak/>
        <w:t>Chart 3: Deferred products - Age Pension</w:t>
      </w:r>
    </w:p>
    <w:p w:rsidR="00306595" w:rsidRPr="00A678DB" w:rsidRDefault="000513BB" w:rsidP="00306595">
      <w:r>
        <w:rPr>
          <w:noProof/>
        </w:rPr>
        <w:drawing>
          <wp:inline distT="0" distB="0" distL="0" distR="0" wp14:anchorId="10E904E8">
            <wp:extent cx="5937885" cy="3237230"/>
            <wp:effectExtent l="0" t="0" r="5715" b="1270"/>
            <wp:docPr id="70" name="Picture 70"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306595" w:rsidRPr="00A678DB" w:rsidRDefault="00306595" w:rsidP="00306595"/>
    <w:p w:rsidR="00306595" w:rsidRPr="00A678DB" w:rsidRDefault="00306595" w:rsidP="00306595">
      <w:pPr>
        <w:pStyle w:val="Heading3"/>
      </w:pPr>
      <w:r w:rsidRPr="00A678DB">
        <w:t>Chart 4: Deferred products - Total income (Age Pension + Product Income)</w:t>
      </w:r>
    </w:p>
    <w:p w:rsidR="00306595" w:rsidRPr="00A678DB" w:rsidRDefault="000513BB" w:rsidP="00306595">
      <w:pPr>
        <w:spacing w:before="160" w:after="160"/>
        <w:rPr>
          <w:rFonts w:eastAsia="Calibri" w:cs="Calibri"/>
          <w:noProof/>
        </w:rPr>
      </w:pPr>
      <w:r>
        <w:rPr>
          <w:rFonts w:eastAsia="Calibri" w:cs="Calibri"/>
          <w:noProof/>
        </w:rPr>
        <w:drawing>
          <wp:inline distT="0" distB="0" distL="0" distR="0" wp14:anchorId="47CF3500">
            <wp:extent cx="5937885" cy="3237230"/>
            <wp:effectExtent l="0" t="0" r="5715" b="1270"/>
            <wp:docPr id="71" name="Picture 71" descr="Products with a deferred component generally perform better in terms of total income during the deferral period. After the deferral period, 30% DLA/70%ABIS combinations perform best. 20%GSA/80%ABIS combinations are worst off than an ABIS for 5 years after the deferral period, before being better off for the rest of retirement.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306595" w:rsidRPr="00A678DB" w:rsidRDefault="00306595" w:rsidP="00306595">
      <w:pPr>
        <w:rPr>
          <w:iCs/>
        </w:rPr>
      </w:pPr>
    </w:p>
    <w:p w:rsidR="00306595" w:rsidRPr="00A678DB" w:rsidRDefault="00306595" w:rsidP="00306595">
      <w:pPr>
        <w:rPr>
          <w:iCs/>
        </w:rPr>
      </w:pPr>
    </w:p>
    <w:p w:rsidR="00306595" w:rsidRPr="00A678DB" w:rsidRDefault="00306595" w:rsidP="00306595">
      <w:pPr>
        <w:pStyle w:val="Heading3"/>
        <w:rPr>
          <w:iCs/>
        </w:rPr>
      </w:pPr>
      <w:r w:rsidRPr="00A678DB">
        <w:lastRenderedPageBreak/>
        <w:t>Chart 5: Difference in Age Pension and total income when 30 per cent is invested in a lifetime annuity, compared to if all funds were invested in an ABIS</w:t>
      </w:r>
    </w:p>
    <w:p w:rsidR="00306595" w:rsidRPr="00A678DB" w:rsidRDefault="000513BB" w:rsidP="00306595">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2991BD29">
            <wp:extent cx="5937885" cy="3731260"/>
            <wp:effectExtent l="0" t="0" r="5715" b="2540"/>
            <wp:docPr id="72" name="Picture 72" descr="After age 70, a person is better off in terms of total income investing 30 per cent in a lifetime annuity compared to if all funds were invested in an ABIS. &#10;&#10;After age 86, a person is worse off, or no better off, in terms of Age Pension outcomes investing 30 per cent in a lifetime annuity compared to if all funds were invested in an ABIS. Before this they are better off in terms of Age Pension outcome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306595" w:rsidRPr="00A678DB" w:rsidRDefault="00306595" w:rsidP="00306595">
      <w:pPr>
        <w:rPr>
          <w:rStyle w:val="SubtleEmphasis"/>
          <w:rFonts w:ascii="Georgia" w:eastAsiaTheme="majorEastAsia" w:hAnsi="Georgia" w:cstheme="majorBidi"/>
          <w:bCs/>
          <w:i w:val="0"/>
          <w:sz w:val="26"/>
        </w:rPr>
      </w:pPr>
    </w:p>
    <w:p w:rsidR="00306595" w:rsidRPr="00A678DB" w:rsidRDefault="00306595" w:rsidP="00306595">
      <w:pPr>
        <w:pStyle w:val="Heading3"/>
        <w:rPr>
          <w:rStyle w:val="SubtleEmphasis"/>
          <w:i w:val="0"/>
        </w:rPr>
      </w:pPr>
      <w:r w:rsidRPr="00A678DB">
        <w:rPr>
          <w:rStyle w:val="SubtleEmphasis"/>
          <w:i w:val="0"/>
        </w:rPr>
        <w:t>Total retirement outcomes</w:t>
      </w:r>
      <w:r w:rsidRPr="00A678DB">
        <w:rPr>
          <w:rStyle w:val="SubtleEmphasis"/>
          <w:i w:val="0"/>
        </w:rPr>
        <w:br/>
      </w:r>
    </w:p>
    <w:tbl>
      <w:tblPr>
        <w:tblW w:w="98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7219EC" w:rsidRPr="00A678DB" w:rsidTr="000513B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7219EC" w:rsidRPr="00A678DB" w:rsidRDefault="007219EC" w:rsidP="007219E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7219EC" w:rsidRPr="00A678DB" w:rsidRDefault="007219EC" w:rsidP="007219E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7219EC" w:rsidRPr="00A678DB" w:rsidTr="000513BB">
        <w:trPr>
          <w:trHeight w:val="660"/>
          <w:tblHeader/>
        </w:trPr>
        <w:tc>
          <w:tcPr>
            <w:tcW w:w="2536" w:type="dxa"/>
            <w:tcBorders>
              <w:top w:val="nil"/>
              <w:left w:val="single" w:sz="4" w:space="0" w:color="auto"/>
              <w:bottom w:val="nil"/>
              <w:right w:val="nil"/>
            </w:tcBorders>
            <w:shd w:val="clear" w:color="000000" w:fill="16365C"/>
            <w:vAlign w:val="bottom"/>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7219EC" w:rsidRPr="00A678DB" w:rsidTr="007219E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171,772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242,375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205,933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239,484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227,479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231,400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238,505 </w:t>
            </w:r>
          </w:p>
        </w:tc>
      </w:tr>
      <w:tr w:rsidR="007219EC" w:rsidRPr="00A678DB" w:rsidTr="007219EC">
        <w:trPr>
          <w:trHeight w:val="435"/>
        </w:trPr>
        <w:tc>
          <w:tcPr>
            <w:tcW w:w="2536" w:type="dxa"/>
            <w:tcBorders>
              <w:top w:val="nil"/>
              <w:left w:val="single" w:sz="4" w:space="0" w:color="auto"/>
              <w:bottom w:val="nil"/>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424,188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546,682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460,937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556,317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490,253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525,036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526,121 </w:t>
            </w:r>
          </w:p>
        </w:tc>
      </w:tr>
      <w:tr w:rsidR="007219EC" w:rsidRPr="00A678DB" w:rsidTr="007219EC">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7219EC" w:rsidRPr="00A678DB" w:rsidRDefault="007219EC" w:rsidP="007219EC">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595,960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789,057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666,870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795,801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717,731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756,436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764,626 </w:t>
            </w:r>
          </w:p>
        </w:tc>
      </w:tr>
      <w:tr w:rsidR="007219EC" w:rsidRPr="00A678DB" w:rsidTr="007219EC">
        <w:trPr>
          <w:trHeight w:val="435"/>
        </w:trPr>
        <w:tc>
          <w:tcPr>
            <w:tcW w:w="2536" w:type="dxa"/>
            <w:tcBorders>
              <w:top w:val="nil"/>
              <w:left w:val="single" w:sz="4" w:space="0" w:color="auto"/>
              <w:bottom w:val="nil"/>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144,588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44,082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114,436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72,294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49,680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41,664 </w:t>
            </w:r>
          </w:p>
        </w:tc>
      </w:tr>
      <w:tr w:rsidR="007219EC" w:rsidRPr="00A678DB" w:rsidTr="007219EC">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740,548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833,138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781,306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795,801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790,025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806,117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806,290 </w:t>
            </w:r>
          </w:p>
        </w:tc>
      </w:tr>
    </w:tbl>
    <w:p w:rsidR="00306595" w:rsidRPr="00A678DB" w:rsidRDefault="00306595" w:rsidP="00306595">
      <w:pPr>
        <w:keepLines w:val="0"/>
        <w:spacing w:before="0" w:after="200" w:line="276" w:lineRule="auto"/>
        <w:rPr>
          <w:rFonts w:ascii="Georgia" w:eastAsiaTheme="majorEastAsia" w:hAnsi="Georgia" w:cstheme="majorBidi"/>
          <w:bCs/>
          <w:color w:val="005A70"/>
          <w:sz w:val="32"/>
          <w:szCs w:val="26"/>
        </w:rPr>
      </w:pPr>
    </w:p>
    <w:p w:rsidR="00BA10CC" w:rsidRPr="00A678DB" w:rsidRDefault="00BA10CC" w:rsidP="00BA10CC">
      <w:pPr>
        <w:keepLines w:val="0"/>
        <w:spacing w:before="0" w:after="200" w:line="276" w:lineRule="auto"/>
        <w:rPr>
          <w:rFonts w:eastAsia="Calibri" w:cs="Arial"/>
          <w:iCs/>
          <w:spacing w:val="5"/>
        </w:rPr>
        <w:sectPr w:rsidR="00BA10CC" w:rsidRPr="00A678DB" w:rsidSect="00A8086B">
          <w:footerReference w:type="default" r:id="rId64"/>
          <w:footerReference w:type="first" r:id="rId65"/>
          <w:pgSz w:w="11906" w:h="16838"/>
          <w:pgMar w:top="1134" w:right="1418" w:bottom="1418" w:left="1134" w:header="851" w:footer="0" w:gutter="0"/>
          <w:cols w:space="708"/>
          <w:docGrid w:linePitch="360"/>
        </w:sectPr>
      </w:pPr>
    </w:p>
    <w:p w:rsidR="007219EC" w:rsidRPr="00A678DB" w:rsidRDefault="007219EC" w:rsidP="00BA10CC">
      <w:pPr>
        <w:pStyle w:val="Heading2"/>
      </w:pPr>
      <w:r w:rsidRPr="00A678DB">
        <w:rPr>
          <w:rFonts w:eastAsia="Calibri" w:cs="Arial"/>
          <w:iCs/>
          <w:spacing w:val="5"/>
        </w:rPr>
        <w:lastRenderedPageBreak/>
        <w:t xml:space="preserve">9. </w:t>
      </w:r>
      <w:r w:rsidRPr="00A678DB">
        <w:t>Outcomes for a single homeowner retiring at 75 with $300,000 in superannuation and no other assessable assets</w:t>
      </w:r>
    </w:p>
    <w:p w:rsidR="007219EC" w:rsidRPr="00A678DB" w:rsidRDefault="007219EC" w:rsidP="007219EC">
      <w:pPr>
        <w:pStyle w:val="Heading3"/>
      </w:pPr>
    </w:p>
    <w:p w:rsidR="007219EC" w:rsidRPr="00A678DB" w:rsidRDefault="007219EC" w:rsidP="007219EC">
      <w:pPr>
        <w:pStyle w:val="Heading3"/>
      </w:pPr>
      <w:r w:rsidRPr="00A678DB">
        <w:t>Chart 1: Immediate products - Age Pension</w:t>
      </w:r>
    </w:p>
    <w:p w:rsidR="007219EC" w:rsidRPr="00A678DB" w:rsidRDefault="000513BB" w:rsidP="007219EC">
      <w:r>
        <w:rPr>
          <w:noProof/>
        </w:rPr>
        <w:drawing>
          <wp:inline distT="0" distB="0" distL="0" distR="0" wp14:anchorId="573AABC6">
            <wp:extent cx="5937885" cy="3237230"/>
            <wp:effectExtent l="0" t="0" r="5715" b="1270"/>
            <wp:docPr id="73" name="Picture 73" descr="Age Pension outcomes increase with age. Outcomes for those with an ABIS component are higher than those without an ABIS component.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7219EC" w:rsidRPr="00A678DB" w:rsidRDefault="007219EC" w:rsidP="007219EC">
      <w:pPr>
        <w:pStyle w:val="Heading3"/>
      </w:pPr>
    </w:p>
    <w:p w:rsidR="007219EC" w:rsidRPr="00A678DB" w:rsidRDefault="007219EC" w:rsidP="007219EC">
      <w:pPr>
        <w:pStyle w:val="Heading3"/>
      </w:pPr>
      <w:r w:rsidRPr="00A678DB">
        <w:t>Chart 2: Immediate products - Total income (Age Pension + Product Income)</w:t>
      </w:r>
    </w:p>
    <w:p w:rsidR="007219EC" w:rsidRPr="00A678DB" w:rsidRDefault="000513BB" w:rsidP="007219EC">
      <w:r>
        <w:rPr>
          <w:noProof/>
        </w:rPr>
        <w:drawing>
          <wp:inline distT="0" distB="0" distL="0" distR="0" wp14:anchorId="4460C6BD">
            <wp:extent cx="5937885" cy="3237230"/>
            <wp:effectExtent l="0" t="0" r="5715" b="1270"/>
            <wp:docPr id="74" name="Picture 74" descr="Products with a lifetime product component generally perform better in terms of total income in each year of retirement,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7219EC" w:rsidRPr="00A678DB" w:rsidRDefault="007219EC" w:rsidP="007219EC">
      <w:pPr>
        <w:pStyle w:val="Heading3"/>
      </w:pPr>
      <w:r w:rsidRPr="00A678DB">
        <w:lastRenderedPageBreak/>
        <w:t>Chart 3: Deferred products - Age Pension</w:t>
      </w:r>
    </w:p>
    <w:p w:rsidR="007219EC" w:rsidRPr="00A678DB" w:rsidRDefault="000513BB" w:rsidP="007219EC">
      <w:r>
        <w:rPr>
          <w:noProof/>
        </w:rPr>
        <w:drawing>
          <wp:inline distT="0" distB="0" distL="0" distR="0" wp14:anchorId="73866D8B">
            <wp:extent cx="5937885" cy="3237230"/>
            <wp:effectExtent l="0" t="0" r="5715" b="1270"/>
            <wp:docPr id="75" name="Picture 75"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7219EC" w:rsidRPr="00A678DB" w:rsidRDefault="007219EC" w:rsidP="007219EC"/>
    <w:p w:rsidR="007219EC" w:rsidRPr="00A678DB" w:rsidRDefault="007219EC" w:rsidP="007219EC">
      <w:pPr>
        <w:pStyle w:val="Heading3"/>
      </w:pPr>
      <w:r w:rsidRPr="00A678DB">
        <w:t>Chart 4: Deferred products - Total income (Age Pension + Product Income)</w:t>
      </w:r>
    </w:p>
    <w:p w:rsidR="007219EC" w:rsidRPr="00A678DB" w:rsidRDefault="000513BB" w:rsidP="007219EC">
      <w:pPr>
        <w:spacing w:before="160" w:after="160"/>
        <w:rPr>
          <w:rFonts w:eastAsia="Calibri" w:cs="Calibri"/>
          <w:noProof/>
        </w:rPr>
      </w:pPr>
      <w:r>
        <w:rPr>
          <w:rFonts w:eastAsia="Calibri" w:cs="Calibri"/>
          <w:noProof/>
        </w:rPr>
        <w:drawing>
          <wp:inline distT="0" distB="0" distL="0" distR="0" wp14:anchorId="232EA170">
            <wp:extent cx="5937885" cy="3237230"/>
            <wp:effectExtent l="0" t="0" r="5715" b="1270"/>
            <wp:docPr id="76" name="Picture 76" descr="Products with a deferred component generally perform better in terms of total income during the deferral period. After the deferral period, deferred products have a period of recieving lower total incomes than an ABIS (between 5-10 years) before having better outcomes.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7219EC" w:rsidRPr="00A678DB" w:rsidRDefault="007219EC" w:rsidP="007219EC">
      <w:pPr>
        <w:rPr>
          <w:iCs/>
        </w:rPr>
      </w:pPr>
    </w:p>
    <w:p w:rsidR="007219EC" w:rsidRPr="00A678DB" w:rsidRDefault="007219EC" w:rsidP="007219EC">
      <w:pPr>
        <w:rPr>
          <w:iCs/>
        </w:rPr>
      </w:pPr>
    </w:p>
    <w:p w:rsidR="007219EC" w:rsidRPr="00A678DB" w:rsidRDefault="007219EC" w:rsidP="007219EC">
      <w:pPr>
        <w:pStyle w:val="Heading3"/>
        <w:rPr>
          <w:iCs/>
        </w:rPr>
      </w:pPr>
      <w:r w:rsidRPr="00A678DB">
        <w:lastRenderedPageBreak/>
        <w:t>Chart 5: Difference in Age Pension and total income when 30 per cent is invested in a lifetime annuity, compared to if all funds were invested in an ABIS</w:t>
      </w:r>
    </w:p>
    <w:p w:rsidR="007219EC" w:rsidRPr="00A678DB" w:rsidRDefault="000513BB" w:rsidP="007219EC">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22310F0E">
            <wp:extent cx="5937885" cy="3731260"/>
            <wp:effectExtent l="0" t="0" r="5715" b="2540"/>
            <wp:docPr id="77" name="Picture 77" descr="After age 75, a person is better off in terms of total income investing 30 per cent in a lifetime annuity compared to if all funds were invested in an ABIS. &#10;&#10;After age 76, a person is worse off, or no better off, in terms of Age Pension outcomes investing 30 per cent in a lifetime annuity compared to if all funds were invested in an ABIS. Before this they are better off in terms of Age Pension outcome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7219EC" w:rsidRPr="00A678DB" w:rsidRDefault="007219EC" w:rsidP="007219EC">
      <w:pPr>
        <w:rPr>
          <w:rStyle w:val="SubtleEmphasis"/>
          <w:rFonts w:ascii="Georgia" w:eastAsiaTheme="majorEastAsia" w:hAnsi="Georgia" w:cstheme="majorBidi"/>
          <w:bCs/>
          <w:i w:val="0"/>
          <w:sz w:val="26"/>
        </w:rPr>
      </w:pPr>
    </w:p>
    <w:p w:rsidR="007219EC" w:rsidRPr="00A678DB" w:rsidRDefault="007219EC" w:rsidP="007219EC">
      <w:pPr>
        <w:pStyle w:val="Heading3"/>
        <w:rPr>
          <w:rStyle w:val="SubtleEmphasis"/>
          <w:i w:val="0"/>
        </w:rPr>
      </w:pPr>
      <w:r w:rsidRPr="00A678DB">
        <w:rPr>
          <w:rStyle w:val="SubtleEmphasis"/>
          <w:i w:val="0"/>
        </w:rPr>
        <w:t>Total retirement outcomes</w:t>
      </w:r>
      <w:r w:rsidRPr="00A678DB">
        <w:rPr>
          <w:rStyle w:val="SubtleEmphasis"/>
          <w:i w:val="0"/>
        </w:rPr>
        <w:br/>
      </w:r>
    </w:p>
    <w:tbl>
      <w:tblPr>
        <w:tblW w:w="98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7219EC" w:rsidRPr="00A678DB" w:rsidTr="000513B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7219EC" w:rsidRPr="00A678DB" w:rsidRDefault="007219EC" w:rsidP="007219E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7219EC" w:rsidRPr="00A678DB" w:rsidRDefault="007219EC" w:rsidP="007219EC">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7219EC" w:rsidRPr="00A678DB" w:rsidTr="000513BB">
        <w:trPr>
          <w:trHeight w:val="660"/>
          <w:tblHeader/>
        </w:trPr>
        <w:tc>
          <w:tcPr>
            <w:tcW w:w="2536" w:type="dxa"/>
            <w:tcBorders>
              <w:top w:val="nil"/>
              <w:left w:val="single" w:sz="4" w:space="0" w:color="auto"/>
              <w:bottom w:val="nil"/>
              <w:right w:val="nil"/>
            </w:tcBorders>
            <w:shd w:val="clear" w:color="000000" w:fill="16365C"/>
            <w:vAlign w:val="bottom"/>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7219EC" w:rsidRPr="00A678DB" w:rsidRDefault="007219EC" w:rsidP="007219EC">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7219EC" w:rsidRPr="00A678DB" w:rsidTr="00281782">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302,150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262,218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294,406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261,716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286,282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302,110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308,933 </w:t>
            </w:r>
          </w:p>
        </w:tc>
      </w:tr>
      <w:tr w:rsidR="007219EC" w:rsidRPr="00A678DB" w:rsidTr="00281782">
        <w:trPr>
          <w:trHeight w:val="435"/>
        </w:trPr>
        <w:tc>
          <w:tcPr>
            <w:tcW w:w="2536" w:type="dxa"/>
            <w:tcBorders>
              <w:top w:val="nil"/>
              <w:left w:val="single" w:sz="4" w:space="0" w:color="auto"/>
              <w:bottom w:val="nil"/>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200,249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279,903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224,145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281,577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240,913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272,615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270,662 </w:t>
            </w:r>
          </w:p>
        </w:tc>
      </w:tr>
      <w:tr w:rsidR="007219EC" w:rsidRPr="00A678DB" w:rsidTr="00281782">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7219EC" w:rsidRPr="00A678DB" w:rsidRDefault="007219EC" w:rsidP="007219EC">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502,399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542,121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518,551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543,293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527,195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574,726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7219EC" w:rsidRPr="00A678DB" w:rsidRDefault="007219EC" w:rsidP="007219EC">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579,595 </w:t>
            </w:r>
          </w:p>
        </w:tc>
      </w:tr>
      <w:tr w:rsidR="007219EC" w:rsidRPr="00A678DB" w:rsidTr="00281782">
        <w:trPr>
          <w:trHeight w:val="435"/>
        </w:trPr>
        <w:tc>
          <w:tcPr>
            <w:tcW w:w="2536" w:type="dxa"/>
            <w:tcBorders>
              <w:top w:val="nil"/>
              <w:left w:val="single" w:sz="4" w:space="0" w:color="auto"/>
              <w:bottom w:val="nil"/>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88,916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25,971 </w:t>
            </w:r>
          </w:p>
        </w:tc>
        <w:tc>
          <w:tcPr>
            <w:tcW w:w="108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70,032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44,458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25,122 </w:t>
            </w:r>
          </w:p>
        </w:tc>
        <w:tc>
          <w:tcPr>
            <w:tcW w:w="1000" w:type="dxa"/>
            <w:tcBorders>
              <w:top w:val="nil"/>
              <w:left w:val="nil"/>
              <w:bottom w:val="nil"/>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19,806 </w:t>
            </w:r>
          </w:p>
        </w:tc>
      </w:tr>
      <w:tr w:rsidR="007219EC" w:rsidRPr="00A678DB" w:rsidTr="00281782">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7219EC" w:rsidRPr="00A678DB" w:rsidRDefault="007219EC" w:rsidP="007219EC">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591,314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568,091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588,583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543,293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571,652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599,847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219EC" w:rsidRPr="00A678DB" w:rsidRDefault="007219EC" w:rsidP="007219EC">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599,401 </w:t>
            </w:r>
          </w:p>
        </w:tc>
      </w:tr>
    </w:tbl>
    <w:p w:rsidR="007219EC" w:rsidRPr="00A678DB" w:rsidRDefault="007219EC" w:rsidP="007219EC">
      <w:pPr>
        <w:pStyle w:val="Heading3"/>
        <w:rPr>
          <w:rStyle w:val="SubtleEmphasis"/>
          <w:i w:val="0"/>
        </w:rPr>
      </w:pPr>
    </w:p>
    <w:p w:rsidR="00BA10CC" w:rsidRPr="00A678DB" w:rsidRDefault="00BA10CC" w:rsidP="00BA10CC">
      <w:pPr>
        <w:keepLines w:val="0"/>
        <w:spacing w:before="0" w:after="200" w:line="276" w:lineRule="auto"/>
        <w:rPr>
          <w:rFonts w:eastAsia="Calibri" w:cs="Arial"/>
          <w:iCs/>
          <w:spacing w:val="5"/>
        </w:rPr>
        <w:sectPr w:rsidR="00BA10CC" w:rsidRPr="00A678DB" w:rsidSect="00A8086B">
          <w:footerReference w:type="default" r:id="rId71"/>
          <w:pgSz w:w="11906" w:h="16838"/>
          <w:pgMar w:top="1134" w:right="1418" w:bottom="1418" w:left="1134" w:header="851" w:footer="0" w:gutter="0"/>
          <w:cols w:space="708"/>
          <w:docGrid w:linePitch="360"/>
        </w:sectPr>
      </w:pPr>
    </w:p>
    <w:p w:rsidR="00FD1915" w:rsidRPr="00A678DB" w:rsidRDefault="00FD1915" w:rsidP="00BA10CC">
      <w:pPr>
        <w:pStyle w:val="Heading2"/>
      </w:pPr>
      <w:r w:rsidRPr="00A678DB">
        <w:rPr>
          <w:rFonts w:eastAsia="Calibri" w:cs="Arial"/>
          <w:iCs/>
          <w:spacing w:val="5"/>
        </w:rPr>
        <w:lastRenderedPageBreak/>
        <w:t xml:space="preserve">10. </w:t>
      </w:r>
      <w:r w:rsidRPr="00A678DB">
        <w:t>Outcomes for a single homeowner retiring at 75 with $600,000 in superannuation and no other assessable assets</w:t>
      </w:r>
    </w:p>
    <w:p w:rsidR="00FD1915" w:rsidRPr="00A678DB" w:rsidRDefault="00FD1915" w:rsidP="00FD1915">
      <w:pPr>
        <w:pStyle w:val="Heading3"/>
      </w:pPr>
    </w:p>
    <w:p w:rsidR="00FD1915" w:rsidRPr="00A678DB" w:rsidRDefault="00FD1915" w:rsidP="00FD1915">
      <w:pPr>
        <w:pStyle w:val="Heading3"/>
      </w:pPr>
      <w:r w:rsidRPr="00A678DB">
        <w:t>Chart 1: Immediate products - Age Pension</w:t>
      </w:r>
    </w:p>
    <w:p w:rsidR="00FD1915" w:rsidRPr="00A678DB" w:rsidRDefault="000513BB" w:rsidP="00FD1915">
      <w:r>
        <w:rPr>
          <w:noProof/>
        </w:rPr>
        <w:drawing>
          <wp:inline distT="0" distB="0" distL="0" distR="0" wp14:anchorId="051739D9">
            <wp:extent cx="5937885" cy="3237230"/>
            <wp:effectExtent l="0" t="0" r="5715" b="1270"/>
            <wp:docPr id="78" name="Picture 78" descr="Age Pension outcomes increase with age. Outcomes for those without an ABIS component are higher than those with an ABIS component for the first 10 years or so of retirement. After this point outcomes with an ABIS component recieve more Age Pension. " title="Chart 1 Immediate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D1915" w:rsidRPr="00A678DB" w:rsidRDefault="00FD1915" w:rsidP="00FD1915">
      <w:pPr>
        <w:pStyle w:val="Heading3"/>
      </w:pPr>
    </w:p>
    <w:p w:rsidR="00FD1915" w:rsidRPr="00A678DB" w:rsidRDefault="00FD1915" w:rsidP="00FD1915">
      <w:pPr>
        <w:pStyle w:val="Heading3"/>
      </w:pPr>
      <w:r w:rsidRPr="00A678DB">
        <w:t>Chart 2: Immediate products - Total income (Age Pension + Product Income)</w:t>
      </w:r>
    </w:p>
    <w:p w:rsidR="00FD1915" w:rsidRPr="00A678DB" w:rsidRDefault="000513BB" w:rsidP="00FD1915">
      <w:r>
        <w:rPr>
          <w:noProof/>
        </w:rPr>
        <w:drawing>
          <wp:inline distT="0" distB="0" distL="0" distR="0" wp14:anchorId="33363681">
            <wp:extent cx="5937885" cy="3237230"/>
            <wp:effectExtent l="0" t="0" r="5715" b="1270"/>
            <wp:docPr id="79" name="Picture 79" descr="Products with a lifetime product component generally perform better in terms of total income in each year of retirement, particularly later in retirement. " title="Chart 2 Immediate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D1915" w:rsidRPr="00A678DB" w:rsidRDefault="00FD1915" w:rsidP="00FD1915">
      <w:pPr>
        <w:pStyle w:val="Heading3"/>
      </w:pPr>
      <w:r w:rsidRPr="00A678DB">
        <w:lastRenderedPageBreak/>
        <w:t>Chart 3: Deferred products - Age Pension</w:t>
      </w:r>
    </w:p>
    <w:p w:rsidR="00FD1915" w:rsidRPr="00A678DB" w:rsidRDefault="000513BB" w:rsidP="00FD1915">
      <w:r>
        <w:rPr>
          <w:noProof/>
        </w:rPr>
        <w:drawing>
          <wp:inline distT="0" distB="0" distL="0" distR="0" wp14:anchorId="52458009">
            <wp:extent cx="5937885" cy="3237230"/>
            <wp:effectExtent l="0" t="0" r="5715" b="1270"/>
            <wp:docPr id="81" name="Picture 81" descr="Products with a deferred component perform better in terms of Age Pension during the deferral period. After the deferral period, products with a greater ABIS component recieve more Age Pension. " title="Chart 3 Deferred Products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D1915" w:rsidRPr="00A678DB" w:rsidRDefault="00FD1915" w:rsidP="00FD1915"/>
    <w:p w:rsidR="00FD1915" w:rsidRPr="00A678DB" w:rsidRDefault="00FD1915" w:rsidP="00FD1915">
      <w:pPr>
        <w:pStyle w:val="Heading3"/>
      </w:pPr>
      <w:r w:rsidRPr="00A678DB">
        <w:t>Chart 4: Deferred products - Total income (Age Pension + Product Income)</w:t>
      </w:r>
    </w:p>
    <w:p w:rsidR="00FD1915" w:rsidRPr="00A678DB" w:rsidRDefault="000513BB" w:rsidP="00FD1915">
      <w:pPr>
        <w:spacing w:before="160" w:after="160"/>
        <w:rPr>
          <w:rFonts w:eastAsia="Calibri" w:cs="Calibri"/>
          <w:noProof/>
        </w:rPr>
      </w:pPr>
      <w:r>
        <w:rPr>
          <w:rFonts w:eastAsia="Calibri" w:cs="Calibri"/>
          <w:noProof/>
        </w:rPr>
        <w:drawing>
          <wp:inline distT="0" distB="0" distL="0" distR="0" wp14:anchorId="19B5DE61">
            <wp:extent cx="5937885" cy="3237230"/>
            <wp:effectExtent l="0" t="0" r="5715" b="1270"/>
            <wp:docPr id="82" name="Picture 82" descr="Products with a deferred component generally perform better in terms of total income during the deferral period. After the deferral period, 30% DLA/70%ABIS combinations generally perform best. 20%GSA/80%ABIS combinations are worst off than an ABIS for 12 years after the deferral period, before being better off for the rest of retirement. " title="Chart 4 Deferred Products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3237230"/>
                    </a:xfrm>
                    <a:prstGeom prst="rect">
                      <a:avLst/>
                    </a:prstGeom>
                    <a:noFill/>
                  </pic:spPr>
                </pic:pic>
              </a:graphicData>
            </a:graphic>
          </wp:inline>
        </w:drawing>
      </w:r>
    </w:p>
    <w:p w:rsidR="00FD1915" w:rsidRPr="00A678DB" w:rsidRDefault="00FD1915" w:rsidP="00FD1915">
      <w:pPr>
        <w:rPr>
          <w:iCs/>
        </w:rPr>
      </w:pPr>
    </w:p>
    <w:p w:rsidR="00FD1915" w:rsidRPr="00A678DB" w:rsidRDefault="00FD1915" w:rsidP="00FD1915">
      <w:pPr>
        <w:rPr>
          <w:iCs/>
        </w:rPr>
      </w:pPr>
    </w:p>
    <w:p w:rsidR="00FD1915" w:rsidRPr="00A678DB" w:rsidRDefault="00FD1915" w:rsidP="00FD1915">
      <w:pPr>
        <w:pStyle w:val="Heading3"/>
        <w:rPr>
          <w:iCs/>
        </w:rPr>
      </w:pPr>
      <w:r w:rsidRPr="00A678DB">
        <w:lastRenderedPageBreak/>
        <w:t>Chart 5: Difference in Age Pension and total income when 30 per cent is invested in a lifetime annuity, compared to if all funds were invested in an ABIS</w:t>
      </w:r>
    </w:p>
    <w:p w:rsidR="00FD1915" w:rsidRPr="00A678DB" w:rsidRDefault="000513BB" w:rsidP="00FD1915">
      <w:pPr>
        <w:rPr>
          <w:rStyle w:val="SubtleEmphasis"/>
          <w:rFonts w:ascii="Georgia" w:eastAsiaTheme="majorEastAsia" w:hAnsi="Georgia" w:cstheme="majorBidi"/>
          <w:bCs/>
          <w:i w:val="0"/>
          <w:sz w:val="26"/>
        </w:rPr>
      </w:pPr>
      <w:r>
        <w:rPr>
          <w:rStyle w:val="SubtleEmphasis"/>
          <w:rFonts w:ascii="Georgia" w:eastAsiaTheme="majorEastAsia" w:hAnsi="Georgia" w:cstheme="majorBidi"/>
          <w:bCs/>
          <w:i w:val="0"/>
          <w:noProof/>
          <w:sz w:val="26"/>
        </w:rPr>
        <w:drawing>
          <wp:inline distT="0" distB="0" distL="0" distR="0" wp14:anchorId="54808CFB">
            <wp:extent cx="5937885" cy="3731260"/>
            <wp:effectExtent l="0" t="0" r="5715" b="2540"/>
            <wp:docPr id="83" name="Picture 83" descr="After age 75, a person is better off in terms of total income investing 30 per cent in a lifetime annuity compared to if all funds were invested in an ABIS. &#10;&#10;After age 88, a person is worse off, or no better off, in terms of Age Pension outcomes investing 30 per cent in a lifetime annuity compared to if all funds were invested in an ABIS. Before this they are better off in terms of Age Pension outcomes." titl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3731260"/>
                    </a:xfrm>
                    <a:prstGeom prst="rect">
                      <a:avLst/>
                    </a:prstGeom>
                    <a:noFill/>
                  </pic:spPr>
                </pic:pic>
              </a:graphicData>
            </a:graphic>
          </wp:inline>
        </w:drawing>
      </w:r>
    </w:p>
    <w:p w:rsidR="00FD1915" w:rsidRPr="00A678DB" w:rsidRDefault="00FD1915" w:rsidP="00FD1915">
      <w:pPr>
        <w:rPr>
          <w:rStyle w:val="SubtleEmphasis"/>
          <w:rFonts w:ascii="Georgia" w:eastAsiaTheme="majorEastAsia" w:hAnsi="Georgia" w:cstheme="majorBidi"/>
          <w:bCs/>
          <w:i w:val="0"/>
          <w:sz w:val="26"/>
        </w:rPr>
      </w:pPr>
    </w:p>
    <w:p w:rsidR="00FD1915" w:rsidRPr="00A678DB" w:rsidRDefault="00FD1915" w:rsidP="00FD1915">
      <w:pPr>
        <w:pStyle w:val="Heading3"/>
        <w:rPr>
          <w:rStyle w:val="SubtleEmphasis"/>
          <w:i w:val="0"/>
        </w:rPr>
      </w:pPr>
      <w:r w:rsidRPr="00A678DB">
        <w:rPr>
          <w:rStyle w:val="SubtleEmphasis"/>
          <w:i w:val="0"/>
        </w:rPr>
        <w:t>Total retirement outcomes</w:t>
      </w:r>
      <w:r w:rsidRPr="00A678DB">
        <w:rPr>
          <w:rStyle w:val="SubtleEmphasis"/>
          <w:i w:val="0"/>
        </w:rPr>
        <w:br/>
      </w:r>
    </w:p>
    <w:tbl>
      <w:tblPr>
        <w:tblW w:w="9836" w:type="dxa"/>
        <w:tblLook w:val="04A0" w:firstRow="1" w:lastRow="0" w:firstColumn="1" w:lastColumn="0" w:noHBand="0" w:noVBand="1"/>
        <w:tblCaption w:val="Total Retirement Outcomes"/>
        <w:tblDescription w:val="This table shows total retirement outcomes for a variety of investment product combinations. "/>
      </w:tblPr>
      <w:tblGrid>
        <w:gridCol w:w="2536"/>
        <w:gridCol w:w="1140"/>
        <w:gridCol w:w="1080"/>
        <w:gridCol w:w="1080"/>
        <w:gridCol w:w="1000"/>
        <w:gridCol w:w="1000"/>
        <w:gridCol w:w="1000"/>
        <w:gridCol w:w="1000"/>
      </w:tblGrid>
      <w:tr w:rsidR="00281782" w:rsidRPr="00A678DB" w:rsidTr="000513BB">
        <w:trPr>
          <w:trHeight w:val="795"/>
          <w:tblHeader/>
        </w:trPr>
        <w:tc>
          <w:tcPr>
            <w:tcW w:w="2536" w:type="dxa"/>
            <w:tcBorders>
              <w:top w:val="single" w:sz="4" w:space="0" w:color="auto"/>
              <w:left w:val="single" w:sz="4" w:space="0" w:color="auto"/>
              <w:bottom w:val="nil"/>
              <w:right w:val="single" w:sz="4" w:space="0" w:color="auto"/>
            </w:tcBorders>
            <w:shd w:val="clear" w:color="000000" w:fill="16365C"/>
            <w:vAlign w:val="bottom"/>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single" w:sz="4" w:space="0" w:color="auto"/>
              <w:left w:val="nil"/>
              <w:bottom w:val="single" w:sz="4" w:space="0" w:color="auto"/>
              <w:right w:val="single" w:sz="4" w:space="0" w:color="auto"/>
            </w:tcBorders>
            <w:shd w:val="clear" w:color="000000" w:fill="16365C"/>
            <w:vAlign w:val="bottom"/>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216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281782" w:rsidRPr="00A678DB" w:rsidRDefault="00281782" w:rsidP="00281782">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Life 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Group Self-Annuity Products</w:t>
            </w:r>
          </w:p>
        </w:tc>
        <w:tc>
          <w:tcPr>
            <w:tcW w:w="2000" w:type="dxa"/>
            <w:gridSpan w:val="2"/>
            <w:tcBorders>
              <w:top w:val="single" w:sz="4" w:space="0" w:color="auto"/>
              <w:left w:val="nil"/>
              <w:bottom w:val="single" w:sz="4" w:space="0" w:color="auto"/>
              <w:right w:val="single" w:sz="4" w:space="0" w:color="000000"/>
            </w:tcBorders>
            <w:shd w:val="clear" w:color="000000" w:fill="16365C"/>
            <w:noWrap/>
            <w:vAlign w:val="center"/>
            <w:hideMark/>
          </w:tcPr>
          <w:p w:rsidR="00281782" w:rsidRPr="00A678DB" w:rsidRDefault="00281782" w:rsidP="00281782">
            <w:pPr>
              <w:keepLines w:val="0"/>
              <w:spacing w:before="0" w:after="0" w:line="240" w:lineRule="auto"/>
              <w:jc w:val="center"/>
              <w:rPr>
                <w:rFonts w:ascii="Calibri" w:hAnsi="Calibri" w:cs="Calibri"/>
                <w:b/>
                <w:bCs/>
                <w:color w:val="FFFFFF"/>
                <w:spacing w:val="0"/>
                <w:sz w:val="18"/>
                <w:szCs w:val="18"/>
              </w:rPr>
            </w:pPr>
            <w:r w:rsidRPr="00A678DB">
              <w:rPr>
                <w:rFonts w:ascii="Calibri" w:hAnsi="Calibri" w:cs="Calibri"/>
                <w:b/>
                <w:bCs/>
                <w:color w:val="FFFFFF"/>
                <w:spacing w:val="0"/>
                <w:sz w:val="18"/>
                <w:szCs w:val="18"/>
              </w:rPr>
              <w:t>Deferred Products</w:t>
            </w:r>
          </w:p>
        </w:tc>
      </w:tr>
      <w:tr w:rsidR="00281782" w:rsidRPr="00A678DB" w:rsidTr="000513BB">
        <w:trPr>
          <w:trHeight w:val="660"/>
          <w:tblHeader/>
        </w:trPr>
        <w:tc>
          <w:tcPr>
            <w:tcW w:w="2536" w:type="dxa"/>
            <w:tcBorders>
              <w:top w:val="nil"/>
              <w:left w:val="single" w:sz="4" w:space="0" w:color="auto"/>
              <w:bottom w:val="nil"/>
              <w:right w:val="nil"/>
            </w:tcBorders>
            <w:shd w:val="clear" w:color="000000" w:fill="16365C"/>
            <w:vAlign w:val="bottom"/>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 </w:t>
            </w:r>
          </w:p>
        </w:tc>
        <w:tc>
          <w:tcPr>
            <w:tcW w:w="1140" w:type="dxa"/>
            <w:tcBorders>
              <w:top w:val="nil"/>
              <w:left w:val="single" w:sz="4" w:space="0" w:color="auto"/>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ABIS (6%)</w:t>
            </w:r>
          </w:p>
        </w:tc>
        <w:tc>
          <w:tcPr>
            <w:tcW w:w="1080" w:type="dxa"/>
            <w:tcBorders>
              <w:top w:val="nil"/>
              <w:left w:val="nil"/>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LA</w:t>
            </w:r>
          </w:p>
        </w:tc>
        <w:tc>
          <w:tcPr>
            <w:tcW w:w="1080" w:type="dxa"/>
            <w:tcBorders>
              <w:top w:val="nil"/>
              <w:left w:val="nil"/>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LA / 70% ABIS</w:t>
            </w:r>
          </w:p>
        </w:tc>
        <w:tc>
          <w:tcPr>
            <w:tcW w:w="1000" w:type="dxa"/>
            <w:tcBorders>
              <w:top w:val="nil"/>
              <w:left w:val="nil"/>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100% GSA</w:t>
            </w:r>
          </w:p>
        </w:tc>
        <w:tc>
          <w:tcPr>
            <w:tcW w:w="1000" w:type="dxa"/>
            <w:tcBorders>
              <w:top w:val="nil"/>
              <w:left w:val="nil"/>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50% GSA / 50% ABIS</w:t>
            </w:r>
          </w:p>
        </w:tc>
        <w:tc>
          <w:tcPr>
            <w:tcW w:w="1000" w:type="dxa"/>
            <w:tcBorders>
              <w:top w:val="nil"/>
              <w:left w:val="nil"/>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30% DLA / 70% ABIS</w:t>
            </w:r>
          </w:p>
        </w:tc>
        <w:tc>
          <w:tcPr>
            <w:tcW w:w="1000" w:type="dxa"/>
            <w:tcBorders>
              <w:top w:val="nil"/>
              <w:left w:val="nil"/>
              <w:bottom w:val="nil"/>
              <w:right w:val="single" w:sz="4" w:space="0" w:color="auto"/>
            </w:tcBorders>
            <w:shd w:val="clear" w:color="000000" w:fill="16365C"/>
            <w:vAlign w:val="center"/>
            <w:hideMark/>
          </w:tcPr>
          <w:p w:rsidR="00281782" w:rsidRPr="00A678DB" w:rsidRDefault="00281782" w:rsidP="00281782">
            <w:pPr>
              <w:keepLines w:val="0"/>
              <w:spacing w:before="0" w:after="0" w:line="240" w:lineRule="auto"/>
              <w:jc w:val="center"/>
              <w:rPr>
                <w:rFonts w:ascii="Calibri" w:hAnsi="Calibri" w:cs="Calibri"/>
                <w:color w:val="FFFFFF"/>
                <w:spacing w:val="0"/>
                <w:sz w:val="18"/>
                <w:szCs w:val="18"/>
              </w:rPr>
            </w:pPr>
            <w:r w:rsidRPr="00A678DB">
              <w:rPr>
                <w:rFonts w:ascii="Calibri" w:hAnsi="Calibri" w:cs="Calibri"/>
                <w:color w:val="FFFFFF"/>
                <w:spacing w:val="0"/>
                <w:sz w:val="18"/>
                <w:szCs w:val="18"/>
              </w:rPr>
              <w:t>20% DGSA / 80% ABIS</w:t>
            </w:r>
          </w:p>
        </w:tc>
      </w:tr>
      <w:tr w:rsidR="00281782" w:rsidRPr="00A678DB" w:rsidTr="00281782">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281782" w:rsidRPr="00A678DB" w:rsidRDefault="00281782" w:rsidP="00281782">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Age Pension</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137,051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178,247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166,724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177,242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182,240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203,847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216,201 </w:t>
            </w:r>
          </w:p>
        </w:tc>
      </w:tr>
      <w:tr w:rsidR="00281782" w:rsidRPr="00A678DB" w:rsidTr="00281782">
        <w:trPr>
          <w:trHeight w:val="435"/>
        </w:trPr>
        <w:tc>
          <w:tcPr>
            <w:tcW w:w="2536" w:type="dxa"/>
            <w:tcBorders>
              <w:top w:val="nil"/>
              <w:left w:val="single" w:sz="4" w:space="0" w:color="auto"/>
              <w:bottom w:val="nil"/>
              <w:right w:val="nil"/>
            </w:tcBorders>
            <w:shd w:val="clear" w:color="auto" w:fill="auto"/>
            <w:noWrap/>
            <w:vAlign w:val="bottom"/>
            <w:hideMark/>
          </w:tcPr>
          <w:p w:rsidR="00281782" w:rsidRPr="00A678DB" w:rsidRDefault="00281782" w:rsidP="00281782">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Product Income</w:t>
            </w:r>
          </w:p>
        </w:tc>
        <w:tc>
          <w:tcPr>
            <w:tcW w:w="1140" w:type="dxa"/>
            <w:tcBorders>
              <w:top w:val="nil"/>
              <w:left w:val="single" w:sz="4" w:space="0" w:color="auto"/>
              <w:bottom w:val="nil"/>
              <w:right w:val="single" w:sz="4" w:space="0" w:color="auto"/>
            </w:tcBorders>
            <w:shd w:val="clear" w:color="000000" w:fill="DCE6F1"/>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400,498 </w:t>
            </w:r>
          </w:p>
        </w:tc>
        <w:tc>
          <w:tcPr>
            <w:tcW w:w="108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559,806 </w:t>
            </w:r>
          </w:p>
        </w:tc>
        <w:tc>
          <w:tcPr>
            <w:tcW w:w="108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448,290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563,154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481,826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545,231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541,324 </w:t>
            </w:r>
          </w:p>
        </w:tc>
      </w:tr>
      <w:tr w:rsidR="00281782" w:rsidRPr="00A678DB" w:rsidTr="00281782">
        <w:trPr>
          <w:trHeight w:val="435"/>
        </w:trPr>
        <w:tc>
          <w:tcPr>
            <w:tcW w:w="2536" w:type="dxa"/>
            <w:tcBorders>
              <w:top w:val="single" w:sz="4" w:space="0" w:color="auto"/>
              <w:left w:val="single" w:sz="4" w:space="0" w:color="auto"/>
              <w:bottom w:val="single" w:sz="4" w:space="0" w:color="auto"/>
              <w:right w:val="nil"/>
            </w:tcBorders>
            <w:shd w:val="clear" w:color="000000" w:fill="D9D9D9"/>
            <w:noWrap/>
            <w:vAlign w:val="bottom"/>
            <w:hideMark/>
          </w:tcPr>
          <w:p w:rsidR="00281782" w:rsidRPr="00A678DB" w:rsidRDefault="00281782" w:rsidP="00281782">
            <w:pPr>
              <w:keepLines w:val="0"/>
              <w:spacing w:before="0" w:after="0" w:line="240" w:lineRule="auto"/>
              <w:ind w:firstLineChars="100" w:firstLine="200"/>
              <w:rPr>
                <w:rFonts w:ascii="Calibri" w:hAnsi="Calibri" w:cs="Calibri"/>
                <w:b/>
                <w:bCs/>
                <w:color w:val="000000"/>
                <w:spacing w:val="0"/>
                <w:sz w:val="20"/>
                <w:szCs w:val="20"/>
              </w:rPr>
            </w:pPr>
            <w:r w:rsidRPr="00A678DB">
              <w:rPr>
                <w:rFonts w:ascii="Calibri" w:hAnsi="Calibri" w:cs="Calibri"/>
                <w:b/>
                <w:bCs/>
                <w:color w:val="000000"/>
                <w:spacing w:val="0"/>
                <w:sz w:val="20"/>
                <w:szCs w:val="20"/>
              </w:rPr>
              <w:t>Total Income</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537,549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738,053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615,014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740,397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664,066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749,078 </w:t>
            </w:r>
          </w:p>
        </w:tc>
        <w:tc>
          <w:tcPr>
            <w:tcW w:w="1000" w:type="dxa"/>
            <w:tcBorders>
              <w:top w:val="single" w:sz="4" w:space="0" w:color="auto"/>
              <w:left w:val="nil"/>
              <w:bottom w:val="single" w:sz="4" w:space="0" w:color="auto"/>
              <w:right w:val="single" w:sz="4" w:space="0" w:color="auto"/>
            </w:tcBorders>
            <w:shd w:val="clear" w:color="000000" w:fill="D9D9D9"/>
            <w:noWrap/>
            <w:vAlign w:val="bottom"/>
            <w:hideMark/>
          </w:tcPr>
          <w:p w:rsidR="00281782" w:rsidRPr="00A678DB" w:rsidRDefault="00281782" w:rsidP="00281782">
            <w:pPr>
              <w:keepLines w:val="0"/>
              <w:spacing w:before="0" w:after="0" w:line="240" w:lineRule="auto"/>
              <w:rPr>
                <w:rFonts w:ascii="Calibri" w:hAnsi="Calibri" w:cs="Calibri"/>
                <w:b/>
                <w:bCs/>
                <w:color w:val="000000"/>
                <w:spacing w:val="0"/>
                <w:sz w:val="20"/>
                <w:szCs w:val="20"/>
              </w:rPr>
            </w:pPr>
            <w:r w:rsidRPr="00A678DB">
              <w:rPr>
                <w:rFonts w:ascii="Calibri" w:hAnsi="Calibri" w:cs="Calibri"/>
                <w:b/>
                <w:bCs/>
                <w:color w:val="000000"/>
                <w:spacing w:val="0"/>
                <w:sz w:val="20"/>
                <w:szCs w:val="20"/>
              </w:rPr>
              <w:t xml:space="preserve">757,525 </w:t>
            </w:r>
          </w:p>
        </w:tc>
      </w:tr>
      <w:tr w:rsidR="00281782" w:rsidRPr="00A678DB" w:rsidTr="00281782">
        <w:trPr>
          <w:trHeight w:val="435"/>
        </w:trPr>
        <w:tc>
          <w:tcPr>
            <w:tcW w:w="2536" w:type="dxa"/>
            <w:tcBorders>
              <w:top w:val="nil"/>
              <w:left w:val="single" w:sz="4" w:space="0" w:color="auto"/>
              <w:bottom w:val="nil"/>
              <w:right w:val="nil"/>
            </w:tcBorders>
            <w:shd w:val="clear" w:color="auto" w:fill="auto"/>
            <w:noWrap/>
            <w:vAlign w:val="bottom"/>
            <w:hideMark/>
          </w:tcPr>
          <w:p w:rsidR="00281782" w:rsidRPr="00A678DB" w:rsidRDefault="00281782" w:rsidP="00281782">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Death Benefit / Bequest</w:t>
            </w:r>
          </w:p>
        </w:tc>
        <w:tc>
          <w:tcPr>
            <w:tcW w:w="1140" w:type="dxa"/>
            <w:tcBorders>
              <w:top w:val="nil"/>
              <w:left w:val="single" w:sz="4" w:space="0" w:color="auto"/>
              <w:bottom w:val="nil"/>
              <w:right w:val="single" w:sz="4" w:space="0" w:color="auto"/>
            </w:tcBorders>
            <w:shd w:val="clear" w:color="000000" w:fill="DCE6F1"/>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177,831 </w:t>
            </w:r>
          </w:p>
        </w:tc>
        <w:tc>
          <w:tcPr>
            <w:tcW w:w="108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51,942 </w:t>
            </w:r>
          </w:p>
        </w:tc>
        <w:tc>
          <w:tcPr>
            <w:tcW w:w="108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140,064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88,916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50,243 </w:t>
            </w:r>
          </w:p>
        </w:tc>
        <w:tc>
          <w:tcPr>
            <w:tcW w:w="1000" w:type="dxa"/>
            <w:tcBorders>
              <w:top w:val="nil"/>
              <w:left w:val="nil"/>
              <w:bottom w:val="nil"/>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39,612 </w:t>
            </w:r>
          </w:p>
        </w:tc>
      </w:tr>
      <w:tr w:rsidR="00281782" w:rsidRPr="00A678DB" w:rsidTr="00281782">
        <w:trPr>
          <w:trHeight w:val="435"/>
        </w:trPr>
        <w:tc>
          <w:tcPr>
            <w:tcW w:w="2536" w:type="dxa"/>
            <w:tcBorders>
              <w:top w:val="single" w:sz="4" w:space="0" w:color="auto"/>
              <w:left w:val="single" w:sz="4" w:space="0" w:color="auto"/>
              <w:bottom w:val="single" w:sz="4" w:space="0" w:color="auto"/>
              <w:right w:val="nil"/>
            </w:tcBorders>
            <w:shd w:val="clear" w:color="auto" w:fill="auto"/>
            <w:noWrap/>
            <w:vAlign w:val="bottom"/>
            <w:hideMark/>
          </w:tcPr>
          <w:p w:rsidR="00281782" w:rsidRPr="00A678DB" w:rsidRDefault="00281782" w:rsidP="00281782">
            <w:pPr>
              <w:keepLines w:val="0"/>
              <w:spacing w:before="0" w:after="0" w:line="240" w:lineRule="auto"/>
              <w:ind w:firstLineChars="100" w:firstLine="200"/>
              <w:rPr>
                <w:rFonts w:ascii="Calibri" w:hAnsi="Calibri" w:cs="Calibri"/>
                <w:color w:val="000000"/>
                <w:spacing w:val="0"/>
                <w:sz w:val="20"/>
                <w:szCs w:val="20"/>
              </w:rPr>
            </w:pPr>
            <w:r w:rsidRPr="00A678DB">
              <w:rPr>
                <w:rFonts w:ascii="Calibri" w:hAnsi="Calibri" w:cs="Calibri"/>
                <w:color w:val="000000"/>
                <w:spacing w:val="0"/>
                <w:sz w:val="20"/>
                <w:szCs w:val="20"/>
              </w:rPr>
              <w:t>Total (including bequest)</w:t>
            </w:r>
          </w:p>
        </w:tc>
        <w:tc>
          <w:tcPr>
            <w:tcW w:w="11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715,380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789,994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755,078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740,397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752,982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799,321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281782" w:rsidRPr="00A678DB" w:rsidRDefault="00281782" w:rsidP="00281782">
            <w:pPr>
              <w:keepLines w:val="0"/>
              <w:spacing w:before="0" w:after="0" w:line="240" w:lineRule="auto"/>
              <w:rPr>
                <w:rFonts w:ascii="Calibri" w:hAnsi="Calibri" w:cs="Calibri"/>
                <w:color w:val="000000"/>
                <w:spacing w:val="0"/>
                <w:sz w:val="20"/>
                <w:szCs w:val="20"/>
              </w:rPr>
            </w:pPr>
            <w:r w:rsidRPr="00A678DB">
              <w:rPr>
                <w:rFonts w:ascii="Calibri" w:hAnsi="Calibri" w:cs="Calibri"/>
                <w:color w:val="000000"/>
                <w:spacing w:val="0"/>
                <w:sz w:val="20"/>
                <w:szCs w:val="20"/>
              </w:rPr>
              <w:t xml:space="preserve">797,137 </w:t>
            </w:r>
          </w:p>
        </w:tc>
      </w:tr>
    </w:tbl>
    <w:p w:rsidR="00FD1915" w:rsidRPr="00A678DB" w:rsidRDefault="00FD1915" w:rsidP="00FD1915">
      <w:pPr>
        <w:pStyle w:val="Heading3"/>
        <w:rPr>
          <w:rStyle w:val="SubtleEmphasis"/>
          <w:i w:val="0"/>
        </w:rPr>
      </w:pPr>
    </w:p>
    <w:p w:rsidR="00BA10CC" w:rsidRPr="00A678DB" w:rsidRDefault="00BA10CC" w:rsidP="00BA10CC">
      <w:pPr>
        <w:keepLines w:val="0"/>
        <w:spacing w:before="0" w:after="200" w:line="276" w:lineRule="auto"/>
        <w:sectPr w:rsidR="00BA10CC" w:rsidRPr="00A678DB" w:rsidSect="00A8086B">
          <w:footerReference w:type="default" r:id="rId77"/>
          <w:footerReference w:type="first" r:id="rId78"/>
          <w:pgSz w:w="11906" w:h="16838"/>
          <w:pgMar w:top="1134" w:right="1418" w:bottom="1418" w:left="1134" w:header="851" w:footer="0" w:gutter="0"/>
          <w:cols w:space="708"/>
          <w:docGrid w:linePitch="360"/>
        </w:sectPr>
      </w:pPr>
    </w:p>
    <w:p w:rsidR="00281782" w:rsidRPr="00A678DB" w:rsidRDefault="00463D8F" w:rsidP="00BA10CC">
      <w:pPr>
        <w:pStyle w:val="Heading2"/>
      </w:pPr>
      <w:r w:rsidRPr="00A678DB">
        <w:lastRenderedPageBreak/>
        <w:t xml:space="preserve">Attachment A – </w:t>
      </w:r>
      <w:r w:rsidR="00281782" w:rsidRPr="00A678DB">
        <w:t xml:space="preserve">Key Assumptions – Updated for </w:t>
      </w:r>
      <w:r w:rsidRPr="00A678DB">
        <w:t>this document</w:t>
      </w:r>
    </w:p>
    <w:p w:rsidR="00D96568" w:rsidRPr="00A678DB" w:rsidRDefault="00D96568" w:rsidP="00D96568">
      <w:pPr>
        <w:rPr>
          <w:rStyle w:val="SubtleEmphasis"/>
          <w:i w:val="0"/>
          <w:iCs w:val="0"/>
        </w:rPr>
      </w:pPr>
      <w:r w:rsidRPr="00A678DB">
        <w:rPr>
          <w:rStyle w:val="SubtleEmphasis"/>
          <w:i w:val="0"/>
          <w:iCs w:val="0"/>
        </w:rPr>
        <w:t>Figures followed by an asterisk (*) have changed from the assumptions used for the position paper (Attachment B).</w:t>
      </w:r>
    </w:p>
    <w:p w:rsidR="00463D8F" w:rsidRPr="00A678DB" w:rsidRDefault="00463D8F" w:rsidP="00D96568">
      <w:pPr>
        <w:pStyle w:val="Heading3"/>
        <w:rPr>
          <w:rStyle w:val="SubtleEmphasis"/>
          <w:i w:val="0"/>
          <w:iCs w:val="0"/>
        </w:rPr>
      </w:pPr>
      <w:r w:rsidRPr="00A678DB">
        <w:rPr>
          <w:rStyle w:val="SubtleEmphasis"/>
          <w:i w:val="0"/>
          <w:iCs w:val="0"/>
        </w:rPr>
        <w:t>Product Assumptions</w:t>
      </w:r>
    </w:p>
    <w:tbl>
      <w:tblPr>
        <w:tblStyle w:val="TableGrid"/>
        <w:tblW w:w="0" w:type="auto"/>
        <w:tblLook w:val="04A0" w:firstRow="1" w:lastRow="0" w:firstColumn="1" w:lastColumn="0" w:noHBand="0" w:noVBand="1"/>
        <w:tblCaption w:val="Product Assumptions"/>
        <w:tblDescription w:val="This table shows assumptions used in the modelling relating to retirement income products. "/>
      </w:tblPr>
      <w:tblGrid>
        <w:gridCol w:w="3561"/>
        <w:gridCol w:w="4140"/>
        <w:gridCol w:w="1643"/>
      </w:tblGrid>
      <w:tr w:rsidR="000513BB" w:rsidRPr="00A678DB" w:rsidTr="000513BB">
        <w:trPr>
          <w:tblHeader/>
        </w:trPr>
        <w:tc>
          <w:tcPr>
            <w:tcW w:w="8042" w:type="dxa"/>
            <w:gridSpan w:val="2"/>
            <w:shd w:val="clear" w:color="auto" w:fill="1F4E79" w:themeFill="accent1" w:themeFillShade="80"/>
          </w:tcPr>
          <w:p w:rsidR="000513BB" w:rsidRPr="000513BB" w:rsidRDefault="000513BB" w:rsidP="00CE5FD1">
            <w:pPr>
              <w:spacing w:before="60" w:after="60"/>
              <w:rPr>
                <w:b/>
                <w:color w:val="FFFFFF" w:themeColor="background1"/>
              </w:rPr>
            </w:pPr>
            <w:r w:rsidRPr="000513BB">
              <w:rPr>
                <w:b/>
                <w:color w:val="FFFFFF" w:themeColor="background1"/>
              </w:rPr>
              <w:t>Item</w:t>
            </w:r>
          </w:p>
        </w:tc>
        <w:tc>
          <w:tcPr>
            <w:tcW w:w="1302" w:type="dxa"/>
            <w:shd w:val="clear" w:color="auto" w:fill="1F4E79" w:themeFill="accent1" w:themeFillShade="80"/>
            <w:vAlign w:val="center"/>
          </w:tcPr>
          <w:p w:rsidR="000513BB" w:rsidRPr="000513BB" w:rsidRDefault="000513BB" w:rsidP="00CE5FD1">
            <w:pPr>
              <w:spacing w:before="60" w:after="60"/>
              <w:jc w:val="right"/>
              <w:rPr>
                <w:b/>
                <w:color w:val="FFFFFF" w:themeColor="background1"/>
              </w:rPr>
            </w:pPr>
            <w:r w:rsidRPr="000513BB">
              <w:rPr>
                <w:b/>
                <w:color w:val="FFFFFF" w:themeColor="background1"/>
              </w:rPr>
              <w:t>Assumption</w:t>
            </w:r>
          </w:p>
        </w:tc>
      </w:tr>
      <w:tr w:rsidR="00463D8F" w:rsidRPr="00A678DB" w:rsidTr="00CE5FD1">
        <w:tc>
          <w:tcPr>
            <w:tcW w:w="8042" w:type="dxa"/>
            <w:gridSpan w:val="2"/>
          </w:tcPr>
          <w:p w:rsidR="00463D8F" w:rsidRPr="00A678DB" w:rsidRDefault="00463D8F" w:rsidP="00CE5FD1">
            <w:pPr>
              <w:spacing w:before="60" w:after="60"/>
            </w:pPr>
            <w:r w:rsidRPr="00A678DB">
              <w:t>Real earnings rate (gross of fees)</w:t>
            </w:r>
          </w:p>
        </w:tc>
        <w:tc>
          <w:tcPr>
            <w:tcW w:w="1302" w:type="dxa"/>
            <w:vAlign w:val="center"/>
          </w:tcPr>
          <w:p w:rsidR="00463D8F" w:rsidRPr="00A678DB" w:rsidRDefault="00463D8F" w:rsidP="00CE5FD1">
            <w:pPr>
              <w:spacing w:before="60" w:after="60"/>
              <w:jc w:val="right"/>
            </w:pPr>
            <w:r w:rsidRPr="00A678DB">
              <w:t>3.3</w:t>
            </w:r>
            <w:r w:rsidR="00D96568" w:rsidRPr="00A678DB">
              <w:t>0</w:t>
            </w:r>
            <w:r w:rsidRPr="00A678DB">
              <w:t>%</w:t>
            </w:r>
          </w:p>
        </w:tc>
      </w:tr>
      <w:tr w:rsidR="00463D8F" w:rsidRPr="00A678DB" w:rsidTr="00CE5FD1">
        <w:tc>
          <w:tcPr>
            <w:tcW w:w="8042" w:type="dxa"/>
            <w:gridSpan w:val="2"/>
          </w:tcPr>
          <w:p w:rsidR="00463D8F" w:rsidRPr="00A678DB" w:rsidRDefault="00463D8F" w:rsidP="00CE5FD1">
            <w:pPr>
              <w:spacing w:before="60" w:after="60"/>
            </w:pPr>
            <w:r w:rsidRPr="00A678DB">
              <w:t>Inflation</w:t>
            </w:r>
          </w:p>
        </w:tc>
        <w:tc>
          <w:tcPr>
            <w:tcW w:w="1302" w:type="dxa"/>
            <w:vAlign w:val="center"/>
          </w:tcPr>
          <w:p w:rsidR="00463D8F" w:rsidRPr="00A678DB" w:rsidRDefault="00463D8F" w:rsidP="00CE5FD1">
            <w:pPr>
              <w:spacing w:before="60" w:after="60"/>
              <w:jc w:val="right"/>
            </w:pPr>
            <w:r w:rsidRPr="00A678DB">
              <w:t>2.5</w:t>
            </w:r>
            <w:r w:rsidR="00D96568" w:rsidRPr="00A678DB">
              <w:t>0</w:t>
            </w:r>
            <w:r w:rsidRPr="00A678DB">
              <w:t>%</w:t>
            </w:r>
          </w:p>
        </w:tc>
      </w:tr>
      <w:tr w:rsidR="00463D8F" w:rsidRPr="00A678DB" w:rsidTr="00CE5FD1">
        <w:tc>
          <w:tcPr>
            <w:tcW w:w="8042" w:type="dxa"/>
            <w:gridSpan w:val="2"/>
          </w:tcPr>
          <w:p w:rsidR="00463D8F" w:rsidRPr="00A678DB" w:rsidRDefault="00463D8F" w:rsidP="00CE5FD1">
            <w:pPr>
              <w:spacing w:before="60" w:after="60"/>
            </w:pPr>
            <w:r w:rsidRPr="00A678DB">
              <w:t>Real discount Rate</w:t>
            </w:r>
          </w:p>
        </w:tc>
        <w:tc>
          <w:tcPr>
            <w:tcW w:w="1302" w:type="dxa"/>
            <w:vAlign w:val="center"/>
          </w:tcPr>
          <w:p w:rsidR="00463D8F" w:rsidRPr="00A678DB" w:rsidRDefault="00463D8F" w:rsidP="00CE5FD1">
            <w:pPr>
              <w:spacing w:before="60" w:after="60"/>
              <w:jc w:val="right"/>
            </w:pPr>
            <w:r w:rsidRPr="00A678DB">
              <w:t>3.3</w:t>
            </w:r>
            <w:r w:rsidR="00D96568" w:rsidRPr="00A678DB">
              <w:t>0</w:t>
            </w:r>
            <w:r w:rsidRPr="00A678DB">
              <w:t>%</w:t>
            </w:r>
          </w:p>
        </w:tc>
      </w:tr>
      <w:tr w:rsidR="00463D8F" w:rsidRPr="00A678DB" w:rsidTr="00CE5FD1">
        <w:tc>
          <w:tcPr>
            <w:tcW w:w="8042" w:type="dxa"/>
            <w:gridSpan w:val="2"/>
          </w:tcPr>
          <w:p w:rsidR="00463D8F" w:rsidRPr="00A678DB" w:rsidRDefault="00463D8F" w:rsidP="00CE5FD1">
            <w:pPr>
              <w:spacing w:before="60" w:after="60"/>
            </w:pPr>
            <w:r w:rsidRPr="00A678DB">
              <w:t>Age Pension indexation</w:t>
            </w:r>
          </w:p>
        </w:tc>
        <w:tc>
          <w:tcPr>
            <w:tcW w:w="1302" w:type="dxa"/>
            <w:vAlign w:val="center"/>
          </w:tcPr>
          <w:p w:rsidR="00463D8F" w:rsidRPr="00A678DB" w:rsidRDefault="00CE5FD1" w:rsidP="00CE5FD1">
            <w:pPr>
              <w:spacing w:before="60" w:after="60"/>
              <w:jc w:val="right"/>
            </w:pPr>
            <w:r w:rsidRPr="00A678DB">
              <w:t>3.0</w:t>
            </w:r>
            <w:r w:rsidR="00D96568" w:rsidRPr="00A678DB">
              <w:t>0</w:t>
            </w:r>
            <w:r w:rsidRPr="00A678DB">
              <w:t>%</w:t>
            </w:r>
          </w:p>
        </w:tc>
      </w:tr>
      <w:tr w:rsidR="00463D8F" w:rsidRPr="00A678DB" w:rsidTr="00CE5FD1">
        <w:tc>
          <w:tcPr>
            <w:tcW w:w="3681" w:type="dxa"/>
          </w:tcPr>
          <w:p w:rsidR="00463D8F" w:rsidRPr="00A678DB" w:rsidRDefault="00463D8F" w:rsidP="00CE5FD1">
            <w:pPr>
              <w:spacing w:before="60" w:after="60"/>
            </w:pPr>
            <w:r w:rsidRPr="00A678DB">
              <w:t>Mortality</w:t>
            </w:r>
          </w:p>
        </w:tc>
        <w:tc>
          <w:tcPr>
            <w:tcW w:w="5663" w:type="dxa"/>
            <w:gridSpan w:val="2"/>
            <w:vAlign w:val="center"/>
          </w:tcPr>
          <w:p w:rsidR="00463D8F" w:rsidRPr="00A678DB" w:rsidRDefault="00CE5FD1" w:rsidP="00CE5FD1">
            <w:pPr>
              <w:spacing w:before="60" w:after="60"/>
              <w:jc w:val="right"/>
            </w:pPr>
            <w:r w:rsidRPr="00A678DB">
              <w:t xml:space="preserve">ALT2010-12, with 25 </w:t>
            </w:r>
            <w:proofErr w:type="spellStart"/>
            <w:r w:rsidRPr="00A678DB">
              <w:t>yr</w:t>
            </w:r>
            <w:proofErr w:type="spellEnd"/>
            <w:r w:rsidRPr="00A678DB">
              <w:t xml:space="preserve"> imp. Rated down 3 years</w:t>
            </w:r>
          </w:p>
        </w:tc>
      </w:tr>
      <w:tr w:rsidR="00BA10CC" w:rsidRPr="00A678DB" w:rsidTr="00BA10CC">
        <w:tc>
          <w:tcPr>
            <w:tcW w:w="9344" w:type="dxa"/>
            <w:gridSpan w:val="3"/>
            <w:vAlign w:val="center"/>
          </w:tcPr>
          <w:p w:rsidR="00BA10CC" w:rsidRPr="00A678DB" w:rsidRDefault="00BA10CC" w:rsidP="00BA10CC">
            <w:pPr>
              <w:spacing w:before="60" w:after="60"/>
              <w:rPr>
                <w:b/>
              </w:rPr>
            </w:pPr>
            <w:r w:rsidRPr="00A678DB">
              <w:rPr>
                <w:b/>
              </w:rPr>
              <w:t>Pricing</w:t>
            </w:r>
          </w:p>
        </w:tc>
      </w:tr>
      <w:tr w:rsidR="00463D8F" w:rsidRPr="00A678DB" w:rsidTr="00CE5FD1">
        <w:tc>
          <w:tcPr>
            <w:tcW w:w="8042" w:type="dxa"/>
            <w:gridSpan w:val="2"/>
          </w:tcPr>
          <w:p w:rsidR="00463D8F" w:rsidRPr="00A678DB" w:rsidRDefault="00463D8F" w:rsidP="00CE5FD1">
            <w:pPr>
              <w:spacing w:before="60" w:after="60"/>
            </w:pPr>
            <w:r w:rsidRPr="00A678DB">
              <w:t>Inflation indexed immediate life annuity price (purchased at 65)</w:t>
            </w:r>
          </w:p>
        </w:tc>
        <w:tc>
          <w:tcPr>
            <w:tcW w:w="1302" w:type="dxa"/>
            <w:vAlign w:val="center"/>
          </w:tcPr>
          <w:p w:rsidR="00463D8F" w:rsidRPr="00A678DB" w:rsidRDefault="00CE5FD1" w:rsidP="00CE5FD1">
            <w:pPr>
              <w:spacing w:before="60" w:after="60"/>
              <w:jc w:val="right"/>
            </w:pPr>
            <w:r w:rsidRPr="00A678DB">
              <w:t>5.3</w:t>
            </w:r>
            <w:r w:rsidR="00D96568" w:rsidRPr="00A678DB">
              <w:t>0</w:t>
            </w:r>
            <w:r w:rsidRPr="00A678DB">
              <w:t>%</w:t>
            </w:r>
            <w:r w:rsidR="00BA10CC" w:rsidRPr="00A678DB">
              <w:t>*</w:t>
            </w:r>
          </w:p>
        </w:tc>
      </w:tr>
      <w:tr w:rsidR="00463D8F" w:rsidRPr="00A678DB" w:rsidTr="00CE5FD1">
        <w:tc>
          <w:tcPr>
            <w:tcW w:w="8042" w:type="dxa"/>
            <w:gridSpan w:val="2"/>
          </w:tcPr>
          <w:p w:rsidR="00463D8F" w:rsidRPr="00A678DB" w:rsidRDefault="00463D8F" w:rsidP="00CE5FD1">
            <w:pPr>
              <w:spacing w:before="60" w:after="60"/>
            </w:pPr>
            <w:r w:rsidRPr="00A678DB">
              <w:t>Inflation indexed deferred life annuity price (20 year deferral, purchased at 65)</w:t>
            </w:r>
          </w:p>
        </w:tc>
        <w:tc>
          <w:tcPr>
            <w:tcW w:w="1302" w:type="dxa"/>
            <w:vAlign w:val="center"/>
          </w:tcPr>
          <w:p w:rsidR="00463D8F" w:rsidRPr="00A678DB" w:rsidRDefault="00CE5FD1" w:rsidP="00CE5FD1">
            <w:pPr>
              <w:spacing w:before="60" w:after="60"/>
              <w:jc w:val="right"/>
            </w:pPr>
            <w:r w:rsidRPr="00A678DB">
              <w:t>25.0%</w:t>
            </w:r>
          </w:p>
        </w:tc>
      </w:tr>
      <w:tr w:rsidR="00CE5FD1" w:rsidRPr="00A678DB" w:rsidTr="00D96568">
        <w:tc>
          <w:tcPr>
            <w:tcW w:w="9344" w:type="dxa"/>
            <w:gridSpan w:val="3"/>
          </w:tcPr>
          <w:p w:rsidR="00CE5FD1" w:rsidRPr="00A678DB" w:rsidRDefault="00CE5FD1" w:rsidP="00CE5FD1">
            <w:pPr>
              <w:spacing w:before="60" w:after="60"/>
            </w:pPr>
            <w:r w:rsidRPr="00A678DB">
              <w:rPr>
                <w:b/>
              </w:rPr>
              <w:t>Fees</w:t>
            </w:r>
          </w:p>
        </w:tc>
      </w:tr>
      <w:tr w:rsidR="00463D8F" w:rsidRPr="00A678DB" w:rsidTr="00CE5FD1">
        <w:tc>
          <w:tcPr>
            <w:tcW w:w="8042" w:type="dxa"/>
            <w:gridSpan w:val="2"/>
          </w:tcPr>
          <w:p w:rsidR="00463D8F" w:rsidRPr="00A678DB" w:rsidRDefault="00463D8F" w:rsidP="00CE5FD1">
            <w:pPr>
              <w:spacing w:before="60" w:after="60"/>
            </w:pPr>
            <w:r w:rsidRPr="00A678DB">
              <w:t>Account based pension</w:t>
            </w:r>
          </w:p>
        </w:tc>
        <w:tc>
          <w:tcPr>
            <w:tcW w:w="1302" w:type="dxa"/>
            <w:vAlign w:val="center"/>
          </w:tcPr>
          <w:p w:rsidR="00463D8F" w:rsidRPr="00A678DB" w:rsidRDefault="00CE5FD1" w:rsidP="00CE5FD1">
            <w:pPr>
              <w:spacing w:before="60" w:after="60"/>
              <w:jc w:val="right"/>
            </w:pPr>
            <w:r w:rsidRPr="00A678DB">
              <w:t>0.80%</w:t>
            </w:r>
            <w:r w:rsidR="00BA10CC" w:rsidRPr="00A678DB">
              <w:t>*</w:t>
            </w:r>
          </w:p>
        </w:tc>
      </w:tr>
      <w:tr w:rsidR="00463D8F" w:rsidRPr="00A678DB" w:rsidTr="00CE5FD1">
        <w:tc>
          <w:tcPr>
            <w:tcW w:w="8042" w:type="dxa"/>
            <w:gridSpan w:val="2"/>
          </w:tcPr>
          <w:p w:rsidR="00463D8F" w:rsidRPr="00A678DB" w:rsidRDefault="00463D8F" w:rsidP="00CE5FD1">
            <w:pPr>
              <w:spacing w:before="60" w:after="60"/>
            </w:pPr>
            <w:r w:rsidRPr="00A678DB">
              <w:t>GSA/DGSA</w:t>
            </w:r>
          </w:p>
        </w:tc>
        <w:tc>
          <w:tcPr>
            <w:tcW w:w="1302" w:type="dxa"/>
            <w:vAlign w:val="center"/>
          </w:tcPr>
          <w:p w:rsidR="00463D8F" w:rsidRPr="00A678DB" w:rsidRDefault="00CE5FD1" w:rsidP="00CE5FD1">
            <w:pPr>
              <w:spacing w:before="60" w:after="60"/>
              <w:jc w:val="right"/>
            </w:pPr>
            <w:r w:rsidRPr="00A678DB">
              <w:t>0.80%</w:t>
            </w:r>
          </w:p>
        </w:tc>
      </w:tr>
    </w:tbl>
    <w:p w:rsidR="00281782" w:rsidRPr="00A678DB" w:rsidRDefault="00281782" w:rsidP="00281782">
      <w:pPr>
        <w:spacing w:after="0"/>
        <w:rPr>
          <w:rFonts w:ascii="Calibri" w:eastAsia="Calibri" w:hAnsi="Calibri" w:cs="Calibri"/>
          <w:color w:val="000000"/>
        </w:rPr>
      </w:pPr>
      <w:r w:rsidRPr="00A678DB">
        <w:t xml:space="preserve"> </w:t>
      </w:r>
    </w:p>
    <w:p w:rsidR="00281782" w:rsidRPr="00A678DB" w:rsidRDefault="00281782" w:rsidP="00281782">
      <w:pPr>
        <w:spacing w:after="258" w:line="273" w:lineRule="auto"/>
      </w:pPr>
      <w:r w:rsidRPr="00A678DB">
        <w:t xml:space="preserve">Note for deferred products, the account-based income stream (ABIS) component is assumed to be drawn down to zero at the deferral age e.g. for a deferred life annuity vesting at age 85, the ABIS component is drawn down completely from age 65 to age 85 when the deferred life annuity begins payment. </w:t>
      </w:r>
    </w:p>
    <w:p w:rsidR="00CE5FD1" w:rsidRPr="00A678DB" w:rsidRDefault="00281782" w:rsidP="00CE5FD1">
      <w:pPr>
        <w:pStyle w:val="Heading3"/>
      </w:pPr>
      <w:r w:rsidRPr="00A678DB">
        <w:t>A</w:t>
      </w:r>
      <w:r w:rsidR="00463D8F" w:rsidRPr="00A678DB">
        <w:t>ge Pension Assumptions</w:t>
      </w:r>
    </w:p>
    <w:p w:rsidR="00CE5FD1" w:rsidRPr="00A678DB" w:rsidRDefault="00D96568" w:rsidP="00CE5FD1">
      <w:pPr>
        <w:rPr>
          <w:rStyle w:val="SubtleEmphasis"/>
        </w:rPr>
      </w:pPr>
      <w:r w:rsidRPr="00A678DB">
        <w:rPr>
          <w:rStyle w:val="SubtleEmphasis"/>
        </w:rPr>
        <w:t>Rate</w:t>
      </w:r>
    </w:p>
    <w:tbl>
      <w:tblPr>
        <w:tblStyle w:val="TableGrid"/>
        <w:tblW w:w="9351" w:type="dxa"/>
        <w:tblLook w:val="04A0" w:firstRow="1" w:lastRow="0" w:firstColumn="1" w:lastColumn="0" w:noHBand="0" w:noVBand="1"/>
        <w:tblCaption w:val="Age Pension Rate"/>
        <w:tblDescription w:val="This table shows assumptions around the rate of Age Pension used for the modelling. "/>
      </w:tblPr>
      <w:tblGrid>
        <w:gridCol w:w="2830"/>
        <w:gridCol w:w="3260"/>
        <w:gridCol w:w="3261"/>
      </w:tblGrid>
      <w:tr w:rsidR="00CE5FD1" w:rsidRPr="00A678DB" w:rsidTr="000513BB">
        <w:trPr>
          <w:tblHeader/>
        </w:trPr>
        <w:tc>
          <w:tcPr>
            <w:tcW w:w="2830" w:type="dxa"/>
            <w:shd w:val="clear" w:color="auto" w:fill="1F4E79" w:themeFill="accent1" w:themeFillShade="80"/>
          </w:tcPr>
          <w:p w:rsidR="00CE5FD1" w:rsidRPr="000513BB" w:rsidRDefault="00CE5FD1" w:rsidP="00CE5FD1">
            <w:pPr>
              <w:spacing w:before="60" w:after="60"/>
              <w:rPr>
                <w:b/>
                <w:color w:val="FFFFFF" w:themeColor="background1"/>
              </w:rPr>
            </w:pPr>
          </w:p>
        </w:tc>
        <w:tc>
          <w:tcPr>
            <w:tcW w:w="3260" w:type="dxa"/>
            <w:shd w:val="clear" w:color="auto" w:fill="1F4E79" w:themeFill="accent1" w:themeFillShade="80"/>
          </w:tcPr>
          <w:p w:rsidR="00CE5FD1" w:rsidRPr="000513BB" w:rsidRDefault="00CE5FD1" w:rsidP="00CE5FD1">
            <w:pPr>
              <w:spacing w:before="60" w:after="60"/>
              <w:jc w:val="center"/>
              <w:rPr>
                <w:b/>
                <w:color w:val="FFFFFF" w:themeColor="background1"/>
              </w:rPr>
            </w:pPr>
            <w:r w:rsidRPr="000513BB">
              <w:rPr>
                <w:b/>
                <w:color w:val="FFFFFF" w:themeColor="background1"/>
              </w:rPr>
              <w:t>Single</w:t>
            </w:r>
          </w:p>
        </w:tc>
        <w:tc>
          <w:tcPr>
            <w:tcW w:w="3261" w:type="dxa"/>
            <w:shd w:val="clear" w:color="auto" w:fill="1F4E79" w:themeFill="accent1" w:themeFillShade="80"/>
          </w:tcPr>
          <w:p w:rsidR="00CE5FD1" w:rsidRPr="000513BB" w:rsidRDefault="00CE5FD1" w:rsidP="00CE5FD1">
            <w:pPr>
              <w:spacing w:before="60" w:after="60"/>
              <w:jc w:val="center"/>
              <w:rPr>
                <w:b/>
                <w:color w:val="FFFFFF" w:themeColor="background1"/>
              </w:rPr>
            </w:pPr>
            <w:r w:rsidRPr="000513BB">
              <w:rPr>
                <w:b/>
                <w:color w:val="FFFFFF" w:themeColor="background1"/>
              </w:rPr>
              <w:t>Couple</w:t>
            </w:r>
            <w:r w:rsidR="00D96568" w:rsidRPr="000513BB">
              <w:rPr>
                <w:b/>
                <w:color w:val="FFFFFF" w:themeColor="background1"/>
              </w:rPr>
              <w:t xml:space="preserve"> (combined)</w:t>
            </w:r>
          </w:p>
        </w:tc>
      </w:tr>
      <w:tr w:rsidR="00CE5FD1" w:rsidRPr="00A678DB" w:rsidTr="00D96568">
        <w:tc>
          <w:tcPr>
            <w:tcW w:w="2830" w:type="dxa"/>
          </w:tcPr>
          <w:p w:rsidR="00CE5FD1" w:rsidRPr="00A678DB" w:rsidRDefault="00CE5FD1" w:rsidP="00CE5FD1">
            <w:pPr>
              <w:spacing w:before="60" w:after="60"/>
            </w:pPr>
            <w:r w:rsidRPr="00A678DB">
              <w:t>Annual Max Rate</w:t>
            </w:r>
          </w:p>
        </w:tc>
        <w:tc>
          <w:tcPr>
            <w:tcW w:w="3260" w:type="dxa"/>
          </w:tcPr>
          <w:p w:rsidR="00CE5FD1" w:rsidRPr="00A678DB" w:rsidRDefault="00CE5FD1" w:rsidP="00CE5FD1">
            <w:pPr>
              <w:spacing w:before="60" w:after="60"/>
              <w:jc w:val="center"/>
            </w:pPr>
            <w:r w:rsidRPr="00A678DB">
              <w:t>$23,598</w:t>
            </w:r>
            <w:r w:rsidR="00BA10CC" w:rsidRPr="00A678DB">
              <w:t>*</w:t>
            </w:r>
          </w:p>
        </w:tc>
        <w:tc>
          <w:tcPr>
            <w:tcW w:w="3261" w:type="dxa"/>
          </w:tcPr>
          <w:p w:rsidR="00CE5FD1" w:rsidRPr="00A678DB" w:rsidRDefault="00CE5FD1" w:rsidP="00CE5FD1">
            <w:pPr>
              <w:spacing w:before="60" w:after="60"/>
              <w:jc w:val="center"/>
            </w:pPr>
            <w:r w:rsidRPr="00A678DB">
              <w:t>$35,573</w:t>
            </w:r>
            <w:r w:rsidR="00BA10CC" w:rsidRPr="00A678DB">
              <w:t>*</w:t>
            </w:r>
          </w:p>
        </w:tc>
      </w:tr>
    </w:tbl>
    <w:p w:rsidR="00CE5FD1" w:rsidRPr="00A678DB" w:rsidRDefault="00CE5FD1" w:rsidP="00463D8F"/>
    <w:p w:rsidR="00463D8F" w:rsidRPr="00A678DB" w:rsidRDefault="00CE5FD1" w:rsidP="00463D8F">
      <w:pPr>
        <w:rPr>
          <w:rStyle w:val="SubtleEmphasis"/>
        </w:rPr>
      </w:pPr>
      <w:r w:rsidRPr="00A678DB">
        <w:rPr>
          <w:rStyle w:val="SubtleEmphasis"/>
        </w:rPr>
        <w:t>Asset Test</w:t>
      </w:r>
    </w:p>
    <w:tbl>
      <w:tblPr>
        <w:tblStyle w:val="TableGrid"/>
        <w:tblW w:w="9351" w:type="dxa"/>
        <w:tblLook w:val="04A0" w:firstRow="1" w:lastRow="0" w:firstColumn="1" w:lastColumn="0" w:noHBand="0" w:noVBand="1"/>
        <w:tblCaption w:val="Age Pension - Assets Test"/>
        <w:tblDescription w:val="This table shows assumptions around the assets test for the Age Pension used for the modelling. "/>
      </w:tblPr>
      <w:tblGrid>
        <w:gridCol w:w="2830"/>
        <w:gridCol w:w="1630"/>
        <w:gridCol w:w="1630"/>
        <w:gridCol w:w="1630"/>
        <w:gridCol w:w="1631"/>
      </w:tblGrid>
      <w:tr w:rsidR="00CE5FD1" w:rsidRPr="00A678DB" w:rsidTr="000513BB">
        <w:trPr>
          <w:tblHeader/>
        </w:trPr>
        <w:tc>
          <w:tcPr>
            <w:tcW w:w="2830" w:type="dxa"/>
            <w:vMerge w:val="restart"/>
            <w:shd w:val="clear" w:color="auto" w:fill="1F4E79" w:themeFill="accent1" w:themeFillShade="80"/>
          </w:tcPr>
          <w:p w:rsidR="00CE5FD1" w:rsidRPr="00A678DB" w:rsidRDefault="00CE5FD1" w:rsidP="00D96568">
            <w:pPr>
              <w:spacing w:before="60" w:after="60"/>
              <w:rPr>
                <w:b/>
              </w:rPr>
            </w:pPr>
          </w:p>
        </w:tc>
        <w:tc>
          <w:tcPr>
            <w:tcW w:w="3260" w:type="dxa"/>
            <w:gridSpan w:val="2"/>
            <w:shd w:val="clear" w:color="auto" w:fill="1F4E79" w:themeFill="accent1" w:themeFillShade="80"/>
          </w:tcPr>
          <w:p w:rsidR="00CE5FD1" w:rsidRPr="000513BB" w:rsidRDefault="00CE5FD1" w:rsidP="00D96568">
            <w:pPr>
              <w:spacing w:before="60" w:after="60"/>
              <w:jc w:val="center"/>
              <w:rPr>
                <w:b/>
                <w:color w:val="FFFFFF" w:themeColor="background1"/>
              </w:rPr>
            </w:pPr>
            <w:r w:rsidRPr="000513BB">
              <w:rPr>
                <w:b/>
                <w:color w:val="FFFFFF" w:themeColor="background1"/>
              </w:rPr>
              <w:t>Homeowner</w:t>
            </w:r>
          </w:p>
        </w:tc>
        <w:tc>
          <w:tcPr>
            <w:tcW w:w="3261" w:type="dxa"/>
            <w:gridSpan w:val="2"/>
            <w:shd w:val="clear" w:color="auto" w:fill="1F4E79" w:themeFill="accent1" w:themeFillShade="80"/>
          </w:tcPr>
          <w:p w:rsidR="00CE5FD1" w:rsidRPr="000513BB" w:rsidRDefault="00CE5FD1" w:rsidP="00D96568">
            <w:pPr>
              <w:spacing w:before="60" w:after="60"/>
              <w:jc w:val="center"/>
              <w:rPr>
                <w:b/>
                <w:color w:val="FFFFFF" w:themeColor="background1"/>
              </w:rPr>
            </w:pPr>
            <w:r w:rsidRPr="000513BB">
              <w:rPr>
                <w:b/>
                <w:color w:val="FFFFFF" w:themeColor="background1"/>
              </w:rPr>
              <w:t>Non-Homeowner</w:t>
            </w:r>
          </w:p>
        </w:tc>
      </w:tr>
      <w:tr w:rsidR="00CE5FD1" w:rsidRPr="00A678DB" w:rsidTr="000513BB">
        <w:trPr>
          <w:tblHeader/>
        </w:trPr>
        <w:tc>
          <w:tcPr>
            <w:tcW w:w="2830" w:type="dxa"/>
            <w:vMerge/>
            <w:shd w:val="clear" w:color="auto" w:fill="1F4E79" w:themeFill="accent1" w:themeFillShade="80"/>
          </w:tcPr>
          <w:p w:rsidR="00CE5FD1" w:rsidRPr="00A678DB" w:rsidRDefault="00CE5FD1" w:rsidP="00D96568">
            <w:pPr>
              <w:spacing w:before="60" w:after="60"/>
            </w:pPr>
          </w:p>
        </w:tc>
        <w:tc>
          <w:tcPr>
            <w:tcW w:w="1630" w:type="dxa"/>
            <w:shd w:val="clear" w:color="auto" w:fill="1F4E79" w:themeFill="accent1" w:themeFillShade="80"/>
            <w:vAlign w:val="center"/>
          </w:tcPr>
          <w:p w:rsidR="00CE5FD1" w:rsidRPr="000513BB" w:rsidRDefault="00CE5FD1" w:rsidP="00D96568">
            <w:pPr>
              <w:spacing w:before="60" w:after="60"/>
              <w:jc w:val="center"/>
              <w:rPr>
                <w:b/>
                <w:color w:val="FFFFFF" w:themeColor="background1"/>
              </w:rPr>
            </w:pPr>
            <w:r w:rsidRPr="000513BB">
              <w:rPr>
                <w:b/>
                <w:color w:val="FFFFFF" w:themeColor="background1"/>
              </w:rPr>
              <w:t>Single</w:t>
            </w:r>
          </w:p>
        </w:tc>
        <w:tc>
          <w:tcPr>
            <w:tcW w:w="1630" w:type="dxa"/>
            <w:shd w:val="clear" w:color="auto" w:fill="1F4E79" w:themeFill="accent1" w:themeFillShade="80"/>
            <w:vAlign w:val="center"/>
          </w:tcPr>
          <w:p w:rsidR="00CE5FD1" w:rsidRPr="000513BB" w:rsidRDefault="00CE5FD1" w:rsidP="00D96568">
            <w:pPr>
              <w:spacing w:before="60" w:after="60"/>
              <w:jc w:val="center"/>
              <w:rPr>
                <w:b/>
                <w:color w:val="FFFFFF" w:themeColor="background1"/>
              </w:rPr>
            </w:pPr>
            <w:r w:rsidRPr="000513BB">
              <w:rPr>
                <w:b/>
                <w:color w:val="FFFFFF" w:themeColor="background1"/>
              </w:rPr>
              <w:t>Couple</w:t>
            </w:r>
            <w:r w:rsidR="00D96568" w:rsidRPr="000513BB">
              <w:rPr>
                <w:b/>
                <w:color w:val="FFFFFF" w:themeColor="background1"/>
              </w:rPr>
              <w:t xml:space="preserve"> (combined)</w:t>
            </w:r>
          </w:p>
        </w:tc>
        <w:tc>
          <w:tcPr>
            <w:tcW w:w="1630" w:type="dxa"/>
            <w:shd w:val="clear" w:color="auto" w:fill="1F4E79" w:themeFill="accent1" w:themeFillShade="80"/>
            <w:vAlign w:val="center"/>
          </w:tcPr>
          <w:p w:rsidR="00CE5FD1" w:rsidRPr="000513BB" w:rsidRDefault="00CE5FD1" w:rsidP="00D96568">
            <w:pPr>
              <w:spacing w:before="60" w:after="60"/>
              <w:jc w:val="center"/>
              <w:rPr>
                <w:b/>
                <w:color w:val="FFFFFF" w:themeColor="background1"/>
              </w:rPr>
            </w:pPr>
            <w:r w:rsidRPr="000513BB">
              <w:rPr>
                <w:b/>
                <w:color w:val="FFFFFF" w:themeColor="background1"/>
              </w:rPr>
              <w:t>Single</w:t>
            </w:r>
          </w:p>
        </w:tc>
        <w:tc>
          <w:tcPr>
            <w:tcW w:w="1631" w:type="dxa"/>
            <w:shd w:val="clear" w:color="auto" w:fill="1F4E79" w:themeFill="accent1" w:themeFillShade="80"/>
            <w:vAlign w:val="center"/>
          </w:tcPr>
          <w:p w:rsidR="00CE5FD1" w:rsidRPr="000513BB" w:rsidRDefault="00CE5FD1" w:rsidP="00D96568">
            <w:pPr>
              <w:spacing w:before="60" w:after="60"/>
              <w:jc w:val="center"/>
              <w:rPr>
                <w:b/>
                <w:color w:val="FFFFFF" w:themeColor="background1"/>
              </w:rPr>
            </w:pPr>
            <w:r w:rsidRPr="000513BB">
              <w:rPr>
                <w:b/>
                <w:color w:val="FFFFFF" w:themeColor="background1"/>
              </w:rPr>
              <w:t>Couple</w:t>
            </w:r>
            <w:r w:rsidR="00D96568" w:rsidRPr="000513BB">
              <w:rPr>
                <w:b/>
                <w:color w:val="FFFFFF" w:themeColor="background1"/>
              </w:rPr>
              <w:t xml:space="preserve"> (combined)</w:t>
            </w:r>
          </w:p>
        </w:tc>
      </w:tr>
      <w:tr w:rsidR="00CE5FD1" w:rsidRPr="00A678DB" w:rsidTr="00D96568">
        <w:tc>
          <w:tcPr>
            <w:tcW w:w="2830" w:type="dxa"/>
          </w:tcPr>
          <w:p w:rsidR="00CE5FD1" w:rsidRPr="00A678DB" w:rsidRDefault="00CE5FD1" w:rsidP="00D96568">
            <w:pPr>
              <w:spacing w:before="60" w:after="60"/>
            </w:pPr>
            <w:r w:rsidRPr="00A678DB">
              <w:t>Free Area Threshold</w:t>
            </w:r>
          </w:p>
        </w:tc>
        <w:tc>
          <w:tcPr>
            <w:tcW w:w="1630" w:type="dxa"/>
          </w:tcPr>
          <w:p w:rsidR="00CE5FD1" w:rsidRPr="00A678DB" w:rsidRDefault="00CE5FD1" w:rsidP="00CE5FD1">
            <w:pPr>
              <w:spacing w:before="60" w:after="60"/>
              <w:jc w:val="center"/>
            </w:pPr>
            <w:r w:rsidRPr="00A678DB">
              <w:t>$253,750</w:t>
            </w:r>
          </w:p>
        </w:tc>
        <w:tc>
          <w:tcPr>
            <w:tcW w:w="1630" w:type="dxa"/>
          </w:tcPr>
          <w:p w:rsidR="00CE5FD1" w:rsidRPr="00A678DB" w:rsidRDefault="00CE5FD1" w:rsidP="00CE5FD1">
            <w:pPr>
              <w:spacing w:before="60" w:after="60"/>
              <w:jc w:val="center"/>
            </w:pPr>
            <w:r w:rsidRPr="00A678DB">
              <w:t>$380,500</w:t>
            </w:r>
          </w:p>
        </w:tc>
        <w:tc>
          <w:tcPr>
            <w:tcW w:w="1630" w:type="dxa"/>
          </w:tcPr>
          <w:p w:rsidR="00CE5FD1" w:rsidRPr="00A678DB" w:rsidRDefault="00CE5FD1" w:rsidP="00D96568">
            <w:pPr>
              <w:spacing w:before="60" w:after="60"/>
              <w:jc w:val="center"/>
            </w:pPr>
            <w:r w:rsidRPr="00A678DB">
              <w:t>$</w:t>
            </w:r>
            <w:r w:rsidR="00D96568" w:rsidRPr="00A678DB">
              <w:t>456,750</w:t>
            </w:r>
          </w:p>
        </w:tc>
        <w:tc>
          <w:tcPr>
            <w:tcW w:w="1631" w:type="dxa"/>
          </w:tcPr>
          <w:p w:rsidR="00CE5FD1" w:rsidRPr="00A678DB" w:rsidRDefault="00D96568" w:rsidP="00D96568">
            <w:pPr>
              <w:spacing w:before="60" w:after="60"/>
              <w:jc w:val="center"/>
            </w:pPr>
            <w:r w:rsidRPr="00A678DB">
              <w:t>$583,500</w:t>
            </w:r>
          </w:p>
        </w:tc>
      </w:tr>
      <w:tr w:rsidR="00D96568" w:rsidRPr="00A678DB" w:rsidTr="00D96568">
        <w:tc>
          <w:tcPr>
            <w:tcW w:w="2830" w:type="dxa"/>
          </w:tcPr>
          <w:p w:rsidR="00D96568" w:rsidRPr="00A678DB" w:rsidRDefault="00D96568" w:rsidP="00D96568">
            <w:pPr>
              <w:spacing w:before="60" w:after="60"/>
            </w:pPr>
            <w:r w:rsidRPr="00A678DB">
              <w:t>Cut-out</w:t>
            </w:r>
          </w:p>
        </w:tc>
        <w:tc>
          <w:tcPr>
            <w:tcW w:w="1630" w:type="dxa"/>
          </w:tcPr>
          <w:p w:rsidR="00D96568" w:rsidRPr="00A678DB" w:rsidRDefault="00D96568" w:rsidP="00CE5FD1">
            <w:pPr>
              <w:spacing w:before="60" w:after="60"/>
              <w:jc w:val="center"/>
            </w:pPr>
            <w:r w:rsidRPr="00A678DB">
              <w:t>$556,283</w:t>
            </w:r>
            <w:r w:rsidR="00BA10CC" w:rsidRPr="00A678DB">
              <w:t>*</w:t>
            </w:r>
          </w:p>
        </w:tc>
        <w:tc>
          <w:tcPr>
            <w:tcW w:w="1630" w:type="dxa"/>
          </w:tcPr>
          <w:p w:rsidR="00D96568" w:rsidRPr="00A678DB" w:rsidRDefault="00D96568" w:rsidP="00CE5FD1">
            <w:pPr>
              <w:spacing w:before="60" w:after="60"/>
              <w:jc w:val="center"/>
            </w:pPr>
            <w:r w:rsidRPr="00A678DB">
              <w:t>$836,667</w:t>
            </w:r>
            <w:r w:rsidR="00BA10CC" w:rsidRPr="00A678DB">
              <w:t>*</w:t>
            </w:r>
          </w:p>
        </w:tc>
        <w:tc>
          <w:tcPr>
            <w:tcW w:w="1630" w:type="dxa"/>
          </w:tcPr>
          <w:p w:rsidR="00D96568" w:rsidRPr="00A678DB" w:rsidRDefault="00D96568" w:rsidP="00D96568">
            <w:pPr>
              <w:spacing w:before="60" w:after="60"/>
              <w:jc w:val="center"/>
            </w:pPr>
            <w:r w:rsidRPr="00A678DB">
              <w:t>$759,283</w:t>
            </w:r>
            <w:r w:rsidR="00BA10CC" w:rsidRPr="00A678DB">
              <w:t>*</w:t>
            </w:r>
          </w:p>
        </w:tc>
        <w:tc>
          <w:tcPr>
            <w:tcW w:w="1631" w:type="dxa"/>
          </w:tcPr>
          <w:p w:rsidR="00D96568" w:rsidRPr="00A678DB" w:rsidRDefault="00D96568" w:rsidP="00D96568">
            <w:pPr>
              <w:spacing w:before="60" w:after="60"/>
              <w:jc w:val="center"/>
            </w:pPr>
            <w:r w:rsidRPr="00A678DB">
              <w:t>$1,039,567</w:t>
            </w:r>
            <w:r w:rsidR="00BA10CC" w:rsidRPr="00A678DB">
              <w:t>*</w:t>
            </w:r>
          </w:p>
        </w:tc>
      </w:tr>
      <w:tr w:rsidR="00D96568" w:rsidRPr="00A678DB" w:rsidTr="00D96568">
        <w:tc>
          <w:tcPr>
            <w:tcW w:w="2830" w:type="dxa"/>
          </w:tcPr>
          <w:p w:rsidR="00D96568" w:rsidRPr="00A678DB" w:rsidRDefault="00D96568" w:rsidP="00D96568">
            <w:pPr>
              <w:spacing w:before="60" w:after="60"/>
            </w:pPr>
            <w:r w:rsidRPr="00A678DB">
              <w:t>Taper</w:t>
            </w:r>
          </w:p>
        </w:tc>
        <w:tc>
          <w:tcPr>
            <w:tcW w:w="6521" w:type="dxa"/>
            <w:gridSpan w:val="4"/>
          </w:tcPr>
          <w:p w:rsidR="00D96568" w:rsidRPr="00A678DB" w:rsidRDefault="00D96568" w:rsidP="00D96568">
            <w:pPr>
              <w:spacing w:before="60" w:after="60"/>
              <w:jc w:val="center"/>
            </w:pPr>
            <w:r w:rsidRPr="00A678DB">
              <w:t>$3 per fortnight for every $1,000 above the free area</w:t>
            </w:r>
          </w:p>
        </w:tc>
      </w:tr>
    </w:tbl>
    <w:p w:rsidR="00AB1C12" w:rsidRPr="00A678DB" w:rsidRDefault="00AB1C12" w:rsidP="00463D8F">
      <w:pPr>
        <w:rPr>
          <w:rStyle w:val="SubtleEmphasis"/>
        </w:rPr>
      </w:pPr>
    </w:p>
    <w:p w:rsidR="00D96568" w:rsidRPr="00A678DB" w:rsidRDefault="00D96568" w:rsidP="00463D8F">
      <w:pPr>
        <w:rPr>
          <w:rStyle w:val="SubtleEmphasis"/>
        </w:rPr>
      </w:pPr>
      <w:r w:rsidRPr="00A678DB">
        <w:rPr>
          <w:rStyle w:val="SubtleEmphasis"/>
        </w:rPr>
        <w:t>Income Test</w:t>
      </w:r>
    </w:p>
    <w:tbl>
      <w:tblPr>
        <w:tblStyle w:val="TableGrid"/>
        <w:tblW w:w="9351" w:type="dxa"/>
        <w:tblLook w:val="04A0" w:firstRow="1" w:lastRow="0" w:firstColumn="1" w:lastColumn="0" w:noHBand="0" w:noVBand="1"/>
        <w:tblCaption w:val="Age Pension - Income Test"/>
        <w:tblDescription w:val="This table shows assumptions around the income test for the Age Pension used for the modelling. "/>
      </w:tblPr>
      <w:tblGrid>
        <w:gridCol w:w="2830"/>
        <w:gridCol w:w="3260"/>
        <w:gridCol w:w="3261"/>
      </w:tblGrid>
      <w:tr w:rsidR="00D96568" w:rsidRPr="00A678DB" w:rsidTr="000513BB">
        <w:trPr>
          <w:tblHeader/>
        </w:trPr>
        <w:tc>
          <w:tcPr>
            <w:tcW w:w="2830" w:type="dxa"/>
            <w:shd w:val="clear" w:color="auto" w:fill="1F4E79" w:themeFill="accent1" w:themeFillShade="80"/>
          </w:tcPr>
          <w:p w:rsidR="00D96568" w:rsidRPr="000513BB" w:rsidRDefault="00D96568" w:rsidP="00D96568">
            <w:pPr>
              <w:spacing w:before="60" w:after="60"/>
              <w:rPr>
                <w:color w:val="FFFFFF" w:themeColor="background1"/>
              </w:rPr>
            </w:pPr>
          </w:p>
        </w:tc>
        <w:tc>
          <w:tcPr>
            <w:tcW w:w="3260"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3261"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r>
      <w:tr w:rsidR="00D96568" w:rsidRPr="00A678DB" w:rsidTr="00D96568">
        <w:tc>
          <w:tcPr>
            <w:tcW w:w="2830" w:type="dxa"/>
          </w:tcPr>
          <w:p w:rsidR="00D96568" w:rsidRPr="00A678DB" w:rsidRDefault="00D96568" w:rsidP="00D96568">
            <w:pPr>
              <w:spacing w:before="60" w:after="60"/>
            </w:pPr>
            <w:r w:rsidRPr="00A678DB">
              <w:t>Annual Free Area</w:t>
            </w:r>
          </w:p>
        </w:tc>
        <w:tc>
          <w:tcPr>
            <w:tcW w:w="3260" w:type="dxa"/>
          </w:tcPr>
          <w:p w:rsidR="00D96568" w:rsidRPr="00A678DB" w:rsidRDefault="00D96568" w:rsidP="00D96568">
            <w:pPr>
              <w:spacing w:before="60" w:after="60"/>
              <w:jc w:val="center"/>
            </w:pPr>
            <w:r w:rsidRPr="00A678DB">
              <w:t>$4,368</w:t>
            </w:r>
          </w:p>
        </w:tc>
        <w:tc>
          <w:tcPr>
            <w:tcW w:w="3261" w:type="dxa"/>
          </w:tcPr>
          <w:p w:rsidR="00D96568" w:rsidRPr="00A678DB" w:rsidRDefault="00D96568" w:rsidP="00D96568">
            <w:pPr>
              <w:spacing w:before="60" w:after="60"/>
              <w:jc w:val="center"/>
            </w:pPr>
            <w:r w:rsidRPr="00A678DB">
              <w:t>$7,800</w:t>
            </w:r>
          </w:p>
        </w:tc>
      </w:tr>
      <w:tr w:rsidR="00D96568" w:rsidRPr="00A678DB" w:rsidTr="00D96568">
        <w:tc>
          <w:tcPr>
            <w:tcW w:w="2830" w:type="dxa"/>
          </w:tcPr>
          <w:p w:rsidR="00D96568" w:rsidRPr="00A678DB" w:rsidRDefault="00D96568" w:rsidP="00D96568">
            <w:pPr>
              <w:spacing w:before="60" w:after="60"/>
            </w:pPr>
            <w:r w:rsidRPr="00A678DB">
              <w:t>Cut-out</w:t>
            </w:r>
          </w:p>
        </w:tc>
        <w:tc>
          <w:tcPr>
            <w:tcW w:w="3260" w:type="dxa"/>
          </w:tcPr>
          <w:p w:rsidR="00D96568" w:rsidRPr="00A678DB" w:rsidRDefault="00D96568" w:rsidP="00D96568">
            <w:pPr>
              <w:spacing w:before="60" w:after="60"/>
              <w:jc w:val="center"/>
            </w:pPr>
            <w:r w:rsidRPr="00A678DB">
              <w:t>$51,563</w:t>
            </w:r>
            <w:r w:rsidR="00BA10CC" w:rsidRPr="00A678DB">
              <w:t>*</w:t>
            </w:r>
          </w:p>
        </w:tc>
        <w:tc>
          <w:tcPr>
            <w:tcW w:w="3261" w:type="dxa"/>
          </w:tcPr>
          <w:p w:rsidR="00D96568" w:rsidRPr="00A678DB" w:rsidRDefault="00D96568" w:rsidP="00D96568">
            <w:pPr>
              <w:spacing w:before="60" w:after="60"/>
              <w:jc w:val="center"/>
            </w:pPr>
            <w:r w:rsidRPr="00A678DB">
              <w:t>$78,946</w:t>
            </w:r>
            <w:r w:rsidR="00BA10CC" w:rsidRPr="00A678DB">
              <w:t>*</w:t>
            </w:r>
          </w:p>
        </w:tc>
      </w:tr>
      <w:tr w:rsidR="00D96568" w:rsidRPr="00A678DB" w:rsidTr="00D96568">
        <w:tc>
          <w:tcPr>
            <w:tcW w:w="2830" w:type="dxa"/>
          </w:tcPr>
          <w:p w:rsidR="00D96568" w:rsidRPr="00A678DB" w:rsidRDefault="00D96568" w:rsidP="00D96568">
            <w:pPr>
              <w:spacing w:before="60" w:after="60"/>
            </w:pPr>
            <w:r w:rsidRPr="00A678DB">
              <w:t>Taper</w:t>
            </w:r>
          </w:p>
        </w:tc>
        <w:tc>
          <w:tcPr>
            <w:tcW w:w="6521" w:type="dxa"/>
            <w:gridSpan w:val="2"/>
          </w:tcPr>
          <w:p w:rsidR="00D96568" w:rsidRPr="00A678DB" w:rsidRDefault="00D96568" w:rsidP="00D96568">
            <w:pPr>
              <w:spacing w:before="60" w:after="60"/>
              <w:jc w:val="center"/>
            </w:pPr>
            <w:r w:rsidRPr="00A678DB">
              <w:t>50%</w:t>
            </w:r>
          </w:p>
        </w:tc>
      </w:tr>
    </w:tbl>
    <w:p w:rsidR="00CE5FD1" w:rsidRPr="00A678DB" w:rsidRDefault="00CE5FD1" w:rsidP="00463D8F"/>
    <w:p w:rsidR="00D96568" w:rsidRPr="00A678DB" w:rsidRDefault="00D96568" w:rsidP="00463D8F">
      <w:pPr>
        <w:rPr>
          <w:rStyle w:val="SubtleEmphasis"/>
        </w:rPr>
      </w:pPr>
      <w:r w:rsidRPr="00A678DB">
        <w:rPr>
          <w:rStyle w:val="SubtleEmphasis"/>
        </w:rPr>
        <w:t>Deeming</w:t>
      </w:r>
    </w:p>
    <w:tbl>
      <w:tblPr>
        <w:tblStyle w:val="TableGrid"/>
        <w:tblW w:w="9351" w:type="dxa"/>
        <w:tblLook w:val="04A0" w:firstRow="1" w:lastRow="0" w:firstColumn="1" w:lastColumn="0" w:noHBand="0" w:noVBand="1"/>
        <w:tblCaption w:val="Age Pension - Deeming"/>
        <w:tblDescription w:val="This table shows assumptions around deeming for the Age Pension used for the modelling. "/>
      </w:tblPr>
      <w:tblGrid>
        <w:gridCol w:w="2830"/>
        <w:gridCol w:w="3260"/>
        <w:gridCol w:w="3261"/>
      </w:tblGrid>
      <w:tr w:rsidR="00D96568" w:rsidRPr="00A678DB" w:rsidTr="000513BB">
        <w:trPr>
          <w:tblHeader/>
        </w:trPr>
        <w:tc>
          <w:tcPr>
            <w:tcW w:w="2830" w:type="dxa"/>
            <w:shd w:val="clear" w:color="auto" w:fill="1F4E79" w:themeFill="accent1" w:themeFillShade="80"/>
          </w:tcPr>
          <w:p w:rsidR="00D96568" w:rsidRPr="000513BB" w:rsidRDefault="00D96568" w:rsidP="00D96568">
            <w:pPr>
              <w:spacing w:before="60" w:after="60"/>
              <w:rPr>
                <w:b/>
                <w:color w:val="FFFFFF" w:themeColor="background1"/>
              </w:rPr>
            </w:pPr>
          </w:p>
        </w:tc>
        <w:tc>
          <w:tcPr>
            <w:tcW w:w="3260"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3261"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r>
      <w:tr w:rsidR="00D96568" w:rsidRPr="00A678DB" w:rsidTr="00D96568">
        <w:tc>
          <w:tcPr>
            <w:tcW w:w="2830" w:type="dxa"/>
          </w:tcPr>
          <w:p w:rsidR="00D96568" w:rsidRPr="00A678DB" w:rsidRDefault="00D96568" w:rsidP="00D96568">
            <w:pPr>
              <w:spacing w:before="60" w:after="60"/>
            </w:pPr>
            <w:r w:rsidRPr="00A678DB">
              <w:t>Threshold</w:t>
            </w:r>
          </w:p>
        </w:tc>
        <w:tc>
          <w:tcPr>
            <w:tcW w:w="3260" w:type="dxa"/>
          </w:tcPr>
          <w:p w:rsidR="00D96568" w:rsidRPr="00A678DB" w:rsidRDefault="00D96568" w:rsidP="00D96568">
            <w:pPr>
              <w:spacing w:before="60" w:after="60"/>
              <w:jc w:val="center"/>
            </w:pPr>
            <w:r w:rsidRPr="00A678DB">
              <w:t>$50,200</w:t>
            </w:r>
          </w:p>
        </w:tc>
        <w:tc>
          <w:tcPr>
            <w:tcW w:w="3261" w:type="dxa"/>
          </w:tcPr>
          <w:p w:rsidR="00D96568" w:rsidRPr="00A678DB" w:rsidRDefault="00D96568" w:rsidP="00D96568">
            <w:pPr>
              <w:spacing w:before="60" w:after="60"/>
              <w:jc w:val="center"/>
            </w:pPr>
            <w:r w:rsidRPr="00A678DB">
              <w:t>$83,400</w:t>
            </w:r>
          </w:p>
        </w:tc>
      </w:tr>
      <w:tr w:rsidR="00D96568" w:rsidRPr="00A678DB" w:rsidTr="00D96568">
        <w:tc>
          <w:tcPr>
            <w:tcW w:w="2830" w:type="dxa"/>
          </w:tcPr>
          <w:p w:rsidR="00D96568" w:rsidRPr="00A678DB" w:rsidRDefault="00D96568" w:rsidP="00D96568">
            <w:pPr>
              <w:spacing w:before="60" w:after="60"/>
            </w:pPr>
            <w:r w:rsidRPr="00A678DB">
              <w:t>Rate – below threshold</w:t>
            </w:r>
          </w:p>
        </w:tc>
        <w:tc>
          <w:tcPr>
            <w:tcW w:w="6521" w:type="dxa"/>
            <w:gridSpan w:val="2"/>
          </w:tcPr>
          <w:p w:rsidR="00D96568" w:rsidRPr="00A678DB" w:rsidRDefault="00D96568" w:rsidP="00D96568">
            <w:pPr>
              <w:spacing w:before="60" w:after="60"/>
              <w:jc w:val="center"/>
            </w:pPr>
            <w:r w:rsidRPr="00A678DB">
              <w:t>1.75%</w:t>
            </w:r>
          </w:p>
        </w:tc>
      </w:tr>
      <w:tr w:rsidR="00D96568" w:rsidRPr="00A678DB" w:rsidTr="00D96568">
        <w:tc>
          <w:tcPr>
            <w:tcW w:w="2830" w:type="dxa"/>
          </w:tcPr>
          <w:p w:rsidR="00D96568" w:rsidRPr="00A678DB" w:rsidRDefault="00D96568" w:rsidP="00D96568">
            <w:pPr>
              <w:spacing w:before="60" w:after="60"/>
            </w:pPr>
            <w:r w:rsidRPr="00A678DB">
              <w:t>Rate – above threshold</w:t>
            </w:r>
          </w:p>
        </w:tc>
        <w:tc>
          <w:tcPr>
            <w:tcW w:w="6521" w:type="dxa"/>
            <w:gridSpan w:val="2"/>
          </w:tcPr>
          <w:p w:rsidR="00D96568" w:rsidRPr="00A678DB" w:rsidRDefault="00D96568" w:rsidP="00D96568">
            <w:pPr>
              <w:spacing w:before="60" w:after="60"/>
              <w:jc w:val="center"/>
            </w:pPr>
            <w:r w:rsidRPr="00A678DB">
              <w:t>3.25%</w:t>
            </w:r>
          </w:p>
        </w:tc>
      </w:tr>
    </w:tbl>
    <w:p w:rsidR="00BA10CC" w:rsidRPr="00A678DB" w:rsidRDefault="00BA10CC" w:rsidP="00BA10CC">
      <w:pPr>
        <w:keepLines w:val="0"/>
        <w:spacing w:before="0" w:after="200" w:line="276" w:lineRule="auto"/>
        <w:sectPr w:rsidR="00BA10CC" w:rsidRPr="00A678DB" w:rsidSect="00A8086B">
          <w:footerReference w:type="default" r:id="rId79"/>
          <w:pgSz w:w="11906" w:h="16838"/>
          <w:pgMar w:top="1134" w:right="1418" w:bottom="1418" w:left="1134" w:header="851" w:footer="0" w:gutter="0"/>
          <w:cols w:space="708"/>
          <w:docGrid w:linePitch="360"/>
        </w:sectPr>
      </w:pPr>
    </w:p>
    <w:p w:rsidR="00D96568" w:rsidRPr="00A678DB" w:rsidRDefault="00D96568" w:rsidP="00BA10CC">
      <w:pPr>
        <w:pStyle w:val="Heading2"/>
      </w:pPr>
      <w:r w:rsidRPr="00A678DB">
        <w:lastRenderedPageBreak/>
        <w:t>Attachment B – Key Assumptions – Used for position paper</w:t>
      </w:r>
    </w:p>
    <w:p w:rsidR="00D96568" w:rsidRPr="00A678DB" w:rsidRDefault="00D96568" w:rsidP="00D96568">
      <w:pPr>
        <w:pStyle w:val="Heading3"/>
        <w:rPr>
          <w:rStyle w:val="SubtleEmphasis"/>
          <w:i w:val="0"/>
          <w:iCs w:val="0"/>
        </w:rPr>
      </w:pPr>
      <w:r w:rsidRPr="00A678DB">
        <w:rPr>
          <w:rStyle w:val="SubtleEmphasis"/>
          <w:i w:val="0"/>
          <w:iCs w:val="0"/>
        </w:rPr>
        <w:t>Product Assumptions</w:t>
      </w:r>
    </w:p>
    <w:tbl>
      <w:tblPr>
        <w:tblStyle w:val="TableGrid"/>
        <w:tblW w:w="0" w:type="auto"/>
        <w:tblLook w:val="04A0" w:firstRow="1" w:lastRow="0" w:firstColumn="1" w:lastColumn="0" w:noHBand="0" w:noVBand="1"/>
        <w:tblCaption w:val="Product Assumptions"/>
        <w:tblDescription w:val="This table shows assumptions used in the modelling relating to retirement income products. "/>
      </w:tblPr>
      <w:tblGrid>
        <w:gridCol w:w="3561"/>
        <w:gridCol w:w="4140"/>
        <w:gridCol w:w="1643"/>
      </w:tblGrid>
      <w:tr w:rsidR="000513BB" w:rsidRPr="00A678DB" w:rsidTr="000513BB">
        <w:trPr>
          <w:tblHeader/>
        </w:trPr>
        <w:tc>
          <w:tcPr>
            <w:tcW w:w="8042" w:type="dxa"/>
            <w:gridSpan w:val="2"/>
            <w:shd w:val="clear" w:color="auto" w:fill="1F4E79" w:themeFill="accent1" w:themeFillShade="80"/>
          </w:tcPr>
          <w:p w:rsidR="000513BB" w:rsidRPr="000513BB" w:rsidRDefault="000513BB" w:rsidP="00D96568">
            <w:pPr>
              <w:spacing w:before="60" w:after="60"/>
              <w:rPr>
                <w:b/>
                <w:color w:val="FFFFFF" w:themeColor="background1"/>
              </w:rPr>
            </w:pPr>
            <w:r w:rsidRPr="000513BB">
              <w:rPr>
                <w:b/>
                <w:color w:val="FFFFFF" w:themeColor="background1"/>
              </w:rPr>
              <w:t>Item</w:t>
            </w:r>
          </w:p>
        </w:tc>
        <w:tc>
          <w:tcPr>
            <w:tcW w:w="1302" w:type="dxa"/>
            <w:shd w:val="clear" w:color="auto" w:fill="1F4E79" w:themeFill="accent1" w:themeFillShade="80"/>
            <w:vAlign w:val="center"/>
          </w:tcPr>
          <w:p w:rsidR="000513BB" w:rsidRPr="000513BB" w:rsidRDefault="000513BB" w:rsidP="00D96568">
            <w:pPr>
              <w:spacing w:before="60" w:after="60"/>
              <w:jc w:val="right"/>
              <w:rPr>
                <w:b/>
                <w:color w:val="FFFFFF" w:themeColor="background1"/>
              </w:rPr>
            </w:pPr>
            <w:r w:rsidRPr="000513BB">
              <w:rPr>
                <w:b/>
                <w:color w:val="FFFFFF" w:themeColor="background1"/>
              </w:rPr>
              <w:t>Assumption</w:t>
            </w:r>
          </w:p>
        </w:tc>
      </w:tr>
      <w:tr w:rsidR="00D96568" w:rsidRPr="00A678DB" w:rsidTr="00D96568">
        <w:tc>
          <w:tcPr>
            <w:tcW w:w="8042" w:type="dxa"/>
            <w:gridSpan w:val="2"/>
          </w:tcPr>
          <w:p w:rsidR="00D96568" w:rsidRPr="00A678DB" w:rsidRDefault="00D96568" w:rsidP="00D96568">
            <w:pPr>
              <w:spacing w:before="60" w:after="60"/>
            </w:pPr>
            <w:r w:rsidRPr="00A678DB">
              <w:t>Real earnings rate (gross of fees)</w:t>
            </w:r>
          </w:p>
        </w:tc>
        <w:tc>
          <w:tcPr>
            <w:tcW w:w="1302" w:type="dxa"/>
            <w:vAlign w:val="center"/>
          </w:tcPr>
          <w:p w:rsidR="00D96568" w:rsidRPr="00A678DB" w:rsidRDefault="00D96568" w:rsidP="00D96568">
            <w:pPr>
              <w:spacing w:before="60" w:after="60"/>
              <w:jc w:val="right"/>
            </w:pPr>
            <w:r w:rsidRPr="00A678DB">
              <w:t>3.3%</w:t>
            </w:r>
          </w:p>
        </w:tc>
      </w:tr>
      <w:tr w:rsidR="00D96568" w:rsidRPr="00A678DB" w:rsidTr="00D96568">
        <w:tc>
          <w:tcPr>
            <w:tcW w:w="8042" w:type="dxa"/>
            <w:gridSpan w:val="2"/>
          </w:tcPr>
          <w:p w:rsidR="00D96568" w:rsidRPr="00A678DB" w:rsidRDefault="00D96568" w:rsidP="00D96568">
            <w:pPr>
              <w:spacing w:before="60" w:after="60"/>
            </w:pPr>
            <w:r w:rsidRPr="00A678DB">
              <w:t>Inflation</w:t>
            </w:r>
          </w:p>
        </w:tc>
        <w:tc>
          <w:tcPr>
            <w:tcW w:w="1302" w:type="dxa"/>
            <w:vAlign w:val="center"/>
          </w:tcPr>
          <w:p w:rsidR="00D96568" w:rsidRPr="00A678DB" w:rsidRDefault="00D96568" w:rsidP="00D96568">
            <w:pPr>
              <w:spacing w:before="60" w:after="60"/>
              <w:jc w:val="right"/>
            </w:pPr>
            <w:r w:rsidRPr="00A678DB">
              <w:t>2.5%</w:t>
            </w:r>
          </w:p>
        </w:tc>
      </w:tr>
      <w:tr w:rsidR="00D96568" w:rsidRPr="00A678DB" w:rsidTr="00D96568">
        <w:tc>
          <w:tcPr>
            <w:tcW w:w="8042" w:type="dxa"/>
            <w:gridSpan w:val="2"/>
          </w:tcPr>
          <w:p w:rsidR="00D96568" w:rsidRPr="00A678DB" w:rsidRDefault="00D96568" w:rsidP="00D96568">
            <w:pPr>
              <w:spacing w:before="60" w:after="60"/>
            </w:pPr>
            <w:r w:rsidRPr="00A678DB">
              <w:t>Real discount Rate</w:t>
            </w:r>
          </w:p>
        </w:tc>
        <w:tc>
          <w:tcPr>
            <w:tcW w:w="1302" w:type="dxa"/>
            <w:vAlign w:val="center"/>
          </w:tcPr>
          <w:p w:rsidR="00D96568" w:rsidRPr="00A678DB" w:rsidRDefault="00D96568" w:rsidP="00D96568">
            <w:pPr>
              <w:spacing w:before="60" w:after="60"/>
              <w:jc w:val="right"/>
            </w:pPr>
            <w:r w:rsidRPr="00A678DB">
              <w:t>3.3%</w:t>
            </w:r>
          </w:p>
        </w:tc>
      </w:tr>
      <w:tr w:rsidR="00D96568" w:rsidRPr="00A678DB" w:rsidTr="00D96568">
        <w:tc>
          <w:tcPr>
            <w:tcW w:w="8042" w:type="dxa"/>
            <w:gridSpan w:val="2"/>
          </w:tcPr>
          <w:p w:rsidR="00D96568" w:rsidRPr="00A678DB" w:rsidRDefault="00D96568" w:rsidP="00D96568">
            <w:pPr>
              <w:spacing w:before="60" w:after="60"/>
            </w:pPr>
            <w:r w:rsidRPr="00A678DB">
              <w:t>Age Pension indexation</w:t>
            </w:r>
          </w:p>
        </w:tc>
        <w:tc>
          <w:tcPr>
            <w:tcW w:w="1302" w:type="dxa"/>
            <w:vAlign w:val="center"/>
          </w:tcPr>
          <w:p w:rsidR="00D96568" w:rsidRPr="00A678DB" w:rsidRDefault="00D96568" w:rsidP="00D96568">
            <w:pPr>
              <w:spacing w:before="60" w:after="60"/>
              <w:jc w:val="right"/>
            </w:pPr>
            <w:r w:rsidRPr="00A678DB">
              <w:t>3.0%</w:t>
            </w:r>
          </w:p>
        </w:tc>
      </w:tr>
      <w:tr w:rsidR="00D96568" w:rsidRPr="00A678DB" w:rsidTr="00D96568">
        <w:tc>
          <w:tcPr>
            <w:tcW w:w="3681" w:type="dxa"/>
          </w:tcPr>
          <w:p w:rsidR="00D96568" w:rsidRPr="00A678DB" w:rsidRDefault="00D96568" w:rsidP="00D96568">
            <w:pPr>
              <w:spacing w:before="60" w:after="60"/>
            </w:pPr>
            <w:r w:rsidRPr="00A678DB">
              <w:t>Mortality</w:t>
            </w:r>
          </w:p>
        </w:tc>
        <w:tc>
          <w:tcPr>
            <w:tcW w:w="5663" w:type="dxa"/>
            <w:gridSpan w:val="2"/>
            <w:vAlign w:val="center"/>
          </w:tcPr>
          <w:p w:rsidR="00D96568" w:rsidRPr="00A678DB" w:rsidRDefault="00D96568" w:rsidP="00D96568">
            <w:pPr>
              <w:spacing w:before="60" w:after="60"/>
              <w:jc w:val="right"/>
            </w:pPr>
            <w:r w:rsidRPr="00A678DB">
              <w:t xml:space="preserve">ALT2010-12, with 25 </w:t>
            </w:r>
            <w:proofErr w:type="spellStart"/>
            <w:r w:rsidRPr="00A678DB">
              <w:t>yr</w:t>
            </w:r>
            <w:proofErr w:type="spellEnd"/>
            <w:r w:rsidRPr="00A678DB">
              <w:t xml:space="preserve"> imp. Rated down 3 years</w:t>
            </w:r>
          </w:p>
        </w:tc>
      </w:tr>
      <w:tr w:rsidR="00BA10CC" w:rsidRPr="00A678DB" w:rsidTr="00BA10CC">
        <w:tc>
          <w:tcPr>
            <w:tcW w:w="9344" w:type="dxa"/>
            <w:gridSpan w:val="3"/>
            <w:vAlign w:val="center"/>
          </w:tcPr>
          <w:p w:rsidR="00BA10CC" w:rsidRPr="00A678DB" w:rsidRDefault="00BA10CC" w:rsidP="00BA10CC">
            <w:pPr>
              <w:spacing w:before="60" w:after="60"/>
              <w:rPr>
                <w:b/>
              </w:rPr>
            </w:pPr>
            <w:r w:rsidRPr="00A678DB">
              <w:rPr>
                <w:b/>
              </w:rPr>
              <w:t>Pricing</w:t>
            </w:r>
          </w:p>
        </w:tc>
      </w:tr>
      <w:tr w:rsidR="00D96568" w:rsidRPr="00A678DB" w:rsidTr="00D96568">
        <w:tc>
          <w:tcPr>
            <w:tcW w:w="8042" w:type="dxa"/>
            <w:gridSpan w:val="2"/>
          </w:tcPr>
          <w:p w:rsidR="00D96568" w:rsidRPr="00A678DB" w:rsidRDefault="00D96568" w:rsidP="00D96568">
            <w:pPr>
              <w:spacing w:before="60" w:after="60"/>
            </w:pPr>
            <w:r w:rsidRPr="00A678DB">
              <w:t>Inflation indexed immediate life annuity price (purchased at 65)</w:t>
            </w:r>
          </w:p>
        </w:tc>
        <w:tc>
          <w:tcPr>
            <w:tcW w:w="1302" w:type="dxa"/>
            <w:vAlign w:val="center"/>
          </w:tcPr>
          <w:p w:rsidR="00D96568" w:rsidRPr="00A678DB" w:rsidRDefault="00BA10CC" w:rsidP="00D96568">
            <w:pPr>
              <w:spacing w:before="60" w:after="60"/>
              <w:jc w:val="right"/>
            </w:pPr>
            <w:r w:rsidRPr="00A678DB">
              <w:t>4.70</w:t>
            </w:r>
            <w:r w:rsidR="00D96568" w:rsidRPr="00A678DB">
              <w:t>%</w:t>
            </w:r>
          </w:p>
        </w:tc>
      </w:tr>
      <w:tr w:rsidR="00D96568" w:rsidRPr="00A678DB" w:rsidTr="00D96568">
        <w:tc>
          <w:tcPr>
            <w:tcW w:w="8042" w:type="dxa"/>
            <w:gridSpan w:val="2"/>
          </w:tcPr>
          <w:p w:rsidR="00D96568" w:rsidRPr="00A678DB" w:rsidRDefault="00D96568" w:rsidP="00D96568">
            <w:pPr>
              <w:spacing w:before="60" w:after="60"/>
            </w:pPr>
            <w:r w:rsidRPr="00A678DB">
              <w:t>Inflation indexed deferred life annuity price (20 year deferral, purchased at 65)</w:t>
            </w:r>
          </w:p>
        </w:tc>
        <w:tc>
          <w:tcPr>
            <w:tcW w:w="1302" w:type="dxa"/>
            <w:vAlign w:val="center"/>
          </w:tcPr>
          <w:p w:rsidR="00D96568" w:rsidRPr="00A678DB" w:rsidRDefault="00D96568" w:rsidP="00D96568">
            <w:pPr>
              <w:spacing w:before="60" w:after="60"/>
              <w:jc w:val="right"/>
            </w:pPr>
            <w:r w:rsidRPr="00A678DB">
              <w:t>25.0%</w:t>
            </w:r>
          </w:p>
        </w:tc>
      </w:tr>
      <w:tr w:rsidR="00D96568" w:rsidRPr="00A678DB" w:rsidTr="00D96568">
        <w:tc>
          <w:tcPr>
            <w:tcW w:w="9344" w:type="dxa"/>
            <w:gridSpan w:val="3"/>
          </w:tcPr>
          <w:p w:rsidR="00D96568" w:rsidRPr="00A678DB" w:rsidRDefault="00D96568" w:rsidP="00D96568">
            <w:pPr>
              <w:spacing w:before="60" w:after="60"/>
            </w:pPr>
            <w:r w:rsidRPr="00A678DB">
              <w:rPr>
                <w:b/>
              </w:rPr>
              <w:t>Fees</w:t>
            </w:r>
          </w:p>
        </w:tc>
      </w:tr>
      <w:tr w:rsidR="00D96568" w:rsidRPr="00A678DB" w:rsidTr="00D96568">
        <w:tc>
          <w:tcPr>
            <w:tcW w:w="8042" w:type="dxa"/>
            <w:gridSpan w:val="2"/>
          </w:tcPr>
          <w:p w:rsidR="00D96568" w:rsidRPr="00A678DB" w:rsidRDefault="00D96568" w:rsidP="00D96568">
            <w:pPr>
              <w:spacing w:before="60" w:after="60"/>
            </w:pPr>
            <w:r w:rsidRPr="00A678DB">
              <w:t>Account based pension</w:t>
            </w:r>
          </w:p>
        </w:tc>
        <w:tc>
          <w:tcPr>
            <w:tcW w:w="1302" w:type="dxa"/>
            <w:vAlign w:val="center"/>
          </w:tcPr>
          <w:p w:rsidR="00D96568" w:rsidRPr="00A678DB" w:rsidRDefault="00BA10CC" w:rsidP="00D96568">
            <w:pPr>
              <w:spacing w:before="60" w:after="60"/>
              <w:jc w:val="right"/>
            </w:pPr>
            <w:r w:rsidRPr="00A678DB">
              <w:t>1.00</w:t>
            </w:r>
            <w:r w:rsidR="00D96568" w:rsidRPr="00A678DB">
              <w:t>%</w:t>
            </w:r>
          </w:p>
        </w:tc>
      </w:tr>
      <w:tr w:rsidR="00D96568" w:rsidRPr="00A678DB" w:rsidTr="00D96568">
        <w:tc>
          <w:tcPr>
            <w:tcW w:w="8042" w:type="dxa"/>
            <w:gridSpan w:val="2"/>
          </w:tcPr>
          <w:p w:rsidR="00D96568" w:rsidRPr="00A678DB" w:rsidRDefault="00D96568" w:rsidP="00D96568">
            <w:pPr>
              <w:spacing w:before="60" w:after="60"/>
            </w:pPr>
            <w:r w:rsidRPr="00A678DB">
              <w:t>GSA/DGSA</w:t>
            </w:r>
          </w:p>
        </w:tc>
        <w:tc>
          <w:tcPr>
            <w:tcW w:w="1302" w:type="dxa"/>
            <w:vAlign w:val="center"/>
          </w:tcPr>
          <w:p w:rsidR="00D96568" w:rsidRPr="00A678DB" w:rsidRDefault="00D96568" w:rsidP="00D96568">
            <w:pPr>
              <w:spacing w:before="60" w:after="60"/>
              <w:jc w:val="right"/>
            </w:pPr>
            <w:r w:rsidRPr="00A678DB">
              <w:t>0.80%</w:t>
            </w:r>
          </w:p>
        </w:tc>
      </w:tr>
    </w:tbl>
    <w:p w:rsidR="00D96568" w:rsidRPr="00A678DB" w:rsidRDefault="00D96568" w:rsidP="00D96568">
      <w:pPr>
        <w:spacing w:after="0"/>
        <w:rPr>
          <w:rFonts w:ascii="Calibri" w:eastAsia="Calibri" w:hAnsi="Calibri" w:cs="Calibri"/>
          <w:color w:val="000000"/>
        </w:rPr>
      </w:pPr>
      <w:r w:rsidRPr="00A678DB">
        <w:t xml:space="preserve"> </w:t>
      </w:r>
    </w:p>
    <w:p w:rsidR="00D96568" w:rsidRPr="00A678DB" w:rsidRDefault="00D96568" w:rsidP="00D96568">
      <w:pPr>
        <w:spacing w:after="258" w:line="273" w:lineRule="auto"/>
      </w:pPr>
      <w:r w:rsidRPr="00A678DB">
        <w:t xml:space="preserve">Note for deferred products, the account-based income stream (ABIS) component is assumed to be drawn down to zero at the deferral age e.g. for a deferred life annuity vesting at age 85, the ABIS component is drawn down completely from age 65 to age 85 when the deferred life annuity begins payment. </w:t>
      </w:r>
    </w:p>
    <w:p w:rsidR="00D96568" w:rsidRPr="00A678DB" w:rsidRDefault="00D96568" w:rsidP="00D96568">
      <w:pPr>
        <w:pStyle w:val="Heading3"/>
      </w:pPr>
      <w:r w:rsidRPr="00A678DB">
        <w:t>Age Pension Assumptions</w:t>
      </w:r>
    </w:p>
    <w:p w:rsidR="00D96568" w:rsidRPr="00A678DB" w:rsidRDefault="00D96568" w:rsidP="00D96568">
      <w:pPr>
        <w:rPr>
          <w:rStyle w:val="SubtleEmphasis"/>
        </w:rPr>
      </w:pPr>
      <w:r w:rsidRPr="00A678DB">
        <w:rPr>
          <w:rStyle w:val="SubtleEmphasis"/>
        </w:rPr>
        <w:t>Rate</w:t>
      </w:r>
    </w:p>
    <w:tbl>
      <w:tblPr>
        <w:tblStyle w:val="TableGrid"/>
        <w:tblW w:w="9351" w:type="dxa"/>
        <w:tblLook w:val="04A0" w:firstRow="1" w:lastRow="0" w:firstColumn="1" w:lastColumn="0" w:noHBand="0" w:noVBand="1"/>
        <w:tblCaption w:val="Age Pension Rate"/>
        <w:tblDescription w:val="This table shows assumptions around the rate of the Age Pension used for the modelling. "/>
      </w:tblPr>
      <w:tblGrid>
        <w:gridCol w:w="2830"/>
        <w:gridCol w:w="3260"/>
        <w:gridCol w:w="3261"/>
      </w:tblGrid>
      <w:tr w:rsidR="00D96568" w:rsidRPr="00A678DB" w:rsidTr="000513BB">
        <w:trPr>
          <w:tblHeader/>
        </w:trPr>
        <w:tc>
          <w:tcPr>
            <w:tcW w:w="2830" w:type="dxa"/>
            <w:shd w:val="clear" w:color="auto" w:fill="1F4E79" w:themeFill="accent1" w:themeFillShade="80"/>
          </w:tcPr>
          <w:p w:rsidR="00D96568" w:rsidRPr="000513BB" w:rsidRDefault="00D96568" w:rsidP="00D96568">
            <w:pPr>
              <w:spacing w:before="60" w:after="60"/>
              <w:rPr>
                <w:b/>
                <w:color w:val="FFFFFF" w:themeColor="background1"/>
              </w:rPr>
            </w:pPr>
          </w:p>
        </w:tc>
        <w:tc>
          <w:tcPr>
            <w:tcW w:w="3260"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3261"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r>
      <w:tr w:rsidR="00D96568" w:rsidRPr="00A678DB" w:rsidTr="00D96568">
        <w:tc>
          <w:tcPr>
            <w:tcW w:w="2830" w:type="dxa"/>
          </w:tcPr>
          <w:p w:rsidR="00D96568" w:rsidRPr="00A678DB" w:rsidRDefault="00D96568" w:rsidP="00D96568">
            <w:pPr>
              <w:spacing w:before="60" w:after="60"/>
            </w:pPr>
            <w:r w:rsidRPr="00A678DB">
              <w:t>Annual Max Rate</w:t>
            </w:r>
          </w:p>
        </w:tc>
        <w:tc>
          <w:tcPr>
            <w:tcW w:w="3260" w:type="dxa"/>
          </w:tcPr>
          <w:p w:rsidR="00D96568" w:rsidRPr="00A678DB" w:rsidRDefault="00BA10CC" w:rsidP="00D96568">
            <w:pPr>
              <w:spacing w:before="60" w:after="60"/>
              <w:jc w:val="center"/>
            </w:pPr>
            <w:r w:rsidRPr="00A678DB">
              <w:t>$23,254</w:t>
            </w:r>
          </w:p>
        </w:tc>
        <w:tc>
          <w:tcPr>
            <w:tcW w:w="3261" w:type="dxa"/>
          </w:tcPr>
          <w:p w:rsidR="00D96568" w:rsidRPr="00A678DB" w:rsidRDefault="00BA10CC" w:rsidP="00D96568">
            <w:pPr>
              <w:spacing w:before="60" w:after="60"/>
              <w:jc w:val="center"/>
            </w:pPr>
            <w:r w:rsidRPr="00A678DB">
              <w:t>$35,058</w:t>
            </w:r>
          </w:p>
        </w:tc>
      </w:tr>
    </w:tbl>
    <w:p w:rsidR="00D96568" w:rsidRPr="00A678DB" w:rsidRDefault="00D96568" w:rsidP="00D96568"/>
    <w:p w:rsidR="00D96568" w:rsidRPr="00A678DB" w:rsidRDefault="00D96568" w:rsidP="00D96568">
      <w:pPr>
        <w:rPr>
          <w:rStyle w:val="SubtleEmphasis"/>
        </w:rPr>
      </w:pPr>
      <w:r w:rsidRPr="00A678DB">
        <w:rPr>
          <w:rStyle w:val="SubtleEmphasis"/>
        </w:rPr>
        <w:t>Asset Test</w:t>
      </w:r>
    </w:p>
    <w:tbl>
      <w:tblPr>
        <w:tblStyle w:val="TableGrid"/>
        <w:tblW w:w="9351" w:type="dxa"/>
        <w:tblLook w:val="04A0" w:firstRow="1" w:lastRow="0" w:firstColumn="1" w:lastColumn="0" w:noHBand="0" w:noVBand="1"/>
        <w:tblCaption w:val="Age Pension Assets Test"/>
        <w:tblDescription w:val="This table shows assumptions around the assets test for the Age Pension used for the modelling. "/>
      </w:tblPr>
      <w:tblGrid>
        <w:gridCol w:w="2830"/>
        <w:gridCol w:w="1630"/>
        <w:gridCol w:w="1630"/>
        <w:gridCol w:w="1630"/>
        <w:gridCol w:w="1631"/>
      </w:tblGrid>
      <w:tr w:rsidR="00D96568" w:rsidRPr="00A678DB" w:rsidTr="000513BB">
        <w:trPr>
          <w:tblHeader/>
        </w:trPr>
        <w:tc>
          <w:tcPr>
            <w:tcW w:w="2830" w:type="dxa"/>
            <w:vMerge w:val="restart"/>
            <w:shd w:val="clear" w:color="auto" w:fill="1F4E79" w:themeFill="accent1" w:themeFillShade="80"/>
          </w:tcPr>
          <w:p w:rsidR="00D96568" w:rsidRPr="000513BB" w:rsidRDefault="00D96568" w:rsidP="00D96568">
            <w:pPr>
              <w:spacing w:before="60" w:after="60"/>
              <w:rPr>
                <w:b/>
                <w:color w:val="FFFFFF" w:themeColor="background1"/>
              </w:rPr>
            </w:pPr>
          </w:p>
        </w:tc>
        <w:tc>
          <w:tcPr>
            <w:tcW w:w="3260" w:type="dxa"/>
            <w:gridSpan w:val="2"/>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Homeowner</w:t>
            </w:r>
          </w:p>
        </w:tc>
        <w:tc>
          <w:tcPr>
            <w:tcW w:w="3261" w:type="dxa"/>
            <w:gridSpan w:val="2"/>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Non-Homeowner</w:t>
            </w:r>
          </w:p>
        </w:tc>
      </w:tr>
      <w:tr w:rsidR="00D96568" w:rsidRPr="00A678DB" w:rsidTr="000513BB">
        <w:trPr>
          <w:tblHeader/>
        </w:trPr>
        <w:tc>
          <w:tcPr>
            <w:tcW w:w="2830" w:type="dxa"/>
            <w:vMerge/>
            <w:shd w:val="clear" w:color="auto" w:fill="1F4E79" w:themeFill="accent1" w:themeFillShade="80"/>
          </w:tcPr>
          <w:p w:rsidR="00D96568" w:rsidRPr="000513BB" w:rsidRDefault="00D96568" w:rsidP="00D96568">
            <w:pPr>
              <w:spacing w:before="60" w:after="60"/>
              <w:rPr>
                <w:b/>
                <w:color w:val="FFFFFF" w:themeColor="background1"/>
              </w:rPr>
            </w:pPr>
          </w:p>
        </w:tc>
        <w:tc>
          <w:tcPr>
            <w:tcW w:w="1630" w:type="dxa"/>
            <w:shd w:val="clear" w:color="auto" w:fill="1F4E79" w:themeFill="accent1" w:themeFillShade="80"/>
            <w:vAlign w:val="center"/>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1630" w:type="dxa"/>
            <w:shd w:val="clear" w:color="auto" w:fill="1F4E79" w:themeFill="accent1" w:themeFillShade="80"/>
            <w:vAlign w:val="center"/>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c>
          <w:tcPr>
            <w:tcW w:w="1630" w:type="dxa"/>
            <w:shd w:val="clear" w:color="auto" w:fill="1F4E79" w:themeFill="accent1" w:themeFillShade="80"/>
            <w:vAlign w:val="center"/>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1631" w:type="dxa"/>
            <w:shd w:val="clear" w:color="auto" w:fill="1F4E79" w:themeFill="accent1" w:themeFillShade="80"/>
            <w:vAlign w:val="center"/>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r>
      <w:tr w:rsidR="00D96568" w:rsidRPr="00A678DB" w:rsidTr="00D96568">
        <w:tc>
          <w:tcPr>
            <w:tcW w:w="2830" w:type="dxa"/>
          </w:tcPr>
          <w:p w:rsidR="00D96568" w:rsidRPr="00A678DB" w:rsidRDefault="00D96568" w:rsidP="00D96568">
            <w:pPr>
              <w:spacing w:before="60" w:after="60"/>
            </w:pPr>
            <w:r w:rsidRPr="00A678DB">
              <w:t>Free Area Threshold</w:t>
            </w:r>
          </w:p>
        </w:tc>
        <w:tc>
          <w:tcPr>
            <w:tcW w:w="1630" w:type="dxa"/>
          </w:tcPr>
          <w:p w:rsidR="00D96568" w:rsidRPr="00A678DB" w:rsidRDefault="00D96568" w:rsidP="00D96568">
            <w:pPr>
              <w:spacing w:before="60" w:after="60"/>
              <w:jc w:val="center"/>
            </w:pPr>
            <w:r w:rsidRPr="00A678DB">
              <w:t>$253,750</w:t>
            </w:r>
          </w:p>
        </w:tc>
        <w:tc>
          <w:tcPr>
            <w:tcW w:w="1630" w:type="dxa"/>
          </w:tcPr>
          <w:p w:rsidR="00D96568" w:rsidRPr="00A678DB" w:rsidRDefault="00D96568" w:rsidP="00D96568">
            <w:pPr>
              <w:spacing w:before="60" w:after="60"/>
              <w:jc w:val="center"/>
            </w:pPr>
            <w:r w:rsidRPr="00A678DB">
              <w:t>$380,500</w:t>
            </w:r>
          </w:p>
        </w:tc>
        <w:tc>
          <w:tcPr>
            <w:tcW w:w="1630" w:type="dxa"/>
          </w:tcPr>
          <w:p w:rsidR="00D96568" w:rsidRPr="00A678DB" w:rsidRDefault="00D96568" w:rsidP="00D96568">
            <w:pPr>
              <w:spacing w:before="60" w:after="60"/>
              <w:jc w:val="center"/>
            </w:pPr>
            <w:r w:rsidRPr="00A678DB">
              <w:t>$456,750</w:t>
            </w:r>
          </w:p>
        </w:tc>
        <w:tc>
          <w:tcPr>
            <w:tcW w:w="1631" w:type="dxa"/>
          </w:tcPr>
          <w:p w:rsidR="00D96568" w:rsidRPr="00A678DB" w:rsidRDefault="00D96568" w:rsidP="00D96568">
            <w:pPr>
              <w:spacing w:before="60" w:after="60"/>
              <w:jc w:val="center"/>
            </w:pPr>
            <w:r w:rsidRPr="00A678DB">
              <w:t>$583,500</w:t>
            </w:r>
          </w:p>
        </w:tc>
      </w:tr>
      <w:tr w:rsidR="00D96568" w:rsidRPr="00A678DB" w:rsidTr="00D96568">
        <w:tc>
          <w:tcPr>
            <w:tcW w:w="2830" w:type="dxa"/>
          </w:tcPr>
          <w:p w:rsidR="00D96568" w:rsidRPr="00A678DB" w:rsidRDefault="00D96568" w:rsidP="00D96568">
            <w:pPr>
              <w:spacing w:before="60" w:after="60"/>
            </w:pPr>
            <w:r w:rsidRPr="00A678DB">
              <w:t>Cut-out</w:t>
            </w:r>
          </w:p>
        </w:tc>
        <w:tc>
          <w:tcPr>
            <w:tcW w:w="1630" w:type="dxa"/>
          </w:tcPr>
          <w:p w:rsidR="00D96568" w:rsidRPr="00A678DB" w:rsidRDefault="00BA10CC" w:rsidP="00D96568">
            <w:pPr>
              <w:spacing w:before="60" w:after="60"/>
              <w:jc w:val="center"/>
            </w:pPr>
            <w:r w:rsidRPr="00A678DB">
              <w:t>$551,883</w:t>
            </w:r>
          </w:p>
        </w:tc>
        <w:tc>
          <w:tcPr>
            <w:tcW w:w="1630" w:type="dxa"/>
          </w:tcPr>
          <w:p w:rsidR="00D96568" w:rsidRPr="00A678DB" w:rsidRDefault="00BA10CC" w:rsidP="00D96568">
            <w:pPr>
              <w:spacing w:before="60" w:after="60"/>
              <w:jc w:val="center"/>
            </w:pPr>
            <w:r w:rsidRPr="00A678DB">
              <w:t>$829,967</w:t>
            </w:r>
          </w:p>
        </w:tc>
        <w:tc>
          <w:tcPr>
            <w:tcW w:w="1630" w:type="dxa"/>
          </w:tcPr>
          <w:p w:rsidR="00D96568" w:rsidRPr="00A678DB" w:rsidRDefault="00BA10CC" w:rsidP="00D96568">
            <w:pPr>
              <w:spacing w:before="60" w:after="60"/>
              <w:jc w:val="center"/>
            </w:pPr>
            <w:r w:rsidRPr="00A678DB">
              <w:t>$754,883</w:t>
            </w:r>
          </w:p>
        </w:tc>
        <w:tc>
          <w:tcPr>
            <w:tcW w:w="1631" w:type="dxa"/>
          </w:tcPr>
          <w:p w:rsidR="00D96568" w:rsidRPr="00A678DB" w:rsidRDefault="00BA10CC" w:rsidP="00D96568">
            <w:pPr>
              <w:spacing w:before="60" w:after="60"/>
              <w:jc w:val="center"/>
            </w:pPr>
            <w:r w:rsidRPr="00A678DB">
              <w:t>$1,032,967</w:t>
            </w:r>
          </w:p>
        </w:tc>
      </w:tr>
      <w:tr w:rsidR="00D96568" w:rsidRPr="00A678DB" w:rsidTr="00D96568">
        <w:tc>
          <w:tcPr>
            <w:tcW w:w="2830" w:type="dxa"/>
          </w:tcPr>
          <w:p w:rsidR="00D96568" w:rsidRPr="00A678DB" w:rsidRDefault="00D96568" w:rsidP="00D96568">
            <w:pPr>
              <w:spacing w:before="60" w:after="60"/>
            </w:pPr>
            <w:r w:rsidRPr="00A678DB">
              <w:t>Taper</w:t>
            </w:r>
          </w:p>
        </w:tc>
        <w:tc>
          <w:tcPr>
            <w:tcW w:w="6521" w:type="dxa"/>
            <w:gridSpan w:val="4"/>
          </w:tcPr>
          <w:p w:rsidR="00D96568" w:rsidRPr="00A678DB" w:rsidRDefault="00D96568" w:rsidP="00D96568">
            <w:pPr>
              <w:spacing w:before="60" w:after="60"/>
              <w:jc w:val="center"/>
            </w:pPr>
            <w:r w:rsidRPr="00A678DB">
              <w:t>$3 per fortnight for every $1,000 above the free area</w:t>
            </w:r>
          </w:p>
        </w:tc>
      </w:tr>
    </w:tbl>
    <w:p w:rsidR="00D96568" w:rsidRPr="00A678DB" w:rsidRDefault="00D96568" w:rsidP="00D96568"/>
    <w:p w:rsidR="00D96568" w:rsidRPr="00A678DB" w:rsidRDefault="00D96568" w:rsidP="00D96568"/>
    <w:p w:rsidR="00D96568" w:rsidRPr="00A678DB" w:rsidRDefault="00D96568" w:rsidP="00D96568"/>
    <w:p w:rsidR="00D96568" w:rsidRPr="00A678DB" w:rsidRDefault="00D96568" w:rsidP="00D96568">
      <w:pPr>
        <w:rPr>
          <w:rStyle w:val="SubtleEmphasis"/>
        </w:rPr>
      </w:pPr>
      <w:r w:rsidRPr="00A678DB">
        <w:rPr>
          <w:rStyle w:val="SubtleEmphasis"/>
        </w:rPr>
        <w:t>Income Test</w:t>
      </w:r>
    </w:p>
    <w:tbl>
      <w:tblPr>
        <w:tblStyle w:val="TableGrid"/>
        <w:tblW w:w="9351" w:type="dxa"/>
        <w:tblLook w:val="04A0" w:firstRow="1" w:lastRow="0" w:firstColumn="1" w:lastColumn="0" w:noHBand="0" w:noVBand="1"/>
        <w:tblCaption w:val="Age Pension Income Test"/>
        <w:tblDescription w:val="This table shows assumptions around the income test for the Age Pension used for the modelling. "/>
      </w:tblPr>
      <w:tblGrid>
        <w:gridCol w:w="2830"/>
        <w:gridCol w:w="3260"/>
        <w:gridCol w:w="3261"/>
      </w:tblGrid>
      <w:tr w:rsidR="00D96568" w:rsidRPr="00A678DB" w:rsidTr="000513BB">
        <w:trPr>
          <w:tblHeader/>
        </w:trPr>
        <w:tc>
          <w:tcPr>
            <w:tcW w:w="2830" w:type="dxa"/>
            <w:shd w:val="clear" w:color="auto" w:fill="1F4E79" w:themeFill="accent1" w:themeFillShade="80"/>
          </w:tcPr>
          <w:p w:rsidR="00D96568" w:rsidRPr="000513BB" w:rsidRDefault="00D96568" w:rsidP="00D96568">
            <w:pPr>
              <w:spacing w:before="60" w:after="60"/>
              <w:rPr>
                <w:b/>
                <w:color w:val="FFFFFF" w:themeColor="background1"/>
              </w:rPr>
            </w:pPr>
          </w:p>
        </w:tc>
        <w:tc>
          <w:tcPr>
            <w:tcW w:w="3260"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3261"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r>
      <w:tr w:rsidR="00D96568" w:rsidRPr="00A678DB" w:rsidTr="00D96568">
        <w:tc>
          <w:tcPr>
            <w:tcW w:w="2830" w:type="dxa"/>
          </w:tcPr>
          <w:p w:rsidR="00D96568" w:rsidRPr="00A678DB" w:rsidRDefault="00D96568" w:rsidP="00D96568">
            <w:pPr>
              <w:spacing w:before="60" w:after="60"/>
            </w:pPr>
            <w:r w:rsidRPr="00A678DB">
              <w:t>Annual Free Area</w:t>
            </w:r>
          </w:p>
        </w:tc>
        <w:tc>
          <w:tcPr>
            <w:tcW w:w="3260" w:type="dxa"/>
          </w:tcPr>
          <w:p w:rsidR="00D96568" w:rsidRPr="00A678DB" w:rsidRDefault="00D96568" w:rsidP="00D96568">
            <w:pPr>
              <w:spacing w:before="60" w:after="60"/>
              <w:jc w:val="center"/>
            </w:pPr>
            <w:r w:rsidRPr="00A678DB">
              <w:t>$4,368</w:t>
            </w:r>
          </w:p>
        </w:tc>
        <w:tc>
          <w:tcPr>
            <w:tcW w:w="3261" w:type="dxa"/>
          </w:tcPr>
          <w:p w:rsidR="00D96568" w:rsidRPr="00A678DB" w:rsidRDefault="00D96568" w:rsidP="00D96568">
            <w:pPr>
              <w:spacing w:before="60" w:after="60"/>
              <w:jc w:val="center"/>
            </w:pPr>
            <w:r w:rsidRPr="00A678DB">
              <w:t>$7,800</w:t>
            </w:r>
          </w:p>
        </w:tc>
      </w:tr>
      <w:tr w:rsidR="00D96568" w:rsidRPr="00A678DB" w:rsidTr="00D96568">
        <w:tc>
          <w:tcPr>
            <w:tcW w:w="2830" w:type="dxa"/>
          </w:tcPr>
          <w:p w:rsidR="00D96568" w:rsidRPr="00A678DB" w:rsidRDefault="00D96568" w:rsidP="00D96568">
            <w:pPr>
              <w:spacing w:before="60" w:after="60"/>
            </w:pPr>
            <w:r w:rsidRPr="00A678DB">
              <w:t>Cut-out</w:t>
            </w:r>
          </w:p>
        </w:tc>
        <w:tc>
          <w:tcPr>
            <w:tcW w:w="3260" w:type="dxa"/>
          </w:tcPr>
          <w:p w:rsidR="00D96568" w:rsidRPr="00A678DB" w:rsidRDefault="00BA10CC" w:rsidP="00D96568">
            <w:pPr>
              <w:spacing w:before="60" w:after="60"/>
              <w:jc w:val="center"/>
            </w:pPr>
            <w:r w:rsidRPr="00A678DB">
              <w:t>$50,887</w:t>
            </w:r>
          </w:p>
        </w:tc>
        <w:tc>
          <w:tcPr>
            <w:tcW w:w="3261" w:type="dxa"/>
          </w:tcPr>
          <w:p w:rsidR="00D96568" w:rsidRPr="00A678DB" w:rsidRDefault="00BA10CC" w:rsidP="00D96568">
            <w:pPr>
              <w:spacing w:before="60" w:after="60"/>
              <w:jc w:val="center"/>
            </w:pPr>
            <w:r w:rsidRPr="00A678DB">
              <w:t>$77,917</w:t>
            </w:r>
          </w:p>
        </w:tc>
      </w:tr>
      <w:tr w:rsidR="00D96568" w:rsidRPr="00A678DB" w:rsidTr="00D96568">
        <w:tc>
          <w:tcPr>
            <w:tcW w:w="2830" w:type="dxa"/>
          </w:tcPr>
          <w:p w:rsidR="00D96568" w:rsidRPr="00A678DB" w:rsidRDefault="00D96568" w:rsidP="00D96568">
            <w:pPr>
              <w:spacing w:before="60" w:after="60"/>
            </w:pPr>
            <w:r w:rsidRPr="00A678DB">
              <w:t>Taper</w:t>
            </w:r>
          </w:p>
        </w:tc>
        <w:tc>
          <w:tcPr>
            <w:tcW w:w="6521" w:type="dxa"/>
            <w:gridSpan w:val="2"/>
          </w:tcPr>
          <w:p w:rsidR="00D96568" w:rsidRPr="00A678DB" w:rsidRDefault="00D96568" w:rsidP="00D96568">
            <w:pPr>
              <w:spacing w:before="60" w:after="60"/>
              <w:jc w:val="center"/>
            </w:pPr>
            <w:r w:rsidRPr="00A678DB">
              <w:t>50%</w:t>
            </w:r>
          </w:p>
        </w:tc>
      </w:tr>
    </w:tbl>
    <w:p w:rsidR="00D96568" w:rsidRPr="00A678DB" w:rsidRDefault="00D96568" w:rsidP="00D96568"/>
    <w:p w:rsidR="00D96568" w:rsidRPr="00A678DB" w:rsidRDefault="00D96568" w:rsidP="00D96568">
      <w:pPr>
        <w:rPr>
          <w:rStyle w:val="SubtleEmphasis"/>
        </w:rPr>
      </w:pPr>
      <w:r w:rsidRPr="00A678DB">
        <w:rPr>
          <w:rStyle w:val="SubtleEmphasis"/>
        </w:rPr>
        <w:t>Deeming</w:t>
      </w:r>
    </w:p>
    <w:tbl>
      <w:tblPr>
        <w:tblStyle w:val="TableGrid"/>
        <w:tblW w:w="9351" w:type="dxa"/>
        <w:tblLook w:val="04A0" w:firstRow="1" w:lastRow="0" w:firstColumn="1" w:lastColumn="0" w:noHBand="0" w:noVBand="1"/>
        <w:tblCaption w:val="Age Pension Deeming"/>
        <w:tblDescription w:val="This table shows assumptions around deeming for the Age Pension used for the modelling. "/>
      </w:tblPr>
      <w:tblGrid>
        <w:gridCol w:w="2830"/>
        <w:gridCol w:w="3260"/>
        <w:gridCol w:w="3261"/>
      </w:tblGrid>
      <w:tr w:rsidR="00D96568" w:rsidRPr="00A678DB" w:rsidTr="000513BB">
        <w:trPr>
          <w:tblHeader/>
        </w:trPr>
        <w:tc>
          <w:tcPr>
            <w:tcW w:w="2830" w:type="dxa"/>
            <w:shd w:val="clear" w:color="auto" w:fill="1F4E79" w:themeFill="accent1" w:themeFillShade="80"/>
          </w:tcPr>
          <w:p w:rsidR="00D96568" w:rsidRPr="000513BB" w:rsidRDefault="00D96568" w:rsidP="00D96568">
            <w:pPr>
              <w:spacing w:before="60" w:after="60"/>
              <w:rPr>
                <w:b/>
                <w:color w:val="FFFFFF" w:themeColor="background1"/>
              </w:rPr>
            </w:pPr>
          </w:p>
        </w:tc>
        <w:tc>
          <w:tcPr>
            <w:tcW w:w="3260"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Single</w:t>
            </w:r>
          </w:p>
        </w:tc>
        <w:tc>
          <w:tcPr>
            <w:tcW w:w="3261" w:type="dxa"/>
            <w:shd w:val="clear" w:color="auto" w:fill="1F4E79" w:themeFill="accent1" w:themeFillShade="80"/>
          </w:tcPr>
          <w:p w:rsidR="00D96568" w:rsidRPr="000513BB" w:rsidRDefault="00D96568" w:rsidP="00D96568">
            <w:pPr>
              <w:spacing w:before="60" w:after="60"/>
              <w:jc w:val="center"/>
              <w:rPr>
                <w:b/>
                <w:color w:val="FFFFFF" w:themeColor="background1"/>
              </w:rPr>
            </w:pPr>
            <w:r w:rsidRPr="000513BB">
              <w:rPr>
                <w:b/>
                <w:color w:val="FFFFFF" w:themeColor="background1"/>
              </w:rPr>
              <w:t>Couple (combined)</w:t>
            </w:r>
          </w:p>
        </w:tc>
      </w:tr>
      <w:tr w:rsidR="00D96568" w:rsidRPr="00A678DB" w:rsidTr="00D96568">
        <w:tc>
          <w:tcPr>
            <w:tcW w:w="2830" w:type="dxa"/>
          </w:tcPr>
          <w:p w:rsidR="00D96568" w:rsidRPr="00A678DB" w:rsidRDefault="00D96568" w:rsidP="00D96568">
            <w:pPr>
              <w:spacing w:before="60" w:after="60"/>
            </w:pPr>
            <w:r w:rsidRPr="00A678DB">
              <w:t>Threshold</w:t>
            </w:r>
          </w:p>
        </w:tc>
        <w:tc>
          <w:tcPr>
            <w:tcW w:w="3260" w:type="dxa"/>
          </w:tcPr>
          <w:p w:rsidR="00D96568" w:rsidRPr="00A678DB" w:rsidRDefault="00D96568" w:rsidP="00D96568">
            <w:pPr>
              <w:spacing w:before="60" w:after="60"/>
              <w:jc w:val="center"/>
            </w:pPr>
            <w:r w:rsidRPr="00A678DB">
              <w:t>$50,200</w:t>
            </w:r>
          </w:p>
        </w:tc>
        <w:tc>
          <w:tcPr>
            <w:tcW w:w="3261" w:type="dxa"/>
          </w:tcPr>
          <w:p w:rsidR="00D96568" w:rsidRPr="00A678DB" w:rsidRDefault="00D96568" w:rsidP="00D96568">
            <w:pPr>
              <w:spacing w:before="60" w:after="60"/>
              <w:jc w:val="center"/>
            </w:pPr>
            <w:r w:rsidRPr="00A678DB">
              <w:t>$83,400</w:t>
            </w:r>
          </w:p>
        </w:tc>
      </w:tr>
      <w:tr w:rsidR="00D96568" w:rsidRPr="00A678DB" w:rsidTr="00D96568">
        <w:tc>
          <w:tcPr>
            <w:tcW w:w="2830" w:type="dxa"/>
          </w:tcPr>
          <w:p w:rsidR="00D96568" w:rsidRPr="00A678DB" w:rsidRDefault="00D96568" w:rsidP="00D96568">
            <w:pPr>
              <w:spacing w:before="60" w:after="60"/>
            </w:pPr>
            <w:r w:rsidRPr="00A678DB">
              <w:t>Rate – below threshold</w:t>
            </w:r>
          </w:p>
        </w:tc>
        <w:tc>
          <w:tcPr>
            <w:tcW w:w="6521" w:type="dxa"/>
            <w:gridSpan w:val="2"/>
          </w:tcPr>
          <w:p w:rsidR="00D96568" w:rsidRPr="00A678DB" w:rsidRDefault="00D96568" w:rsidP="00D96568">
            <w:pPr>
              <w:spacing w:before="60" w:after="60"/>
              <w:jc w:val="center"/>
            </w:pPr>
            <w:r w:rsidRPr="00A678DB">
              <w:t>1.75%</w:t>
            </w:r>
          </w:p>
        </w:tc>
      </w:tr>
      <w:tr w:rsidR="00D96568" w:rsidTr="00D96568">
        <w:tc>
          <w:tcPr>
            <w:tcW w:w="2830" w:type="dxa"/>
          </w:tcPr>
          <w:p w:rsidR="00D96568" w:rsidRPr="00A678DB" w:rsidRDefault="00D96568" w:rsidP="00D96568">
            <w:pPr>
              <w:spacing w:before="60" w:after="60"/>
            </w:pPr>
            <w:r w:rsidRPr="00A678DB">
              <w:t>Rate – above threshold</w:t>
            </w:r>
          </w:p>
        </w:tc>
        <w:tc>
          <w:tcPr>
            <w:tcW w:w="6521" w:type="dxa"/>
            <w:gridSpan w:val="2"/>
          </w:tcPr>
          <w:p w:rsidR="00D96568" w:rsidRDefault="00D96568" w:rsidP="00D96568">
            <w:pPr>
              <w:spacing w:before="60" w:after="60"/>
              <w:jc w:val="center"/>
            </w:pPr>
            <w:r w:rsidRPr="00A678DB">
              <w:t>3.25%</w:t>
            </w:r>
          </w:p>
        </w:tc>
      </w:tr>
    </w:tbl>
    <w:p w:rsidR="00D2264C" w:rsidRDefault="00D2264C" w:rsidP="00281782">
      <w:pPr>
        <w:pStyle w:val="Heading2"/>
      </w:pPr>
    </w:p>
    <w:sectPr w:rsidR="00D2264C" w:rsidSect="00A8086B">
      <w:footerReference w:type="default" r:id="rId80"/>
      <w:footerReference w:type="first" r:id="rId81"/>
      <w:pgSz w:w="11906" w:h="16838"/>
      <w:pgMar w:top="1134" w:right="1418" w:bottom="1418"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A85" w:rsidRDefault="008D0A85" w:rsidP="008F3023">
      <w:pPr>
        <w:spacing w:before="0" w:after="0" w:line="240" w:lineRule="auto"/>
      </w:pPr>
      <w:r>
        <w:separator/>
      </w:r>
    </w:p>
  </w:endnote>
  <w:endnote w:type="continuationSeparator" w:id="0">
    <w:p w:rsidR="008D0A85" w:rsidRDefault="008D0A85"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844914"/>
      <w:docPartObj>
        <w:docPartGallery w:val="Page Numbers (Bottom of Page)"/>
        <w:docPartUnique/>
      </w:docPartObj>
    </w:sdtPr>
    <w:sdtEndPr>
      <w:rPr>
        <w:noProof/>
      </w:rPr>
    </w:sdtEndPr>
    <w:sdtContent>
      <w:p w:rsidR="005F5244" w:rsidRDefault="005F5244" w:rsidP="00D86E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F5244" w:rsidRDefault="005F52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566591"/>
      <w:docPartObj>
        <w:docPartGallery w:val="Page Numbers (Bottom of Page)"/>
        <w:docPartUnique/>
      </w:docPartObj>
    </w:sdtPr>
    <w:sdtContent>
      <w:sdt>
        <w:sdtPr>
          <w:id w:val="-941218925"/>
          <w:docPartObj>
            <w:docPartGallery w:val="Page Numbers (Top of Page)"/>
            <w:docPartUnique/>
          </w:docPartObj>
        </w:sdtPr>
        <w:sdtContent>
          <w:p w:rsidR="005F5244" w:rsidRDefault="005F5244" w:rsidP="00A8086B">
            <w:pPr>
              <w:pStyle w:val="Footer"/>
            </w:pPr>
            <w:r>
              <w:rPr>
                <w:rStyle w:val="SubtleEmphasis"/>
              </w:rPr>
              <w:t>Scenario 4</w:t>
            </w:r>
            <w:r w:rsidRPr="00A8086B">
              <w:rPr>
                <w:rStyle w:val="SubtleEmphasis"/>
              </w:rPr>
              <w:t xml:space="preserve">: </w:t>
            </w:r>
            <w:r>
              <w:rPr>
                <w:rStyle w:val="SubtleEmphasis"/>
              </w:rPr>
              <w:t>Homeowner couple with $4</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17</w:t>
            </w:r>
            <w:r>
              <w:rPr>
                <w:b/>
                <w:bCs/>
              </w:rPr>
              <w:fldChar w:fldCharType="end"/>
            </w:r>
            <w:r>
              <w:t xml:space="preserve"> of </w:t>
            </w:r>
            <w:r>
              <w:rPr>
                <w:b/>
                <w:bCs/>
              </w:rPr>
              <w:t>39</w:t>
            </w:r>
          </w:p>
        </w:sdtContent>
      </w:sdt>
    </w:sdtContent>
  </w:sdt>
  <w:p w:rsidR="005F5244" w:rsidRDefault="005F52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456277"/>
      <w:docPartObj>
        <w:docPartGallery w:val="Page Numbers (Bottom of Page)"/>
        <w:docPartUnique/>
      </w:docPartObj>
    </w:sdtPr>
    <w:sdtContent>
      <w:sdt>
        <w:sdtPr>
          <w:id w:val="-2079039068"/>
          <w:docPartObj>
            <w:docPartGallery w:val="Page Numbers (Top of Page)"/>
            <w:docPartUnique/>
          </w:docPartObj>
        </w:sdtPr>
        <w:sdtContent>
          <w:p w:rsidR="005F5244" w:rsidRDefault="005F5244" w:rsidP="00A8086B">
            <w:pPr>
              <w:pStyle w:val="Footer"/>
            </w:pPr>
            <w:r>
              <w:rPr>
                <w:rStyle w:val="SubtleEmphasis"/>
              </w:rPr>
              <w:t>Scenario 5</w:t>
            </w:r>
            <w:r w:rsidRPr="00A8086B">
              <w:rPr>
                <w:rStyle w:val="SubtleEmphasis"/>
              </w:rPr>
              <w:t xml:space="preserve">: </w:t>
            </w:r>
            <w:r>
              <w:rPr>
                <w:rStyle w:val="SubtleEmphasis"/>
              </w:rPr>
              <w:t>Homeowner couple with $8</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20</w:t>
            </w:r>
            <w:r>
              <w:rPr>
                <w:b/>
                <w:bCs/>
              </w:rPr>
              <w:fldChar w:fldCharType="end"/>
            </w:r>
            <w:r>
              <w:t xml:space="preserve"> of </w:t>
            </w:r>
            <w:r>
              <w:rPr>
                <w:b/>
                <w:bCs/>
              </w:rPr>
              <w:t>39</w:t>
            </w:r>
          </w:p>
        </w:sdtContent>
      </w:sdt>
    </w:sdtContent>
  </w:sdt>
  <w:p w:rsidR="005F5244" w:rsidRDefault="005F524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869581"/>
      <w:docPartObj>
        <w:docPartGallery w:val="Page Numbers (Bottom of Page)"/>
        <w:docPartUnique/>
      </w:docPartObj>
    </w:sdtPr>
    <w:sdtContent>
      <w:sdt>
        <w:sdtPr>
          <w:id w:val="-1085998330"/>
          <w:docPartObj>
            <w:docPartGallery w:val="Page Numbers (Top of Page)"/>
            <w:docPartUnique/>
          </w:docPartObj>
        </w:sdtPr>
        <w:sdtContent>
          <w:p w:rsidR="005F5244" w:rsidRDefault="005F5244" w:rsidP="00A8086B">
            <w:pPr>
              <w:pStyle w:val="Footer"/>
            </w:pPr>
            <w:r>
              <w:rPr>
                <w:rStyle w:val="SubtleEmphasis"/>
              </w:rPr>
              <w:t>Scenario 6</w:t>
            </w:r>
            <w:r w:rsidRPr="00A8086B">
              <w:rPr>
                <w:rStyle w:val="SubtleEmphasis"/>
              </w:rPr>
              <w:t xml:space="preserve">: </w:t>
            </w:r>
            <w:r>
              <w:rPr>
                <w:rStyle w:val="SubtleEmphasis"/>
              </w:rPr>
              <w:t>Single non-homeowner with $4</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23</w:t>
            </w:r>
            <w:r>
              <w:rPr>
                <w:b/>
                <w:bCs/>
              </w:rPr>
              <w:fldChar w:fldCharType="end"/>
            </w:r>
            <w:r>
              <w:t xml:space="preserve"> of </w:t>
            </w:r>
            <w:r>
              <w:rPr>
                <w:b/>
                <w:bCs/>
              </w:rPr>
              <w:t>39</w:t>
            </w:r>
          </w:p>
        </w:sdtContent>
      </w:sdt>
    </w:sdtContent>
  </w:sdt>
  <w:p w:rsidR="005F5244" w:rsidRDefault="005F524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4703"/>
      <w:docPartObj>
        <w:docPartGallery w:val="Page Numbers (Bottom of Page)"/>
        <w:docPartUnique/>
      </w:docPartObj>
    </w:sdtPr>
    <w:sdtContent>
      <w:sdt>
        <w:sdtPr>
          <w:id w:val="-1081444999"/>
          <w:docPartObj>
            <w:docPartGallery w:val="Page Numbers (Top of Page)"/>
            <w:docPartUnique/>
          </w:docPartObj>
        </w:sdtPr>
        <w:sdtContent>
          <w:p w:rsidR="005F5244" w:rsidRDefault="005F5244" w:rsidP="00A8086B">
            <w:pPr>
              <w:pStyle w:val="Footer"/>
            </w:pPr>
            <w:r>
              <w:rPr>
                <w:rStyle w:val="SubtleEmphasis"/>
              </w:rPr>
              <w:t>Scenario 7</w:t>
            </w:r>
            <w:r w:rsidRPr="00A8086B">
              <w:rPr>
                <w:rStyle w:val="SubtleEmphasis"/>
              </w:rPr>
              <w:t xml:space="preserve">: </w:t>
            </w:r>
            <w:r>
              <w:rPr>
                <w:rStyle w:val="SubtleEmphasis"/>
              </w:rPr>
              <w:t>Single homeowner retiring at 70 with $3</w:t>
            </w:r>
            <w:r w:rsidRPr="00A8086B">
              <w:rPr>
                <w:rStyle w:val="SubtleEmphasis"/>
              </w:rPr>
              <w:t>00,000 in superannuation</w:t>
            </w:r>
          </w:p>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41</w:t>
            </w:r>
            <w:r>
              <w:rPr>
                <w:b/>
                <w:bCs/>
              </w:rPr>
              <w:fldChar w:fldCharType="end"/>
            </w:r>
          </w:p>
        </w:sdtContent>
      </w:sdt>
    </w:sdtContent>
  </w:sdt>
  <w:p w:rsidR="005F5244" w:rsidRDefault="005F5244" w:rsidP="00B10EB1">
    <w:pPr>
      <w:pStyle w:val="Footer"/>
      <w:ind w:left="-1417"/>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276863"/>
      <w:docPartObj>
        <w:docPartGallery w:val="Page Numbers (Bottom of Page)"/>
        <w:docPartUnique/>
      </w:docPartObj>
    </w:sdtPr>
    <w:sdtContent>
      <w:sdt>
        <w:sdtPr>
          <w:id w:val="-820118046"/>
          <w:docPartObj>
            <w:docPartGallery w:val="Page Numbers (Top of Page)"/>
            <w:docPartUnique/>
          </w:docPartObj>
        </w:sdtPr>
        <w:sdtContent>
          <w:p w:rsidR="005F5244" w:rsidRDefault="005F5244" w:rsidP="00A8086B">
            <w:pPr>
              <w:pStyle w:val="Footer"/>
            </w:pPr>
            <w:r>
              <w:rPr>
                <w:rStyle w:val="SubtleEmphasis"/>
              </w:rPr>
              <w:t>Scenario 7</w:t>
            </w:r>
            <w:r w:rsidRPr="00A8086B">
              <w:rPr>
                <w:rStyle w:val="SubtleEmphasis"/>
              </w:rPr>
              <w:t xml:space="preserve">: </w:t>
            </w:r>
            <w:r>
              <w:rPr>
                <w:rStyle w:val="SubtleEmphasis"/>
              </w:rPr>
              <w:t>Single homeowner retiring at 70 with $3</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24</w:t>
            </w:r>
            <w:r>
              <w:rPr>
                <w:b/>
                <w:bCs/>
              </w:rPr>
              <w:fldChar w:fldCharType="end"/>
            </w:r>
            <w:r>
              <w:t xml:space="preserve"> of </w:t>
            </w:r>
            <w:r>
              <w:rPr>
                <w:b/>
                <w:bCs/>
              </w:rPr>
              <w:t>39</w:t>
            </w:r>
          </w:p>
        </w:sdtContent>
      </w:sdt>
    </w:sdtContent>
  </w:sdt>
  <w:p w:rsidR="005F5244" w:rsidRDefault="005F524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486976"/>
      <w:docPartObj>
        <w:docPartGallery w:val="Page Numbers (Bottom of Page)"/>
        <w:docPartUnique/>
      </w:docPartObj>
    </w:sdtPr>
    <w:sdtContent>
      <w:sdt>
        <w:sdtPr>
          <w:id w:val="-1493021818"/>
          <w:docPartObj>
            <w:docPartGallery w:val="Page Numbers (Top of Page)"/>
            <w:docPartUnique/>
          </w:docPartObj>
        </w:sdtPr>
        <w:sdtContent>
          <w:p w:rsidR="005F5244" w:rsidRDefault="005F5244" w:rsidP="00A8086B">
            <w:pPr>
              <w:pStyle w:val="Footer"/>
            </w:pPr>
            <w:r>
              <w:rPr>
                <w:rStyle w:val="SubtleEmphasis"/>
              </w:rPr>
              <w:t>Scenario 8</w:t>
            </w:r>
            <w:r w:rsidRPr="00A8086B">
              <w:rPr>
                <w:rStyle w:val="SubtleEmphasis"/>
              </w:rPr>
              <w:t xml:space="preserve">: </w:t>
            </w:r>
            <w:r>
              <w:rPr>
                <w:rStyle w:val="SubtleEmphasis"/>
              </w:rPr>
              <w:t>Single homeowner retiring at 70 with $6</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29</w:t>
            </w:r>
            <w:r>
              <w:rPr>
                <w:b/>
                <w:bCs/>
              </w:rPr>
              <w:fldChar w:fldCharType="end"/>
            </w:r>
            <w:r>
              <w:t xml:space="preserve"> of </w:t>
            </w:r>
            <w:r>
              <w:rPr>
                <w:b/>
                <w:bCs/>
              </w:rPr>
              <w:t>39</w:t>
            </w:r>
          </w:p>
        </w:sdtContent>
      </w:sdt>
    </w:sdtContent>
  </w:sdt>
  <w:p w:rsidR="005F5244" w:rsidRDefault="005F524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815310"/>
      <w:docPartObj>
        <w:docPartGallery w:val="Page Numbers (Bottom of Page)"/>
        <w:docPartUnique/>
      </w:docPartObj>
    </w:sdtPr>
    <w:sdtContent>
      <w:sdt>
        <w:sdtPr>
          <w:id w:val="-1360191237"/>
          <w:docPartObj>
            <w:docPartGallery w:val="Page Numbers (Top of Page)"/>
            <w:docPartUnique/>
          </w:docPartObj>
        </w:sdtPr>
        <w:sdtContent>
          <w:p w:rsidR="005F5244" w:rsidRDefault="005F5244" w:rsidP="00A8086B">
            <w:pPr>
              <w:pStyle w:val="Footer"/>
            </w:pPr>
            <w:r>
              <w:rPr>
                <w:rStyle w:val="SubtleEmphasis"/>
              </w:rPr>
              <w:t>Scenario 7</w:t>
            </w:r>
            <w:r w:rsidRPr="00A8086B">
              <w:rPr>
                <w:rStyle w:val="SubtleEmphasis"/>
              </w:rPr>
              <w:t xml:space="preserve">: </w:t>
            </w:r>
            <w:r>
              <w:rPr>
                <w:rStyle w:val="SubtleEmphasis"/>
              </w:rPr>
              <w:t>Single homeowner retiring at 70 with $3</w:t>
            </w:r>
            <w:r w:rsidRPr="00A8086B">
              <w:rPr>
                <w:rStyle w:val="SubtleEmphasis"/>
              </w:rPr>
              <w:t>00,000 in superannuation</w:t>
            </w:r>
          </w:p>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41</w:t>
            </w:r>
            <w:r>
              <w:rPr>
                <w:b/>
                <w:bCs/>
              </w:rPr>
              <w:fldChar w:fldCharType="end"/>
            </w:r>
          </w:p>
        </w:sdtContent>
      </w:sdt>
    </w:sdtContent>
  </w:sdt>
  <w:p w:rsidR="005F5244" w:rsidRDefault="005F5244" w:rsidP="00B10EB1">
    <w:pPr>
      <w:pStyle w:val="Footer"/>
      <w:ind w:left="-1417"/>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224501"/>
      <w:docPartObj>
        <w:docPartGallery w:val="Page Numbers (Bottom of Page)"/>
        <w:docPartUnique/>
      </w:docPartObj>
    </w:sdtPr>
    <w:sdtContent>
      <w:sdt>
        <w:sdtPr>
          <w:id w:val="-545828809"/>
          <w:docPartObj>
            <w:docPartGallery w:val="Page Numbers (Top of Page)"/>
            <w:docPartUnique/>
          </w:docPartObj>
        </w:sdtPr>
        <w:sdtContent>
          <w:p w:rsidR="005F5244" w:rsidRDefault="005F5244" w:rsidP="00A8086B">
            <w:pPr>
              <w:pStyle w:val="Footer"/>
            </w:pPr>
            <w:r>
              <w:rPr>
                <w:rStyle w:val="SubtleEmphasis"/>
              </w:rPr>
              <w:t>Scenario 9</w:t>
            </w:r>
            <w:r w:rsidRPr="00A8086B">
              <w:rPr>
                <w:rStyle w:val="SubtleEmphasis"/>
              </w:rPr>
              <w:t xml:space="preserve">: </w:t>
            </w:r>
            <w:r>
              <w:rPr>
                <w:rStyle w:val="SubtleEmphasis"/>
              </w:rPr>
              <w:t>Single homeowner retiring at 75 with $3</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32</w:t>
            </w:r>
            <w:r>
              <w:rPr>
                <w:b/>
                <w:bCs/>
              </w:rPr>
              <w:fldChar w:fldCharType="end"/>
            </w:r>
            <w:r>
              <w:t xml:space="preserve"> of </w:t>
            </w:r>
            <w:r>
              <w:rPr>
                <w:b/>
                <w:bCs/>
              </w:rPr>
              <w:t>39</w:t>
            </w:r>
          </w:p>
        </w:sdtContent>
      </w:sdt>
    </w:sdtContent>
  </w:sdt>
  <w:p w:rsidR="005F5244" w:rsidRDefault="005F524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240588"/>
      <w:docPartObj>
        <w:docPartGallery w:val="Page Numbers (Bottom of Page)"/>
        <w:docPartUnique/>
      </w:docPartObj>
    </w:sdtPr>
    <w:sdtContent>
      <w:sdt>
        <w:sdtPr>
          <w:id w:val="1490830525"/>
          <w:docPartObj>
            <w:docPartGallery w:val="Page Numbers (Top of Page)"/>
            <w:docPartUnique/>
          </w:docPartObj>
        </w:sdtPr>
        <w:sdtContent>
          <w:p w:rsidR="005F5244" w:rsidRDefault="005F5244" w:rsidP="00A8086B">
            <w:pPr>
              <w:pStyle w:val="Footer"/>
            </w:pPr>
            <w:r>
              <w:rPr>
                <w:rStyle w:val="SubtleEmphasis"/>
              </w:rPr>
              <w:t>Scenario 10</w:t>
            </w:r>
            <w:r w:rsidRPr="00A8086B">
              <w:rPr>
                <w:rStyle w:val="SubtleEmphasis"/>
              </w:rPr>
              <w:t xml:space="preserve">: </w:t>
            </w:r>
            <w:r>
              <w:rPr>
                <w:rStyle w:val="SubtleEmphasis"/>
              </w:rPr>
              <w:t>Single homeowner retiring at 75 with $6</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33</w:t>
            </w:r>
            <w:r>
              <w:rPr>
                <w:b/>
                <w:bCs/>
              </w:rPr>
              <w:fldChar w:fldCharType="end"/>
            </w:r>
            <w:r>
              <w:t xml:space="preserve"> of </w:t>
            </w:r>
            <w:r>
              <w:rPr>
                <w:b/>
                <w:bCs/>
              </w:rPr>
              <w:t>39</w:t>
            </w:r>
          </w:p>
        </w:sdtContent>
      </w:sdt>
    </w:sdtContent>
  </w:sdt>
  <w:p w:rsidR="005F5244" w:rsidRDefault="005F524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032511"/>
      <w:docPartObj>
        <w:docPartGallery w:val="Page Numbers (Bottom of Page)"/>
        <w:docPartUnique/>
      </w:docPartObj>
    </w:sdtPr>
    <w:sdtContent>
      <w:sdt>
        <w:sdtPr>
          <w:id w:val="1081103216"/>
          <w:docPartObj>
            <w:docPartGallery w:val="Page Numbers (Top of Page)"/>
            <w:docPartUnique/>
          </w:docPartObj>
        </w:sdtPr>
        <w:sdtContent>
          <w:p w:rsidR="005F5244" w:rsidRDefault="005F5244" w:rsidP="00A8086B">
            <w:pPr>
              <w:pStyle w:val="Footer"/>
            </w:pPr>
            <w:proofErr w:type="spellStart"/>
            <w:r>
              <w:rPr>
                <w:rStyle w:val="SubtleEmphasis"/>
              </w:rPr>
              <w:t>Scenari</w:t>
            </w:r>
            <w:proofErr w:type="spellEnd"/>
            <w:r w:rsidRPr="00A8086B">
              <w:rPr>
                <w:rStyle w:val="SubtleEmphasis"/>
              </w:rPr>
              <w:t xml:space="preserve">: </w:t>
            </w:r>
            <w:r>
              <w:rPr>
                <w:rStyle w:val="SubtleEmphasis"/>
              </w:rPr>
              <w:t>Single homeowner retiring at 70 with $3</w:t>
            </w:r>
            <w:r w:rsidRPr="00A8086B">
              <w:rPr>
                <w:rStyle w:val="SubtleEmphasis"/>
              </w:rPr>
              <w:t>00,000 in superannuation</w:t>
            </w:r>
          </w:p>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41</w:t>
            </w:r>
            <w:r>
              <w:rPr>
                <w:b/>
                <w:bCs/>
              </w:rPr>
              <w:fldChar w:fldCharType="end"/>
            </w:r>
          </w:p>
        </w:sdtContent>
      </w:sdt>
    </w:sdtContent>
  </w:sdt>
  <w:p w:rsidR="005F5244" w:rsidRDefault="005F5244" w:rsidP="00B10EB1">
    <w:pPr>
      <w:pStyle w:val="Footer"/>
      <w:ind w:left="-141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244" w:rsidRDefault="005F5244" w:rsidP="00B10EB1">
    <w:pPr>
      <w:pStyle w:val="Footer"/>
      <w:ind w:left="-1417"/>
    </w:pPr>
    <w:r>
      <w:rPr>
        <w:noProof/>
      </w:rPr>
      <w:drawing>
        <wp:inline distT="0" distB="0" distL="0" distR="0" wp14:anchorId="2242D88E" wp14:editId="797A7F32">
          <wp:extent cx="7519594" cy="6264813"/>
          <wp:effectExtent l="0" t="0" r="5715" b="3175"/>
          <wp:docPr id="19" name="Picture 19" descr="illustrations of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19594" cy="6264813"/>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44326"/>
      <w:docPartObj>
        <w:docPartGallery w:val="Page Numbers (Bottom of Page)"/>
        <w:docPartUnique/>
      </w:docPartObj>
    </w:sdtPr>
    <w:sdtContent>
      <w:sdt>
        <w:sdtPr>
          <w:id w:val="894635556"/>
          <w:docPartObj>
            <w:docPartGallery w:val="Page Numbers (Top of Page)"/>
            <w:docPartUnique/>
          </w:docPartObj>
        </w:sdtPr>
        <w:sdtContent>
          <w:p w:rsidR="005F5244" w:rsidRDefault="005F5244" w:rsidP="00A8086B">
            <w:pPr>
              <w:pStyle w:val="Footer"/>
            </w:pPr>
            <w:r>
              <w:rPr>
                <w:rStyle w:val="SubtleEmphasis"/>
              </w:rPr>
              <w:t>Attachment A</w:t>
            </w:r>
            <w:r w:rsidRPr="00A8086B">
              <w:rPr>
                <w:rStyle w:val="SubtleEmphasis"/>
              </w:rPr>
              <w:t xml:space="preserve">: </w:t>
            </w:r>
            <w:r>
              <w:rPr>
                <w:rStyle w:val="SubtleEmphasis"/>
              </w:rPr>
              <w:t>Key assumptions – updated for this document</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36</w:t>
            </w:r>
            <w:r>
              <w:rPr>
                <w:b/>
                <w:bCs/>
              </w:rPr>
              <w:fldChar w:fldCharType="end"/>
            </w:r>
            <w:r>
              <w:t xml:space="preserve"> of </w:t>
            </w:r>
            <w:r>
              <w:rPr>
                <w:b/>
                <w:bCs/>
              </w:rPr>
              <w:t>39</w:t>
            </w:r>
          </w:p>
        </w:sdtContent>
      </w:sdt>
    </w:sdtContent>
  </w:sdt>
  <w:p w:rsidR="005F5244" w:rsidRDefault="005F524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055945"/>
      <w:docPartObj>
        <w:docPartGallery w:val="Page Numbers (Bottom of Page)"/>
        <w:docPartUnique/>
      </w:docPartObj>
    </w:sdtPr>
    <w:sdtContent>
      <w:sdt>
        <w:sdtPr>
          <w:id w:val="1579480350"/>
          <w:docPartObj>
            <w:docPartGallery w:val="Page Numbers (Top of Page)"/>
            <w:docPartUnique/>
          </w:docPartObj>
        </w:sdtPr>
        <w:sdtContent>
          <w:p w:rsidR="005F5244" w:rsidRDefault="005F5244" w:rsidP="00A8086B">
            <w:pPr>
              <w:pStyle w:val="Footer"/>
            </w:pPr>
            <w:r>
              <w:rPr>
                <w:rStyle w:val="SubtleEmphasis"/>
              </w:rPr>
              <w:t>Attachment B</w:t>
            </w:r>
            <w:r w:rsidRPr="00A8086B">
              <w:rPr>
                <w:rStyle w:val="SubtleEmphasis"/>
              </w:rPr>
              <w:t xml:space="preserve">: </w:t>
            </w:r>
            <w:r>
              <w:rPr>
                <w:rStyle w:val="SubtleEmphasis"/>
              </w:rPr>
              <w:t>Key assumptions – used for position paper</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38</w:t>
            </w:r>
            <w:r>
              <w:rPr>
                <w:b/>
                <w:bCs/>
              </w:rPr>
              <w:fldChar w:fldCharType="end"/>
            </w:r>
            <w:r>
              <w:t xml:space="preserve"> of </w:t>
            </w:r>
            <w:r>
              <w:rPr>
                <w:b/>
                <w:bCs/>
              </w:rPr>
              <w:t>39</w:t>
            </w:r>
          </w:p>
        </w:sdtContent>
      </w:sdt>
    </w:sdtContent>
  </w:sdt>
  <w:p w:rsidR="005F5244" w:rsidRDefault="005F524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93860"/>
      <w:docPartObj>
        <w:docPartGallery w:val="Page Numbers (Bottom of Page)"/>
        <w:docPartUnique/>
      </w:docPartObj>
    </w:sdtPr>
    <w:sdtContent>
      <w:sdt>
        <w:sdtPr>
          <w:id w:val="-1550220117"/>
          <w:docPartObj>
            <w:docPartGallery w:val="Page Numbers (Top of Page)"/>
            <w:docPartUnique/>
          </w:docPartObj>
        </w:sdtPr>
        <w:sdtContent>
          <w:p w:rsidR="005F5244" w:rsidRDefault="005F5244" w:rsidP="00A8086B">
            <w:pPr>
              <w:pStyle w:val="Footer"/>
            </w:pPr>
            <w:proofErr w:type="spellStart"/>
            <w:r>
              <w:rPr>
                <w:rStyle w:val="SubtleEmphasis"/>
              </w:rPr>
              <w:t>Scenari</w:t>
            </w:r>
            <w:proofErr w:type="spellEnd"/>
            <w:r w:rsidRPr="00A8086B">
              <w:rPr>
                <w:rStyle w:val="SubtleEmphasis"/>
              </w:rPr>
              <w:t xml:space="preserve">: </w:t>
            </w:r>
            <w:r>
              <w:rPr>
                <w:rStyle w:val="SubtleEmphasis"/>
              </w:rPr>
              <w:t>Single homeowner retiring at 70 with $3</w:t>
            </w:r>
            <w:r w:rsidRPr="00A8086B">
              <w:rPr>
                <w:rStyle w:val="SubtleEmphasis"/>
              </w:rPr>
              <w:t>00,000 in superannuation</w:t>
            </w:r>
          </w:p>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41</w:t>
            </w:r>
            <w:r>
              <w:rPr>
                <w:b/>
                <w:bCs/>
              </w:rPr>
              <w:fldChar w:fldCharType="end"/>
            </w:r>
          </w:p>
        </w:sdtContent>
      </w:sdt>
    </w:sdtContent>
  </w:sdt>
  <w:p w:rsidR="005F5244" w:rsidRDefault="005F5244" w:rsidP="00B10EB1">
    <w:pPr>
      <w:pStyle w:val="Footer"/>
      <w:ind w:left="-141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255875"/>
      <w:docPartObj>
        <w:docPartGallery w:val="Page Numbers (Bottom of Page)"/>
        <w:docPartUnique/>
      </w:docPartObj>
    </w:sdtPr>
    <w:sdtContent>
      <w:sdt>
        <w:sdtPr>
          <w:id w:val="349690258"/>
          <w:docPartObj>
            <w:docPartGallery w:val="Page Numbers (Top of Page)"/>
            <w:docPartUnique/>
          </w:docPartObj>
        </w:sdtPr>
        <w:sdtContent>
          <w:p w:rsidR="005F5244" w:rsidRPr="00725D1D" w:rsidRDefault="005F5244" w:rsidP="00725D1D">
            <w:pPr>
              <w:pStyle w:val="Footer"/>
              <w:rPr>
                <w:rStyle w:val="SubtleEmphasis"/>
              </w:rPr>
            </w:pPr>
            <w:r>
              <w:rPr>
                <w:rStyle w:val="SubtleEmphasis"/>
              </w:rPr>
              <w:t>Overview</w:t>
            </w:r>
          </w:p>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5</w:t>
            </w:r>
            <w:r>
              <w:rPr>
                <w:b/>
                <w:bCs/>
              </w:rPr>
              <w:fldChar w:fldCharType="end"/>
            </w:r>
            <w:r>
              <w:t xml:space="preserve"> of </w:t>
            </w:r>
            <w:r>
              <w:rPr>
                <w:b/>
                <w:bCs/>
              </w:rPr>
              <w:t>39</w:t>
            </w:r>
          </w:p>
        </w:sdtContent>
      </w:sdt>
    </w:sdtContent>
  </w:sdt>
  <w:p w:rsidR="005F5244" w:rsidRDefault="005F5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244" w:rsidRDefault="005F5244">
    <w:pPr>
      <w:pStyle w:val="Footer"/>
      <w:jc w:val="right"/>
    </w:pPr>
  </w:p>
  <w:p w:rsidR="005F5244" w:rsidRDefault="005F5244" w:rsidP="00B10EB1">
    <w:pPr>
      <w:pStyle w:val="Footer"/>
      <w:ind w:left="-141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074753"/>
      <w:docPartObj>
        <w:docPartGallery w:val="Page Numbers (Bottom of Page)"/>
        <w:docPartUnique/>
      </w:docPartObj>
    </w:sdtPr>
    <w:sdtContent>
      <w:sdt>
        <w:sdtPr>
          <w:id w:val="1157045324"/>
          <w:docPartObj>
            <w:docPartGallery w:val="Page Numbers (Top of Page)"/>
            <w:docPartUnique/>
          </w:docPartObj>
        </w:sdtPr>
        <w:sdtContent>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1</w:t>
            </w:r>
            <w:r>
              <w:rPr>
                <w:b/>
                <w:bCs/>
              </w:rPr>
              <w:fldChar w:fldCharType="end"/>
            </w:r>
            <w:r>
              <w:t xml:space="preserve"> of </w:t>
            </w:r>
            <w:r>
              <w:rPr>
                <w:b/>
                <w:bCs/>
              </w:rPr>
              <w:t>39</w:t>
            </w:r>
          </w:p>
        </w:sdtContent>
      </w:sdt>
    </w:sdtContent>
  </w:sdt>
  <w:p w:rsidR="005F5244" w:rsidRDefault="005F5244" w:rsidP="00B10EB1">
    <w:pPr>
      <w:pStyle w:val="Footer"/>
      <w:ind w:left="-141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00837"/>
      <w:docPartObj>
        <w:docPartGallery w:val="Page Numbers (Bottom of Page)"/>
        <w:docPartUnique/>
      </w:docPartObj>
    </w:sdtPr>
    <w:sdtContent>
      <w:sdt>
        <w:sdtPr>
          <w:id w:val="129983203"/>
          <w:docPartObj>
            <w:docPartGallery w:val="Page Numbers (Top of Page)"/>
            <w:docPartUnique/>
          </w:docPartObj>
        </w:sdtPr>
        <w:sdtContent>
          <w:p w:rsidR="005F5244" w:rsidRDefault="005F5244" w:rsidP="00A8086B">
            <w:pPr>
              <w:pStyle w:val="Footer"/>
            </w:pPr>
            <w:r w:rsidRPr="00A8086B">
              <w:rPr>
                <w:rStyle w:val="SubtleEmphasis"/>
              </w:rPr>
              <w:t>Scenario 1: Single homeowner with $300,000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8</w:t>
            </w:r>
            <w:r>
              <w:rPr>
                <w:b/>
                <w:bCs/>
              </w:rPr>
              <w:fldChar w:fldCharType="end"/>
            </w:r>
            <w:r>
              <w:t xml:space="preserve"> of </w:t>
            </w:r>
            <w:r>
              <w:rPr>
                <w:b/>
                <w:bCs/>
              </w:rPr>
              <w:t>39</w:t>
            </w:r>
          </w:p>
        </w:sdtContent>
      </w:sdt>
    </w:sdtContent>
  </w:sdt>
  <w:p w:rsidR="005F5244" w:rsidRDefault="005F52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565639"/>
      <w:docPartObj>
        <w:docPartGallery w:val="Page Numbers (Bottom of Page)"/>
        <w:docPartUnique/>
      </w:docPartObj>
    </w:sdtPr>
    <w:sdtContent>
      <w:sdt>
        <w:sdtPr>
          <w:id w:val="-330675196"/>
          <w:docPartObj>
            <w:docPartGallery w:val="Page Numbers (Top of Page)"/>
            <w:docPartUnique/>
          </w:docPartObj>
        </w:sdtPr>
        <w:sdtContent>
          <w:p w:rsidR="005F5244" w:rsidRDefault="005F5244" w:rsidP="00A8086B">
            <w:pPr>
              <w:pStyle w:val="Footer"/>
            </w:pPr>
            <w:r>
              <w:rPr>
                <w:rStyle w:val="SubtleEmphasis"/>
              </w:rPr>
              <w:t>Scenario 2</w:t>
            </w:r>
            <w:r w:rsidRPr="00A8086B">
              <w:rPr>
                <w:rStyle w:val="SubtleEmphasis"/>
              </w:rPr>
              <w:t xml:space="preserve">: </w:t>
            </w:r>
            <w:r>
              <w:rPr>
                <w:rStyle w:val="SubtleEmphasis"/>
              </w:rPr>
              <w:t>Single homeowner with $4</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11</w:t>
            </w:r>
            <w:r>
              <w:rPr>
                <w:b/>
                <w:bCs/>
              </w:rPr>
              <w:fldChar w:fldCharType="end"/>
            </w:r>
            <w:r>
              <w:t xml:space="preserve"> of </w:t>
            </w:r>
            <w:r>
              <w:rPr>
                <w:b/>
                <w:bCs/>
              </w:rPr>
              <w:t>39</w:t>
            </w:r>
          </w:p>
        </w:sdtContent>
      </w:sdt>
    </w:sdtContent>
  </w:sdt>
  <w:p w:rsidR="005F5244" w:rsidRDefault="005F52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359841"/>
      <w:docPartObj>
        <w:docPartGallery w:val="Page Numbers (Bottom of Page)"/>
        <w:docPartUnique/>
      </w:docPartObj>
    </w:sdtPr>
    <w:sdtContent>
      <w:sdt>
        <w:sdtPr>
          <w:id w:val="713705232"/>
          <w:docPartObj>
            <w:docPartGallery w:val="Page Numbers (Top of Page)"/>
            <w:docPartUnique/>
          </w:docPartObj>
        </w:sdtPr>
        <w:sdtContent>
          <w:p w:rsidR="005F5244" w:rsidRDefault="005F5244" w:rsidP="00A8086B">
            <w:pPr>
              <w:pStyle w:val="Footer"/>
            </w:pPr>
            <w:r>
              <w:rPr>
                <w:rStyle w:val="SubtleEmphasis"/>
              </w:rPr>
              <w:t>Scenario 5</w:t>
            </w:r>
            <w:r w:rsidRPr="00A8086B">
              <w:rPr>
                <w:rStyle w:val="SubtleEmphasis"/>
              </w:rPr>
              <w:t xml:space="preserve">: </w:t>
            </w:r>
            <w:r>
              <w:rPr>
                <w:rStyle w:val="SubtleEmphasis"/>
              </w:rPr>
              <w:t>Single homeowner with $8</w:t>
            </w:r>
            <w:r w:rsidRPr="00A8086B">
              <w:rPr>
                <w:rStyle w:val="SubtleEmphasis"/>
              </w:rPr>
              <w:t>00,000 in superannuation</w:t>
            </w:r>
          </w:p>
          <w:p w:rsidR="005F5244" w:rsidRDefault="005F524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41</w:t>
            </w:r>
            <w:r>
              <w:rPr>
                <w:b/>
                <w:bCs/>
              </w:rPr>
              <w:fldChar w:fldCharType="end"/>
            </w:r>
          </w:p>
        </w:sdtContent>
      </w:sdt>
    </w:sdtContent>
  </w:sdt>
  <w:p w:rsidR="005F5244" w:rsidRDefault="005F5244" w:rsidP="00B10EB1">
    <w:pPr>
      <w:pStyle w:val="Footer"/>
      <w:ind w:left="-141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472460"/>
      <w:docPartObj>
        <w:docPartGallery w:val="Page Numbers (Bottom of Page)"/>
        <w:docPartUnique/>
      </w:docPartObj>
    </w:sdtPr>
    <w:sdtContent>
      <w:sdt>
        <w:sdtPr>
          <w:id w:val="-961109368"/>
          <w:docPartObj>
            <w:docPartGallery w:val="Page Numbers (Top of Page)"/>
            <w:docPartUnique/>
          </w:docPartObj>
        </w:sdtPr>
        <w:sdtContent>
          <w:p w:rsidR="005F5244" w:rsidRDefault="005F5244" w:rsidP="00A8086B">
            <w:pPr>
              <w:pStyle w:val="Footer"/>
            </w:pPr>
            <w:r>
              <w:rPr>
                <w:rStyle w:val="SubtleEmphasis"/>
              </w:rPr>
              <w:t>Scenario 3</w:t>
            </w:r>
            <w:r w:rsidRPr="00A8086B">
              <w:rPr>
                <w:rStyle w:val="SubtleEmphasis"/>
              </w:rPr>
              <w:t xml:space="preserve">: </w:t>
            </w:r>
            <w:r>
              <w:rPr>
                <w:rStyle w:val="SubtleEmphasis"/>
              </w:rPr>
              <w:t>Single homeowner with $6</w:t>
            </w:r>
            <w:r w:rsidRPr="00A8086B">
              <w:rPr>
                <w:rStyle w:val="SubtleEmphasis"/>
              </w:rPr>
              <w:t>00,000 in superannuation</w:t>
            </w:r>
          </w:p>
          <w:p w:rsidR="005F5244" w:rsidRDefault="005F5244" w:rsidP="00A8086B">
            <w:pPr>
              <w:pStyle w:val="Footer"/>
              <w:jc w:val="right"/>
            </w:pPr>
            <w:r>
              <w:t xml:space="preserve">Page </w:t>
            </w:r>
            <w:r>
              <w:rPr>
                <w:b/>
                <w:bCs/>
              </w:rPr>
              <w:fldChar w:fldCharType="begin"/>
            </w:r>
            <w:r>
              <w:rPr>
                <w:b/>
                <w:bCs/>
              </w:rPr>
              <w:instrText xml:space="preserve"> PAGE </w:instrText>
            </w:r>
            <w:r>
              <w:rPr>
                <w:b/>
                <w:bCs/>
              </w:rPr>
              <w:fldChar w:fldCharType="separate"/>
            </w:r>
            <w:r w:rsidR="00A21F6F">
              <w:rPr>
                <w:b/>
                <w:bCs/>
                <w:noProof/>
              </w:rPr>
              <w:t>14</w:t>
            </w:r>
            <w:r>
              <w:rPr>
                <w:b/>
                <w:bCs/>
              </w:rPr>
              <w:fldChar w:fldCharType="end"/>
            </w:r>
            <w:r>
              <w:t xml:space="preserve"> of </w:t>
            </w:r>
            <w:r>
              <w:rPr>
                <w:b/>
                <w:bCs/>
              </w:rPr>
              <w:t>39</w:t>
            </w:r>
          </w:p>
        </w:sdtContent>
      </w:sdt>
    </w:sdtContent>
  </w:sdt>
  <w:p w:rsidR="005F5244" w:rsidRDefault="005F5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A85" w:rsidRDefault="008D0A85" w:rsidP="008F3023">
      <w:pPr>
        <w:spacing w:before="0" w:after="0" w:line="240" w:lineRule="auto"/>
      </w:pPr>
      <w:r>
        <w:separator/>
      </w:r>
    </w:p>
  </w:footnote>
  <w:footnote w:type="continuationSeparator" w:id="0">
    <w:p w:rsidR="008D0A85" w:rsidRDefault="008D0A85" w:rsidP="008F30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244" w:rsidRDefault="005F5244" w:rsidP="00F30908">
    <w:pPr>
      <w:ind w:left="-964"/>
    </w:pPr>
    <w:r>
      <w:rPr>
        <w:noProof/>
      </w:rPr>
      <w:drawing>
        <wp:inline distT="0" distB="0" distL="0" distR="0" wp14:anchorId="2BBD6C2E" wp14:editId="1CEBEF2A">
          <wp:extent cx="3236400" cy="936000"/>
          <wp:effectExtent l="0" t="0" r="2540" b="0"/>
          <wp:docPr id="5" name="Picture 5"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244" w:rsidRDefault="005F5244" w:rsidP="00F30908">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268B53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569038D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1017657D"/>
    <w:multiLevelType w:val="multilevel"/>
    <w:tmpl w:val="010EC9A4"/>
    <w:styleLink w:val="Submissions"/>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ind w:left="1701" w:hanging="567"/>
      </w:pPr>
      <w:rPr>
        <w:rFonts w:ascii="Calibri" w:hAnsi="Calibri" w:cs="Times New Roman" w:hint="default"/>
        <w:b w:val="0"/>
        <w:i w:val="0"/>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B214EE"/>
    <w:multiLevelType w:val="multilevel"/>
    <w:tmpl w:val="C6FAFD14"/>
    <w:styleLink w:val="Bulletlist"/>
    <w:lvl w:ilvl="0">
      <w:start w:val="1"/>
      <w:numFmt w:val="bullet"/>
      <w:pStyle w:val="Bullet"/>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Calibri" w:hAnsi="Calibri" w:hint="default"/>
      </w:rPr>
    </w:lvl>
    <w:lvl w:ilvl="2">
      <w:start w:val="1"/>
      <w:numFmt w:val="bullet"/>
      <w:lvlRestart w:val="0"/>
      <w:pStyle w:val="Bullet3"/>
      <w:lvlText w:val=":"/>
      <w:lvlJc w:val="left"/>
      <w:pPr>
        <w:tabs>
          <w:tab w:val="num" w:pos="852"/>
        </w:tabs>
        <w:ind w:left="852" w:hanging="284"/>
      </w:pPr>
      <w:rPr>
        <w:rFonts w:ascii="Calibri" w:hAnsi="Calibri" w:hint="default"/>
      </w:rPr>
    </w:lvl>
    <w:lvl w:ilvl="3">
      <w:start w:val="1"/>
      <w:numFmt w:val="none"/>
      <w:lvlText w:val="%4"/>
      <w:lvlJc w:val="left"/>
      <w:pPr>
        <w:tabs>
          <w:tab w:val="num" w:pos="1136"/>
        </w:tabs>
        <w:ind w:left="1136" w:hanging="284"/>
      </w:pPr>
      <w:rPr>
        <w:rFonts w:ascii="Times New Roman" w:hAnsi="Times New Roman"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1"/>
        </w:tabs>
        <w:ind w:left="1701" w:hanging="281"/>
      </w:pPr>
      <w:rPr>
        <w:rFonts w:hint="default"/>
      </w:rPr>
    </w:lvl>
    <w:lvl w:ilvl="6">
      <w:start w:val="1"/>
      <w:numFmt w:val="none"/>
      <w:lvlText w:val=""/>
      <w:lvlJc w:val="left"/>
      <w:pPr>
        <w:tabs>
          <w:tab w:val="num" w:pos="1985"/>
        </w:tabs>
        <w:ind w:left="1985" w:hanging="281"/>
      </w:pPr>
      <w:rPr>
        <w:rFonts w:hint="default"/>
      </w:rPr>
    </w:lvl>
    <w:lvl w:ilvl="7">
      <w:start w:val="1"/>
      <w:numFmt w:val="none"/>
      <w:lvlText w:val=""/>
      <w:lvlJc w:val="left"/>
      <w:pPr>
        <w:tabs>
          <w:tab w:val="num" w:pos="2268"/>
        </w:tabs>
        <w:ind w:left="2268" w:hanging="280"/>
      </w:pPr>
      <w:rPr>
        <w:rFonts w:hint="default"/>
      </w:rPr>
    </w:lvl>
    <w:lvl w:ilvl="8">
      <w:start w:val="1"/>
      <w:numFmt w:val="none"/>
      <w:lvlRestart w:val="0"/>
      <w:lvlText w:val=""/>
      <w:lvlJc w:val="left"/>
      <w:pPr>
        <w:tabs>
          <w:tab w:val="num" w:pos="2552"/>
        </w:tabs>
        <w:ind w:left="2552" w:hanging="280"/>
      </w:pPr>
      <w:rPr>
        <w:rFonts w:hint="default"/>
      </w:rPr>
    </w:lvl>
  </w:abstractNum>
  <w:abstractNum w:abstractNumId="5" w15:restartNumberingAfterBreak="0">
    <w:nsid w:val="1DC42C0E"/>
    <w:multiLevelType w:val="hybridMultilevel"/>
    <w:tmpl w:val="BE8A47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F6042D"/>
    <w:multiLevelType w:val="hybridMultilevel"/>
    <w:tmpl w:val="BE7291F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2252579D"/>
    <w:multiLevelType w:val="hybridMultilevel"/>
    <w:tmpl w:val="5FE689F2"/>
    <w:lvl w:ilvl="0" w:tplc="97066EEA">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BB4575"/>
    <w:multiLevelType w:val="multilevel"/>
    <w:tmpl w:val="CE3A0DC8"/>
    <w:lvl w:ilvl="0">
      <w:start w:val="1"/>
      <w:numFmt w:val="decimal"/>
      <w:lvlText w:val="%1"/>
      <w:lvlJc w:val="left"/>
      <w:pPr>
        <w:ind w:left="360" w:hanging="360"/>
      </w:pPr>
      <w:rPr>
        <w:rFonts w:hint="default"/>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7F2E06"/>
    <w:multiLevelType w:val="hybridMultilevel"/>
    <w:tmpl w:val="B742F64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3A71F38"/>
    <w:multiLevelType w:val="hybridMultilevel"/>
    <w:tmpl w:val="164A87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474F92"/>
    <w:multiLevelType w:val="hybridMultilevel"/>
    <w:tmpl w:val="AE6004E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C416A6"/>
    <w:multiLevelType w:val="hybridMultilevel"/>
    <w:tmpl w:val="46E895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6A250C4"/>
    <w:multiLevelType w:val="hybridMultilevel"/>
    <w:tmpl w:val="1DAE16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ED6F75"/>
    <w:multiLevelType w:val="multilevel"/>
    <w:tmpl w:val="010EC9A4"/>
    <w:numStyleLink w:val="Submissions"/>
  </w:abstractNum>
  <w:abstractNum w:abstractNumId="16" w15:restartNumberingAfterBreak="0">
    <w:nsid w:val="5DF71FF7"/>
    <w:multiLevelType w:val="multilevel"/>
    <w:tmpl w:val="C6FAFD14"/>
    <w:numStyleLink w:val="Bulletlist"/>
  </w:abstractNum>
  <w:abstractNum w:abstractNumId="17" w15:restartNumberingAfterBreak="0">
    <w:nsid w:val="62FF189B"/>
    <w:multiLevelType w:val="hybridMultilevel"/>
    <w:tmpl w:val="2A9043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44D107B"/>
    <w:multiLevelType w:val="hybridMultilevel"/>
    <w:tmpl w:val="C3DE93D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6F26231"/>
    <w:multiLevelType w:val="hybridMultilevel"/>
    <w:tmpl w:val="F0906452"/>
    <w:lvl w:ilvl="0" w:tplc="F2902DAC">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8"/>
  </w:num>
  <w:num w:numId="4">
    <w:abstractNumId w:val="19"/>
  </w:num>
  <w:num w:numId="5">
    <w:abstractNumId w:val="1"/>
  </w:num>
  <w:num w:numId="6">
    <w:abstractNumId w:val="4"/>
  </w:num>
  <w:num w:numId="7">
    <w:abstractNumId w:val="16"/>
  </w:num>
  <w:num w:numId="8">
    <w:abstractNumId w:val="10"/>
  </w:num>
  <w:num w:numId="9">
    <w:abstractNumId w:val="15"/>
    <w:lvlOverride w:ilvl="0">
      <w:lvl w:ilvl="0">
        <w:start w:val="1"/>
        <w:numFmt w:val="decimal"/>
        <w:lvlText w:val="%1."/>
        <w:lvlJc w:val="left"/>
        <w:pPr>
          <w:ind w:left="567" w:hanging="567"/>
        </w:pPr>
        <w:rPr>
          <w:b w:val="0"/>
          <w:color w:val="auto"/>
        </w:rPr>
      </w:lvl>
    </w:lvlOverride>
    <w:lvlOverride w:ilvl="1">
      <w:lvl w:ilvl="1">
        <w:start w:val="1"/>
        <w:numFmt w:val="lowerLetter"/>
        <w:lvlText w:val="%2)"/>
        <w:lvlJc w:val="left"/>
        <w:pPr>
          <w:ind w:left="1134" w:hanging="567"/>
        </w:pPr>
      </w:lvl>
    </w:lvlOverride>
    <w:lvlOverride w:ilvl="2">
      <w:lvl w:ilvl="2">
        <w:start w:val="1"/>
        <w:numFmt w:val="lowerRoman"/>
        <w:lvlText w:val="%3)"/>
        <w:lvlJc w:val="left"/>
        <w:pPr>
          <w:ind w:left="1701" w:hanging="567"/>
        </w:pPr>
        <w:rPr>
          <w:rFonts w:ascii="Calibri" w:hAnsi="Calibri" w:cs="Times New Roman" w:hint="default"/>
          <w:b w:val="0"/>
          <w:i w:val="0"/>
          <w:sz w:val="20"/>
        </w:r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4"/>
  </w:num>
  <w:num w:numId="15">
    <w:abstractNumId w:val="0"/>
  </w:num>
  <w:num w:numId="16">
    <w:abstractNumId w:val="9"/>
  </w:num>
  <w:num w:numId="17">
    <w:abstractNumId w:val="18"/>
  </w:num>
  <w:num w:numId="18">
    <w:abstractNumId w:val="6"/>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F2"/>
    <w:rsid w:val="000140B8"/>
    <w:rsid w:val="000513BB"/>
    <w:rsid w:val="00071A35"/>
    <w:rsid w:val="00077257"/>
    <w:rsid w:val="00081610"/>
    <w:rsid w:val="000F75FC"/>
    <w:rsid w:val="00136416"/>
    <w:rsid w:val="001510D7"/>
    <w:rsid w:val="001A7461"/>
    <w:rsid w:val="001B4809"/>
    <w:rsid w:val="001C098D"/>
    <w:rsid w:val="001C4BE7"/>
    <w:rsid w:val="001E630D"/>
    <w:rsid w:val="002346B5"/>
    <w:rsid w:val="00250820"/>
    <w:rsid w:val="00281782"/>
    <w:rsid w:val="00281DFB"/>
    <w:rsid w:val="002833AA"/>
    <w:rsid w:val="002930DE"/>
    <w:rsid w:val="002B3CC6"/>
    <w:rsid w:val="002F207E"/>
    <w:rsid w:val="00306595"/>
    <w:rsid w:val="00311FC7"/>
    <w:rsid w:val="00335A14"/>
    <w:rsid w:val="00337926"/>
    <w:rsid w:val="0038044C"/>
    <w:rsid w:val="003A70C3"/>
    <w:rsid w:val="003B0D19"/>
    <w:rsid w:val="003B2BB8"/>
    <w:rsid w:val="003D34FF"/>
    <w:rsid w:val="003E2B62"/>
    <w:rsid w:val="00403055"/>
    <w:rsid w:val="00415B6C"/>
    <w:rsid w:val="004243F2"/>
    <w:rsid w:val="004354E6"/>
    <w:rsid w:val="00440CB8"/>
    <w:rsid w:val="00463D8F"/>
    <w:rsid w:val="00471456"/>
    <w:rsid w:val="004B092F"/>
    <w:rsid w:val="004B54CA"/>
    <w:rsid w:val="004D404B"/>
    <w:rsid w:val="004E5CBF"/>
    <w:rsid w:val="004F77F4"/>
    <w:rsid w:val="00517AE4"/>
    <w:rsid w:val="005312DA"/>
    <w:rsid w:val="005352EB"/>
    <w:rsid w:val="0054713E"/>
    <w:rsid w:val="005543A8"/>
    <w:rsid w:val="00567053"/>
    <w:rsid w:val="005676E5"/>
    <w:rsid w:val="00584FC1"/>
    <w:rsid w:val="00586246"/>
    <w:rsid w:val="005877DC"/>
    <w:rsid w:val="005A2B3D"/>
    <w:rsid w:val="005A77A3"/>
    <w:rsid w:val="005C3AA9"/>
    <w:rsid w:val="005F5244"/>
    <w:rsid w:val="0060283C"/>
    <w:rsid w:val="00650A2C"/>
    <w:rsid w:val="00695113"/>
    <w:rsid w:val="006A2694"/>
    <w:rsid w:val="006A4CE7"/>
    <w:rsid w:val="006C2D0E"/>
    <w:rsid w:val="006C3ABF"/>
    <w:rsid w:val="006D2DA3"/>
    <w:rsid w:val="007065F3"/>
    <w:rsid w:val="007219EC"/>
    <w:rsid w:val="00724210"/>
    <w:rsid w:val="00725D1D"/>
    <w:rsid w:val="0073320E"/>
    <w:rsid w:val="00734336"/>
    <w:rsid w:val="00785261"/>
    <w:rsid w:val="00791A0C"/>
    <w:rsid w:val="007A5E7F"/>
    <w:rsid w:val="007B0256"/>
    <w:rsid w:val="007E3959"/>
    <w:rsid w:val="007E3B8B"/>
    <w:rsid w:val="0084227C"/>
    <w:rsid w:val="008565DF"/>
    <w:rsid w:val="0085710F"/>
    <w:rsid w:val="00871A1F"/>
    <w:rsid w:val="00876CA6"/>
    <w:rsid w:val="00877018"/>
    <w:rsid w:val="0088175B"/>
    <w:rsid w:val="008916D6"/>
    <w:rsid w:val="008D0A85"/>
    <w:rsid w:val="008D6FF2"/>
    <w:rsid w:val="008F3023"/>
    <w:rsid w:val="009225F0"/>
    <w:rsid w:val="0094563F"/>
    <w:rsid w:val="009A4696"/>
    <w:rsid w:val="009D3CCB"/>
    <w:rsid w:val="00A134A2"/>
    <w:rsid w:val="00A13549"/>
    <w:rsid w:val="00A21F6F"/>
    <w:rsid w:val="00A43E66"/>
    <w:rsid w:val="00A4462B"/>
    <w:rsid w:val="00A678DB"/>
    <w:rsid w:val="00A74769"/>
    <w:rsid w:val="00A8086B"/>
    <w:rsid w:val="00AA7226"/>
    <w:rsid w:val="00AB1C12"/>
    <w:rsid w:val="00AE6CF8"/>
    <w:rsid w:val="00AF4C64"/>
    <w:rsid w:val="00B10EB1"/>
    <w:rsid w:val="00B25125"/>
    <w:rsid w:val="00B25641"/>
    <w:rsid w:val="00B52BFB"/>
    <w:rsid w:val="00B7458C"/>
    <w:rsid w:val="00B86EA8"/>
    <w:rsid w:val="00B90868"/>
    <w:rsid w:val="00BA10CC"/>
    <w:rsid w:val="00BA2DB9"/>
    <w:rsid w:val="00BA6A09"/>
    <w:rsid w:val="00BB03A8"/>
    <w:rsid w:val="00BC4FA6"/>
    <w:rsid w:val="00BE7148"/>
    <w:rsid w:val="00BF4BA7"/>
    <w:rsid w:val="00C027B8"/>
    <w:rsid w:val="00C57001"/>
    <w:rsid w:val="00C76B3D"/>
    <w:rsid w:val="00CA01AF"/>
    <w:rsid w:val="00CA5D88"/>
    <w:rsid w:val="00CA786C"/>
    <w:rsid w:val="00CB3718"/>
    <w:rsid w:val="00CD362C"/>
    <w:rsid w:val="00CE1CB4"/>
    <w:rsid w:val="00CE5FD1"/>
    <w:rsid w:val="00D2264C"/>
    <w:rsid w:val="00D22A8A"/>
    <w:rsid w:val="00D71C54"/>
    <w:rsid w:val="00D86E50"/>
    <w:rsid w:val="00D90D3C"/>
    <w:rsid w:val="00D96568"/>
    <w:rsid w:val="00D97606"/>
    <w:rsid w:val="00DD7CFB"/>
    <w:rsid w:val="00E30C3C"/>
    <w:rsid w:val="00E708BB"/>
    <w:rsid w:val="00EA66F0"/>
    <w:rsid w:val="00EE3834"/>
    <w:rsid w:val="00EF3095"/>
    <w:rsid w:val="00F30908"/>
    <w:rsid w:val="00F75124"/>
    <w:rsid w:val="00F85669"/>
    <w:rsid w:val="00FC143A"/>
    <w:rsid w:val="00FD19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9D84F"/>
  <w15:docId w15:val="{9ECA30E0-BA77-4A41-A533-31EE14C3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568"/>
    <w:pPr>
      <w:keepLines/>
      <w:spacing w:before="120" w:after="180" w:line="280" w:lineRule="atLeast"/>
    </w:pPr>
    <w:rPr>
      <w:rFonts w:ascii="Arial" w:eastAsia="Times New Roman" w:hAnsi="Arial" w:cs="Times New Roman"/>
      <w:spacing w:val="4"/>
      <w:sz w:val="24"/>
      <w:szCs w:val="24"/>
      <w:lang w:eastAsia="en-AU"/>
    </w:rPr>
  </w:style>
  <w:style w:type="paragraph" w:styleId="Heading1">
    <w:name w:val="heading 1"/>
    <w:aliases w:val="Heading 1 Cab"/>
    <w:basedOn w:val="Normal"/>
    <w:next w:val="Normal"/>
    <w:link w:val="Heading1Char"/>
    <w:uiPriority w:val="4"/>
    <w:qFormat/>
    <w:rsid w:val="005543A8"/>
    <w:pPr>
      <w:spacing w:before="360" w:after="120" w:line="240" w:lineRule="auto"/>
      <w:contextualSpacing/>
      <w:outlineLvl w:val="0"/>
    </w:pPr>
    <w:rPr>
      <w:rFonts w:ascii="Georgia" w:eastAsiaTheme="majorEastAsia" w:hAnsi="Georgia" w:cstheme="majorBidi"/>
      <w:bCs/>
      <w:color w:val="24596E"/>
      <w:sz w:val="36"/>
      <w:szCs w:val="28"/>
    </w:rPr>
  </w:style>
  <w:style w:type="paragraph" w:styleId="Heading2">
    <w:name w:val="heading 2"/>
    <w:aliases w:val="Heading 2 Cab"/>
    <w:basedOn w:val="Normal"/>
    <w:next w:val="Normal"/>
    <w:link w:val="Heading2Char"/>
    <w:uiPriority w:val="2"/>
    <w:unhideWhenUsed/>
    <w:qFormat/>
    <w:rsid w:val="0054713E"/>
    <w:pPr>
      <w:spacing w:before="240" w:after="120" w:line="240" w:lineRule="auto"/>
      <w:outlineLvl w:val="1"/>
    </w:pPr>
    <w:rPr>
      <w:rFonts w:ascii="Georgia" w:eastAsiaTheme="majorEastAsia" w:hAnsi="Georgia" w:cstheme="majorBidi"/>
      <w:bCs/>
      <w:color w:val="005A70"/>
      <w:sz w:val="32"/>
      <w:szCs w:val="26"/>
    </w:rPr>
  </w:style>
  <w:style w:type="paragraph" w:styleId="Heading3">
    <w:name w:val="heading 3"/>
    <w:aliases w:val="Heading 3 Cab"/>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
    <w:basedOn w:val="DefaultParagraphFont"/>
    <w:link w:val="Heading1"/>
    <w:uiPriority w:val="4"/>
    <w:rsid w:val="005543A8"/>
    <w:rPr>
      <w:rFonts w:ascii="Georgia" w:eastAsiaTheme="majorEastAsia" w:hAnsi="Georgia" w:cstheme="majorBidi"/>
      <w:bCs/>
      <w:color w:val="24596E"/>
      <w:sz w:val="36"/>
      <w:szCs w:val="28"/>
      <w:lang w:eastAsia="en-AU"/>
    </w:rPr>
  </w:style>
  <w:style w:type="character" w:customStyle="1" w:styleId="Heading2Char">
    <w:name w:val="Heading 2 Char"/>
    <w:aliases w:val="Heading 2 Cab Char"/>
    <w:basedOn w:val="DefaultParagraphFont"/>
    <w:link w:val="Heading2"/>
    <w:uiPriority w:val="2"/>
    <w:rsid w:val="0054713E"/>
    <w:rPr>
      <w:rFonts w:ascii="Georgia" w:eastAsiaTheme="majorEastAsia" w:hAnsi="Georgia" w:cstheme="majorBidi"/>
      <w:bCs/>
      <w:color w:val="005A70"/>
      <w:sz w:val="32"/>
      <w:szCs w:val="26"/>
      <w:lang w:eastAsia="en-AU"/>
    </w:rPr>
  </w:style>
  <w:style w:type="paragraph" w:styleId="NoSpacing">
    <w:name w:val="No Spacing"/>
    <w:basedOn w:val="Normal"/>
    <w:link w:val="NoSpacingChar"/>
    <w:uiPriority w:val="99"/>
    <w:qFormat/>
    <w:rsid w:val="004B54CA"/>
    <w:pPr>
      <w:spacing w:after="0" w:line="240" w:lineRule="auto"/>
    </w:pPr>
  </w:style>
  <w:style w:type="character" w:customStyle="1" w:styleId="Heading3Char">
    <w:name w:val="Heading 3 Char"/>
    <w:aliases w:val="Heading 3 Cab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aliases w:val="Title Cab"/>
    <w:basedOn w:val="Normal"/>
    <w:next w:val="Normal"/>
    <w:link w:val="TitleChar"/>
    <w:uiPriority w:val="10"/>
    <w:qFormat/>
    <w:rsid w:val="0094563F"/>
    <w:pPr>
      <w:spacing w:before="1440" w:line="240" w:lineRule="auto"/>
      <w:contextualSpacing/>
    </w:pPr>
    <w:rPr>
      <w:rFonts w:ascii="Georgia" w:eastAsiaTheme="majorEastAsia" w:hAnsi="Georgia" w:cstheme="majorBidi"/>
      <w:color w:val="24596E"/>
      <w:spacing w:val="5"/>
      <w:sz w:val="66"/>
      <w:szCs w:val="52"/>
    </w:rPr>
  </w:style>
  <w:style w:type="character" w:customStyle="1" w:styleId="TitleChar">
    <w:name w:val="Title Char"/>
    <w:aliases w:val="Title Cab Char"/>
    <w:basedOn w:val="DefaultParagraphFont"/>
    <w:link w:val="Title"/>
    <w:uiPriority w:val="10"/>
    <w:rsid w:val="0094563F"/>
    <w:rPr>
      <w:rFonts w:ascii="Georgia" w:eastAsiaTheme="majorEastAsia" w:hAnsi="Georgia" w:cstheme="majorBidi"/>
      <w:color w:val="24596E"/>
      <w:spacing w:val="5"/>
      <w:sz w:val="66"/>
      <w:szCs w:val="52"/>
      <w:lang w:eastAsia="en-AU"/>
    </w:rPr>
  </w:style>
  <w:style w:type="paragraph" w:styleId="Subtitle">
    <w:name w:val="Subtitle"/>
    <w:basedOn w:val="Normal"/>
    <w:next w:val="Normal"/>
    <w:link w:val="SubtitleChar"/>
    <w:uiPriority w:val="99"/>
    <w:qFormat/>
    <w:rsid w:val="005877DC"/>
    <w:pPr>
      <w:spacing w:before="240" w:after="600" w:line="240" w:lineRule="auto"/>
    </w:pPr>
    <w:rPr>
      <w:rFonts w:ascii="Georgia" w:eastAsiaTheme="majorEastAsia" w:hAnsi="Georgia" w:cstheme="majorBidi"/>
      <w:iCs/>
      <w:spacing w:val="6"/>
      <w:sz w:val="32"/>
    </w:rPr>
  </w:style>
  <w:style w:type="character" w:customStyle="1" w:styleId="SubtitleChar">
    <w:name w:val="Subtitle Char"/>
    <w:basedOn w:val="DefaultParagraphFont"/>
    <w:link w:val="Subtitle"/>
    <w:uiPriority w:val="99"/>
    <w:rsid w:val="005877DC"/>
    <w:rPr>
      <w:rFonts w:ascii="Georgia" w:eastAsiaTheme="majorEastAsia" w:hAnsi="Georgia" w:cstheme="majorBidi"/>
      <w:iCs/>
      <w:spacing w:val="6"/>
      <w:sz w:val="32"/>
      <w:szCs w:val="24"/>
      <w:lang w:eastAsia="en-AU"/>
    </w:rPr>
  </w:style>
  <w:style w:type="character" w:styleId="SubtleEmphasis">
    <w:name w:val="Subtle Emphasis"/>
    <w:uiPriority w:val="19"/>
    <w:qFormat/>
    <w:rsid w:val="00136416"/>
    <w:rPr>
      <w:i/>
      <w:iCs/>
    </w:rPr>
  </w:style>
  <w:style w:type="character" w:styleId="Strong">
    <w:name w:val="Strong"/>
    <w:aliases w:val="Bold"/>
    <w:uiPriority w:val="22"/>
    <w:qFormat/>
    <w:rsid w:val="004B54CA"/>
    <w:rPr>
      <w:b/>
      <w:bCs/>
    </w:rPr>
  </w:style>
  <w:style w:type="paragraph" w:styleId="ListParagraph">
    <w:name w:val="List Paragraph"/>
    <w:aliases w:val="List Bullet Cab,CAB - List Bullet,List Paragraph1,NFP GP Bulleted List,Numbered paragraph,Recommendation"/>
    <w:basedOn w:val="Normal"/>
    <w:link w:val="ListParagraphChar"/>
    <w:uiPriority w:val="34"/>
    <w:qFormat/>
    <w:rsid w:val="00E30C3C"/>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5543A8"/>
    <w:pPr>
      <w:spacing w:before="4000"/>
      <w:jc w:val="center"/>
    </w:pPr>
    <w:rPr>
      <w:sz w:val="72"/>
    </w:rPr>
  </w:style>
  <w:style w:type="paragraph" w:styleId="Caption">
    <w:name w:val="caption"/>
    <w:aliases w:val="Caption Table title"/>
    <w:basedOn w:val="Normal"/>
    <w:next w:val="Normal"/>
    <w:uiPriority w:val="35"/>
    <w:unhideWhenUsed/>
    <w:rsid w:val="005543A8"/>
    <w:pPr>
      <w:spacing w:before="360" w:after="120" w:line="240" w:lineRule="atLeast"/>
    </w:pPr>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99"/>
    <w:rsid w:val="004B54CA"/>
    <w:rPr>
      <w:rFonts w:ascii="Arial" w:hAnsi="Arial"/>
    </w:rPr>
  </w:style>
  <w:style w:type="table" w:customStyle="1" w:styleId="MACtable">
    <w:name w:val="MAC table"/>
    <w:basedOn w:val="TableNormal"/>
    <w:uiPriority w:val="99"/>
    <w:rsid w:val="00471456"/>
    <w:pPr>
      <w:spacing w:after="0" w:line="240" w:lineRule="auto"/>
    </w:pPr>
    <w:rPr>
      <w:rFonts w:ascii="Arial" w:hAnsi="Arial"/>
      <w:sz w:val="24"/>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Header">
    <w:name w:val="header"/>
    <w:basedOn w:val="Normal"/>
    <w:link w:val="HeaderChar"/>
    <w:uiPriority w:val="99"/>
    <w:unhideWhenUsed/>
    <w:rsid w:val="00FC143A"/>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FC143A"/>
    <w:rPr>
      <w:rFonts w:ascii="Georgia" w:eastAsia="Times New Roman" w:hAnsi="Georgia" w:cs="Times New Roman"/>
      <w:color w:val="24596E"/>
      <w:sz w:val="20"/>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E30C3C"/>
    <w:pPr>
      <w:numPr>
        <w:numId w:val="1"/>
      </w:numPr>
      <w:tabs>
        <w:tab w:val="clear" w:pos="360"/>
        <w:tab w:val="left" w:pos="170"/>
      </w:tabs>
      <w:ind w:left="170" w:hanging="170"/>
    </w:pPr>
  </w:style>
  <w:style w:type="paragraph" w:customStyle="1" w:styleId="Pullouttext">
    <w:name w:val="Pullout text"/>
    <w:next w:val="Normal"/>
    <w:link w:val="PullouttextChar"/>
    <w:uiPriority w:val="3"/>
    <w:qFormat/>
    <w:rsid w:val="005543A8"/>
    <w:pPr>
      <w:spacing w:before="120" w:after="120" w:line="240" w:lineRule="auto"/>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5543A8"/>
    <w:rPr>
      <w:rFonts w:ascii="Georgia" w:eastAsia="Times New Roman" w:hAnsi="Georgia" w:cs="Arial"/>
      <w:bCs/>
      <w:iCs/>
      <w:color w:val="24596E"/>
      <w:sz w:val="24"/>
      <w:szCs w:val="28"/>
      <w:lang w:eastAsia="en-AU"/>
    </w:rPr>
  </w:style>
  <w:style w:type="character" w:styleId="Hyperlink">
    <w:name w:val="Hyperlink"/>
    <w:aliases w:val="Hyperlink Cab"/>
    <w:basedOn w:val="DefaultParagraphFont"/>
    <w:uiPriority w:val="99"/>
    <w:qFormat/>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qFormat/>
    <w:rsid w:val="00876CA6"/>
    <w:pPr>
      <w:spacing w:after="100"/>
    </w:pPr>
  </w:style>
  <w:style w:type="paragraph" w:styleId="TOC2">
    <w:name w:val="toc 2"/>
    <w:basedOn w:val="Normal"/>
    <w:next w:val="Normal"/>
    <w:autoRedefine/>
    <w:uiPriority w:val="39"/>
    <w:unhideWhenUsed/>
    <w:qFormat/>
    <w:rsid w:val="00876CA6"/>
    <w:pPr>
      <w:spacing w:after="100"/>
      <w:ind w:left="200"/>
    </w:pPr>
  </w:style>
  <w:style w:type="paragraph" w:styleId="TOC3">
    <w:name w:val="toc 3"/>
    <w:basedOn w:val="Normal"/>
    <w:next w:val="Normal"/>
    <w:autoRedefine/>
    <w:uiPriority w:val="39"/>
    <w:unhideWhenUsed/>
    <w:qFormat/>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styleId="TableGrid">
    <w:name w:val="Table Grid"/>
    <w:basedOn w:val="TableNormal"/>
    <w:uiPriority w:val="59"/>
    <w:rsid w:val="00A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7E3B8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TableStyleB">
    <w:name w:val="DSS Table Style B"/>
    <w:basedOn w:val="TableNormal"/>
    <w:uiPriority w:val="99"/>
    <w:rsid w:val="00BB03A8"/>
    <w:pPr>
      <w:spacing w:after="0" w:line="240" w:lineRule="auto"/>
    </w:pPr>
    <w:rPr>
      <w:rFonts w:ascii="Arial" w:hAnsi="Arial"/>
      <w:sz w:val="24"/>
    </w:rPr>
    <w:tblPr>
      <w:tblStyleRowBandSize w:val="1"/>
      <w:tblInd w:w="113" w:type="dxa"/>
      <w:tblBorders>
        <w:bottom w:val="single" w:sz="4" w:space="0" w:color="000000" w:themeColor="text1"/>
      </w:tblBorders>
    </w:tblPr>
    <w:tblStylePr w:type="firstRow">
      <w:pPr>
        <w:jc w:val="left"/>
      </w:pPr>
      <w:rPr>
        <w:rFonts w:ascii="Arial" w:hAnsi="Arial"/>
        <w:b/>
        <w:sz w:val="22"/>
      </w:rPr>
      <w:tblPr/>
      <w:tcPr>
        <w:shd w:val="clear" w:color="auto" w:fill="B1E4E3"/>
      </w:tcPr>
    </w:tblStylePr>
    <w:tblStylePr w:type="lastRow">
      <w:rPr>
        <w:rFonts w:ascii="Arial" w:hAnsi="Arial"/>
        <w:b/>
        <w:sz w:val="24"/>
      </w:rPr>
      <w:tblPr/>
      <w:tcPr>
        <w:tcBorders>
          <w:top w:val="single" w:sz="4" w:space="0" w:color="000000" w:themeColor="text1"/>
        </w:tcBorders>
        <w:shd w:val="clear" w:color="auto" w:fill="F2F2F2" w:themeFill="background1" w:themeFillShade="F2"/>
      </w:tcPr>
    </w:tblStylePr>
    <w:tblStylePr w:type="band2Horz">
      <w:tblPr/>
      <w:tcPr>
        <w:shd w:val="clear" w:color="auto" w:fill="FFFFFF" w:themeFill="background1"/>
      </w:tcPr>
    </w:tblStylePr>
  </w:style>
  <w:style w:type="paragraph" w:styleId="Quote">
    <w:name w:val="Quote"/>
    <w:basedOn w:val="Normal"/>
    <w:next w:val="Normal"/>
    <w:link w:val="QuoteChar"/>
    <w:uiPriority w:val="29"/>
    <w:qFormat/>
    <w:rsid w:val="008D6FF2"/>
    <w:pPr>
      <w:spacing w:before="200" w:after="0" w:line="240" w:lineRule="auto"/>
      <w:ind w:left="360" w:right="360"/>
    </w:pPr>
    <w:rPr>
      <w:rFonts w:eastAsiaTheme="minorHAnsi" w:cstheme="minorBidi"/>
      <w:i/>
      <w:iCs/>
      <w:spacing w:val="0"/>
      <w:sz w:val="22"/>
      <w:szCs w:val="22"/>
      <w:lang w:eastAsia="en-US"/>
    </w:rPr>
  </w:style>
  <w:style w:type="character" w:customStyle="1" w:styleId="QuoteChar">
    <w:name w:val="Quote Char"/>
    <w:basedOn w:val="DefaultParagraphFont"/>
    <w:link w:val="Quote"/>
    <w:uiPriority w:val="29"/>
    <w:rsid w:val="008D6FF2"/>
    <w:rPr>
      <w:rFonts w:ascii="Arial" w:hAnsi="Arial"/>
      <w:i/>
      <w:iCs/>
    </w:rPr>
  </w:style>
  <w:style w:type="paragraph" w:styleId="IntenseQuote">
    <w:name w:val="Intense Quote"/>
    <w:basedOn w:val="Normal"/>
    <w:next w:val="Normal"/>
    <w:link w:val="IntenseQuoteChar"/>
    <w:uiPriority w:val="30"/>
    <w:qFormat/>
    <w:rsid w:val="008D6FF2"/>
    <w:pPr>
      <w:pBdr>
        <w:bottom w:val="single" w:sz="4" w:space="1" w:color="auto"/>
      </w:pBdr>
      <w:spacing w:before="200" w:after="280" w:line="240" w:lineRule="auto"/>
      <w:ind w:left="1008" w:right="1152"/>
      <w:jc w:val="both"/>
    </w:pPr>
    <w:rPr>
      <w:rFonts w:eastAsiaTheme="minorHAnsi" w:cstheme="minorBidi"/>
      <w:b/>
      <w:bCs/>
      <w:i/>
      <w:iCs/>
      <w:spacing w:val="0"/>
      <w:sz w:val="22"/>
      <w:szCs w:val="22"/>
      <w:lang w:eastAsia="en-US"/>
    </w:rPr>
  </w:style>
  <w:style w:type="character" w:customStyle="1" w:styleId="IntenseQuoteChar">
    <w:name w:val="Intense Quote Char"/>
    <w:basedOn w:val="DefaultParagraphFont"/>
    <w:link w:val="IntenseQuote"/>
    <w:uiPriority w:val="30"/>
    <w:rsid w:val="008D6FF2"/>
    <w:rPr>
      <w:rFonts w:ascii="Arial" w:hAnsi="Arial"/>
      <w:b/>
      <w:bCs/>
      <w:i/>
      <w:iCs/>
    </w:rPr>
  </w:style>
  <w:style w:type="character" w:styleId="SubtleReference">
    <w:name w:val="Subtle Reference"/>
    <w:uiPriority w:val="31"/>
    <w:qFormat/>
    <w:rsid w:val="008D6FF2"/>
    <w:rPr>
      <w:smallCaps/>
    </w:rPr>
  </w:style>
  <w:style w:type="character" w:styleId="IntenseReference">
    <w:name w:val="Intense Reference"/>
    <w:uiPriority w:val="32"/>
    <w:qFormat/>
    <w:rsid w:val="008D6FF2"/>
    <w:rPr>
      <w:smallCaps/>
      <w:spacing w:val="5"/>
      <w:u w:val="single"/>
    </w:rPr>
  </w:style>
  <w:style w:type="character" w:styleId="BookTitle">
    <w:name w:val="Book Title"/>
    <w:uiPriority w:val="33"/>
    <w:qFormat/>
    <w:rsid w:val="008D6FF2"/>
    <w:rPr>
      <w:i/>
      <w:iCs/>
      <w:smallCaps/>
      <w:spacing w:val="5"/>
    </w:rPr>
  </w:style>
  <w:style w:type="paragraph" w:styleId="BodyText">
    <w:name w:val="Body Text"/>
    <w:aliases w:val="Body Text Cab,CAB - Body Text"/>
    <w:link w:val="BodyTextChar"/>
    <w:qFormat/>
    <w:rsid w:val="008D6FF2"/>
    <w:pPr>
      <w:spacing w:before="120" w:after="120" w:line="240" w:lineRule="auto"/>
    </w:pPr>
    <w:rPr>
      <w:rFonts w:ascii="Arial" w:hAnsi="Arial"/>
    </w:rPr>
  </w:style>
  <w:style w:type="character" w:customStyle="1" w:styleId="BodyTextChar">
    <w:name w:val="Body Text Char"/>
    <w:aliases w:val="Body Text Cab Char,CAB - Body Text Char"/>
    <w:basedOn w:val="DefaultParagraphFont"/>
    <w:link w:val="BodyText"/>
    <w:rsid w:val="008D6FF2"/>
    <w:rPr>
      <w:rFonts w:ascii="Arial" w:hAnsi="Arial"/>
    </w:rPr>
  </w:style>
  <w:style w:type="paragraph" w:customStyle="1" w:styleId="BoldCab">
    <w:name w:val="Bold Cab"/>
    <w:basedOn w:val="BodyText"/>
    <w:uiPriority w:val="98"/>
    <w:semiHidden/>
    <w:qFormat/>
    <w:rsid w:val="008D6FF2"/>
    <w:rPr>
      <w:b/>
    </w:rPr>
  </w:style>
  <w:style w:type="paragraph" w:customStyle="1" w:styleId="TableTextCab">
    <w:name w:val="Table Text Cab"/>
    <w:basedOn w:val="BodyText"/>
    <w:uiPriority w:val="8"/>
    <w:qFormat/>
    <w:rsid w:val="008D6FF2"/>
    <w:pPr>
      <w:spacing w:before="50" w:after="50"/>
    </w:pPr>
    <w:rPr>
      <w:sz w:val="20"/>
      <w:szCs w:val="20"/>
    </w:rPr>
  </w:style>
  <w:style w:type="paragraph" w:customStyle="1" w:styleId="BorderCab">
    <w:name w:val="Border Cab"/>
    <w:basedOn w:val="BodyText"/>
    <w:uiPriority w:val="6"/>
    <w:qFormat/>
    <w:rsid w:val="008D6FF2"/>
    <w:pPr>
      <w:pBdr>
        <w:top w:val="single" w:sz="18" w:space="1" w:color="7599BB"/>
      </w:pBdr>
      <w:spacing w:before="240" w:after="0" w:line="20" w:lineRule="exact"/>
    </w:pPr>
  </w:style>
  <w:style w:type="paragraph" w:customStyle="1" w:styleId="SummaryHeading1Cab">
    <w:name w:val="Summary Heading 1 Cab"/>
    <w:basedOn w:val="Heading1"/>
    <w:uiPriority w:val="13"/>
    <w:semiHidden/>
    <w:qFormat/>
    <w:rsid w:val="008D6FF2"/>
    <w:pPr>
      <w:keepNext/>
      <w:tabs>
        <w:tab w:val="left" w:pos="567"/>
      </w:tabs>
      <w:spacing w:before="120" w:after="0"/>
      <w:contextualSpacing w:val="0"/>
    </w:pPr>
    <w:rPr>
      <w:rFonts w:ascii="Arial" w:hAnsi="Arial"/>
      <w:b/>
      <w:color w:val="003865"/>
      <w:spacing w:val="0"/>
      <w:sz w:val="24"/>
      <w:lang w:eastAsia="en-US"/>
    </w:rPr>
  </w:style>
  <w:style w:type="paragraph" w:customStyle="1" w:styleId="TableHeadingCab">
    <w:name w:val="Table Heading Cab"/>
    <w:basedOn w:val="TableTextCab"/>
    <w:uiPriority w:val="7"/>
    <w:qFormat/>
    <w:rsid w:val="008D6FF2"/>
    <w:rPr>
      <w:b/>
    </w:rPr>
  </w:style>
  <w:style w:type="paragraph" w:customStyle="1" w:styleId="ProtectiveMarking">
    <w:name w:val="Protective Marking"/>
    <w:uiPriority w:val="15"/>
    <w:semiHidden/>
    <w:qFormat/>
    <w:rsid w:val="008D6FF2"/>
    <w:pPr>
      <w:spacing w:after="0" w:line="240" w:lineRule="auto"/>
      <w:jc w:val="center"/>
    </w:pPr>
    <w:rPr>
      <w:rFonts w:ascii="Arial" w:hAnsi="Arial"/>
      <w:b/>
      <w:color w:val="FF0000"/>
      <w:sz w:val="30"/>
    </w:rPr>
  </w:style>
  <w:style w:type="paragraph" w:styleId="ListNumber">
    <w:name w:val="List Number"/>
    <w:aliases w:val="List Number Cab"/>
    <w:basedOn w:val="BodyText"/>
    <w:uiPriority w:val="3"/>
    <w:qFormat/>
    <w:rsid w:val="008D6FF2"/>
    <w:pPr>
      <w:numPr>
        <w:numId w:val="5"/>
      </w:numPr>
      <w:contextualSpacing/>
    </w:pPr>
  </w:style>
  <w:style w:type="character" w:styleId="PageNumber">
    <w:name w:val="page number"/>
    <w:basedOn w:val="DefaultParagraphFont"/>
    <w:uiPriority w:val="99"/>
    <w:semiHidden/>
    <w:unhideWhenUsed/>
    <w:rsid w:val="008D6FF2"/>
  </w:style>
  <w:style w:type="paragraph" w:customStyle="1" w:styleId="SectionTitleCab">
    <w:name w:val="Section Title Cab"/>
    <w:basedOn w:val="Title"/>
    <w:uiPriority w:val="17"/>
    <w:semiHidden/>
    <w:qFormat/>
    <w:rsid w:val="008D6FF2"/>
    <w:pPr>
      <w:tabs>
        <w:tab w:val="center" w:pos="1313"/>
      </w:tabs>
      <w:spacing w:before="240" w:after="60"/>
      <w:contextualSpacing w:val="0"/>
    </w:pPr>
    <w:rPr>
      <w:rFonts w:ascii="Arial" w:eastAsiaTheme="minorHAnsi" w:hAnsi="Arial" w:cstheme="minorBidi"/>
      <w:b/>
      <w:color w:val="003865"/>
      <w:spacing w:val="0"/>
      <w:sz w:val="40"/>
      <w:szCs w:val="20"/>
      <w:lang w:eastAsia="en-US"/>
    </w:rPr>
  </w:style>
  <w:style w:type="paragraph" w:customStyle="1" w:styleId="TableListCab">
    <w:name w:val="Table List Cab"/>
    <w:basedOn w:val="ListParagraph"/>
    <w:uiPriority w:val="9"/>
    <w:qFormat/>
    <w:rsid w:val="008D6FF2"/>
    <w:pPr>
      <w:spacing w:before="60" w:after="60" w:line="240" w:lineRule="auto"/>
      <w:ind w:left="284" w:hanging="284"/>
    </w:pPr>
    <w:rPr>
      <w:rFonts w:eastAsiaTheme="minorHAnsi" w:cstheme="minorBidi"/>
      <w:spacing w:val="0"/>
      <w:sz w:val="20"/>
      <w:szCs w:val="22"/>
      <w:lang w:eastAsia="en-US"/>
    </w:rPr>
  </w:style>
  <w:style w:type="paragraph" w:customStyle="1" w:styleId="AttachmentHeading1Cab">
    <w:name w:val="Attachment Heading 1 Cab"/>
    <w:basedOn w:val="Heading1"/>
    <w:link w:val="AttachmentHeading1CabChar"/>
    <w:uiPriority w:val="10"/>
    <w:rsid w:val="008D6FF2"/>
    <w:pPr>
      <w:keepNext/>
      <w:tabs>
        <w:tab w:val="left" w:pos="567"/>
      </w:tabs>
      <w:spacing w:before="240" w:after="200"/>
      <w:contextualSpacing w:val="0"/>
    </w:pPr>
    <w:rPr>
      <w:rFonts w:ascii="Arial" w:hAnsi="Arial"/>
      <w:b/>
      <w:color w:val="003865"/>
      <w:spacing w:val="0"/>
      <w:sz w:val="28"/>
    </w:rPr>
  </w:style>
  <w:style w:type="paragraph" w:customStyle="1" w:styleId="AttachmentHeading2Cab">
    <w:name w:val="Attachment Heading 2 Cab"/>
    <w:basedOn w:val="Heading2"/>
    <w:uiPriority w:val="11"/>
    <w:rsid w:val="008D6FF2"/>
    <w:pPr>
      <w:keepNext/>
      <w:spacing w:before="120"/>
    </w:pPr>
    <w:rPr>
      <w:rFonts w:ascii="Arial" w:hAnsi="Arial"/>
      <w:b/>
      <w:color w:val="auto"/>
      <w:spacing w:val="0"/>
      <w:sz w:val="24"/>
      <w:szCs w:val="32"/>
      <w:lang w:eastAsia="en-US"/>
    </w:rPr>
  </w:style>
  <w:style w:type="paragraph" w:customStyle="1" w:styleId="ChecklistInstructionCab">
    <w:name w:val="Checklist Instruction Cab"/>
    <w:basedOn w:val="TableTextCab"/>
    <w:uiPriority w:val="18"/>
    <w:semiHidden/>
    <w:rsid w:val="008D6FF2"/>
    <w:rPr>
      <w:sz w:val="18"/>
    </w:rPr>
  </w:style>
  <w:style w:type="paragraph" w:customStyle="1" w:styleId="Spacer">
    <w:name w:val="Spacer"/>
    <w:uiPriority w:val="98"/>
    <w:semiHidden/>
    <w:rsid w:val="008D6FF2"/>
    <w:pPr>
      <w:spacing w:after="0" w:line="240" w:lineRule="auto"/>
    </w:pPr>
    <w:rPr>
      <w:rFonts w:ascii="Arial" w:hAnsi="Arial"/>
      <w:sz w:val="4"/>
      <w:szCs w:val="4"/>
    </w:rPr>
  </w:style>
  <w:style w:type="paragraph" w:customStyle="1" w:styleId="PageRefCab">
    <w:name w:val="Page Ref Cab"/>
    <w:uiPriority w:val="98"/>
    <w:semiHidden/>
    <w:rsid w:val="008D6FF2"/>
    <w:pPr>
      <w:framePr w:wrap="around" w:vAnchor="text" w:hAnchor="page" w:x="9403" w:y="139"/>
      <w:spacing w:line="240" w:lineRule="auto"/>
    </w:pPr>
    <w:rPr>
      <w:rFonts w:ascii="Arial" w:hAnsi="Arial"/>
      <w:sz w:val="18"/>
      <w:szCs w:val="18"/>
    </w:rPr>
  </w:style>
  <w:style w:type="paragraph" w:customStyle="1" w:styleId="DocNoCab">
    <w:name w:val="Doc No Cab"/>
    <w:basedOn w:val="AttachmentHeading2Cab"/>
    <w:uiPriority w:val="14"/>
    <w:semiHidden/>
    <w:rsid w:val="008D6FF2"/>
    <w:pPr>
      <w:ind w:left="34"/>
      <w:jc w:val="right"/>
    </w:pPr>
    <w:rPr>
      <w:noProof/>
      <w:lang w:val="en-US"/>
    </w:rPr>
  </w:style>
  <w:style w:type="paragraph" w:customStyle="1" w:styleId="RecommendationListCab">
    <w:name w:val="Recommendation List Cab"/>
    <w:basedOn w:val="ListNumber"/>
    <w:uiPriority w:val="1"/>
    <w:rsid w:val="008D6FF2"/>
    <w:pPr>
      <w:ind w:left="357" w:hanging="357"/>
      <w:contextualSpacing w:val="0"/>
    </w:pPr>
  </w:style>
  <w:style w:type="paragraph" w:customStyle="1" w:styleId="Heading1NewTemplate">
    <w:name w:val="Heading 1 New Template"/>
    <w:basedOn w:val="AttachmentHeading1Cab"/>
    <w:link w:val="Heading1NewTemplateChar"/>
    <w:uiPriority w:val="98"/>
    <w:qFormat/>
    <w:rsid w:val="008D6FF2"/>
    <w:rPr>
      <w:sz w:val="24"/>
    </w:rPr>
  </w:style>
  <w:style w:type="paragraph" w:customStyle="1" w:styleId="Heading2NewTemplate">
    <w:name w:val="Heading 2 New Template"/>
    <w:basedOn w:val="Heading1NewTemplate"/>
    <w:link w:val="Heading2NewTemplateChar"/>
    <w:uiPriority w:val="98"/>
    <w:qFormat/>
    <w:rsid w:val="008D6FF2"/>
    <w:pPr>
      <w:jc w:val="center"/>
    </w:pPr>
  </w:style>
  <w:style w:type="character" w:customStyle="1" w:styleId="AttachmentHeading1CabChar">
    <w:name w:val="Attachment Heading 1 Cab Char"/>
    <w:basedOn w:val="Heading1Char"/>
    <w:link w:val="AttachmentHeading1Cab"/>
    <w:uiPriority w:val="10"/>
    <w:rsid w:val="008D6FF2"/>
    <w:rPr>
      <w:rFonts w:ascii="Arial" w:eastAsiaTheme="majorEastAsia" w:hAnsi="Arial" w:cstheme="majorBidi"/>
      <w:b/>
      <w:bCs/>
      <w:color w:val="003865"/>
      <w:sz w:val="28"/>
      <w:szCs w:val="28"/>
      <w:lang w:eastAsia="en-AU"/>
    </w:rPr>
  </w:style>
  <w:style w:type="character" w:customStyle="1" w:styleId="Heading1NewTemplateChar">
    <w:name w:val="Heading 1 New Template Char"/>
    <w:basedOn w:val="AttachmentHeading1CabChar"/>
    <w:link w:val="Heading1NewTemplate"/>
    <w:uiPriority w:val="98"/>
    <w:rsid w:val="008D6FF2"/>
    <w:rPr>
      <w:rFonts w:ascii="Arial" w:eastAsiaTheme="majorEastAsia" w:hAnsi="Arial" w:cstheme="majorBidi"/>
      <w:b/>
      <w:bCs/>
      <w:color w:val="003865"/>
      <w:sz w:val="24"/>
      <w:szCs w:val="28"/>
      <w:lang w:eastAsia="en-AU"/>
    </w:rPr>
  </w:style>
  <w:style w:type="paragraph" w:customStyle="1" w:styleId="CABNETParagraphAtt">
    <w:name w:val="CABNET Paragraph Att"/>
    <w:basedOn w:val="Normal"/>
    <w:link w:val="CABNETParagraphAttChar"/>
    <w:qFormat/>
    <w:rsid w:val="008D6FF2"/>
    <w:pPr>
      <w:spacing w:after="120" w:line="240" w:lineRule="auto"/>
    </w:pPr>
    <w:rPr>
      <w:rFonts w:asciiTheme="minorHAnsi" w:hAnsiTheme="minorHAnsi"/>
      <w:spacing w:val="0"/>
      <w:sz w:val="22"/>
    </w:rPr>
  </w:style>
  <w:style w:type="character" w:customStyle="1" w:styleId="Heading2NewTemplateChar">
    <w:name w:val="Heading 2 New Template Char"/>
    <w:basedOn w:val="Heading1NewTemplateChar"/>
    <w:link w:val="Heading2NewTemplate"/>
    <w:uiPriority w:val="98"/>
    <w:rsid w:val="008D6FF2"/>
    <w:rPr>
      <w:rFonts w:ascii="Arial" w:eastAsiaTheme="majorEastAsia" w:hAnsi="Arial" w:cstheme="majorBidi"/>
      <w:b/>
      <w:bCs/>
      <w:color w:val="003865"/>
      <w:sz w:val="24"/>
      <w:szCs w:val="28"/>
      <w:lang w:eastAsia="en-AU"/>
    </w:rPr>
  </w:style>
  <w:style w:type="character" w:customStyle="1" w:styleId="CABNETParagraphAttChar">
    <w:name w:val="CABNET Paragraph Att Char"/>
    <w:basedOn w:val="DefaultParagraphFont"/>
    <w:link w:val="CABNETParagraphAtt"/>
    <w:rsid w:val="008D6FF2"/>
    <w:rPr>
      <w:rFonts w:eastAsia="Times New Roman" w:cs="Times New Roman"/>
      <w:szCs w:val="24"/>
      <w:lang w:eastAsia="en-AU"/>
    </w:rPr>
  </w:style>
  <w:style w:type="paragraph" w:customStyle="1" w:styleId="TableHeader-LChar">
    <w:name w:val="TableHeader-L Char"/>
    <w:basedOn w:val="Normal"/>
    <w:link w:val="TableHeader-LCharChar"/>
    <w:rsid w:val="008D6FF2"/>
    <w:pPr>
      <w:autoSpaceDE w:val="0"/>
      <w:autoSpaceDN w:val="0"/>
      <w:adjustRightInd w:val="0"/>
      <w:spacing w:before="0" w:after="0" w:line="240" w:lineRule="auto"/>
    </w:pPr>
    <w:rPr>
      <w:rFonts w:ascii="Times New Roman" w:hAnsi="Times New Roman"/>
      <w:b/>
      <w:color w:val="000000"/>
      <w:spacing w:val="0"/>
      <w:sz w:val="20"/>
      <w:szCs w:val="26"/>
    </w:rPr>
  </w:style>
  <w:style w:type="character" w:customStyle="1" w:styleId="TableHeader-LCharChar">
    <w:name w:val="TableHeader-L Char Char"/>
    <w:basedOn w:val="DefaultParagraphFont"/>
    <w:link w:val="TableHeader-LChar"/>
    <w:rsid w:val="008D6FF2"/>
    <w:rPr>
      <w:rFonts w:ascii="Times New Roman" w:eastAsia="Times New Roman" w:hAnsi="Times New Roman" w:cs="Times New Roman"/>
      <w:b/>
      <w:color w:val="000000"/>
      <w:sz w:val="20"/>
      <w:szCs w:val="26"/>
      <w:lang w:eastAsia="en-AU"/>
    </w:rPr>
  </w:style>
  <w:style w:type="paragraph" w:customStyle="1" w:styleId="TableBody-L">
    <w:name w:val="TableBody-L"/>
    <w:basedOn w:val="Normal"/>
    <w:rsid w:val="008D6FF2"/>
    <w:pPr>
      <w:autoSpaceDE w:val="0"/>
      <w:autoSpaceDN w:val="0"/>
      <w:adjustRightInd w:val="0"/>
      <w:spacing w:before="0" w:after="0" w:line="240" w:lineRule="auto"/>
    </w:pPr>
    <w:rPr>
      <w:rFonts w:ascii="Times New Roman" w:hAnsi="Times New Roman"/>
      <w:color w:val="000000"/>
      <w:spacing w:val="0"/>
      <w:sz w:val="20"/>
      <w:szCs w:val="26"/>
    </w:rPr>
  </w:style>
  <w:style w:type="paragraph" w:customStyle="1" w:styleId="CABBackGround">
    <w:name w:val="CABBackGround"/>
    <w:basedOn w:val="Normal"/>
    <w:link w:val="CABBackGroundChar1"/>
    <w:rsid w:val="008D6FF2"/>
    <w:pPr>
      <w:spacing w:before="0" w:after="0" w:line="360" w:lineRule="auto"/>
    </w:pPr>
    <w:rPr>
      <w:rFonts w:ascii="Times New Roman" w:hAnsi="Times New Roman"/>
      <w:spacing w:val="0"/>
      <w:szCs w:val="20"/>
    </w:rPr>
  </w:style>
  <w:style w:type="character" w:customStyle="1" w:styleId="CABBackGroundChar1">
    <w:name w:val="CABBackGround Char1"/>
    <w:basedOn w:val="DefaultParagraphFont"/>
    <w:link w:val="CABBackGround"/>
    <w:rsid w:val="008D6FF2"/>
    <w:rPr>
      <w:rFonts w:ascii="Times New Roman" w:eastAsia="Times New Roman" w:hAnsi="Times New Roman" w:cs="Times New Roman"/>
      <w:sz w:val="24"/>
      <w:szCs w:val="20"/>
      <w:lang w:eastAsia="en-AU"/>
    </w:rPr>
  </w:style>
  <w:style w:type="paragraph" w:customStyle="1" w:styleId="Financialtable">
    <w:name w:val="Financial table"/>
    <w:basedOn w:val="Normal"/>
    <w:link w:val="FinancialtableChar"/>
    <w:uiPriority w:val="1"/>
    <w:qFormat/>
    <w:rsid w:val="008D6FF2"/>
    <w:pPr>
      <w:tabs>
        <w:tab w:val="left" w:pos="284"/>
      </w:tabs>
      <w:spacing w:before="40" w:after="40" w:line="240" w:lineRule="auto"/>
      <w:jc w:val="right"/>
    </w:pPr>
    <w:rPr>
      <w:rFonts w:ascii="Calibri" w:eastAsia="Calibri" w:hAnsi="Calibri"/>
      <w:spacing w:val="0"/>
      <w:sz w:val="18"/>
      <w:szCs w:val="18"/>
      <w:lang w:eastAsia="en-US"/>
    </w:rPr>
  </w:style>
  <w:style w:type="character" w:customStyle="1" w:styleId="FinancialtableChar">
    <w:name w:val="Financial table Char"/>
    <w:basedOn w:val="DefaultParagraphFont"/>
    <w:link w:val="Financialtable"/>
    <w:uiPriority w:val="1"/>
    <w:rsid w:val="008D6FF2"/>
    <w:rPr>
      <w:rFonts w:ascii="Calibri" w:eastAsia="Calibri" w:hAnsi="Calibri" w:cs="Times New Roman"/>
      <w:sz w:val="18"/>
      <w:szCs w:val="18"/>
    </w:rPr>
  </w:style>
  <w:style w:type="numbering" w:customStyle="1" w:styleId="Bulletlist">
    <w:name w:val="Bullet list"/>
    <w:uiPriority w:val="99"/>
    <w:rsid w:val="008D6FF2"/>
    <w:pPr>
      <w:numPr>
        <w:numId w:val="6"/>
      </w:numPr>
    </w:pPr>
  </w:style>
  <w:style w:type="paragraph" w:customStyle="1" w:styleId="Bullet">
    <w:name w:val="Bullet"/>
    <w:basedOn w:val="Normal"/>
    <w:link w:val="BulletChar"/>
    <w:qFormat/>
    <w:rsid w:val="008D6FF2"/>
    <w:pPr>
      <w:numPr>
        <w:numId w:val="7"/>
      </w:numPr>
      <w:spacing w:before="0" w:after="120" w:line="240" w:lineRule="auto"/>
    </w:pPr>
    <w:rPr>
      <w:rFonts w:ascii="Calibri" w:eastAsia="Calibri" w:hAnsi="Calibri"/>
      <w:spacing w:val="0"/>
      <w:sz w:val="22"/>
      <w:szCs w:val="22"/>
      <w:lang w:eastAsia="en-US"/>
    </w:rPr>
  </w:style>
  <w:style w:type="paragraph" w:customStyle="1" w:styleId="Bullet2">
    <w:name w:val="Bullet 2"/>
    <w:basedOn w:val="Normal"/>
    <w:qFormat/>
    <w:rsid w:val="008D6FF2"/>
    <w:pPr>
      <w:numPr>
        <w:ilvl w:val="1"/>
        <w:numId w:val="7"/>
      </w:numPr>
      <w:tabs>
        <w:tab w:val="left" w:pos="284"/>
      </w:tabs>
      <w:spacing w:before="0" w:after="120" w:line="240" w:lineRule="auto"/>
    </w:pPr>
    <w:rPr>
      <w:rFonts w:ascii="Calibri" w:eastAsia="Calibri" w:hAnsi="Calibri"/>
      <w:spacing w:val="0"/>
      <w:sz w:val="22"/>
      <w:szCs w:val="22"/>
      <w:lang w:eastAsia="en-US"/>
    </w:rPr>
  </w:style>
  <w:style w:type="character" w:customStyle="1" w:styleId="BulletChar">
    <w:name w:val="Bullet Char"/>
    <w:basedOn w:val="DefaultParagraphFont"/>
    <w:link w:val="Bullet"/>
    <w:rsid w:val="008D6FF2"/>
    <w:rPr>
      <w:rFonts w:ascii="Calibri" w:eastAsia="Calibri" w:hAnsi="Calibri" w:cs="Times New Roman"/>
    </w:rPr>
  </w:style>
  <w:style w:type="paragraph" w:customStyle="1" w:styleId="Bullet3">
    <w:name w:val="Bullet 3"/>
    <w:basedOn w:val="Normal"/>
    <w:qFormat/>
    <w:rsid w:val="008D6FF2"/>
    <w:pPr>
      <w:numPr>
        <w:ilvl w:val="2"/>
        <w:numId w:val="7"/>
      </w:numPr>
      <w:tabs>
        <w:tab w:val="left" w:pos="284"/>
      </w:tabs>
      <w:spacing w:before="0" w:after="120" w:line="240" w:lineRule="auto"/>
    </w:pPr>
    <w:rPr>
      <w:rFonts w:ascii="Calibri" w:eastAsia="Calibri" w:hAnsi="Calibri"/>
      <w:spacing w:val="0"/>
      <w:sz w:val="22"/>
      <w:szCs w:val="22"/>
      <w:lang w:eastAsia="en-US"/>
    </w:rPr>
  </w:style>
  <w:style w:type="paragraph" w:customStyle="1" w:styleId="CABParaSub">
    <w:name w:val="CAB Para Sub"/>
    <w:basedOn w:val="Normal"/>
    <w:link w:val="CABParaSubChar"/>
    <w:qFormat/>
    <w:rsid w:val="008D6FF2"/>
    <w:pPr>
      <w:tabs>
        <w:tab w:val="left" w:pos="567"/>
      </w:tabs>
      <w:spacing w:after="120" w:line="240" w:lineRule="auto"/>
    </w:pPr>
    <w:rPr>
      <w:rFonts w:ascii="Times New Roman" w:eastAsia="Calibri" w:hAnsi="Times New Roman"/>
      <w:spacing w:val="0"/>
      <w:lang w:eastAsia="en-US"/>
    </w:rPr>
  </w:style>
  <w:style w:type="character" w:customStyle="1" w:styleId="CABParaSubChar">
    <w:name w:val="CAB Para Sub Char"/>
    <w:basedOn w:val="DefaultParagraphFont"/>
    <w:link w:val="CABParaSub"/>
    <w:rsid w:val="008D6FF2"/>
    <w:rPr>
      <w:rFonts w:ascii="Times New Roman" w:eastAsia="Calibri" w:hAnsi="Times New Roman" w:cs="Times New Roman"/>
      <w:sz w:val="24"/>
      <w:szCs w:val="24"/>
    </w:rPr>
  </w:style>
  <w:style w:type="paragraph" w:customStyle="1" w:styleId="CABHeading1">
    <w:name w:val="CAB Heading 1"/>
    <w:basedOn w:val="Normal"/>
    <w:qFormat/>
    <w:rsid w:val="008D6FF2"/>
    <w:pPr>
      <w:spacing w:after="120" w:line="240" w:lineRule="auto"/>
    </w:pPr>
    <w:rPr>
      <w:rFonts w:ascii="Times New Roman" w:eastAsia="Calibri" w:hAnsi="Times New Roman"/>
      <w:b/>
      <w:spacing w:val="0"/>
      <w:lang w:eastAsia="en-US"/>
    </w:rPr>
  </w:style>
  <w:style w:type="paragraph" w:customStyle="1" w:styleId="TOCLevel1">
    <w:name w:val="TOCLevel1"/>
    <w:basedOn w:val="Heading1NewTemplate"/>
    <w:link w:val="TOCLevel1Char"/>
    <w:uiPriority w:val="98"/>
    <w:qFormat/>
    <w:rsid w:val="008D6FF2"/>
    <w:pPr>
      <w:jc w:val="right"/>
    </w:pPr>
  </w:style>
  <w:style w:type="paragraph" w:customStyle="1" w:styleId="TOCLevel2">
    <w:name w:val="TOCLevel2"/>
    <w:basedOn w:val="Heading2NewTemplate"/>
    <w:link w:val="TOCLevel2Char"/>
    <w:uiPriority w:val="98"/>
    <w:qFormat/>
    <w:rsid w:val="008D6FF2"/>
  </w:style>
  <w:style w:type="character" w:customStyle="1" w:styleId="TOCLevel1Char">
    <w:name w:val="TOCLevel1 Char"/>
    <w:basedOn w:val="Heading1NewTemplateChar"/>
    <w:link w:val="TOCLevel1"/>
    <w:uiPriority w:val="98"/>
    <w:rsid w:val="008D6FF2"/>
    <w:rPr>
      <w:rFonts w:ascii="Arial" w:eastAsiaTheme="majorEastAsia" w:hAnsi="Arial" w:cstheme="majorBidi"/>
      <w:b/>
      <w:bCs/>
      <w:color w:val="003865"/>
      <w:sz w:val="24"/>
      <w:szCs w:val="28"/>
      <w:lang w:eastAsia="en-AU"/>
    </w:rPr>
  </w:style>
  <w:style w:type="paragraph" w:customStyle="1" w:styleId="CABNETFooterAtt">
    <w:name w:val="CABNET Footer Att"/>
    <w:basedOn w:val="CABNETParagraphAtt"/>
    <w:rsid w:val="008D6FF2"/>
    <w:pPr>
      <w:tabs>
        <w:tab w:val="right" w:pos="7513"/>
      </w:tabs>
      <w:spacing w:before="0" w:after="0"/>
      <w:ind w:right="357"/>
      <w:jc w:val="center"/>
    </w:pPr>
    <w:rPr>
      <w:sz w:val="18"/>
    </w:rPr>
  </w:style>
  <w:style w:type="paragraph" w:customStyle="1" w:styleId="CAB-NumberedParagraph">
    <w:name w:val="CAB - Numbered Paragraph"/>
    <w:basedOn w:val="Normal"/>
    <w:uiPriority w:val="98"/>
    <w:rsid w:val="008D6FF2"/>
    <w:pPr>
      <w:spacing w:after="120" w:line="240" w:lineRule="auto"/>
      <w:ind w:left="567" w:hanging="567"/>
    </w:pPr>
    <w:rPr>
      <w:rFonts w:eastAsiaTheme="minorHAnsi" w:cstheme="minorBidi"/>
      <w:spacing w:val="0"/>
      <w:sz w:val="22"/>
      <w:szCs w:val="22"/>
      <w:lang w:eastAsia="en-US"/>
    </w:rPr>
  </w:style>
  <w:style w:type="paragraph" w:customStyle="1" w:styleId="CAB-BulletList">
    <w:name w:val="CAB - Bullet List"/>
    <w:basedOn w:val="ListParagraph"/>
    <w:uiPriority w:val="98"/>
    <w:rsid w:val="008D6FF2"/>
    <w:pPr>
      <w:tabs>
        <w:tab w:val="left" w:pos="851"/>
      </w:tabs>
      <w:spacing w:after="0" w:line="240" w:lineRule="auto"/>
      <w:ind w:left="284" w:hanging="284"/>
    </w:pPr>
    <w:rPr>
      <w:rFonts w:eastAsiaTheme="minorHAnsi" w:cstheme="minorBidi"/>
      <w:spacing w:val="0"/>
      <w:sz w:val="22"/>
      <w:szCs w:val="22"/>
      <w:lang w:eastAsia="en-US"/>
    </w:rPr>
  </w:style>
  <w:style w:type="character" w:customStyle="1" w:styleId="TOCLevel2Char">
    <w:name w:val="TOCLevel2 Char"/>
    <w:basedOn w:val="TOCLevel1Char"/>
    <w:link w:val="TOCLevel2"/>
    <w:uiPriority w:val="98"/>
    <w:rsid w:val="008D6FF2"/>
    <w:rPr>
      <w:rFonts w:ascii="Arial" w:eastAsiaTheme="majorEastAsia" w:hAnsi="Arial" w:cstheme="majorBidi"/>
      <w:b/>
      <w:bCs/>
      <w:color w:val="003865"/>
      <w:sz w:val="24"/>
      <w:szCs w:val="28"/>
      <w:lang w:eastAsia="en-AU"/>
    </w:rPr>
  </w:style>
  <w:style w:type="paragraph" w:customStyle="1" w:styleId="CABHeading2">
    <w:name w:val="CAB Heading 2."/>
    <w:basedOn w:val="Normal"/>
    <w:link w:val="CABHeading2Char"/>
    <w:uiPriority w:val="98"/>
    <w:qFormat/>
    <w:rsid w:val="008D6FF2"/>
    <w:pPr>
      <w:keepNext/>
      <w:tabs>
        <w:tab w:val="left" w:pos="567"/>
      </w:tabs>
      <w:spacing w:before="200" w:after="0" w:line="240" w:lineRule="auto"/>
      <w:outlineLvl w:val="0"/>
    </w:pPr>
    <w:rPr>
      <w:rFonts w:eastAsiaTheme="majorEastAsia" w:cstheme="majorBidi"/>
      <w:b/>
      <w:bCs/>
      <w:color w:val="003865"/>
      <w:spacing w:val="0"/>
      <w:szCs w:val="28"/>
      <w:lang w:eastAsia="en-US"/>
    </w:rPr>
  </w:style>
  <w:style w:type="character" w:customStyle="1" w:styleId="CABHeading2Char">
    <w:name w:val="CAB Heading 2. Char"/>
    <w:basedOn w:val="DefaultParagraphFont"/>
    <w:link w:val="CABHeading2"/>
    <w:uiPriority w:val="98"/>
    <w:rsid w:val="008D6FF2"/>
    <w:rPr>
      <w:rFonts w:ascii="Arial" w:eastAsiaTheme="majorEastAsia" w:hAnsi="Arial" w:cstheme="majorBidi"/>
      <w:b/>
      <w:bCs/>
      <w:color w:val="003865"/>
      <w:sz w:val="24"/>
      <w:szCs w:val="28"/>
    </w:rPr>
  </w:style>
  <w:style w:type="paragraph" w:customStyle="1" w:styleId="CABNETParagraph">
    <w:name w:val="CABNET Paragraph."/>
    <w:basedOn w:val="CABNETParagraphAtt"/>
    <w:link w:val="CABNETParagraphChar"/>
    <w:uiPriority w:val="98"/>
    <w:qFormat/>
    <w:rsid w:val="008D6FF2"/>
    <w:rPr>
      <w:rFonts w:ascii="Arial" w:eastAsiaTheme="minorHAnsi" w:hAnsi="Arial" w:cstheme="minorHAnsi"/>
      <w:szCs w:val="22"/>
      <w:lang w:eastAsia="en-US"/>
    </w:rPr>
  </w:style>
  <w:style w:type="character" w:customStyle="1" w:styleId="CABNETParagraphChar">
    <w:name w:val="CABNET Paragraph. Char"/>
    <w:basedOn w:val="DefaultParagraphFont"/>
    <w:link w:val="CABNETParagraph"/>
    <w:uiPriority w:val="98"/>
    <w:rsid w:val="008D6FF2"/>
    <w:rPr>
      <w:rFonts w:ascii="Arial" w:hAnsi="Arial" w:cstheme="minorHAnsi"/>
    </w:rPr>
  </w:style>
  <w:style w:type="table" w:customStyle="1" w:styleId="TableGrid1">
    <w:name w:val="Table Grid1"/>
    <w:basedOn w:val="TableNormal"/>
    <w:next w:val="TableGrid"/>
    <w:uiPriority w:val="59"/>
    <w:rsid w:val="008D6FF2"/>
    <w:pPr>
      <w:spacing w:after="0" w:line="240" w:lineRule="auto"/>
    </w:pPr>
    <w:rPr>
      <w:sz w:val="20"/>
    </w:rPr>
    <w:tblPr>
      <w:tblBorders>
        <w:insideH w:val="single" w:sz="4" w:space="0" w:color="7599BB"/>
        <w:insideV w:val="single" w:sz="4" w:space="0" w:color="7599BB"/>
      </w:tblBorders>
    </w:tblPr>
    <w:tblStylePr w:type="firstRow">
      <w:tblPr/>
      <w:tcPr>
        <w:shd w:val="clear" w:color="auto" w:fill="E3EAF1"/>
      </w:tcPr>
    </w:tblStylePr>
  </w:style>
  <w:style w:type="numbering" w:customStyle="1" w:styleId="Submissions">
    <w:name w:val="Submissions"/>
    <w:uiPriority w:val="99"/>
    <w:rsid w:val="008D6FF2"/>
    <w:pPr>
      <w:numPr>
        <w:numId w:val="10"/>
      </w:numPr>
    </w:pPr>
  </w:style>
  <w:style w:type="paragraph" w:customStyle="1" w:styleId="CABFooter">
    <w:name w:val="CAB Footer"/>
    <w:basedOn w:val="Normal"/>
    <w:rsid w:val="008D6FF2"/>
    <w:pPr>
      <w:tabs>
        <w:tab w:val="right" w:pos="7513"/>
      </w:tabs>
      <w:spacing w:before="0" w:after="0" w:line="240" w:lineRule="auto"/>
      <w:ind w:right="357"/>
      <w:jc w:val="center"/>
    </w:pPr>
    <w:rPr>
      <w:rFonts w:ascii="Times New Roman" w:eastAsiaTheme="minorHAnsi" w:hAnsi="Times New Roman" w:cstheme="minorBidi"/>
      <w:spacing w:val="0"/>
      <w:sz w:val="18"/>
      <w:szCs w:val="18"/>
      <w:lang w:eastAsia="en-US"/>
    </w:rPr>
  </w:style>
  <w:style w:type="paragraph" w:customStyle="1" w:styleId="Backgroundtext">
    <w:name w:val="Background text"/>
    <w:basedOn w:val="Normal"/>
    <w:rsid w:val="008D6FF2"/>
    <w:pPr>
      <w:spacing w:before="0" w:after="120" w:line="360" w:lineRule="auto"/>
    </w:pPr>
    <w:rPr>
      <w:rFonts w:ascii="Arial (W1)" w:eastAsiaTheme="minorHAnsi" w:hAnsi="Arial (W1)" w:cstheme="minorBidi"/>
      <w:spacing w:val="0"/>
      <w:sz w:val="21"/>
      <w:szCs w:val="20"/>
      <w:lang w:eastAsia="en-US"/>
    </w:rPr>
  </w:style>
  <w:style w:type="paragraph" w:customStyle="1" w:styleId="OutlineNumbered1">
    <w:name w:val="Outline Numbered 1"/>
    <w:basedOn w:val="Normal"/>
    <w:uiPriority w:val="2"/>
    <w:rsid w:val="008D6FF2"/>
    <w:pPr>
      <w:tabs>
        <w:tab w:val="num" w:pos="1492"/>
      </w:tabs>
      <w:spacing w:before="0" w:after="240" w:line="280" w:lineRule="exact"/>
      <w:ind w:left="1492" w:hanging="360"/>
      <w:jc w:val="both"/>
    </w:pPr>
    <w:rPr>
      <w:rFonts w:asciiTheme="minorHAnsi" w:eastAsiaTheme="minorHAnsi" w:hAnsiTheme="minorHAnsi" w:cstheme="minorBidi"/>
      <w:color w:val="000000"/>
      <w:spacing w:val="0"/>
      <w:sz w:val="22"/>
      <w:szCs w:val="20"/>
    </w:rPr>
  </w:style>
  <w:style w:type="paragraph" w:styleId="FootnoteText">
    <w:name w:val="footnote text"/>
    <w:basedOn w:val="Normal"/>
    <w:link w:val="FootnoteTextChar"/>
    <w:uiPriority w:val="99"/>
    <w:rsid w:val="008D6FF2"/>
    <w:pPr>
      <w:tabs>
        <w:tab w:val="left" w:pos="284"/>
      </w:tabs>
      <w:spacing w:before="0" w:line="274" w:lineRule="auto"/>
      <w:ind w:left="284" w:hanging="284"/>
      <w:jc w:val="both"/>
    </w:pPr>
    <w:rPr>
      <w:rFonts w:asciiTheme="minorHAnsi" w:eastAsiaTheme="minorHAnsi" w:hAnsiTheme="minorHAnsi" w:cstheme="minorBidi"/>
      <w:color w:val="000000"/>
      <w:spacing w:val="0"/>
      <w:sz w:val="18"/>
      <w:szCs w:val="20"/>
    </w:rPr>
  </w:style>
  <w:style w:type="character" w:customStyle="1" w:styleId="FootnoteTextChar">
    <w:name w:val="Footnote Text Char"/>
    <w:basedOn w:val="DefaultParagraphFont"/>
    <w:link w:val="FootnoteText"/>
    <w:uiPriority w:val="99"/>
    <w:rsid w:val="008D6FF2"/>
    <w:rPr>
      <w:color w:val="000000"/>
      <w:sz w:val="18"/>
      <w:szCs w:val="20"/>
      <w:lang w:eastAsia="en-AU"/>
    </w:rPr>
  </w:style>
  <w:style w:type="character" w:styleId="FootnoteReference">
    <w:name w:val="footnote reference"/>
    <w:basedOn w:val="DefaultParagraphFont"/>
    <w:uiPriority w:val="99"/>
    <w:rsid w:val="008D6FF2"/>
    <w:rPr>
      <w:rFonts w:cs="Times New Roman"/>
      <w:vertAlign w:val="superscript"/>
    </w:rPr>
  </w:style>
  <w:style w:type="character" w:styleId="CommentReference">
    <w:name w:val="annotation reference"/>
    <w:basedOn w:val="DefaultParagraphFont"/>
    <w:uiPriority w:val="99"/>
    <w:semiHidden/>
    <w:unhideWhenUsed/>
    <w:rsid w:val="008D6FF2"/>
    <w:rPr>
      <w:sz w:val="16"/>
      <w:szCs w:val="16"/>
    </w:rPr>
  </w:style>
  <w:style w:type="paragraph" w:styleId="CommentText">
    <w:name w:val="annotation text"/>
    <w:basedOn w:val="Normal"/>
    <w:link w:val="CommentTextChar"/>
    <w:uiPriority w:val="99"/>
    <w:semiHidden/>
    <w:unhideWhenUsed/>
    <w:rsid w:val="008D6FF2"/>
    <w:pPr>
      <w:spacing w:line="240" w:lineRule="auto"/>
    </w:pPr>
    <w:rPr>
      <w:sz w:val="20"/>
      <w:szCs w:val="20"/>
    </w:rPr>
  </w:style>
  <w:style w:type="character" w:customStyle="1" w:styleId="CommentTextChar">
    <w:name w:val="Comment Text Char"/>
    <w:basedOn w:val="DefaultParagraphFont"/>
    <w:link w:val="CommentText"/>
    <w:uiPriority w:val="99"/>
    <w:semiHidden/>
    <w:rsid w:val="008D6FF2"/>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8D6FF2"/>
    <w:rPr>
      <w:b/>
      <w:bCs/>
    </w:rPr>
  </w:style>
  <w:style w:type="character" w:customStyle="1" w:styleId="CommentSubjectChar">
    <w:name w:val="Comment Subject Char"/>
    <w:basedOn w:val="CommentTextChar"/>
    <w:link w:val="CommentSubject"/>
    <w:uiPriority w:val="99"/>
    <w:semiHidden/>
    <w:rsid w:val="008D6FF2"/>
    <w:rPr>
      <w:rFonts w:ascii="Arial" w:eastAsia="Times New Roman" w:hAnsi="Arial" w:cs="Times New Roman"/>
      <w:b/>
      <w:bCs/>
      <w:spacing w:val="4"/>
      <w:sz w:val="20"/>
      <w:szCs w:val="20"/>
      <w:lang w:eastAsia="en-AU"/>
    </w:rPr>
  </w:style>
  <w:style w:type="paragraph" w:styleId="Revision">
    <w:name w:val="Revision"/>
    <w:hidden/>
    <w:uiPriority w:val="99"/>
    <w:semiHidden/>
    <w:rsid w:val="008D6FF2"/>
    <w:pPr>
      <w:spacing w:after="0" w:line="240" w:lineRule="auto"/>
    </w:pPr>
    <w:rPr>
      <w:rFonts w:ascii="Arial" w:eastAsia="Times New Roman" w:hAnsi="Arial" w:cs="Times New Roman"/>
      <w:spacing w:val="4"/>
      <w:sz w:val="24"/>
      <w:szCs w:val="24"/>
      <w:lang w:eastAsia="en-AU"/>
    </w:rPr>
  </w:style>
  <w:style w:type="numbering" w:customStyle="1" w:styleId="Submissions1">
    <w:name w:val="Submissions1"/>
    <w:uiPriority w:val="99"/>
    <w:rsid w:val="008D6FF2"/>
  </w:style>
  <w:style w:type="character" w:customStyle="1" w:styleId="ListParagraphChar">
    <w:name w:val="List Paragraph Char"/>
    <w:aliases w:val="List Bullet Cab Char,CAB - List Bullet Char,List Paragraph1 Char,NFP GP Bulleted List Char,Numbered paragraph Char,Recommendation Char"/>
    <w:basedOn w:val="DefaultParagraphFont"/>
    <w:link w:val="ListParagraph"/>
    <w:uiPriority w:val="34"/>
    <w:locked/>
    <w:rsid w:val="008D6FF2"/>
    <w:rPr>
      <w:rFonts w:ascii="Arial" w:eastAsia="Times New Roman" w:hAnsi="Arial" w:cs="Times New Roman"/>
      <w:spacing w:val="4"/>
      <w:sz w:val="24"/>
      <w:szCs w:val="24"/>
      <w:lang w:eastAsia="en-AU"/>
    </w:rPr>
  </w:style>
  <w:style w:type="table" w:styleId="LightList-Accent1">
    <w:name w:val="Light List Accent 1"/>
    <w:basedOn w:val="TableNormal"/>
    <w:uiPriority w:val="61"/>
    <w:rsid w:val="008D6FF2"/>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Style1">
    <w:name w:val="Style1"/>
    <w:basedOn w:val="Normal"/>
    <w:rsid w:val="008D6FF2"/>
    <w:pPr>
      <w:spacing w:before="0" w:after="0" w:line="240" w:lineRule="auto"/>
    </w:pPr>
    <w:rPr>
      <w:rFonts w:ascii="Times New Roman" w:eastAsiaTheme="minorHAnsi" w:hAnsi="Times New Roman"/>
      <w:spacing w:val="0"/>
      <w:lang w:eastAsia="en-US"/>
    </w:rPr>
  </w:style>
  <w:style w:type="paragraph" w:customStyle="1" w:styleId="Default">
    <w:name w:val="Default"/>
    <w:rsid w:val="008D6FF2"/>
    <w:pPr>
      <w:autoSpaceDE w:val="0"/>
      <w:autoSpaceDN w:val="0"/>
      <w:adjustRightInd w:val="0"/>
      <w:spacing w:after="0" w:line="240" w:lineRule="auto"/>
    </w:pPr>
    <w:rPr>
      <w:rFonts w:ascii="Arial" w:hAnsi="Arial" w:cs="Arial"/>
      <w:color w:val="000000"/>
      <w:sz w:val="24"/>
      <w:szCs w:val="24"/>
    </w:rPr>
  </w:style>
  <w:style w:type="numbering" w:customStyle="1" w:styleId="Submissions2">
    <w:name w:val="Submissions2"/>
    <w:uiPriority w:val="99"/>
    <w:rsid w:val="008D6FF2"/>
  </w:style>
  <w:style w:type="table" w:customStyle="1" w:styleId="TableGrid0">
    <w:name w:val="TableGrid"/>
    <w:rsid w:val="00281782"/>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07863">
      <w:bodyDiv w:val="1"/>
      <w:marLeft w:val="0"/>
      <w:marRight w:val="0"/>
      <w:marTop w:val="0"/>
      <w:marBottom w:val="0"/>
      <w:divBdr>
        <w:top w:val="none" w:sz="0" w:space="0" w:color="auto"/>
        <w:left w:val="none" w:sz="0" w:space="0" w:color="auto"/>
        <w:bottom w:val="none" w:sz="0" w:space="0" w:color="auto"/>
        <w:right w:val="none" w:sz="0" w:space="0" w:color="auto"/>
      </w:divBdr>
    </w:div>
    <w:div w:id="419183299">
      <w:bodyDiv w:val="1"/>
      <w:marLeft w:val="0"/>
      <w:marRight w:val="0"/>
      <w:marTop w:val="0"/>
      <w:marBottom w:val="0"/>
      <w:divBdr>
        <w:top w:val="none" w:sz="0" w:space="0" w:color="auto"/>
        <w:left w:val="none" w:sz="0" w:space="0" w:color="auto"/>
        <w:bottom w:val="none" w:sz="0" w:space="0" w:color="auto"/>
        <w:right w:val="none" w:sz="0" w:space="0" w:color="auto"/>
      </w:divBdr>
    </w:div>
    <w:div w:id="452948275">
      <w:bodyDiv w:val="1"/>
      <w:marLeft w:val="0"/>
      <w:marRight w:val="0"/>
      <w:marTop w:val="0"/>
      <w:marBottom w:val="0"/>
      <w:divBdr>
        <w:top w:val="none" w:sz="0" w:space="0" w:color="auto"/>
        <w:left w:val="none" w:sz="0" w:space="0" w:color="auto"/>
        <w:bottom w:val="none" w:sz="0" w:space="0" w:color="auto"/>
        <w:right w:val="none" w:sz="0" w:space="0" w:color="auto"/>
      </w:divBdr>
    </w:div>
    <w:div w:id="486287021">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44416592">
      <w:bodyDiv w:val="1"/>
      <w:marLeft w:val="0"/>
      <w:marRight w:val="0"/>
      <w:marTop w:val="0"/>
      <w:marBottom w:val="0"/>
      <w:divBdr>
        <w:top w:val="none" w:sz="0" w:space="0" w:color="auto"/>
        <w:left w:val="none" w:sz="0" w:space="0" w:color="auto"/>
        <w:bottom w:val="none" w:sz="0" w:space="0" w:color="auto"/>
        <w:right w:val="none" w:sz="0" w:space="0" w:color="auto"/>
      </w:divBdr>
    </w:div>
    <w:div w:id="615066067">
      <w:bodyDiv w:val="1"/>
      <w:marLeft w:val="0"/>
      <w:marRight w:val="0"/>
      <w:marTop w:val="0"/>
      <w:marBottom w:val="0"/>
      <w:divBdr>
        <w:top w:val="none" w:sz="0" w:space="0" w:color="auto"/>
        <w:left w:val="none" w:sz="0" w:space="0" w:color="auto"/>
        <w:bottom w:val="none" w:sz="0" w:space="0" w:color="auto"/>
        <w:right w:val="none" w:sz="0" w:space="0" w:color="auto"/>
      </w:divBdr>
    </w:div>
    <w:div w:id="799374395">
      <w:bodyDiv w:val="1"/>
      <w:marLeft w:val="0"/>
      <w:marRight w:val="0"/>
      <w:marTop w:val="0"/>
      <w:marBottom w:val="0"/>
      <w:divBdr>
        <w:top w:val="none" w:sz="0" w:space="0" w:color="auto"/>
        <w:left w:val="none" w:sz="0" w:space="0" w:color="auto"/>
        <w:bottom w:val="none" w:sz="0" w:space="0" w:color="auto"/>
        <w:right w:val="none" w:sz="0" w:space="0" w:color="auto"/>
      </w:divBdr>
    </w:div>
    <w:div w:id="846939290">
      <w:bodyDiv w:val="1"/>
      <w:marLeft w:val="0"/>
      <w:marRight w:val="0"/>
      <w:marTop w:val="0"/>
      <w:marBottom w:val="0"/>
      <w:divBdr>
        <w:top w:val="none" w:sz="0" w:space="0" w:color="auto"/>
        <w:left w:val="none" w:sz="0" w:space="0" w:color="auto"/>
        <w:bottom w:val="none" w:sz="0" w:space="0" w:color="auto"/>
        <w:right w:val="none" w:sz="0" w:space="0" w:color="auto"/>
      </w:divBdr>
    </w:div>
    <w:div w:id="1011371383">
      <w:bodyDiv w:val="1"/>
      <w:marLeft w:val="0"/>
      <w:marRight w:val="0"/>
      <w:marTop w:val="0"/>
      <w:marBottom w:val="0"/>
      <w:divBdr>
        <w:top w:val="none" w:sz="0" w:space="0" w:color="auto"/>
        <w:left w:val="none" w:sz="0" w:space="0" w:color="auto"/>
        <w:bottom w:val="none" w:sz="0" w:space="0" w:color="auto"/>
        <w:right w:val="none" w:sz="0" w:space="0" w:color="auto"/>
      </w:divBdr>
    </w:div>
    <w:div w:id="1179585851">
      <w:bodyDiv w:val="1"/>
      <w:marLeft w:val="0"/>
      <w:marRight w:val="0"/>
      <w:marTop w:val="0"/>
      <w:marBottom w:val="0"/>
      <w:divBdr>
        <w:top w:val="none" w:sz="0" w:space="0" w:color="auto"/>
        <w:left w:val="none" w:sz="0" w:space="0" w:color="auto"/>
        <w:bottom w:val="none" w:sz="0" w:space="0" w:color="auto"/>
        <w:right w:val="none" w:sz="0" w:space="0" w:color="auto"/>
      </w:divBdr>
    </w:div>
    <w:div w:id="1189833669">
      <w:bodyDiv w:val="1"/>
      <w:marLeft w:val="0"/>
      <w:marRight w:val="0"/>
      <w:marTop w:val="0"/>
      <w:marBottom w:val="0"/>
      <w:divBdr>
        <w:top w:val="none" w:sz="0" w:space="0" w:color="auto"/>
        <w:left w:val="none" w:sz="0" w:space="0" w:color="auto"/>
        <w:bottom w:val="none" w:sz="0" w:space="0" w:color="auto"/>
        <w:right w:val="none" w:sz="0" w:space="0" w:color="auto"/>
      </w:divBdr>
    </w:div>
    <w:div w:id="1306930090">
      <w:bodyDiv w:val="1"/>
      <w:marLeft w:val="0"/>
      <w:marRight w:val="0"/>
      <w:marTop w:val="0"/>
      <w:marBottom w:val="0"/>
      <w:divBdr>
        <w:top w:val="none" w:sz="0" w:space="0" w:color="auto"/>
        <w:left w:val="none" w:sz="0" w:space="0" w:color="auto"/>
        <w:bottom w:val="none" w:sz="0" w:space="0" w:color="auto"/>
        <w:right w:val="none" w:sz="0" w:space="0" w:color="auto"/>
      </w:divBdr>
    </w:div>
    <w:div w:id="1554343910">
      <w:bodyDiv w:val="1"/>
      <w:marLeft w:val="0"/>
      <w:marRight w:val="0"/>
      <w:marTop w:val="0"/>
      <w:marBottom w:val="0"/>
      <w:divBdr>
        <w:top w:val="none" w:sz="0" w:space="0" w:color="auto"/>
        <w:left w:val="none" w:sz="0" w:space="0" w:color="auto"/>
        <w:bottom w:val="none" w:sz="0" w:space="0" w:color="auto"/>
        <w:right w:val="none" w:sz="0" w:space="0" w:color="auto"/>
      </w:divBdr>
    </w:div>
    <w:div w:id="1643271586">
      <w:bodyDiv w:val="1"/>
      <w:marLeft w:val="0"/>
      <w:marRight w:val="0"/>
      <w:marTop w:val="0"/>
      <w:marBottom w:val="0"/>
      <w:divBdr>
        <w:top w:val="none" w:sz="0" w:space="0" w:color="auto"/>
        <w:left w:val="none" w:sz="0" w:space="0" w:color="auto"/>
        <w:bottom w:val="none" w:sz="0" w:space="0" w:color="auto"/>
        <w:right w:val="none" w:sz="0" w:space="0" w:color="auto"/>
      </w:divBdr>
    </w:div>
    <w:div w:id="1760906636">
      <w:bodyDiv w:val="1"/>
      <w:marLeft w:val="0"/>
      <w:marRight w:val="0"/>
      <w:marTop w:val="0"/>
      <w:marBottom w:val="0"/>
      <w:divBdr>
        <w:top w:val="none" w:sz="0" w:space="0" w:color="auto"/>
        <w:left w:val="none" w:sz="0" w:space="0" w:color="auto"/>
        <w:bottom w:val="none" w:sz="0" w:space="0" w:color="auto"/>
        <w:right w:val="none" w:sz="0" w:space="0" w:color="auto"/>
      </w:divBdr>
    </w:div>
    <w:div w:id="1946844193">
      <w:bodyDiv w:val="1"/>
      <w:marLeft w:val="0"/>
      <w:marRight w:val="0"/>
      <w:marTop w:val="0"/>
      <w:marBottom w:val="0"/>
      <w:divBdr>
        <w:top w:val="none" w:sz="0" w:space="0" w:color="auto"/>
        <w:left w:val="none" w:sz="0" w:space="0" w:color="auto"/>
        <w:bottom w:val="none" w:sz="0" w:space="0" w:color="auto"/>
        <w:right w:val="none" w:sz="0" w:space="0" w:color="auto"/>
      </w:divBdr>
    </w:div>
    <w:div w:id="211951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11.xml"/><Relationship Id="rId53" Type="http://schemas.openxmlformats.org/officeDocument/2006/relationships/image" Target="media/image33.png"/><Relationship Id="rId58" Type="http://schemas.openxmlformats.org/officeDocument/2006/relationships/footer" Target="footer14.xml"/><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oter" Target="footer13.xml"/><Relationship Id="rId60" Type="http://schemas.openxmlformats.org/officeDocument/2006/relationships/image" Target="media/image39.png"/><Relationship Id="rId65" Type="http://schemas.openxmlformats.org/officeDocument/2006/relationships/footer" Target="footer16.xml"/><Relationship Id="rId73" Type="http://schemas.openxmlformats.org/officeDocument/2006/relationships/image" Target="media/image49.png"/><Relationship Id="rId78" Type="http://schemas.openxmlformats.org/officeDocument/2006/relationships/footer" Target="footer19.xml"/><Relationship Id="rId8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footer" Target="footer8.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footer" Target="footer15.xml"/><Relationship Id="rId69" Type="http://schemas.openxmlformats.org/officeDocument/2006/relationships/image" Target="media/image46.png"/><Relationship Id="rId77" Type="http://schemas.openxmlformats.org/officeDocument/2006/relationships/footer" Target="footer18.xml"/><Relationship Id="rId8" Type="http://schemas.openxmlformats.org/officeDocument/2006/relationships/footer" Target="footer1.xml"/><Relationship Id="rId51" Type="http://schemas.openxmlformats.org/officeDocument/2006/relationships/footer" Target="footer12.xml"/><Relationship Id="rId72" Type="http://schemas.openxmlformats.org/officeDocument/2006/relationships/image" Target="media/image48.png"/><Relationship Id="rId80" Type="http://schemas.openxmlformats.org/officeDocument/2006/relationships/footer" Target="foot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9.xml"/><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footer" Target="footer6.xml"/><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Short%20Report%20Template%20Blue.dotx" TargetMode="External"/></Relationships>
</file>

<file path=word/theme/theme1.xml><?xml version="1.0" encoding="utf-8"?>
<a:theme xmlns:a="http://schemas.openxmlformats.org/drawingml/2006/main" name="DSS Blu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3EDBB-1EE5-4BDE-ADE8-9F47A6263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Short Report Template Blue</Template>
  <TotalTime>316</TotalTime>
  <Pages>41</Pages>
  <Words>4001</Words>
  <Characters>22810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Insert title here</vt:lpstr>
    </vt:vector>
  </TitlesOfParts>
  <Company>Department of Social Services</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RUSH, Jonathan</dc:creator>
  <cp:lastModifiedBy>RUSH, Jonathan</cp:lastModifiedBy>
  <cp:revision>6</cp:revision>
  <cp:lastPrinted>2018-07-03T04:10:00Z</cp:lastPrinted>
  <dcterms:created xsi:type="dcterms:W3CDTF">2018-07-03T04:10:00Z</dcterms:created>
  <dcterms:modified xsi:type="dcterms:W3CDTF">2018-07-05T07:29:00Z</dcterms:modified>
</cp:coreProperties>
</file>