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F25EB" w14:textId="77777777" w:rsidR="00C57001" w:rsidRPr="00301C0C" w:rsidRDefault="00E90E3E" w:rsidP="00B45723">
      <w:pPr>
        <w:pStyle w:val="Title"/>
        <w:spacing w:before="120" w:after="120"/>
        <w:ind w:left="-709"/>
        <w:contextualSpacing w:val="0"/>
        <w:rPr>
          <w:i/>
          <w:iCs/>
          <w:smallCaps/>
          <w:spacing w:val="0"/>
        </w:rPr>
      </w:pPr>
      <w:r w:rsidRPr="00301C0C">
        <w:rPr>
          <w:spacing w:val="0"/>
        </w:rPr>
        <w:t>Stronger Outcomes for Families</w:t>
      </w:r>
    </w:p>
    <w:p w14:paraId="53BE86DB" w14:textId="744F2206" w:rsidR="0054713E" w:rsidRPr="00301C0C" w:rsidRDefault="00E90E3E" w:rsidP="00B45723">
      <w:pPr>
        <w:pStyle w:val="Subtitle"/>
        <w:spacing w:before="120" w:after="120"/>
        <w:ind w:hanging="709"/>
      </w:pPr>
      <w:r w:rsidRPr="00301C0C">
        <w:t xml:space="preserve">Background Paper </w:t>
      </w:r>
      <w:r w:rsidR="00DC1752">
        <w:t>June</w:t>
      </w:r>
      <w:r w:rsidR="00DC1752" w:rsidRPr="00301C0C">
        <w:t xml:space="preserve"> </w:t>
      </w:r>
      <w:r w:rsidRPr="00301C0C">
        <w:t>2018</w:t>
      </w:r>
    </w:p>
    <w:p w14:paraId="4F485B45" w14:textId="181417A1" w:rsidR="0094563F" w:rsidRPr="00301C0C" w:rsidRDefault="00DC18EB" w:rsidP="00B45723">
      <w:pPr>
        <w:pStyle w:val="Smalltext"/>
        <w:spacing w:before="120"/>
        <w:ind w:left="-709"/>
      </w:pPr>
      <w:r w:rsidRPr="00301C0C">
        <w:t>DSS D18/</w:t>
      </w:r>
      <w:r w:rsidR="00085A1F">
        <w:t>588963</w:t>
      </w:r>
    </w:p>
    <w:p w14:paraId="25E24C7F" w14:textId="77777777" w:rsidR="0094563F" w:rsidRPr="00301C0C" w:rsidRDefault="0094563F" w:rsidP="00B45723">
      <w:pPr>
        <w:spacing w:after="120" w:line="240" w:lineRule="auto"/>
        <w:ind w:left="-709"/>
        <w:rPr>
          <w:i/>
          <w:iCs/>
          <w:smallCaps/>
        </w:rPr>
        <w:sectPr w:rsidR="0094563F" w:rsidRPr="00301C0C" w:rsidSect="00A74769">
          <w:headerReference w:type="even" r:id="rId8"/>
          <w:headerReference w:type="default" r:id="rId9"/>
          <w:footerReference w:type="default" r:id="rId10"/>
          <w:headerReference w:type="first" r:id="rId11"/>
          <w:footerReference w:type="first" r:id="rId12"/>
          <w:pgSz w:w="11906" w:h="16838"/>
          <w:pgMar w:top="1440" w:right="1440" w:bottom="1440" w:left="1440" w:header="283" w:footer="0" w:gutter="0"/>
          <w:cols w:space="708"/>
          <w:titlePg/>
          <w:docGrid w:linePitch="360"/>
        </w:sectPr>
      </w:pPr>
    </w:p>
    <w:sdt>
      <w:sdtPr>
        <w:rPr>
          <w:rFonts w:ascii="Arial" w:eastAsia="Times New Roman" w:hAnsi="Arial" w:cs="Times New Roman"/>
          <w:bCs w:val="0"/>
          <w:color w:val="auto"/>
          <w:sz w:val="24"/>
          <w:szCs w:val="24"/>
          <w:lang w:bidi="ar-SA"/>
        </w:rPr>
        <w:id w:val="-339084095"/>
        <w:docPartObj>
          <w:docPartGallery w:val="Table of Contents"/>
          <w:docPartUnique/>
        </w:docPartObj>
      </w:sdtPr>
      <w:sdtEndPr>
        <w:rPr>
          <w:b/>
          <w:noProof/>
        </w:rPr>
      </w:sdtEndPr>
      <w:sdtContent>
        <w:p w14:paraId="759D6339" w14:textId="77777777" w:rsidR="00E90E3E" w:rsidRPr="00301C0C" w:rsidRDefault="00E90E3E" w:rsidP="00B45723">
          <w:pPr>
            <w:pStyle w:val="TOCHeading"/>
            <w:spacing w:before="120"/>
            <w:contextualSpacing w:val="0"/>
          </w:pPr>
          <w:r w:rsidRPr="00301C0C">
            <w:t>Contents</w:t>
          </w:r>
        </w:p>
        <w:p w14:paraId="7AE0003D" w14:textId="05283B18" w:rsidR="00B45723" w:rsidRDefault="00E90E3E">
          <w:pPr>
            <w:pStyle w:val="TOC1"/>
            <w:tabs>
              <w:tab w:val="right" w:leader="dot" w:pos="9344"/>
            </w:tabs>
            <w:rPr>
              <w:rFonts w:asciiTheme="minorHAnsi" w:eastAsiaTheme="minorEastAsia" w:hAnsiTheme="minorHAnsi" w:cstheme="minorBidi"/>
              <w:noProof/>
              <w:spacing w:val="0"/>
              <w:sz w:val="22"/>
              <w:szCs w:val="22"/>
            </w:rPr>
          </w:pPr>
          <w:r w:rsidRPr="00562ECA">
            <w:fldChar w:fldCharType="begin"/>
          </w:r>
          <w:r w:rsidRPr="00301C0C">
            <w:instrText xml:space="preserve"> TOC \o "1-3" \h \z \u </w:instrText>
          </w:r>
          <w:r w:rsidRPr="00562ECA">
            <w:fldChar w:fldCharType="separate"/>
          </w:r>
          <w:hyperlink w:anchor="_Toc516213673" w:history="1">
            <w:r w:rsidR="00B45723" w:rsidRPr="007056DD">
              <w:rPr>
                <w:rStyle w:val="Hyperlink"/>
                <w:rFonts w:eastAsiaTheme="majorEastAsia"/>
                <w:noProof/>
              </w:rPr>
              <w:t>Purpose</w:t>
            </w:r>
            <w:r w:rsidR="00B45723">
              <w:rPr>
                <w:noProof/>
                <w:webHidden/>
              </w:rPr>
              <w:tab/>
            </w:r>
            <w:r w:rsidR="00B45723">
              <w:rPr>
                <w:noProof/>
                <w:webHidden/>
              </w:rPr>
              <w:fldChar w:fldCharType="begin"/>
            </w:r>
            <w:r w:rsidR="00B45723">
              <w:rPr>
                <w:noProof/>
                <w:webHidden/>
              </w:rPr>
              <w:instrText xml:space="preserve"> PAGEREF _Toc516213673 \h </w:instrText>
            </w:r>
            <w:r w:rsidR="00B45723">
              <w:rPr>
                <w:noProof/>
                <w:webHidden/>
              </w:rPr>
            </w:r>
            <w:r w:rsidR="00B45723">
              <w:rPr>
                <w:noProof/>
                <w:webHidden/>
              </w:rPr>
              <w:fldChar w:fldCharType="separate"/>
            </w:r>
            <w:r w:rsidR="00BD6D81">
              <w:rPr>
                <w:noProof/>
                <w:webHidden/>
              </w:rPr>
              <w:t>3</w:t>
            </w:r>
            <w:r w:rsidR="00B45723">
              <w:rPr>
                <w:noProof/>
                <w:webHidden/>
              </w:rPr>
              <w:fldChar w:fldCharType="end"/>
            </w:r>
          </w:hyperlink>
        </w:p>
        <w:p w14:paraId="7E761EF7" w14:textId="492A3289" w:rsidR="00B45723" w:rsidRDefault="00086D5D">
          <w:pPr>
            <w:pStyle w:val="TOC1"/>
            <w:tabs>
              <w:tab w:val="right" w:leader="dot" w:pos="9344"/>
            </w:tabs>
            <w:rPr>
              <w:rFonts w:asciiTheme="minorHAnsi" w:eastAsiaTheme="minorEastAsia" w:hAnsiTheme="minorHAnsi" w:cstheme="minorBidi"/>
              <w:noProof/>
              <w:spacing w:val="0"/>
              <w:sz w:val="22"/>
              <w:szCs w:val="22"/>
            </w:rPr>
          </w:pPr>
          <w:hyperlink w:anchor="_Toc516213674" w:history="1">
            <w:r w:rsidR="00B45723" w:rsidRPr="007056DD">
              <w:rPr>
                <w:rStyle w:val="Hyperlink"/>
                <w:rFonts w:eastAsiaTheme="majorEastAsia"/>
                <w:noProof/>
              </w:rPr>
              <w:t>Context</w:t>
            </w:r>
            <w:r w:rsidR="00B45723">
              <w:rPr>
                <w:noProof/>
                <w:webHidden/>
              </w:rPr>
              <w:tab/>
            </w:r>
            <w:r w:rsidR="00B45723">
              <w:rPr>
                <w:noProof/>
                <w:webHidden/>
              </w:rPr>
              <w:fldChar w:fldCharType="begin"/>
            </w:r>
            <w:r w:rsidR="00B45723">
              <w:rPr>
                <w:noProof/>
                <w:webHidden/>
              </w:rPr>
              <w:instrText xml:space="preserve"> PAGEREF _Toc516213674 \h </w:instrText>
            </w:r>
            <w:r w:rsidR="00B45723">
              <w:rPr>
                <w:noProof/>
                <w:webHidden/>
              </w:rPr>
            </w:r>
            <w:r w:rsidR="00B45723">
              <w:rPr>
                <w:noProof/>
                <w:webHidden/>
              </w:rPr>
              <w:fldChar w:fldCharType="separate"/>
            </w:r>
            <w:r w:rsidR="00BD6D81">
              <w:rPr>
                <w:noProof/>
                <w:webHidden/>
              </w:rPr>
              <w:t>3</w:t>
            </w:r>
            <w:r w:rsidR="00B45723">
              <w:rPr>
                <w:noProof/>
                <w:webHidden/>
              </w:rPr>
              <w:fldChar w:fldCharType="end"/>
            </w:r>
          </w:hyperlink>
        </w:p>
        <w:p w14:paraId="148EDED9" w14:textId="4FB0489F" w:rsidR="00B45723" w:rsidRDefault="00086D5D">
          <w:pPr>
            <w:pStyle w:val="TOC2"/>
            <w:tabs>
              <w:tab w:val="right" w:leader="dot" w:pos="9344"/>
            </w:tabs>
            <w:rPr>
              <w:rFonts w:asciiTheme="minorHAnsi" w:eastAsiaTheme="minorEastAsia" w:hAnsiTheme="minorHAnsi" w:cstheme="minorBidi"/>
              <w:noProof/>
              <w:spacing w:val="0"/>
              <w:sz w:val="22"/>
              <w:szCs w:val="22"/>
            </w:rPr>
          </w:pPr>
          <w:hyperlink w:anchor="_Toc516213675" w:history="1">
            <w:r w:rsidR="00B45723" w:rsidRPr="007056DD">
              <w:rPr>
                <w:rStyle w:val="Hyperlink"/>
                <w:rFonts w:eastAsiaTheme="majorEastAsia"/>
                <w:noProof/>
              </w:rPr>
              <w:t>Families and children in Australia</w:t>
            </w:r>
            <w:r w:rsidR="00B45723">
              <w:rPr>
                <w:noProof/>
                <w:webHidden/>
              </w:rPr>
              <w:tab/>
            </w:r>
            <w:r w:rsidR="00B45723">
              <w:rPr>
                <w:noProof/>
                <w:webHidden/>
              </w:rPr>
              <w:fldChar w:fldCharType="begin"/>
            </w:r>
            <w:r w:rsidR="00B45723">
              <w:rPr>
                <w:noProof/>
                <w:webHidden/>
              </w:rPr>
              <w:instrText xml:space="preserve"> PAGEREF _Toc516213675 \h </w:instrText>
            </w:r>
            <w:r w:rsidR="00B45723">
              <w:rPr>
                <w:noProof/>
                <w:webHidden/>
              </w:rPr>
            </w:r>
            <w:r w:rsidR="00B45723">
              <w:rPr>
                <w:noProof/>
                <w:webHidden/>
              </w:rPr>
              <w:fldChar w:fldCharType="separate"/>
            </w:r>
            <w:r w:rsidR="00BD6D81">
              <w:rPr>
                <w:noProof/>
                <w:webHidden/>
              </w:rPr>
              <w:t>3</w:t>
            </w:r>
            <w:r w:rsidR="00B45723">
              <w:rPr>
                <w:noProof/>
                <w:webHidden/>
              </w:rPr>
              <w:fldChar w:fldCharType="end"/>
            </w:r>
          </w:hyperlink>
        </w:p>
        <w:p w14:paraId="4807DAB6" w14:textId="599830E4" w:rsidR="00B45723" w:rsidRDefault="00086D5D">
          <w:pPr>
            <w:pStyle w:val="TOC2"/>
            <w:tabs>
              <w:tab w:val="right" w:leader="dot" w:pos="9344"/>
            </w:tabs>
            <w:rPr>
              <w:rFonts w:asciiTheme="minorHAnsi" w:eastAsiaTheme="minorEastAsia" w:hAnsiTheme="minorHAnsi" w:cstheme="minorBidi"/>
              <w:noProof/>
              <w:spacing w:val="0"/>
              <w:sz w:val="22"/>
              <w:szCs w:val="22"/>
            </w:rPr>
          </w:pPr>
          <w:hyperlink w:anchor="_Toc516213676" w:history="1">
            <w:r w:rsidR="00B45723" w:rsidRPr="007056DD">
              <w:rPr>
                <w:rStyle w:val="Hyperlink"/>
                <w:rFonts w:eastAsiaTheme="majorEastAsia"/>
                <w:noProof/>
              </w:rPr>
              <w:t>Existing policy, reviews and recent engagement processes</w:t>
            </w:r>
            <w:r w:rsidR="00B45723">
              <w:rPr>
                <w:noProof/>
                <w:webHidden/>
              </w:rPr>
              <w:tab/>
            </w:r>
            <w:r w:rsidR="00B45723">
              <w:rPr>
                <w:noProof/>
                <w:webHidden/>
              </w:rPr>
              <w:fldChar w:fldCharType="begin"/>
            </w:r>
            <w:r w:rsidR="00B45723">
              <w:rPr>
                <w:noProof/>
                <w:webHidden/>
              </w:rPr>
              <w:instrText xml:space="preserve"> PAGEREF _Toc516213676 \h </w:instrText>
            </w:r>
            <w:r w:rsidR="00B45723">
              <w:rPr>
                <w:noProof/>
                <w:webHidden/>
              </w:rPr>
            </w:r>
            <w:r w:rsidR="00B45723">
              <w:rPr>
                <w:noProof/>
                <w:webHidden/>
              </w:rPr>
              <w:fldChar w:fldCharType="separate"/>
            </w:r>
            <w:r w:rsidR="00BD6D81">
              <w:rPr>
                <w:noProof/>
                <w:webHidden/>
              </w:rPr>
              <w:t>5</w:t>
            </w:r>
            <w:r w:rsidR="00B45723">
              <w:rPr>
                <w:noProof/>
                <w:webHidden/>
              </w:rPr>
              <w:fldChar w:fldCharType="end"/>
            </w:r>
          </w:hyperlink>
        </w:p>
        <w:p w14:paraId="705E5493" w14:textId="796A59AB" w:rsidR="00B45723" w:rsidRDefault="00086D5D">
          <w:pPr>
            <w:pStyle w:val="TOC2"/>
            <w:tabs>
              <w:tab w:val="right" w:leader="dot" w:pos="9344"/>
            </w:tabs>
            <w:rPr>
              <w:rFonts w:asciiTheme="minorHAnsi" w:eastAsiaTheme="minorEastAsia" w:hAnsiTheme="minorHAnsi" w:cstheme="minorBidi"/>
              <w:noProof/>
              <w:spacing w:val="0"/>
              <w:sz w:val="22"/>
              <w:szCs w:val="22"/>
            </w:rPr>
          </w:pPr>
          <w:hyperlink w:anchor="_Toc516213677" w:history="1">
            <w:r w:rsidR="00B45723" w:rsidRPr="007056DD">
              <w:rPr>
                <w:rStyle w:val="Hyperlink"/>
                <w:rFonts w:eastAsiaTheme="majorEastAsia"/>
                <w:noProof/>
              </w:rPr>
              <w:t>Families and Children Activity</w:t>
            </w:r>
            <w:r w:rsidR="00B45723">
              <w:rPr>
                <w:noProof/>
                <w:webHidden/>
              </w:rPr>
              <w:tab/>
            </w:r>
            <w:r w:rsidR="00B45723">
              <w:rPr>
                <w:noProof/>
                <w:webHidden/>
              </w:rPr>
              <w:fldChar w:fldCharType="begin"/>
            </w:r>
            <w:r w:rsidR="00B45723">
              <w:rPr>
                <w:noProof/>
                <w:webHidden/>
              </w:rPr>
              <w:instrText xml:space="preserve"> PAGEREF _Toc516213677 \h </w:instrText>
            </w:r>
            <w:r w:rsidR="00B45723">
              <w:rPr>
                <w:noProof/>
                <w:webHidden/>
              </w:rPr>
            </w:r>
            <w:r w:rsidR="00B45723">
              <w:rPr>
                <w:noProof/>
                <w:webHidden/>
              </w:rPr>
              <w:fldChar w:fldCharType="separate"/>
            </w:r>
            <w:r w:rsidR="00BD6D81">
              <w:rPr>
                <w:noProof/>
                <w:webHidden/>
              </w:rPr>
              <w:t>6</w:t>
            </w:r>
            <w:r w:rsidR="00B45723">
              <w:rPr>
                <w:noProof/>
                <w:webHidden/>
              </w:rPr>
              <w:fldChar w:fldCharType="end"/>
            </w:r>
          </w:hyperlink>
        </w:p>
        <w:p w14:paraId="6DDF9126" w14:textId="744CB4EE" w:rsidR="00B45723" w:rsidRDefault="00086D5D">
          <w:pPr>
            <w:pStyle w:val="TOC1"/>
            <w:tabs>
              <w:tab w:val="right" w:leader="dot" w:pos="9344"/>
            </w:tabs>
            <w:rPr>
              <w:rFonts w:asciiTheme="minorHAnsi" w:eastAsiaTheme="minorEastAsia" w:hAnsiTheme="minorHAnsi" w:cstheme="minorBidi"/>
              <w:noProof/>
              <w:spacing w:val="0"/>
              <w:sz w:val="22"/>
              <w:szCs w:val="22"/>
            </w:rPr>
          </w:pPr>
          <w:hyperlink w:anchor="_Toc516213678" w:history="1">
            <w:r w:rsidR="00B45723" w:rsidRPr="007056DD">
              <w:rPr>
                <w:rStyle w:val="Hyperlink"/>
                <w:rFonts w:eastAsiaTheme="majorEastAsia"/>
                <w:noProof/>
              </w:rPr>
              <w:t>Principles</w:t>
            </w:r>
            <w:r w:rsidR="00B45723">
              <w:rPr>
                <w:noProof/>
                <w:webHidden/>
              </w:rPr>
              <w:tab/>
            </w:r>
            <w:r w:rsidR="00B45723">
              <w:rPr>
                <w:noProof/>
                <w:webHidden/>
              </w:rPr>
              <w:fldChar w:fldCharType="begin"/>
            </w:r>
            <w:r w:rsidR="00B45723">
              <w:rPr>
                <w:noProof/>
                <w:webHidden/>
              </w:rPr>
              <w:instrText xml:space="preserve"> PAGEREF _Toc516213678 \h </w:instrText>
            </w:r>
            <w:r w:rsidR="00B45723">
              <w:rPr>
                <w:noProof/>
                <w:webHidden/>
              </w:rPr>
            </w:r>
            <w:r w:rsidR="00B45723">
              <w:rPr>
                <w:noProof/>
                <w:webHidden/>
              </w:rPr>
              <w:fldChar w:fldCharType="separate"/>
            </w:r>
            <w:r w:rsidR="00BD6D81">
              <w:rPr>
                <w:noProof/>
                <w:webHidden/>
              </w:rPr>
              <w:t>7</w:t>
            </w:r>
            <w:r w:rsidR="00B45723">
              <w:rPr>
                <w:noProof/>
                <w:webHidden/>
              </w:rPr>
              <w:fldChar w:fldCharType="end"/>
            </w:r>
          </w:hyperlink>
        </w:p>
        <w:p w14:paraId="34D0417C" w14:textId="6FB4FDF4" w:rsidR="00B45723" w:rsidRDefault="00086D5D">
          <w:pPr>
            <w:pStyle w:val="TOC1"/>
            <w:tabs>
              <w:tab w:val="right" w:leader="dot" w:pos="9344"/>
            </w:tabs>
            <w:rPr>
              <w:rFonts w:asciiTheme="minorHAnsi" w:eastAsiaTheme="minorEastAsia" w:hAnsiTheme="minorHAnsi" w:cstheme="minorBidi"/>
              <w:noProof/>
              <w:spacing w:val="0"/>
              <w:sz w:val="22"/>
              <w:szCs w:val="22"/>
            </w:rPr>
          </w:pPr>
          <w:hyperlink w:anchor="_Toc516213679" w:history="1">
            <w:r w:rsidR="00B45723" w:rsidRPr="007056DD">
              <w:rPr>
                <w:rStyle w:val="Hyperlink"/>
                <w:rFonts w:eastAsiaTheme="majorEastAsia"/>
                <w:noProof/>
              </w:rPr>
              <w:t>Principle 1: Outcomes focussed</w:t>
            </w:r>
            <w:r w:rsidR="00B45723">
              <w:rPr>
                <w:noProof/>
                <w:webHidden/>
              </w:rPr>
              <w:tab/>
            </w:r>
            <w:r w:rsidR="00B45723">
              <w:rPr>
                <w:noProof/>
                <w:webHidden/>
              </w:rPr>
              <w:fldChar w:fldCharType="begin"/>
            </w:r>
            <w:r w:rsidR="00B45723">
              <w:rPr>
                <w:noProof/>
                <w:webHidden/>
              </w:rPr>
              <w:instrText xml:space="preserve"> PAGEREF _Toc516213679 \h </w:instrText>
            </w:r>
            <w:r w:rsidR="00B45723">
              <w:rPr>
                <w:noProof/>
                <w:webHidden/>
              </w:rPr>
            </w:r>
            <w:r w:rsidR="00B45723">
              <w:rPr>
                <w:noProof/>
                <w:webHidden/>
              </w:rPr>
              <w:fldChar w:fldCharType="separate"/>
            </w:r>
            <w:r w:rsidR="00BD6D81">
              <w:rPr>
                <w:noProof/>
                <w:webHidden/>
              </w:rPr>
              <w:t>7</w:t>
            </w:r>
            <w:r w:rsidR="00B45723">
              <w:rPr>
                <w:noProof/>
                <w:webHidden/>
              </w:rPr>
              <w:fldChar w:fldCharType="end"/>
            </w:r>
          </w:hyperlink>
        </w:p>
        <w:p w14:paraId="346D146E" w14:textId="6D4FD25A" w:rsidR="00B45723" w:rsidRDefault="00086D5D">
          <w:pPr>
            <w:pStyle w:val="TOC2"/>
            <w:tabs>
              <w:tab w:val="right" w:leader="dot" w:pos="9344"/>
            </w:tabs>
            <w:rPr>
              <w:rFonts w:asciiTheme="minorHAnsi" w:eastAsiaTheme="minorEastAsia" w:hAnsiTheme="minorHAnsi" w:cstheme="minorBidi"/>
              <w:noProof/>
              <w:spacing w:val="0"/>
              <w:sz w:val="22"/>
              <w:szCs w:val="22"/>
            </w:rPr>
          </w:pPr>
          <w:hyperlink w:anchor="_Toc516213680" w:history="1">
            <w:r w:rsidR="00B45723" w:rsidRPr="007056DD">
              <w:rPr>
                <w:rStyle w:val="Hyperlink"/>
                <w:rFonts w:eastAsiaTheme="majorEastAsia"/>
                <w:noProof/>
              </w:rPr>
              <w:t>The role of families</w:t>
            </w:r>
            <w:r w:rsidR="00B45723">
              <w:rPr>
                <w:noProof/>
                <w:webHidden/>
              </w:rPr>
              <w:tab/>
            </w:r>
            <w:r w:rsidR="00B45723">
              <w:rPr>
                <w:noProof/>
                <w:webHidden/>
              </w:rPr>
              <w:fldChar w:fldCharType="begin"/>
            </w:r>
            <w:r w:rsidR="00B45723">
              <w:rPr>
                <w:noProof/>
                <w:webHidden/>
              </w:rPr>
              <w:instrText xml:space="preserve"> PAGEREF _Toc516213680 \h </w:instrText>
            </w:r>
            <w:r w:rsidR="00B45723">
              <w:rPr>
                <w:noProof/>
                <w:webHidden/>
              </w:rPr>
            </w:r>
            <w:r w:rsidR="00B45723">
              <w:rPr>
                <w:noProof/>
                <w:webHidden/>
              </w:rPr>
              <w:fldChar w:fldCharType="separate"/>
            </w:r>
            <w:r w:rsidR="00BD6D81">
              <w:rPr>
                <w:noProof/>
                <w:webHidden/>
              </w:rPr>
              <w:t>7</w:t>
            </w:r>
            <w:r w:rsidR="00B45723">
              <w:rPr>
                <w:noProof/>
                <w:webHidden/>
              </w:rPr>
              <w:fldChar w:fldCharType="end"/>
            </w:r>
          </w:hyperlink>
        </w:p>
        <w:p w14:paraId="57B58664" w14:textId="4D548C45" w:rsidR="00B45723" w:rsidRDefault="00086D5D">
          <w:pPr>
            <w:pStyle w:val="TOC2"/>
            <w:tabs>
              <w:tab w:val="right" w:leader="dot" w:pos="9344"/>
            </w:tabs>
            <w:rPr>
              <w:rFonts w:asciiTheme="minorHAnsi" w:eastAsiaTheme="minorEastAsia" w:hAnsiTheme="minorHAnsi" w:cstheme="minorBidi"/>
              <w:noProof/>
              <w:spacing w:val="0"/>
              <w:sz w:val="22"/>
              <w:szCs w:val="22"/>
            </w:rPr>
          </w:pPr>
          <w:hyperlink w:anchor="_Toc516213681" w:history="1">
            <w:r w:rsidR="00B45723" w:rsidRPr="007056DD">
              <w:rPr>
                <w:rStyle w:val="Hyperlink"/>
                <w:rFonts w:eastAsiaTheme="majorEastAsia"/>
                <w:noProof/>
              </w:rPr>
              <w:t>Outcomes for families and children</w:t>
            </w:r>
            <w:r w:rsidR="00B45723">
              <w:rPr>
                <w:noProof/>
                <w:webHidden/>
              </w:rPr>
              <w:tab/>
            </w:r>
            <w:r w:rsidR="00B45723">
              <w:rPr>
                <w:noProof/>
                <w:webHidden/>
              </w:rPr>
              <w:fldChar w:fldCharType="begin"/>
            </w:r>
            <w:r w:rsidR="00B45723">
              <w:rPr>
                <w:noProof/>
                <w:webHidden/>
              </w:rPr>
              <w:instrText xml:space="preserve"> PAGEREF _Toc516213681 \h </w:instrText>
            </w:r>
            <w:r w:rsidR="00B45723">
              <w:rPr>
                <w:noProof/>
                <w:webHidden/>
              </w:rPr>
            </w:r>
            <w:r w:rsidR="00B45723">
              <w:rPr>
                <w:noProof/>
                <w:webHidden/>
              </w:rPr>
              <w:fldChar w:fldCharType="separate"/>
            </w:r>
            <w:r w:rsidR="00BD6D81">
              <w:rPr>
                <w:noProof/>
                <w:webHidden/>
              </w:rPr>
              <w:t>8</w:t>
            </w:r>
            <w:r w:rsidR="00B45723">
              <w:rPr>
                <w:noProof/>
                <w:webHidden/>
              </w:rPr>
              <w:fldChar w:fldCharType="end"/>
            </w:r>
          </w:hyperlink>
        </w:p>
        <w:p w14:paraId="69F1A0A3" w14:textId="7C207EF0" w:rsidR="00B45723" w:rsidRDefault="00086D5D">
          <w:pPr>
            <w:pStyle w:val="TOC3"/>
            <w:rPr>
              <w:rFonts w:asciiTheme="minorHAnsi" w:eastAsiaTheme="minorEastAsia" w:hAnsiTheme="minorHAnsi" w:cstheme="minorBidi"/>
              <w:noProof/>
              <w:spacing w:val="0"/>
              <w:sz w:val="22"/>
              <w:szCs w:val="22"/>
            </w:rPr>
          </w:pPr>
          <w:hyperlink w:anchor="_Toc516213682" w:history="1">
            <w:r w:rsidR="00B45723" w:rsidRPr="007056DD">
              <w:rPr>
                <w:rStyle w:val="Hyperlink"/>
                <w:rFonts w:eastAsiaTheme="majorEastAsia"/>
                <w:noProof/>
              </w:rPr>
              <w:t>Families and children are safe and well</w:t>
            </w:r>
            <w:r w:rsidR="00B45723">
              <w:rPr>
                <w:noProof/>
                <w:webHidden/>
              </w:rPr>
              <w:tab/>
            </w:r>
            <w:r w:rsidR="00B45723">
              <w:rPr>
                <w:noProof/>
                <w:webHidden/>
              </w:rPr>
              <w:fldChar w:fldCharType="begin"/>
            </w:r>
            <w:r w:rsidR="00B45723">
              <w:rPr>
                <w:noProof/>
                <w:webHidden/>
              </w:rPr>
              <w:instrText xml:space="preserve"> PAGEREF _Toc516213682 \h </w:instrText>
            </w:r>
            <w:r w:rsidR="00B45723">
              <w:rPr>
                <w:noProof/>
                <w:webHidden/>
              </w:rPr>
            </w:r>
            <w:r w:rsidR="00B45723">
              <w:rPr>
                <w:noProof/>
                <w:webHidden/>
              </w:rPr>
              <w:fldChar w:fldCharType="separate"/>
            </w:r>
            <w:r w:rsidR="00BD6D81">
              <w:rPr>
                <w:noProof/>
                <w:webHidden/>
              </w:rPr>
              <w:t>9</w:t>
            </w:r>
            <w:r w:rsidR="00B45723">
              <w:rPr>
                <w:noProof/>
                <w:webHidden/>
              </w:rPr>
              <w:fldChar w:fldCharType="end"/>
            </w:r>
          </w:hyperlink>
        </w:p>
        <w:p w14:paraId="75AC8625" w14:textId="363AC9F0" w:rsidR="00B45723" w:rsidRDefault="00086D5D">
          <w:pPr>
            <w:pStyle w:val="TOC3"/>
            <w:rPr>
              <w:rFonts w:asciiTheme="minorHAnsi" w:eastAsiaTheme="minorEastAsia" w:hAnsiTheme="minorHAnsi" w:cstheme="minorBidi"/>
              <w:noProof/>
              <w:spacing w:val="0"/>
              <w:sz w:val="22"/>
              <w:szCs w:val="22"/>
            </w:rPr>
          </w:pPr>
          <w:hyperlink w:anchor="_Toc516213683" w:history="1">
            <w:r w:rsidR="00B45723" w:rsidRPr="007056DD">
              <w:rPr>
                <w:rStyle w:val="Hyperlink"/>
                <w:rFonts w:eastAsiaTheme="majorEastAsia"/>
                <w:noProof/>
              </w:rPr>
              <w:t>Families and children are ready to learn</w:t>
            </w:r>
            <w:r w:rsidR="00B45723">
              <w:rPr>
                <w:noProof/>
                <w:webHidden/>
              </w:rPr>
              <w:tab/>
            </w:r>
            <w:r w:rsidR="00B45723">
              <w:rPr>
                <w:noProof/>
                <w:webHidden/>
              </w:rPr>
              <w:fldChar w:fldCharType="begin"/>
            </w:r>
            <w:r w:rsidR="00B45723">
              <w:rPr>
                <w:noProof/>
                <w:webHidden/>
              </w:rPr>
              <w:instrText xml:space="preserve"> PAGEREF _Toc516213683 \h </w:instrText>
            </w:r>
            <w:r w:rsidR="00B45723">
              <w:rPr>
                <w:noProof/>
                <w:webHidden/>
              </w:rPr>
            </w:r>
            <w:r w:rsidR="00B45723">
              <w:rPr>
                <w:noProof/>
                <w:webHidden/>
              </w:rPr>
              <w:fldChar w:fldCharType="separate"/>
            </w:r>
            <w:r w:rsidR="00BD6D81">
              <w:rPr>
                <w:noProof/>
                <w:webHidden/>
              </w:rPr>
              <w:t>9</w:t>
            </w:r>
            <w:r w:rsidR="00B45723">
              <w:rPr>
                <w:noProof/>
                <w:webHidden/>
              </w:rPr>
              <w:fldChar w:fldCharType="end"/>
            </w:r>
          </w:hyperlink>
        </w:p>
        <w:p w14:paraId="76A34016" w14:textId="2D28B309" w:rsidR="00B45723" w:rsidRDefault="00086D5D">
          <w:pPr>
            <w:pStyle w:val="TOC3"/>
            <w:rPr>
              <w:rFonts w:asciiTheme="minorHAnsi" w:eastAsiaTheme="minorEastAsia" w:hAnsiTheme="minorHAnsi" w:cstheme="minorBidi"/>
              <w:noProof/>
              <w:spacing w:val="0"/>
              <w:sz w:val="22"/>
              <w:szCs w:val="22"/>
            </w:rPr>
          </w:pPr>
          <w:hyperlink w:anchor="_Toc516213684" w:history="1">
            <w:r w:rsidR="00B45723" w:rsidRPr="007056DD">
              <w:rPr>
                <w:rStyle w:val="Hyperlink"/>
                <w:rFonts w:eastAsiaTheme="majorEastAsia"/>
                <w:noProof/>
              </w:rPr>
              <w:t>Families and children are strong and resilient</w:t>
            </w:r>
            <w:r w:rsidR="00B45723">
              <w:rPr>
                <w:noProof/>
                <w:webHidden/>
              </w:rPr>
              <w:tab/>
            </w:r>
            <w:r w:rsidR="00B45723">
              <w:rPr>
                <w:noProof/>
                <w:webHidden/>
              </w:rPr>
              <w:fldChar w:fldCharType="begin"/>
            </w:r>
            <w:r w:rsidR="00B45723">
              <w:rPr>
                <w:noProof/>
                <w:webHidden/>
              </w:rPr>
              <w:instrText xml:space="preserve"> PAGEREF _Toc516213684 \h </w:instrText>
            </w:r>
            <w:r w:rsidR="00B45723">
              <w:rPr>
                <w:noProof/>
                <w:webHidden/>
              </w:rPr>
            </w:r>
            <w:r w:rsidR="00B45723">
              <w:rPr>
                <w:noProof/>
                <w:webHidden/>
              </w:rPr>
              <w:fldChar w:fldCharType="separate"/>
            </w:r>
            <w:r w:rsidR="00BD6D81">
              <w:rPr>
                <w:noProof/>
                <w:webHidden/>
              </w:rPr>
              <w:t>10</w:t>
            </w:r>
            <w:r w:rsidR="00B45723">
              <w:rPr>
                <w:noProof/>
                <w:webHidden/>
              </w:rPr>
              <w:fldChar w:fldCharType="end"/>
            </w:r>
          </w:hyperlink>
        </w:p>
        <w:p w14:paraId="6FDE7590" w14:textId="153B2023" w:rsidR="00B45723" w:rsidRDefault="00086D5D">
          <w:pPr>
            <w:pStyle w:val="TOC2"/>
            <w:tabs>
              <w:tab w:val="right" w:leader="dot" w:pos="9344"/>
            </w:tabs>
            <w:rPr>
              <w:rFonts w:asciiTheme="minorHAnsi" w:eastAsiaTheme="minorEastAsia" w:hAnsiTheme="minorHAnsi" w:cstheme="minorBidi"/>
              <w:noProof/>
              <w:spacing w:val="0"/>
              <w:sz w:val="22"/>
              <w:szCs w:val="22"/>
            </w:rPr>
          </w:pPr>
          <w:hyperlink w:anchor="_Toc516213685" w:history="1">
            <w:r w:rsidR="00B45723" w:rsidRPr="007056DD">
              <w:rPr>
                <w:rStyle w:val="Hyperlink"/>
                <w:rFonts w:eastAsiaTheme="majorEastAsia"/>
                <w:noProof/>
              </w:rPr>
              <w:t>Funding</w:t>
            </w:r>
            <w:r w:rsidR="00B45723">
              <w:rPr>
                <w:noProof/>
                <w:webHidden/>
              </w:rPr>
              <w:tab/>
            </w:r>
            <w:r w:rsidR="00B45723">
              <w:rPr>
                <w:noProof/>
                <w:webHidden/>
              </w:rPr>
              <w:fldChar w:fldCharType="begin"/>
            </w:r>
            <w:r w:rsidR="00B45723">
              <w:rPr>
                <w:noProof/>
                <w:webHidden/>
              </w:rPr>
              <w:instrText xml:space="preserve"> PAGEREF _Toc516213685 \h </w:instrText>
            </w:r>
            <w:r w:rsidR="00B45723">
              <w:rPr>
                <w:noProof/>
                <w:webHidden/>
              </w:rPr>
            </w:r>
            <w:r w:rsidR="00B45723">
              <w:rPr>
                <w:noProof/>
                <w:webHidden/>
              </w:rPr>
              <w:fldChar w:fldCharType="separate"/>
            </w:r>
            <w:r w:rsidR="00BD6D81">
              <w:rPr>
                <w:noProof/>
                <w:webHidden/>
              </w:rPr>
              <w:t>11</w:t>
            </w:r>
            <w:r w:rsidR="00B45723">
              <w:rPr>
                <w:noProof/>
                <w:webHidden/>
              </w:rPr>
              <w:fldChar w:fldCharType="end"/>
            </w:r>
          </w:hyperlink>
        </w:p>
        <w:p w14:paraId="445112F8" w14:textId="4D3ACBD8" w:rsidR="00B45723" w:rsidRDefault="00086D5D">
          <w:pPr>
            <w:pStyle w:val="TOC3"/>
            <w:rPr>
              <w:rFonts w:asciiTheme="minorHAnsi" w:eastAsiaTheme="minorEastAsia" w:hAnsiTheme="minorHAnsi" w:cstheme="minorBidi"/>
              <w:noProof/>
              <w:spacing w:val="0"/>
              <w:sz w:val="22"/>
              <w:szCs w:val="22"/>
            </w:rPr>
          </w:pPr>
          <w:hyperlink w:anchor="_Toc516213686" w:history="1">
            <w:r w:rsidR="00B45723" w:rsidRPr="007056DD">
              <w:rPr>
                <w:rStyle w:val="Hyperlink"/>
                <w:rFonts w:eastAsiaTheme="majorEastAsia"/>
                <w:noProof/>
              </w:rPr>
              <w:t>Universal</w:t>
            </w:r>
            <w:r w:rsidR="00B45723">
              <w:rPr>
                <w:noProof/>
                <w:webHidden/>
              </w:rPr>
              <w:tab/>
            </w:r>
            <w:r w:rsidR="00B45723">
              <w:rPr>
                <w:noProof/>
                <w:webHidden/>
              </w:rPr>
              <w:fldChar w:fldCharType="begin"/>
            </w:r>
            <w:r w:rsidR="00B45723">
              <w:rPr>
                <w:noProof/>
                <w:webHidden/>
              </w:rPr>
              <w:instrText xml:space="preserve"> PAGEREF _Toc516213686 \h </w:instrText>
            </w:r>
            <w:r w:rsidR="00B45723">
              <w:rPr>
                <w:noProof/>
                <w:webHidden/>
              </w:rPr>
            </w:r>
            <w:r w:rsidR="00B45723">
              <w:rPr>
                <w:noProof/>
                <w:webHidden/>
              </w:rPr>
              <w:fldChar w:fldCharType="separate"/>
            </w:r>
            <w:r w:rsidR="00BD6D81">
              <w:rPr>
                <w:noProof/>
                <w:webHidden/>
              </w:rPr>
              <w:t>11</w:t>
            </w:r>
            <w:r w:rsidR="00B45723">
              <w:rPr>
                <w:noProof/>
                <w:webHidden/>
              </w:rPr>
              <w:fldChar w:fldCharType="end"/>
            </w:r>
          </w:hyperlink>
        </w:p>
        <w:p w14:paraId="75517F18" w14:textId="2EDBDA86" w:rsidR="00B45723" w:rsidRDefault="00086D5D">
          <w:pPr>
            <w:pStyle w:val="TOC3"/>
            <w:rPr>
              <w:rFonts w:asciiTheme="minorHAnsi" w:eastAsiaTheme="minorEastAsia" w:hAnsiTheme="minorHAnsi" w:cstheme="minorBidi"/>
              <w:noProof/>
              <w:spacing w:val="0"/>
              <w:sz w:val="22"/>
              <w:szCs w:val="22"/>
            </w:rPr>
          </w:pPr>
          <w:hyperlink w:anchor="_Toc516213687" w:history="1">
            <w:r w:rsidR="00B45723" w:rsidRPr="007056DD">
              <w:rPr>
                <w:rStyle w:val="Hyperlink"/>
                <w:rFonts w:eastAsiaTheme="majorEastAsia"/>
                <w:noProof/>
              </w:rPr>
              <w:t>Targeted</w:t>
            </w:r>
            <w:r w:rsidR="00B45723">
              <w:rPr>
                <w:noProof/>
                <w:webHidden/>
              </w:rPr>
              <w:tab/>
            </w:r>
            <w:r w:rsidR="00B45723">
              <w:rPr>
                <w:noProof/>
                <w:webHidden/>
              </w:rPr>
              <w:fldChar w:fldCharType="begin"/>
            </w:r>
            <w:r w:rsidR="00B45723">
              <w:rPr>
                <w:noProof/>
                <w:webHidden/>
              </w:rPr>
              <w:instrText xml:space="preserve"> PAGEREF _Toc516213687 \h </w:instrText>
            </w:r>
            <w:r w:rsidR="00B45723">
              <w:rPr>
                <w:noProof/>
                <w:webHidden/>
              </w:rPr>
            </w:r>
            <w:r w:rsidR="00B45723">
              <w:rPr>
                <w:noProof/>
                <w:webHidden/>
              </w:rPr>
              <w:fldChar w:fldCharType="separate"/>
            </w:r>
            <w:r w:rsidR="00BD6D81">
              <w:rPr>
                <w:noProof/>
                <w:webHidden/>
              </w:rPr>
              <w:t>11</w:t>
            </w:r>
            <w:r w:rsidR="00B45723">
              <w:rPr>
                <w:noProof/>
                <w:webHidden/>
              </w:rPr>
              <w:fldChar w:fldCharType="end"/>
            </w:r>
          </w:hyperlink>
        </w:p>
        <w:p w14:paraId="5285B51A" w14:textId="157AB3DA" w:rsidR="00B45723" w:rsidRDefault="00086D5D">
          <w:pPr>
            <w:pStyle w:val="TOC3"/>
            <w:rPr>
              <w:rFonts w:asciiTheme="minorHAnsi" w:eastAsiaTheme="minorEastAsia" w:hAnsiTheme="minorHAnsi" w:cstheme="minorBidi"/>
              <w:noProof/>
              <w:spacing w:val="0"/>
              <w:sz w:val="22"/>
              <w:szCs w:val="22"/>
            </w:rPr>
          </w:pPr>
          <w:hyperlink w:anchor="_Toc516213688" w:history="1">
            <w:r w:rsidR="00B45723" w:rsidRPr="007056DD">
              <w:rPr>
                <w:rStyle w:val="Hyperlink"/>
                <w:rFonts w:eastAsiaTheme="majorEastAsia"/>
                <w:noProof/>
              </w:rPr>
              <w:t>Place-based</w:t>
            </w:r>
            <w:r w:rsidR="00B45723">
              <w:rPr>
                <w:noProof/>
                <w:webHidden/>
              </w:rPr>
              <w:tab/>
            </w:r>
            <w:r w:rsidR="00B45723">
              <w:rPr>
                <w:noProof/>
                <w:webHidden/>
              </w:rPr>
              <w:fldChar w:fldCharType="begin"/>
            </w:r>
            <w:r w:rsidR="00B45723">
              <w:rPr>
                <w:noProof/>
                <w:webHidden/>
              </w:rPr>
              <w:instrText xml:space="preserve"> PAGEREF _Toc516213688 \h </w:instrText>
            </w:r>
            <w:r w:rsidR="00B45723">
              <w:rPr>
                <w:noProof/>
                <w:webHidden/>
              </w:rPr>
            </w:r>
            <w:r w:rsidR="00B45723">
              <w:rPr>
                <w:noProof/>
                <w:webHidden/>
              </w:rPr>
              <w:fldChar w:fldCharType="separate"/>
            </w:r>
            <w:r w:rsidR="00BD6D81">
              <w:rPr>
                <w:noProof/>
                <w:webHidden/>
              </w:rPr>
              <w:t>12</w:t>
            </w:r>
            <w:r w:rsidR="00B45723">
              <w:rPr>
                <w:noProof/>
                <w:webHidden/>
              </w:rPr>
              <w:fldChar w:fldCharType="end"/>
            </w:r>
          </w:hyperlink>
        </w:p>
        <w:p w14:paraId="6E818A2C" w14:textId="377224E4" w:rsidR="00B45723" w:rsidRDefault="00086D5D">
          <w:pPr>
            <w:pStyle w:val="TOC2"/>
            <w:tabs>
              <w:tab w:val="right" w:leader="dot" w:pos="9344"/>
            </w:tabs>
            <w:rPr>
              <w:rFonts w:asciiTheme="minorHAnsi" w:eastAsiaTheme="minorEastAsia" w:hAnsiTheme="minorHAnsi" w:cstheme="minorBidi"/>
              <w:noProof/>
              <w:spacing w:val="0"/>
              <w:sz w:val="22"/>
              <w:szCs w:val="22"/>
            </w:rPr>
          </w:pPr>
          <w:hyperlink w:anchor="_Toc516213689" w:history="1">
            <w:r w:rsidR="00B45723" w:rsidRPr="007056DD">
              <w:rPr>
                <w:rStyle w:val="Hyperlink"/>
                <w:rFonts w:eastAsiaTheme="majorEastAsia"/>
                <w:noProof/>
              </w:rPr>
              <w:t>Indigenous Grants Policy</w:t>
            </w:r>
            <w:r w:rsidR="00B45723">
              <w:rPr>
                <w:noProof/>
                <w:webHidden/>
              </w:rPr>
              <w:tab/>
            </w:r>
            <w:r w:rsidR="00B45723">
              <w:rPr>
                <w:noProof/>
                <w:webHidden/>
              </w:rPr>
              <w:fldChar w:fldCharType="begin"/>
            </w:r>
            <w:r w:rsidR="00B45723">
              <w:rPr>
                <w:noProof/>
                <w:webHidden/>
              </w:rPr>
              <w:instrText xml:space="preserve"> PAGEREF _Toc516213689 \h </w:instrText>
            </w:r>
            <w:r w:rsidR="00B45723">
              <w:rPr>
                <w:noProof/>
                <w:webHidden/>
              </w:rPr>
            </w:r>
            <w:r w:rsidR="00B45723">
              <w:rPr>
                <w:noProof/>
                <w:webHidden/>
              </w:rPr>
              <w:fldChar w:fldCharType="separate"/>
            </w:r>
            <w:r w:rsidR="00BD6D81">
              <w:rPr>
                <w:noProof/>
                <w:webHidden/>
              </w:rPr>
              <w:t>13</w:t>
            </w:r>
            <w:r w:rsidR="00B45723">
              <w:rPr>
                <w:noProof/>
                <w:webHidden/>
              </w:rPr>
              <w:fldChar w:fldCharType="end"/>
            </w:r>
          </w:hyperlink>
        </w:p>
        <w:p w14:paraId="7A9EB11E" w14:textId="1BD1EEA7" w:rsidR="00B45723" w:rsidRDefault="00086D5D">
          <w:pPr>
            <w:pStyle w:val="TOC1"/>
            <w:tabs>
              <w:tab w:val="right" w:leader="dot" w:pos="9344"/>
            </w:tabs>
            <w:rPr>
              <w:rFonts w:asciiTheme="minorHAnsi" w:eastAsiaTheme="minorEastAsia" w:hAnsiTheme="minorHAnsi" w:cstheme="minorBidi"/>
              <w:noProof/>
              <w:spacing w:val="0"/>
              <w:sz w:val="22"/>
              <w:szCs w:val="22"/>
            </w:rPr>
          </w:pPr>
          <w:hyperlink w:anchor="_Toc516213690" w:history="1">
            <w:r w:rsidR="00B45723" w:rsidRPr="007056DD">
              <w:rPr>
                <w:rStyle w:val="Hyperlink"/>
                <w:rFonts w:eastAsiaTheme="majorEastAsia"/>
                <w:noProof/>
              </w:rPr>
              <w:t>Principle 2: Targeted Service Delivery</w:t>
            </w:r>
            <w:r w:rsidR="00B45723">
              <w:rPr>
                <w:noProof/>
                <w:webHidden/>
              </w:rPr>
              <w:tab/>
            </w:r>
            <w:r w:rsidR="00B45723">
              <w:rPr>
                <w:noProof/>
                <w:webHidden/>
              </w:rPr>
              <w:fldChar w:fldCharType="begin"/>
            </w:r>
            <w:r w:rsidR="00B45723">
              <w:rPr>
                <w:noProof/>
                <w:webHidden/>
              </w:rPr>
              <w:instrText xml:space="preserve"> PAGEREF _Toc516213690 \h </w:instrText>
            </w:r>
            <w:r w:rsidR="00B45723">
              <w:rPr>
                <w:noProof/>
                <w:webHidden/>
              </w:rPr>
            </w:r>
            <w:r w:rsidR="00B45723">
              <w:rPr>
                <w:noProof/>
                <w:webHidden/>
              </w:rPr>
              <w:fldChar w:fldCharType="separate"/>
            </w:r>
            <w:r w:rsidR="00BD6D81">
              <w:rPr>
                <w:noProof/>
                <w:webHidden/>
              </w:rPr>
              <w:t>13</w:t>
            </w:r>
            <w:r w:rsidR="00B45723">
              <w:rPr>
                <w:noProof/>
                <w:webHidden/>
              </w:rPr>
              <w:fldChar w:fldCharType="end"/>
            </w:r>
          </w:hyperlink>
        </w:p>
        <w:p w14:paraId="34FDC4E9" w14:textId="7B650526" w:rsidR="00B45723" w:rsidRDefault="00086D5D">
          <w:pPr>
            <w:pStyle w:val="TOC2"/>
            <w:tabs>
              <w:tab w:val="right" w:leader="dot" w:pos="9344"/>
            </w:tabs>
            <w:rPr>
              <w:rFonts w:asciiTheme="minorHAnsi" w:eastAsiaTheme="minorEastAsia" w:hAnsiTheme="minorHAnsi" w:cstheme="minorBidi"/>
              <w:noProof/>
              <w:spacing w:val="0"/>
              <w:sz w:val="22"/>
              <w:szCs w:val="22"/>
            </w:rPr>
          </w:pPr>
          <w:hyperlink w:anchor="_Toc516213691" w:history="1">
            <w:r w:rsidR="00B45723" w:rsidRPr="007056DD">
              <w:rPr>
                <w:rStyle w:val="Hyperlink"/>
                <w:rFonts w:eastAsiaTheme="majorEastAsia"/>
                <w:noProof/>
              </w:rPr>
              <w:t>Cohorts</w:t>
            </w:r>
            <w:r w:rsidR="00B45723">
              <w:rPr>
                <w:noProof/>
                <w:webHidden/>
              </w:rPr>
              <w:tab/>
            </w:r>
            <w:r w:rsidR="00B45723">
              <w:rPr>
                <w:noProof/>
                <w:webHidden/>
              </w:rPr>
              <w:fldChar w:fldCharType="begin"/>
            </w:r>
            <w:r w:rsidR="00B45723">
              <w:rPr>
                <w:noProof/>
                <w:webHidden/>
              </w:rPr>
              <w:instrText xml:space="preserve"> PAGEREF _Toc516213691 \h </w:instrText>
            </w:r>
            <w:r w:rsidR="00B45723">
              <w:rPr>
                <w:noProof/>
                <w:webHidden/>
              </w:rPr>
            </w:r>
            <w:r w:rsidR="00B45723">
              <w:rPr>
                <w:noProof/>
                <w:webHidden/>
              </w:rPr>
              <w:fldChar w:fldCharType="separate"/>
            </w:r>
            <w:r w:rsidR="00BD6D81">
              <w:rPr>
                <w:noProof/>
                <w:webHidden/>
              </w:rPr>
              <w:t>13</w:t>
            </w:r>
            <w:r w:rsidR="00B45723">
              <w:rPr>
                <w:noProof/>
                <w:webHidden/>
              </w:rPr>
              <w:fldChar w:fldCharType="end"/>
            </w:r>
          </w:hyperlink>
        </w:p>
        <w:p w14:paraId="0677DF9C" w14:textId="6817E320" w:rsidR="00B45723" w:rsidRDefault="00086D5D">
          <w:pPr>
            <w:pStyle w:val="TOC3"/>
            <w:rPr>
              <w:rFonts w:asciiTheme="minorHAnsi" w:eastAsiaTheme="minorEastAsia" w:hAnsiTheme="minorHAnsi" w:cstheme="minorBidi"/>
              <w:noProof/>
              <w:spacing w:val="0"/>
              <w:sz w:val="22"/>
              <w:szCs w:val="22"/>
            </w:rPr>
          </w:pPr>
          <w:hyperlink w:anchor="_Toc516213692" w:history="1">
            <w:r w:rsidR="00B45723" w:rsidRPr="007056DD">
              <w:rPr>
                <w:rStyle w:val="Hyperlink"/>
                <w:rFonts w:eastAsiaTheme="majorEastAsia"/>
                <w:noProof/>
              </w:rPr>
              <w:t>Access Strategy</w:t>
            </w:r>
            <w:r w:rsidR="00B45723">
              <w:rPr>
                <w:noProof/>
                <w:webHidden/>
              </w:rPr>
              <w:tab/>
            </w:r>
            <w:r w:rsidR="00B45723">
              <w:rPr>
                <w:noProof/>
                <w:webHidden/>
              </w:rPr>
              <w:fldChar w:fldCharType="begin"/>
            </w:r>
            <w:r w:rsidR="00B45723">
              <w:rPr>
                <w:noProof/>
                <w:webHidden/>
              </w:rPr>
              <w:instrText xml:space="preserve"> PAGEREF _Toc516213692 \h </w:instrText>
            </w:r>
            <w:r w:rsidR="00B45723">
              <w:rPr>
                <w:noProof/>
                <w:webHidden/>
              </w:rPr>
            </w:r>
            <w:r w:rsidR="00B45723">
              <w:rPr>
                <w:noProof/>
                <w:webHidden/>
              </w:rPr>
              <w:fldChar w:fldCharType="separate"/>
            </w:r>
            <w:r w:rsidR="00BD6D81">
              <w:rPr>
                <w:noProof/>
                <w:webHidden/>
              </w:rPr>
              <w:t>14</w:t>
            </w:r>
            <w:r w:rsidR="00B45723">
              <w:rPr>
                <w:noProof/>
                <w:webHidden/>
              </w:rPr>
              <w:fldChar w:fldCharType="end"/>
            </w:r>
          </w:hyperlink>
        </w:p>
        <w:p w14:paraId="3FCA29A8" w14:textId="4D012900" w:rsidR="00B45723" w:rsidRDefault="00086D5D">
          <w:pPr>
            <w:pStyle w:val="TOC2"/>
            <w:tabs>
              <w:tab w:val="right" w:leader="dot" w:pos="9344"/>
            </w:tabs>
            <w:rPr>
              <w:rFonts w:asciiTheme="minorHAnsi" w:eastAsiaTheme="minorEastAsia" w:hAnsiTheme="minorHAnsi" w:cstheme="minorBidi"/>
              <w:noProof/>
              <w:spacing w:val="0"/>
              <w:sz w:val="22"/>
              <w:szCs w:val="22"/>
            </w:rPr>
          </w:pPr>
          <w:hyperlink w:anchor="_Toc516213693" w:history="1">
            <w:r w:rsidR="00B45723" w:rsidRPr="007056DD">
              <w:rPr>
                <w:rStyle w:val="Hyperlink"/>
                <w:rFonts w:eastAsiaTheme="majorEastAsia"/>
                <w:noProof/>
              </w:rPr>
              <w:t>Locations</w:t>
            </w:r>
            <w:r w:rsidR="00B45723">
              <w:rPr>
                <w:noProof/>
                <w:webHidden/>
              </w:rPr>
              <w:tab/>
            </w:r>
            <w:r w:rsidR="00B45723">
              <w:rPr>
                <w:noProof/>
                <w:webHidden/>
              </w:rPr>
              <w:fldChar w:fldCharType="begin"/>
            </w:r>
            <w:r w:rsidR="00B45723">
              <w:rPr>
                <w:noProof/>
                <w:webHidden/>
              </w:rPr>
              <w:instrText xml:space="preserve"> PAGEREF _Toc516213693 \h </w:instrText>
            </w:r>
            <w:r w:rsidR="00B45723">
              <w:rPr>
                <w:noProof/>
                <w:webHidden/>
              </w:rPr>
            </w:r>
            <w:r w:rsidR="00B45723">
              <w:rPr>
                <w:noProof/>
                <w:webHidden/>
              </w:rPr>
              <w:fldChar w:fldCharType="separate"/>
            </w:r>
            <w:r w:rsidR="00BD6D81">
              <w:rPr>
                <w:noProof/>
                <w:webHidden/>
              </w:rPr>
              <w:t>15</w:t>
            </w:r>
            <w:r w:rsidR="00B45723">
              <w:rPr>
                <w:noProof/>
                <w:webHidden/>
              </w:rPr>
              <w:fldChar w:fldCharType="end"/>
            </w:r>
          </w:hyperlink>
        </w:p>
        <w:p w14:paraId="49ACDE88" w14:textId="4050035D" w:rsidR="00B45723" w:rsidRDefault="00086D5D">
          <w:pPr>
            <w:pStyle w:val="TOC1"/>
            <w:tabs>
              <w:tab w:val="right" w:leader="dot" w:pos="9344"/>
            </w:tabs>
            <w:rPr>
              <w:rFonts w:asciiTheme="minorHAnsi" w:eastAsiaTheme="minorEastAsia" w:hAnsiTheme="minorHAnsi" w:cstheme="minorBidi"/>
              <w:noProof/>
              <w:spacing w:val="0"/>
              <w:sz w:val="22"/>
              <w:szCs w:val="22"/>
            </w:rPr>
          </w:pPr>
          <w:hyperlink w:anchor="_Toc516213694" w:history="1">
            <w:r w:rsidR="00B45723" w:rsidRPr="007056DD">
              <w:rPr>
                <w:rStyle w:val="Hyperlink"/>
                <w:rFonts w:eastAsiaTheme="majorEastAsia"/>
                <w:noProof/>
              </w:rPr>
              <w:t>Principle 3: Data and Evidence Driven</w:t>
            </w:r>
            <w:r w:rsidR="00B45723">
              <w:rPr>
                <w:noProof/>
                <w:webHidden/>
              </w:rPr>
              <w:tab/>
            </w:r>
            <w:r w:rsidR="00B45723">
              <w:rPr>
                <w:noProof/>
                <w:webHidden/>
              </w:rPr>
              <w:fldChar w:fldCharType="begin"/>
            </w:r>
            <w:r w:rsidR="00B45723">
              <w:rPr>
                <w:noProof/>
                <w:webHidden/>
              </w:rPr>
              <w:instrText xml:space="preserve"> PAGEREF _Toc516213694 \h </w:instrText>
            </w:r>
            <w:r w:rsidR="00B45723">
              <w:rPr>
                <w:noProof/>
                <w:webHidden/>
              </w:rPr>
            </w:r>
            <w:r w:rsidR="00B45723">
              <w:rPr>
                <w:noProof/>
                <w:webHidden/>
              </w:rPr>
              <w:fldChar w:fldCharType="separate"/>
            </w:r>
            <w:r w:rsidR="00BD6D81">
              <w:rPr>
                <w:noProof/>
                <w:webHidden/>
              </w:rPr>
              <w:t>15</w:t>
            </w:r>
            <w:r w:rsidR="00B45723">
              <w:rPr>
                <w:noProof/>
                <w:webHidden/>
              </w:rPr>
              <w:fldChar w:fldCharType="end"/>
            </w:r>
          </w:hyperlink>
        </w:p>
        <w:p w14:paraId="07E1F2B5" w14:textId="39E20144" w:rsidR="00B45723" w:rsidRDefault="00086D5D">
          <w:pPr>
            <w:pStyle w:val="TOC3"/>
            <w:rPr>
              <w:rFonts w:asciiTheme="minorHAnsi" w:eastAsiaTheme="minorEastAsia" w:hAnsiTheme="minorHAnsi" w:cstheme="minorBidi"/>
              <w:noProof/>
              <w:spacing w:val="0"/>
              <w:sz w:val="22"/>
              <w:szCs w:val="22"/>
            </w:rPr>
          </w:pPr>
          <w:hyperlink w:anchor="_Toc516213695" w:history="1">
            <w:r w:rsidR="00B45723" w:rsidRPr="007056DD">
              <w:rPr>
                <w:rStyle w:val="Hyperlink"/>
                <w:rFonts w:eastAsiaTheme="majorEastAsia"/>
                <w:noProof/>
              </w:rPr>
              <w:t>FaC Expert Panel</w:t>
            </w:r>
            <w:r w:rsidR="00B45723">
              <w:rPr>
                <w:noProof/>
                <w:webHidden/>
              </w:rPr>
              <w:tab/>
            </w:r>
            <w:r w:rsidR="00B45723">
              <w:rPr>
                <w:noProof/>
                <w:webHidden/>
              </w:rPr>
              <w:fldChar w:fldCharType="begin"/>
            </w:r>
            <w:r w:rsidR="00B45723">
              <w:rPr>
                <w:noProof/>
                <w:webHidden/>
              </w:rPr>
              <w:instrText xml:space="preserve"> PAGEREF _Toc516213695 \h </w:instrText>
            </w:r>
            <w:r w:rsidR="00B45723">
              <w:rPr>
                <w:noProof/>
                <w:webHidden/>
              </w:rPr>
            </w:r>
            <w:r w:rsidR="00B45723">
              <w:rPr>
                <w:noProof/>
                <w:webHidden/>
              </w:rPr>
              <w:fldChar w:fldCharType="separate"/>
            </w:r>
            <w:r w:rsidR="00BD6D81">
              <w:rPr>
                <w:noProof/>
                <w:webHidden/>
              </w:rPr>
              <w:t>16</w:t>
            </w:r>
            <w:r w:rsidR="00B45723">
              <w:rPr>
                <w:noProof/>
                <w:webHidden/>
              </w:rPr>
              <w:fldChar w:fldCharType="end"/>
            </w:r>
          </w:hyperlink>
        </w:p>
        <w:p w14:paraId="0228C16E" w14:textId="69239D10" w:rsidR="00B45723" w:rsidRDefault="00086D5D">
          <w:pPr>
            <w:pStyle w:val="TOC3"/>
            <w:rPr>
              <w:rFonts w:asciiTheme="minorHAnsi" w:eastAsiaTheme="minorEastAsia" w:hAnsiTheme="minorHAnsi" w:cstheme="minorBidi"/>
              <w:noProof/>
              <w:spacing w:val="0"/>
              <w:sz w:val="22"/>
              <w:szCs w:val="22"/>
            </w:rPr>
          </w:pPr>
          <w:hyperlink w:anchor="_Toc516213696" w:history="1">
            <w:r w:rsidR="00B45723" w:rsidRPr="007056DD">
              <w:rPr>
                <w:rStyle w:val="Hyperlink"/>
                <w:rFonts w:eastAsiaTheme="majorEastAsia"/>
                <w:noProof/>
              </w:rPr>
              <w:t>CFC FP Evidence-Based Program Requirement</w:t>
            </w:r>
            <w:r w:rsidR="00B45723">
              <w:rPr>
                <w:noProof/>
                <w:webHidden/>
              </w:rPr>
              <w:tab/>
            </w:r>
            <w:r w:rsidR="00B45723">
              <w:rPr>
                <w:noProof/>
                <w:webHidden/>
              </w:rPr>
              <w:fldChar w:fldCharType="begin"/>
            </w:r>
            <w:r w:rsidR="00B45723">
              <w:rPr>
                <w:noProof/>
                <w:webHidden/>
              </w:rPr>
              <w:instrText xml:space="preserve"> PAGEREF _Toc516213696 \h </w:instrText>
            </w:r>
            <w:r w:rsidR="00B45723">
              <w:rPr>
                <w:noProof/>
                <w:webHidden/>
              </w:rPr>
            </w:r>
            <w:r w:rsidR="00B45723">
              <w:rPr>
                <w:noProof/>
                <w:webHidden/>
              </w:rPr>
              <w:fldChar w:fldCharType="separate"/>
            </w:r>
            <w:r w:rsidR="00BD6D81">
              <w:rPr>
                <w:noProof/>
                <w:webHidden/>
              </w:rPr>
              <w:t>16</w:t>
            </w:r>
            <w:r w:rsidR="00B45723">
              <w:rPr>
                <w:noProof/>
                <w:webHidden/>
              </w:rPr>
              <w:fldChar w:fldCharType="end"/>
            </w:r>
          </w:hyperlink>
        </w:p>
        <w:p w14:paraId="70914ADC" w14:textId="32EB06A9" w:rsidR="00B45723" w:rsidRDefault="00086D5D">
          <w:pPr>
            <w:pStyle w:val="TOC3"/>
            <w:rPr>
              <w:rFonts w:asciiTheme="minorHAnsi" w:eastAsiaTheme="minorEastAsia" w:hAnsiTheme="minorHAnsi" w:cstheme="minorBidi"/>
              <w:noProof/>
              <w:spacing w:val="0"/>
              <w:sz w:val="22"/>
              <w:szCs w:val="22"/>
            </w:rPr>
          </w:pPr>
          <w:hyperlink w:anchor="_Toc516213697" w:history="1">
            <w:r w:rsidR="00B45723" w:rsidRPr="007056DD">
              <w:rPr>
                <w:rStyle w:val="Hyperlink"/>
                <w:rFonts w:eastAsiaTheme="majorEastAsia"/>
                <w:noProof/>
              </w:rPr>
              <w:t>Partnership Approach</w:t>
            </w:r>
            <w:r w:rsidR="00B45723">
              <w:rPr>
                <w:noProof/>
                <w:webHidden/>
              </w:rPr>
              <w:tab/>
            </w:r>
            <w:r w:rsidR="00B45723">
              <w:rPr>
                <w:noProof/>
                <w:webHidden/>
              </w:rPr>
              <w:fldChar w:fldCharType="begin"/>
            </w:r>
            <w:r w:rsidR="00B45723">
              <w:rPr>
                <w:noProof/>
                <w:webHidden/>
              </w:rPr>
              <w:instrText xml:space="preserve"> PAGEREF _Toc516213697 \h </w:instrText>
            </w:r>
            <w:r w:rsidR="00B45723">
              <w:rPr>
                <w:noProof/>
                <w:webHidden/>
              </w:rPr>
            </w:r>
            <w:r w:rsidR="00B45723">
              <w:rPr>
                <w:noProof/>
                <w:webHidden/>
              </w:rPr>
              <w:fldChar w:fldCharType="separate"/>
            </w:r>
            <w:r w:rsidR="00BD6D81">
              <w:rPr>
                <w:noProof/>
                <w:webHidden/>
              </w:rPr>
              <w:t>16</w:t>
            </w:r>
            <w:r w:rsidR="00B45723">
              <w:rPr>
                <w:noProof/>
                <w:webHidden/>
              </w:rPr>
              <w:fldChar w:fldCharType="end"/>
            </w:r>
          </w:hyperlink>
        </w:p>
        <w:p w14:paraId="10F1D915" w14:textId="1B0AD94C" w:rsidR="00B45723" w:rsidRDefault="00086D5D">
          <w:pPr>
            <w:pStyle w:val="TOC1"/>
            <w:tabs>
              <w:tab w:val="right" w:leader="dot" w:pos="9344"/>
            </w:tabs>
            <w:rPr>
              <w:rFonts w:asciiTheme="minorHAnsi" w:eastAsiaTheme="minorEastAsia" w:hAnsiTheme="minorHAnsi" w:cstheme="minorBidi"/>
              <w:noProof/>
              <w:spacing w:val="0"/>
              <w:sz w:val="22"/>
              <w:szCs w:val="22"/>
            </w:rPr>
          </w:pPr>
          <w:hyperlink w:anchor="_Toc516213698" w:history="1">
            <w:r w:rsidR="00B45723" w:rsidRPr="007056DD">
              <w:rPr>
                <w:rStyle w:val="Hyperlink"/>
                <w:rFonts w:eastAsiaTheme="majorEastAsia"/>
                <w:noProof/>
              </w:rPr>
              <w:t>Principle 4: Early Intervention and Prevention</w:t>
            </w:r>
            <w:r w:rsidR="00B45723">
              <w:rPr>
                <w:noProof/>
                <w:webHidden/>
              </w:rPr>
              <w:tab/>
            </w:r>
            <w:r w:rsidR="00B45723">
              <w:rPr>
                <w:noProof/>
                <w:webHidden/>
              </w:rPr>
              <w:fldChar w:fldCharType="begin"/>
            </w:r>
            <w:r w:rsidR="00B45723">
              <w:rPr>
                <w:noProof/>
                <w:webHidden/>
              </w:rPr>
              <w:instrText xml:space="preserve"> PAGEREF _Toc516213698 \h </w:instrText>
            </w:r>
            <w:r w:rsidR="00B45723">
              <w:rPr>
                <w:noProof/>
                <w:webHidden/>
              </w:rPr>
            </w:r>
            <w:r w:rsidR="00B45723">
              <w:rPr>
                <w:noProof/>
                <w:webHidden/>
              </w:rPr>
              <w:fldChar w:fldCharType="separate"/>
            </w:r>
            <w:r w:rsidR="00BD6D81">
              <w:rPr>
                <w:noProof/>
                <w:webHidden/>
              </w:rPr>
              <w:t>17</w:t>
            </w:r>
            <w:r w:rsidR="00B45723">
              <w:rPr>
                <w:noProof/>
                <w:webHidden/>
              </w:rPr>
              <w:fldChar w:fldCharType="end"/>
            </w:r>
          </w:hyperlink>
        </w:p>
        <w:p w14:paraId="2921A81D" w14:textId="2EF32BA0" w:rsidR="00B45723" w:rsidRDefault="00086D5D">
          <w:pPr>
            <w:pStyle w:val="TOC1"/>
            <w:tabs>
              <w:tab w:val="right" w:leader="dot" w:pos="9344"/>
            </w:tabs>
            <w:rPr>
              <w:rFonts w:asciiTheme="minorHAnsi" w:eastAsiaTheme="minorEastAsia" w:hAnsiTheme="minorHAnsi" w:cstheme="minorBidi"/>
              <w:noProof/>
              <w:spacing w:val="0"/>
              <w:sz w:val="22"/>
              <w:szCs w:val="22"/>
            </w:rPr>
          </w:pPr>
          <w:hyperlink w:anchor="_Toc516213699" w:history="1">
            <w:r w:rsidR="00B45723" w:rsidRPr="007056DD">
              <w:rPr>
                <w:rStyle w:val="Hyperlink"/>
                <w:rFonts w:eastAsiaTheme="majorEastAsia"/>
                <w:noProof/>
              </w:rPr>
              <w:t>Principle 5: Collaborative</w:t>
            </w:r>
            <w:r w:rsidR="00B45723">
              <w:rPr>
                <w:noProof/>
                <w:webHidden/>
              </w:rPr>
              <w:tab/>
            </w:r>
            <w:r w:rsidR="00B45723">
              <w:rPr>
                <w:noProof/>
                <w:webHidden/>
              </w:rPr>
              <w:fldChar w:fldCharType="begin"/>
            </w:r>
            <w:r w:rsidR="00B45723">
              <w:rPr>
                <w:noProof/>
                <w:webHidden/>
              </w:rPr>
              <w:instrText xml:space="preserve"> PAGEREF _Toc516213699 \h </w:instrText>
            </w:r>
            <w:r w:rsidR="00B45723">
              <w:rPr>
                <w:noProof/>
                <w:webHidden/>
              </w:rPr>
            </w:r>
            <w:r w:rsidR="00B45723">
              <w:rPr>
                <w:noProof/>
                <w:webHidden/>
              </w:rPr>
              <w:fldChar w:fldCharType="separate"/>
            </w:r>
            <w:r w:rsidR="00BD6D81">
              <w:rPr>
                <w:noProof/>
                <w:webHidden/>
              </w:rPr>
              <w:t>18</w:t>
            </w:r>
            <w:r w:rsidR="00B45723">
              <w:rPr>
                <w:noProof/>
                <w:webHidden/>
              </w:rPr>
              <w:fldChar w:fldCharType="end"/>
            </w:r>
          </w:hyperlink>
        </w:p>
        <w:p w14:paraId="0B3B1DD4" w14:textId="661A9036" w:rsidR="00B45723" w:rsidRDefault="00086D5D">
          <w:pPr>
            <w:pStyle w:val="TOC1"/>
            <w:tabs>
              <w:tab w:val="right" w:leader="dot" w:pos="9344"/>
            </w:tabs>
            <w:rPr>
              <w:rFonts w:asciiTheme="minorHAnsi" w:eastAsiaTheme="minorEastAsia" w:hAnsiTheme="minorHAnsi" w:cstheme="minorBidi"/>
              <w:noProof/>
              <w:spacing w:val="0"/>
              <w:sz w:val="22"/>
              <w:szCs w:val="22"/>
            </w:rPr>
          </w:pPr>
          <w:hyperlink w:anchor="_Toc516213700" w:history="1">
            <w:r w:rsidR="00B45723" w:rsidRPr="007056DD">
              <w:rPr>
                <w:rStyle w:val="Hyperlink"/>
                <w:rFonts w:eastAsiaTheme="majorEastAsia"/>
                <w:noProof/>
              </w:rPr>
              <w:t>Attachment A – Glossary of Acronyms</w:t>
            </w:r>
            <w:r w:rsidR="00B45723">
              <w:rPr>
                <w:noProof/>
                <w:webHidden/>
              </w:rPr>
              <w:tab/>
            </w:r>
            <w:r w:rsidR="00B45723">
              <w:rPr>
                <w:noProof/>
                <w:webHidden/>
              </w:rPr>
              <w:fldChar w:fldCharType="begin"/>
            </w:r>
            <w:r w:rsidR="00B45723">
              <w:rPr>
                <w:noProof/>
                <w:webHidden/>
              </w:rPr>
              <w:instrText xml:space="preserve"> PAGEREF _Toc516213700 \h </w:instrText>
            </w:r>
            <w:r w:rsidR="00B45723">
              <w:rPr>
                <w:noProof/>
                <w:webHidden/>
              </w:rPr>
            </w:r>
            <w:r w:rsidR="00B45723">
              <w:rPr>
                <w:noProof/>
                <w:webHidden/>
              </w:rPr>
              <w:fldChar w:fldCharType="separate"/>
            </w:r>
            <w:r w:rsidR="00BD6D81">
              <w:rPr>
                <w:noProof/>
                <w:webHidden/>
              </w:rPr>
              <w:t>20</w:t>
            </w:r>
            <w:r w:rsidR="00B45723">
              <w:rPr>
                <w:noProof/>
                <w:webHidden/>
              </w:rPr>
              <w:fldChar w:fldCharType="end"/>
            </w:r>
          </w:hyperlink>
        </w:p>
        <w:p w14:paraId="75F417D1" w14:textId="4A25B810" w:rsidR="00B45723" w:rsidRDefault="00086D5D">
          <w:pPr>
            <w:pStyle w:val="TOC1"/>
            <w:tabs>
              <w:tab w:val="right" w:leader="dot" w:pos="9344"/>
            </w:tabs>
            <w:rPr>
              <w:rFonts w:asciiTheme="minorHAnsi" w:eastAsiaTheme="minorEastAsia" w:hAnsiTheme="minorHAnsi" w:cstheme="minorBidi"/>
              <w:noProof/>
              <w:spacing w:val="0"/>
              <w:sz w:val="22"/>
              <w:szCs w:val="22"/>
            </w:rPr>
          </w:pPr>
          <w:hyperlink w:anchor="_Toc516213701" w:history="1">
            <w:r w:rsidR="00B45723" w:rsidRPr="007056DD">
              <w:rPr>
                <w:rStyle w:val="Hyperlink"/>
                <w:rFonts w:eastAsiaTheme="majorEastAsia"/>
                <w:noProof/>
              </w:rPr>
              <w:t>Attachment B</w:t>
            </w:r>
            <w:r w:rsidR="00B45723">
              <w:rPr>
                <w:noProof/>
                <w:webHidden/>
              </w:rPr>
              <w:tab/>
            </w:r>
            <w:r w:rsidR="00B45723">
              <w:rPr>
                <w:noProof/>
                <w:webHidden/>
              </w:rPr>
              <w:fldChar w:fldCharType="begin"/>
            </w:r>
            <w:r w:rsidR="00B45723">
              <w:rPr>
                <w:noProof/>
                <w:webHidden/>
              </w:rPr>
              <w:instrText xml:space="preserve"> PAGEREF _Toc516213701 \h </w:instrText>
            </w:r>
            <w:r w:rsidR="00B45723">
              <w:rPr>
                <w:noProof/>
                <w:webHidden/>
              </w:rPr>
            </w:r>
            <w:r w:rsidR="00B45723">
              <w:rPr>
                <w:noProof/>
                <w:webHidden/>
              </w:rPr>
              <w:fldChar w:fldCharType="separate"/>
            </w:r>
            <w:r w:rsidR="00BD6D81">
              <w:rPr>
                <w:noProof/>
                <w:webHidden/>
              </w:rPr>
              <w:t>21</w:t>
            </w:r>
            <w:r w:rsidR="00B45723">
              <w:rPr>
                <w:noProof/>
                <w:webHidden/>
              </w:rPr>
              <w:fldChar w:fldCharType="end"/>
            </w:r>
          </w:hyperlink>
        </w:p>
        <w:p w14:paraId="3042A9E8" w14:textId="0EC0CDD7" w:rsidR="00B45723" w:rsidRDefault="00086D5D">
          <w:pPr>
            <w:pStyle w:val="TOC2"/>
            <w:tabs>
              <w:tab w:val="right" w:leader="dot" w:pos="9344"/>
            </w:tabs>
            <w:rPr>
              <w:rFonts w:asciiTheme="minorHAnsi" w:eastAsiaTheme="minorEastAsia" w:hAnsiTheme="minorHAnsi" w:cstheme="minorBidi"/>
              <w:noProof/>
              <w:spacing w:val="0"/>
              <w:sz w:val="22"/>
              <w:szCs w:val="22"/>
            </w:rPr>
          </w:pPr>
          <w:hyperlink w:anchor="_Toc516213702" w:history="1">
            <w:r w:rsidR="00B45723" w:rsidRPr="007056DD">
              <w:rPr>
                <w:rStyle w:val="Hyperlink"/>
                <w:rFonts w:eastAsiaTheme="majorEastAsia"/>
                <w:noProof/>
              </w:rPr>
              <w:t>Key Policy Decisions &amp; Issues</w:t>
            </w:r>
            <w:r w:rsidR="00B45723">
              <w:rPr>
                <w:noProof/>
                <w:webHidden/>
              </w:rPr>
              <w:tab/>
            </w:r>
            <w:r w:rsidR="00B45723">
              <w:rPr>
                <w:noProof/>
                <w:webHidden/>
              </w:rPr>
              <w:fldChar w:fldCharType="begin"/>
            </w:r>
            <w:r w:rsidR="00B45723">
              <w:rPr>
                <w:noProof/>
                <w:webHidden/>
              </w:rPr>
              <w:instrText xml:space="preserve"> PAGEREF _Toc516213702 \h </w:instrText>
            </w:r>
            <w:r w:rsidR="00B45723">
              <w:rPr>
                <w:noProof/>
                <w:webHidden/>
              </w:rPr>
            </w:r>
            <w:r w:rsidR="00B45723">
              <w:rPr>
                <w:noProof/>
                <w:webHidden/>
              </w:rPr>
              <w:fldChar w:fldCharType="separate"/>
            </w:r>
            <w:r w:rsidR="00BD6D81">
              <w:rPr>
                <w:noProof/>
                <w:webHidden/>
              </w:rPr>
              <w:t>21</w:t>
            </w:r>
            <w:r w:rsidR="00B45723">
              <w:rPr>
                <w:noProof/>
                <w:webHidden/>
              </w:rPr>
              <w:fldChar w:fldCharType="end"/>
            </w:r>
          </w:hyperlink>
        </w:p>
        <w:p w14:paraId="087D023A" w14:textId="041F04AB" w:rsidR="00B45723" w:rsidRDefault="00086D5D">
          <w:pPr>
            <w:pStyle w:val="TOC2"/>
            <w:tabs>
              <w:tab w:val="right" w:leader="dot" w:pos="9344"/>
            </w:tabs>
            <w:rPr>
              <w:rFonts w:asciiTheme="minorHAnsi" w:eastAsiaTheme="minorEastAsia" w:hAnsiTheme="minorHAnsi" w:cstheme="minorBidi"/>
              <w:noProof/>
              <w:spacing w:val="0"/>
              <w:sz w:val="22"/>
              <w:szCs w:val="22"/>
            </w:rPr>
          </w:pPr>
          <w:hyperlink w:anchor="_Toc516213703" w:history="1">
            <w:r w:rsidR="00B45723" w:rsidRPr="007056DD">
              <w:rPr>
                <w:rStyle w:val="Hyperlink"/>
                <w:rFonts w:eastAsiaTheme="majorEastAsia"/>
                <w:noProof/>
              </w:rPr>
              <w:t>Key Reviews &amp; Inquiries</w:t>
            </w:r>
            <w:r w:rsidR="00B45723">
              <w:rPr>
                <w:noProof/>
                <w:webHidden/>
              </w:rPr>
              <w:tab/>
            </w:r>
            <w:r w:rsidR="00B45723">
              <w:rPr>
                <w:noProof/>
                <w:webHidden/>
              </w:rPr>
              <w:fldChar w:fldCharType="begin"/>
            </w:r>
            <w:r w:rsidR="00B45723">
              <w:rPr>
                <w:noProof/>
                <w:webHidden/>
              </w:rPr>
              <w:instrText xml:space="preserve"> PAGEREF _Toc516213703 \h </w:instrText>
            </w:r>
            <w:r w:rsidR="00B45723">
              <w:rPr>
                <w:noProof/>
                <w:webHidden/>
              </w:rPr>
            </w:r>
            <w:r w:rsidR="00B45723">
              <w:rPr>
                <w:noProof/>
                <w:webHidden/>
              </w:rPr>
              <w:fldChar w:fldCharType="separate"/>
            </w:r>
            <w:r w:rsidR="00BD6D81">
              <w:rPr>
                <w:noProof/>
                <w:webHidden/>
              </w:rPr>
              <w:t>24</w:t>
            </w:r>
            <w:r w:rsidR="00B45723">
              <w:rPr>
                <w:noProof/>
                <w:webHidden/>
              </w:rPr>
              <w:fldChar w:fldCharType="end"/>
            </w:r>
          </w:hyperlink>
        </w:p>
        <w:p w14:paraId="3ECB0F7C" w14:textId="46C1497A" w:rsidR="00B45723" w:rsidRDefault="00086D5D">
          <w:pPr>
            <w:pStyle w:val="TOC2"/>
            <w:tabs>
              <w:tab w:val="right" w:leader="dot" w:pos="9344"/>
            </w:tabs>
            <w:rPr>
              <w:rFonts w:asciiTheme="minorHAnsi" w:eastAsiaTheme="minorEastAsia" w:hAnsiTheme="minorHAnsi" w:cstheme="minorBidi"/>
              <w:noProof/>
              <w:spacing w:val="0"/>
              <w:sz w:val="22"/>
              <w:szCs w:val="22"/>
            </w:rPr>
          </w:pPr>
          <w:hyperlink w:anchor="_Toc516213704" w:history="1">
            <w:r w:rsidR="00B45723" w:rsidRPr="007056DD">
              <w:rPr>
                <w:rStyle w:val="Hyperlink"/>
                <w:rFonts w:eastAsiaTheme="majorEastAsia"/>
                <w:noProof/>
              </w:rPr>
              <w:t>Key Engagement Processes</w:t>
            </w:r>
            <w:r w:rsidR="00B45723">
              <w:rPr>
                <w:noProof/>
                <w:webHidden/>
              </w:rPr>
              <w:tab/>
            </w:r>
            <w:r w:rsidR="00B45723">
              <w:rPr>
                <w:noProof/>
                <w:webHidden/>
              </w:rPr>
              <w:fldChar w:fldCharType="begin"/>
            </w:r>
            <w:r w:rsidR="00B45723">
              <w:rPr>
                <w:noProof/>
                <w:webHidden/>
              </w:rPr>
              <w:instrText xml:space="preserve"> PAGEREF _Toc516213704 \h </w:instrText>
            </w:r>
            <w:r w:rsidR="00B45723">
              <w:rPr>
                <w:noProof/>
                <w:webHidden/>
              </w:rPr>
            </w:r>
            <w:r w:rsidR="00B45723">
              <w:rPr>
                <w:noProof/>
                <w:webHidden/>
              </w:rPr>
              <w:fldChar w:fldCharType="separate"/>
            </w:r>
            <w:r w:rsidR="00BD6D81">
              <w:rPr>
                <w:noProof/>
                <w:webHidden/>
              </w:rPr>
              <w:t>25</w:t>
            </w:r>
            <w:r w:rsidR="00B45723">
              <w:rPr>
                <w:noProof/>
                <w:webHidden/>
              </w:rPr>
              <w:fldChar w:fldCharType="end"/>
            </w:r>
          </w:hyperlink>
        </w:p>
        <w:p w14:paraId="0F1DEC87" w14:textId="4E0F8ACE" w:rsidR="00B45723" w:rsidRDefault="00086D5D">
          <w:pPr>
            <w:pStyle w:val="TOC1"/>
            <w:tabs>
              <w:tab w:val="right" w:leader="dot" w:pos="9344"/>
            </w:tabs>
            <w:rPr>
              <w:rFonts w:asciiTheme="minorHAnsi" w:eastAsiaTheme="minorEastAsia" w:hAnsiTheme="minorHAnsi" w:cstheme="minorBidi"/>
              <w:noProof/>
              <w:spacing w:val="0"/>
              <w:sz w:val="22"/>
              <w:szCs w:val="22"/>
            </w:rPr>
          </w:pPr>
          <w:hyperlink w:anchor="_Toc516213705" w:history="1">
            <w:r w:rsidR="00B45723" w:rsidRPr="007056DD">
              <w:rPr>
                <w:rStyle w:val="Hyperlink"/>
                <w:rFonts w:eastAsiaTheme="majorEastAsia"/>
                <w:noProof/>
              </w:rPr>
              <w:t>References</w:t>
            </w:r>
            <w:r w:rsidR="00B45723">
              <w:rPr>
                <w:noProof/>
                <w:webHidden/>
              </w:rPr>
              <w:tab/>
            </w:r>
            <w:r w:rsidR="00B45723">
              <w:rPr>
                <w:noProof/>
                <w:webHidden/>
              </w:rPr>
              <w:fldChar w:fldCharType="begin"/>
            </w:r>
            <w:r w:rsidR="00B45723">
              <w:rPr>
                <w:noProof/>
                <w:webHidden/>
              </w:rPr>
              <w:instrText xml:space="preserve"> PAGEREF _Toc516213705 \h </w:instrText>
            </w:r>
            <w:r w:rsidR="00B45723">
              <w:rPr>
                <w:noProof/>
                <w:webHidden/>
              </w:rPr>
            </w:r>
            <w:r w:rsidR="00B45723">
              <w:rPr>
                <w:noProof/>
                <w:webHidden/>
              </w:rPr>
              <w:fldChar w:fldCharType="separate"/>
            </w:r>
            <w:r w:rsidR="00BD6D81">
              <w:rPr>
                <w:noProof/>
                <w:webHidden/>
              </w:rPr>
              <w:t>27</w:t>
            </w:r>
            <w:r w:rsidR="00B45723">
              <w:rPr>
                <w:noProof/>
                <w:webHidden/>
              </w:rPr>
              <w:fldChar w:fldCharType="end"/>
            </w:r>
          </w:hyperlink>
        </w:p>
        <w:p w14:paraId="31F47FAA" w14:textId="1EEB8033" w:rsidR="00E90E3E" w:rsidRPr="00301C0C" w:rsidRDefault="00E90E3E" w:rsidP="00B45723">
          <w:pPr>
            <w:spacing w:after="120" w:line="240" w:lineRule="auto"/>
          </w:pPr>
          <w:r w:rsidRPr="00562ECA">
            <w:rPr>
              <w:b/>
              <w:bCs/>
              <w:noProof/>
            </w:rPr>
            <w:fldChar w:fldCharType="end"/>
          </w:r>
        </w:p>
      </w:sdtContent>
    </w:sdt>
    <w:p w14:paraId="38549562" w14:textId="77777777" w:rsidR="00A44FC6" w:rsidRDefault="00A44FC6">
      <w:pPr>
        <w:spacing w:before="0" w:after="200" w:line="276" w:lineRule="auto"/>
        <w:rPr>
          <w:rFonts w:ascii="Georgia" w:eastAsiaTheme="majorEastAsia" w:hAnsi="Georgia" w:cstheme="majorBidi"/>
          <w:bCs/>
          <w:color w:val="500778"/>
          <w:sz w:val="36"/>
          <w:szCs w:val="28"/>
        </w:rPr>
      </w:pPr>
      <w:bookmarkStart w:id="0" w:name="_Toc516213673"/>
      <w:r>
        <w:br w:type="page"/>
      </w:r>
    </w:p>
    <w:p w14:paraId="205108F8" w14:textId="2D0F203D" w:rsidR="00AA7226" w:rsidRPr="00301C0C" w:rsidRDefault="00085A1F" w:rsidP="00B45723">
      <w:pPr>
        <w:pStyle w:val="Heading1"/>
        <w:spacing w:before="120"/>
        <w:contextualSpacing w:val="0"/>
      </w:pPr>
      <w:r>
        <w:lastRenderedPageBreak/>
        <w:t>Purpose</w:t>
      </w:r>
      <w:bookmarkEnd w:id="0"/>
    </w:p>
    <w:p w14:paraId="0F4A300F" w14:textId="727606F2" w:rsidR="00114ADD" w:rsidRPr="00301C0C" w:rsidRDefault="00114ADD" w:rsidP="00B45723">
      <w:pPr>
        <w:spacing w:after="120" w:line="240" w:lineRule="auto"/>
      </w:pPr>
      <w:r w:rsidRPr="00301C0C">
        <w:t>The Department of Social Services (DSS) is seeking feedback from the sector, academia</w:t>
      </w:r>
      <w:r w:rsidR="00A44B70">
        <w:t>, state and territory governments,</w:t>
      </w:r>
      <w:r w:rsidRPr="00301C0C">
        <w:t xml:space="preserve"> and families and children on the future of</w:t>
      </w:r>
      <w:r w:rsidR="00DC18EB" w:rsidRPr="00301C0C">
        <w:t xml:space="preserve"> family and children services. </w:t>
      </w:r>
      <w:r w:rsidRPr="00301C0C">
        <w:t xml:space="preserve">This background paper is designed to </w:t>
      </w:r>
      <w:r w:rsidR="00DC18EB" w:rsidRPr="00301C0C">
        <w:t>support the</w:t>
      </w:r>
      <w:r w:rsidR="00085A1F">
        <w:t xml:space="preserve"> Stronger Outcomes for Families</w:t>
      </w:r>
      <w:r w:rsidR="00DC18EB" w:rsidRPr="00301C0C">
        <w:t xml:space="preserve"> discussion paper and inform these discussions</w:t>
      </w:r>
      <w:r w:rsidR="00085A1F">
        <w:t>. It provides</w:t>
      </w:r>
      <w:r w:rsidR="00DC18EB" w:rsidRPr="00301C0C">
        <w:t xml:space="preserve"> </w:t>
      </w:r>
      <w:r w:rsidRPr="00301C0C">
        <w:t>an overview of the evidence, data and previous engagement</w:t>
      </w:r>
      <w:r w:rsidR="00085A1F">
        <w:t xml:space="preserve"> relating to outcomes for Australian families and children, and the Families and Children</w:t>
      </w:r>
      <w:r w:rsidR="00945255">
        <w:t>’s</w:t>
      </w:r>
      <w:r w:rsidR="00085A1F">
        <w:t xml:space="preserve"> (FaC) </w:t>
      </w:r>
      <w:r w:rsidR="00945255">
        <w:t>Activity</w:t>
      </w:r>
      <w:r w:rsidRPr="00301C0C">
        <w:t>.</w:t>
      </w:r>
      <w:r w:rsidR="00A15C1D" w:rsidRPr="00301C0C">
        <w:t xml:space="preserve"> A</w:t>
      </w:r>
      <w:r w:rsidR="00085A1F">
        <w:t> </w:t>
      </w:r>
      <w:r w:rsidR="00A15C1D" w:rsidRPr="00301C0C">
        <w:t xml:space="preserve">glossary of acronyms is at </w:t>
      </w:r>
      <w:r w:rsidR="00A15C1D" w:rsidRPr="00301C0C">
        <w:rPr>
          <w:b/>
        </w:rPr>
        <w:t>Attachment A</w:t>
      </w:r>
      <w:r w:rsidR="00A15C1D" w:rsidRPr="00301C0C">
        <w:t>.</w:t>
      </w:r>
    </w:p>
    <w:p w14:paraId="2FEBD709" w14:textId="19541D35" w:rsidR="008E3C87" w:rsidRPr="00301C0C" w:rsidRDefault="008E3C87" w:rsidP="00B45723">
      <w:pPr>
        <w:pStyle w:val="Heading1"/>
        <w:spacing w:before="120"/>
        <w:contextualSpacing w:val="0"/>
      </w:pPr>
      <w:bookmarkStart w:id="1" w:name="_Toc516213674"/>
      <w:r w:rsidRPr="00301C0C">
        <w:t>Context</w:t>
      </w:r>
      <w:bookmarkEnd w:id="1"/>
    </w:p>
    <w:p w14:paraId="18ADC4CB" w14:textId="77777777" w:rsidR="00B45723" w:rsidRDefault="00301C0C" w:rsidP="00B45723">
      <w:r w:rsidRPr="00301C0C">
        <w:t xml:space="preserve"> </w:t>
      </w:r>
      <w:r>
        <w:rPr>
          <w:noProof/>
        </w:rPr>
        <w:drawing>
          <wp:inline distT="0" distB="0" distL="0" distR="0" wp14:anchorId="0DD487BF" wp14:editId="74FE9DE5">
            <wp:extent cx="5590903" cy="3848444"/>
            <wp:effectExtent l="0" t="0" r="5715" b="635"/>
            <wp:docPr id="9" name="Picture 9" descr="here are 6 million Australian Families.&#10;60% have children.&#10;Less children are developmentally vulnerable (decrease of 1.6% since 2012).&#10;Significant gains have been made in children's language skills (vulnerability has decreased from 6.8% in 2012 to 6.5% in 2015).&#10;Children's Communication skills and general knowledge has improved (decreased vulnerability from 9% in 2012 to 8.5% in 2015).&#10;" title="Australian Fami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FCB5.1A3EA6B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590903" cy="3848444"/>
                    </a:xfrm>
                    <a:prstGeom prst="rect">
                      <a:avLst/>
                    </a:prstGeom>
                    <a:noFill/>
                    <a:ln>
                      <a:noFill/>
                    </a:ln>
                  </pic:spPr>
                </pic:pic>
              </a:graphicData>
            </a:graphic>
          </wp:inline>
        </w:drawing>
      </w:r>
      <w:r w:rsidRPr="00301C0C">
        <w:t xml:space="preserve"> </w:t>
      </w:r>
    </w:p>
    <w:p w14:paraId="3C45C646" w14:textId="76B85550" w:rsidR="00114ADD" w:rsidRPr="00301C0C" w:rsidRDefault="00DC18EB" w:rsidP="00B45723">
      <w:pPr>
        <w:pStyle w:val="Heading2"/>
      </w:pPr>
      <w:bookmarkStart w:id="2" w:name="_Toc516213675"/>
      <w:r w:rsidRPr="00B45723">
        <w:rPr>
          <w:rStyle w:val="Heading2Char"/>
        </w:rPr>
        <w:t>Families and c</w:t>
      </w:r>
      <w:r w:rsidR="00114ADD" w:rsidRPr="00B45723">
        <w:rPr>
          <w:rStyle w:val="Heading2Char"/>
        </w:rPr>
        <w:t>hildren in Australia</w:t>
      </w:r>
      <w:bookmarkEnd w:id="2"/>
    </w:p>
    <w:p w14:paraId="5BD438FB" w14:textId="084891D2" w:rsidR="00232220" w:rsidRPr="00301C0C" w:rsidRDefault="00114ADD" w:rsidP="00B45723">
      <w:pPr>
        <w:spacing w:after="120" w:line="240" w:lineRule="auto"/>
      </w:pPr>
      <w:r w:rsidRPr="00301C0C">
        <w:t xml:space="preserve">Data and research shows that many Australian families are cohesive and their children are thriving. </w:t>
      </w:r>
      <w:r w:rsidR="000148C5" w:rsidRPr="00301C0C">
        <w:t xml:space="preserve">Sixty per cent of Australia’s </w:t>
      </w:r>
      <w:r w:rsidR="00085A1F">
        <w:t>six</w:t>
      </w:r>
      <w:r w:rsidR="00085A1F" w:rsidRPr="00301C0C">
        <w:t xml:space="preserve"> </w:t>
      </w:r>
      <w:r w:rsidR="000148C5" w:rsidRPr="00301C0C">
        <w:t xml:space="preserve">million families have children. </w:t>
      </w:r>
      <w:r w:rsidRPr="00301C0C">
        <w:t xml:space="preserve">The Australian Early Development Census shows that between 75 and 85 per cent of children are on track in their development when they reach school. </w:t>
      </w:r>
    </w:p>
    <w:p w14:paraId="1DF8830E" w14:textId="77777777" w:rsidR="000148C5" w:rsidRPr="00301C0C" w:rsidRDefault="000148C5" w:rsidP="00B45723">
      <w:pPr>
        <w:spacing w:after="120" w:line="240" w:lineRule="auto"/>
      </w:pPr>
      <w:r w:rsidRPr="00301C0C">
        <w:t xml:space="preserve">Australian children’s outcomes have continued to improve between 2009 and 2015: </w:t>
      </w:r>
    </w:p>
    <w:p w14:paraId="61C87A0A" w14:textId="630EE26E" w:rsidR="000148C5" w:rsidRPr="00301C0C" w:rsidRDefault="00085A1F" w:rsidP="00B45723">
      <w:pPr>
        <w:pStyle w:val="ListParagraph"/>
        <w:numPr>
          <w:ilvl w:val="0"/>
          <w:numId w:val="31"/>
        </w:numPr>
        <w:spacing w:after="120" w:line="240" w:lineRule="auto"/>
        <w:ind w:left="714" w:hanging="357"/>
        <w:contextualSpacing w:val="0"/>
      </w:pPr>
      <w:r>
        <w:t>l</w:t>
      </w:r>
      <w:r w:rsidR="000148C5" w:rsidRPr="00301C0C">
        <w:t>ess children are developmentally vulnerable (1.6 per cent reduction),</w:t>
      </w:r>
    </w:p>
    <w:p w14:paraId="62FEB62F" w14:textId="77777777" w:rsidR="000148C5" w:rsidRPr="00301C0C" w:rsidRDefault="000148C5" w:rsidP="00B45723">
      <w:pPr>
        <w:pStyle w:val="ListParagraph"/>
        <w:numPr>
          <w:ilvl w:val="0"/>
          <w:numId w:val="31"/>
        </w:numPr>
        <w:spacing w:after="120" w:line="240" w:lineRule="auto"/>
        <w:ind w:left="714" w:hanging="357"/>
        <w:contextualSpacing w:val="0"/>
      </w:pPr>
      <w:r w:rsidRPr="00301C0C">
        <w:t>Indigenous children’s vulnerability has decreased (from 47 per cent to 42 per cent),</w:t>
      </w:r>
    </w:p>
    <w:p w14:paraId="60A02022" w14:textId="323CCEA9" w:rsidR="000148C5" w:rsidRPr="00301C0C" w:rsidRDefault="00085A1F" w:rsidP="00B45723">
      <w:pPr>
        <w:pStyle w:val="ListParagraph"/>
        <w:numPr>
          <w:ilvl w:val="0"/>
          <w:numId w:val="31"/>
        </w:numPr>
        <w:spacing w:after="120" w:line="240" w:lineRule="auto"/>
        <w:ind w:left="714" w:hanging="357"/>
        <w:contextualSpacing w:val="0"/>
      </w:pPr>
      <w:r>
        <w:t>c</w:t>
      </w:r>
      <w:r w:rsidR="000148C5" w:rsidRPr="00301C0C">
        <w:t xml:space="preserve">hildren’s vulnerability in language and cognitive skills </w:t>
      </w:r>
      <w:r>
        <w:t>has</w:t>
      </w:r>
      <w:r w:rsidRPr="00301C0C">
        <w:t xml:space="preserve"> </w:t>
      </w:r>
      <w:r w:rsidR="000148C5" w:rsidRPr="00301C0C">
        <w:t>improved (8.9 per cent to 6.5 per cent), and</w:t>
      </w:r>
    </w:p>
    <w:p w14:paraId="79FDAA3D" w14:textId="2A36A951" w:rsidR="000148C5" w:rsidRPr="00301C0C" w:rsidRDefault="00085A1F" w:rsidP="00B45723">
      <w:pPr>
        <w:pStyle w:val="ListParagraph"/>
        <w:numPr>
          <w:ilvl w:val="0"/>
          <w:numId w:val="31"/>
        </w:numPr>
        <w:spacing w:after="120" w:line="240" w:lineRule="auto"/>
        <w:ind w:left="714" w:hanging="357"/>
        <w:contextualSpacing w:val="0"/>
      </w:pPr>
      <w:r>
        <w:t>c</w:t>
      </w:r>
      <w:r w:rsidR="000148C5" w:rsidRPr="00301C0C">
        <w:t>hildren’s communication skills and general knowledge ha</w:t>
      </w:r>
      <w:r>
        <w:t>ve</w:t>
      </w:r>
      <w:r w:rsidR="000148C5" w:rsidRPr="00301C0C">
        <w:t xml:space="preserve"> also improved (reduction in vulnerability from 8.9 per cent of children to 6.5 per cent of children).</w:t>
      </w:r>
    </w:p>
    <w:p w14:paraId="638D83E6" w14:textId="77777777" w:rsidR="00A44FC6" w:rsidRDefault="00A44FC6">
      <w:pPr>
        <w:spacing w:before="0" w:after="200" w:line="276" w:lineRule="auto"/>
      </w:pPr>
      <w:r>
        <w:br w:type="page"/>
      </w:r>
    </w:p>
    <w:p w14:paraId="779ACEF2" w14:textId="4F7556BE" w:rsidR="00C67B98" w:rsidRPr="00301C0C" w:rsidRDefault="002E07C3" w:rsidP="00B45723">
      <w:pPr>
        <w:spacing w:after="120" w:line="240" w:lineRule="auto"/>
      </w:pPr>
      <w:r w:rsidRPr="00301C0C">
        <w:lastRenderedPageBreak/>
        <w:t>M</w:t>
      </w:r>
      <w:r w:rsidR="00114ADD" w:rsidRPr="00301C0C">
        <w:t>any Australian families face significant challenges</w:t>
      </w:r>
      <w:r w:rsidRPr="00301C0C">
        <w:t xml:space="preserve"> despite </w:t>
      </w:r>
      <w:r w:rsidR="00114ADD" w:rsidRPr="00301C0C">
        <w:t>governments invest</w:t>
      </w:r>
      <w:r w:rsidRPr="00301C0C">
        <w:t>ing</w:t>
      </w:r>
      <w:r w:rsidR="00114ADD" w:rsidRPr="00301C0C">
        <w:t xml:space="preserve"> heavily in services aimed at making a positive shift i</w:t>
      </w:r>
      <w:r w:rsidR="00C67B98" w:rsidRPr="00301C0C">
        <w:t>n outcomes:</w:t>
      </w:r>
    </w:p>
    <w:p w14:paraId="09020AFC" w14:textId="4F8AC271" w:rsidR="00C67B98" w:rsidRPr="00301C0C" w:rsidRDefault="00085A1F" w:rsidP="00B45723">
      <w:pPr>
        <w:pStyle w:val="ListParagraph"/>
        <w:numPr>
          <w:ilvl w:val="0"/>
          <w:numId w:val="4"/>
        </w:numPr>
        <w:spacing w:after="120" w:line="240" w:lineRule="auto"/>
        <w:ind w:left="714" w:hanging="357"/>
        <w:contextualSpacing w:val="0"/>
      </w:pPr>
      <w:r>
        <w:t>o</w:t>
      </w:r>
      <w:r w:rsidR="00114ADD" w:rsidRPr="00301C0C">
        <w:t>ne in five children were developmentally vulnerable in one or more areas measured by the Australian Early Development Census in 2015</w:t>
      </w:r>
      <w:r w:rsidR="00CD6339" w:rsidRPr="00301C0C">
        <w:t>,</w:t>
      </w:r>
      <w:r w:rsidR="00852794" w:rsidRPr="00301C0C">
        <w:rPr>
          <w:rStyle w:val="EndnoteReference"/>
        </w:rPr>
        <w:endnoteReference w:id="1"/>
      </w:r>
    </w:p>
    <w:p w14:paraId="2E6C1CC5" w14:textId="34164B55" w:rsidR="00C67B98" w:rsidRPr="00301C0C" w:rsidRDefault="00085A1F" w:rsidP="00B45723">
      <w:pPr>
        <w:pStyle w:val="ListParagraph"/>
        <w:numPr>
          <w:ilvl w:val="0"/>
          <w:numId w:val="4"/>
        </w:numPr>
        <w:spacing w:after="120" w:line="240" w:lineRule="auto"/>
        <w:ind w:left="714" w:hanging="357"/>
        <w:contextualSpacing w:val="0"/>
      </w:pPr>
      <w:r>
        <w:t>a</w:t>
      </w:r>
      <w:r w:rsidR="00C67B98" w:rsidRPr="00301C0C">
        <w:t xml:space="preserve">s at 30 June 2016, 46,500 </w:t>
      </w:r>
      <w:r>
        <w:t>c</w:t>
      </w:r>
      <w:r w:rsidR="00C67B98" w:rsidRPr="00301C0C">
        <w:t>hildren were in Out of Home Care, almost half were less than five years old</w:t>
      </w:r>
      <w:r w:rsidR="00CD6339" w:rsidRPr="00301C0C">
        <w:t>,</w:t>
      </w:r>
      <w:r w:rsidR="00C67B98" w:rsidRPr="00301C0C">
        <w:rPr>
          <w:rStyle w:val="EndnoteReference"/>
        </w:rPr>
        <w:endnoteReference w:id="2"/>
      </w:r>
    </w:p>
    <w:p w14:paraId="5CF7FCFE" w14:textId="013E82A3" w:rsidR="00923EC8" w:rsidRPr="00301C0C" w:rsidRDefault="00085A1F" w:rsidP="00B45723">
      <w:pPr>
        <w:pStyle w:val="ListParagraph"/>
        <w:numPr>
          <w:ilvl w:val="0"/>
          <w:numId w:val="4"/>
        </w:numPr>
        <w:spacing w:after="120" w:line="240" w:lineRule="auto"/>
        <w:ind w:left="714" w:hanging="357"/>
        <w:contextualSpacing w:val="0"/>
      </w:pPr>
      <w:r>
        <w:t>i</w:t>
      </w:r>
      <w:r w:rsidR="00923EC8" w:rsidRPr="00301C0C">
        <w:t xml:space="preserve">n 2009 there were approximately 290,000 </w:t>
      </w:r>
      <w:r>
        <w:t xml:space="preserve">children </w:t>
      </w:r>
      <w:r w:rsidR="00923EC8" w:rsidRPr="00301C0C">
        <w:t>aged 0-14 years with a disability,</w:t>
      </w:r>
      <w:r w:rsidR="00923EC8" w:rsidRPr="00301C0C">
        <w:rPr>
          <w:rStyle w:val="EndnoteReference"/>
        </w:rPr>
        <w:endnoteReference w:id="3"/>
      </w:r>
    </w:p>
    <w:p w14:paraId="49FE5AFE" w14:textId="27291B51" w:rsidR="00923EC8" w:rsidRPr="00301C0C" w:rsidRDefault="00085A1F" w:rsidP="00B45723">
      <w:pPr>
        <w:pStyle w:val="ListParagraph"/>
        <w:numPr>
          <w:ilvl w:val="0"/>
          <w:numId w:val="4"/>
        </w:numPr>
        <w:spacing w:after="120" w:line="240" w:lineRule="auto"/>
        <w:ind w:left="714" w:hanging="357"/>
        <w:contextualSpacing w:val="0"/>
      </w:pPr>
      <w:r>
        <w:t>o</w:t>
      </w:r>
      <w:r w:rsidR="00923EC8" w:rsidRPr="00301C0C">
        <w:t>ne third of children aged 0-4 years and two thirds of children aged 5-14 years with a disability had an intellectual disability,</w:t>
      </w:r>
      <w:r w:rsidR="00923EC8" w:rsidRPr="00301C0C">
        <w:rPr>
          <w:rStyle w:val="EndnoteReference"/>
        </w:rPr>
        <w:endnoteReference w:id="4"/>
      </w:r>
    </w:p>
    <w:p w14:paraId="04988664" w14:textId="7B83421B" w:rsidR="00F172D2" w:rsidRPr="00301C0C" w:rsidRDefault="00085A1F" w:rsidP="00B45723">
      <w:pPr>
        <w:pStyle w:val="ListParagraph"/>
        <w:numPr>
          <w:ilvl w:val="0"/>
          <w:numId w:val="4"/>
        </w:numPr>
        <w:spacing w:after="120" w:line="240" w:lineRule="auto"/>
        <w:ind w:left="714" w:hanging="357"/>
        <w:contextualSpacing w:val="0"/>
      </w:pPr>
      <w:r>
        <w:t>a</w:t>
      </w:r>
      <w:r w:rsidR="00C67B98" w:rsidRPr="00301C0C">
        <w:t xml:space="preserve">pproximately </w:t>
      </w:r>
      <w:r>
        <w:t xml:space="preserve">one </w:t>
      </w:r>
      <w:r w:rsidR="00C67B98" w:rsidRPr="00301C0C">
        <w:t xml:space="preserve">in </w:t>
      </w:r>
      <w:r>
        <w:t>six</w:t>
      </w:r>
      <w:r w:rsidRPr="00301C0C">
        <w:t xml:space="preserve"> </w:t>
      </w:r>
      <w:r w:rsidR="00C67B98" w:rsidRPr="00301C0C">
        <w:t xml:space="preserve">women and </w:t>
      </w:r>
      <w:r>
        <w:t>one</w:t>
      </w:r>
      <w:r w:rsidR="00C67B98" w:rsidRPr="00301C0C">
        <w:t xml:space="preserve"> in 1</w:t>
      </w:r>
      <w:r w:rsidR="00562ECA">
        <w:t>7</w:t>
      </w:r>
      <w:r w:rsidR="00C67B98" w:rsidRPr="00301C0C">
        <w:t xml:space="preserve"> men have experienced violence by a partner since the age of 15</w:t>
      </w:r>
      <w:r w:rsidR="00CD6339" w:rsidRPr="00301C0C">
        <w:t>,</w:t>
      </w:r>
      <w:r w:rsidR="00141093" w:rsidRPr="00301C0C">
        <w:rPr>
          <w:rStyle w:val="EndnoteReference"/>
        </w:rPr>
        <w:endnoteReference w:id="5"/>
      </w:r>
      <w:r w:rsidR="00C67B98" w:rsidRPr="00301C0C">
        <w:t xml:space="preserve"> </w:t>
      </w:r>
    </w:p>
    <w:p w14:paraId="6A684F1E" w14:textId="32A8CA0A" w:rsidR="00C67B98" w:rsidRPr="00301C0C" w:rsidRDefault="00085A1F" w:rsidP="00B45723">
      <w:pPr>
        <w:pStyle w:val="ListParagraph"/>
        <w:numPr>
          <w:ilvl w:val="0"/>
          <w:numId w:val="4"/>
        </w:numPr>
        <w:spacing w:after="120" w:line="240" w:lineRule="auto"/>
        <w:ind w:left="714" w:hanging="357"/>
        <w:contextualSpacing w:val="0"/>
      </w:pPr>
      <w:r>
        <w:t>one</w:t>
      </w:r>
      <w:r w:rsidR="00C67B98" w:rsidRPr="00301C0C">
        <w:t xml:space="preserve"> in </w:t>
      </w:r>
      <w:r w:rsidR="00562ECA">
        <w:t>10</w:t>
      </w:r>
      <w:r w:rsidR="00C67B98" w:rsidRPr="00301C0C">
        <w:t xml:space="preserve"> people now aged over 18 years old experienced abuse before they were 15 years old,</w:t>
      </w:r>
      <w:r w:rsidR="00562ECA" w:rsidRPr="00301C0C">
        <w:rPr>
          <w:rStyle w:val="EndnoteReference"/>
        </w:rPr>
        <w:endnoteReference w:id="6"/>
      </w:r>
    </w:p>
    <w:p w14:paraId="0E7F0E73" w14:textId="24916729" w:rsidR="007E4F0B" w:rsidRPr="00301C0C" w:rsidRDefault="00085A1F" w:rsidP="00B45723">
      <w:pPr>
        <w:pStyle w:val="ListParagraph"/>
        <w:numPr>
          <w:ilvl w:val="0"/>
          <w:numId w:val="4"/>
        </w:numPr>
        <w:spacing w:after="120" w:line="240" w:lineRule="auto"/>
        <w:ind w:left="714" w:hanging="357"/>
        <w:contextualSpacing w:val="0"/>
      </w:pPr>
      <w:r>
        <w:t>one</w:t>
      </w:r>
      <w:r w:rsidR="00C67B98" w:rsidRPr="00301C0C">
        <w:t xml:space="preserve"> in 10 men and </w:t>
      </w:r>
      <w:r>
        <w:t>one</w:t>
      </w:r>
      <w:r w:rsidR="00C67B98" w:rsidRPr="00301C0C">
        <w:t xml:space="preserve"> in </w:t>
      </w:r>
      <w:r>
        <w:t>eight</w:t>
      </w:r>
      <w:r w:rsidR="00C67B98" w:rsidRPr="00301C0C">
        <w:t xml:space="preserve"> women witnessed violence towards their mother by a partner before the age of 15</w:t>
      </w:r>
      <w:r w:rsidR="007E4F0B" w:rsidRPr="00301C0C">
        <w:t>,</w:t>
      </w:r>
      <w:r w:rsidR="00562ECA" w:rsidRPr="00301C0C">
        <w:rPr>
          <w:rStyle w:val="EndnoteReference"/>
        </w:rPr>
        <w:endnoteReference w:id="7"/>
      </w:r>
      <w:r w:rsidR="007E4F0B" w:rsidRPr="00301C0C">
        <w:t xml:space="preserve"> and </w:t>
      </w:r>
    </w:p>
    <w:p w14:paraId="3EB012DB" w14:textId="20E6C168" w:rsidR="00C67B98" w:rsidRPr="00301C0C" w:rsidRDefault="007E4F0B" w:rsidP="00B45723">
      <w:pPr>
        <w:pStyle w:val="ListParagraph"/>
        <w:numPr>
          <w:ilvl w:val="0"/>
          <w:numId w:val="4"/>
        </w:numPr>
        <w:spacing w:after="120" w:line="240" w:lineRule="auto"/>
        <w:ind w:left="714" w:hanging="357"/>
        <w:contextualSpacing w:val="0"/>
      </w:pPr>
      <w:r w:rsidRPr="00301C0C">
        <w:t>22 per cent of women and girls with disability are affected by violence</w:t>
      </w:r>
      <w:r w:rsidR="00085A1F">
        <w:t>.</w:t>
      </w:r>
      <w:r w:rsidRPr="00301C0C">
        <w:rPr>
          <w:rStyle w:val="EndnoteReference"/>
        </w:rPr>
        <w:endnoteReference w:id="8"/>
      </w:r>
      <w:r w:rsidRPr="00301C0C">
        <w:t xml:space="preserve"> </w:t>
      </w:r>
    </w:p>
    <w:p w14:paraId="7747E1A1" w14:textId="77777777" w:rsidR="00DC18EB" w:rsidRPr="00B45723" w:rsidRDefault="00DC18EB" w:rsidP="00B45723">
      <w:pPr>
        <w:pStyle w:val="Heading4"/>
      </w:pPr>
      <w:r w:rsidRPr="00B45723">
        <w:t>Aboriginal and Torres Strait Islander Families and Children</w:t>
      </w:r>
    </w:p>
    <w:p w14:paraId="5AE1E18E" w14:textId="007A0806" w:rsidR="00F172D2" w:rsidRPr="00301C0C" w:rsidRDefault="00D1076D" w:rsidP="00B45723">
      <w:pPr>
        <w:spacing w:after="120" w:line="240" w:lineRule="auto"/>
      </w:pPr>
      <w:r w:rsidRPr="00301C0C">
        <w:t>Aboriginal and Torres Strait Islander</w:t>
      </w:r>
      <w:r w:rsidR="00DC18EB" w:rsidRPr="00301C0C">
        <w:t xml:space="preserve"> families and children</w:t>
      </w:r>
      <w:r w:rsidRPr="00301C0C">
        <w:t xml:space="preserve"> continue to experience poorer outcomes than non-Indigenous Australians.</w:t>
      </w:r>
      <w:r w:rsidR="00DC18EB" w:rsidRPr="00301C0C">
        <w:t xml:space="preserve"> </w:t>
      </w:r>
      <w:r w:rsidR="00504388" w:rsidRPr="00301C0C">
        <w:t xml:space="preserve">Significant investment in programs and services </w:t>
      </w:r>
      <w:r w:rsidR="00C1747B" w:rsidRPr="00301C0C">
        <w:t xml:space="preserve">that </w:t>
      </w:r>
      <w:r w:rsidR="00504388" w:rsidRPr="00301C0C">
        <w:t xml:space="preserve">focus on </w:t>
      </w:r>
      <w:r w:rsidR="00C1747B" w:rsidRPr="00301C0C">
        <w:t xml:space="preserve">building on the strengths of Aboriginal and Torres Strait Islander people and culture </w:t>
      </w:r>
      <w:r w:rsidR="00504388" w:rsidRPr="00301C0C">
        <w:t xml:space="preserve">have resulted in </w:t>
      </w:r>
      <w:r w:rsidR="00F172D2" w:rsidRPr="00301C0C">
        <w:t>improvements including:</w:t>
      </w:r>
    </w:p>
    <w:p w14:paraId="2696DB0E" w14:textId="7B78F143" w:rsidR="00F172D2" w:rsidRPr="00301C0C" w:rsidRDefault="00DC18EB" w:rsidP="00B45723">
      <w:pPr>
        <w:pStyle w:val="ListParagraph"/>
        <w:numPr>
          <w:ilvl w:val="0"/>
          <w:numId w:val="2"/>
        </w:numPr>
        <w:spacing w:after="120" w:line="240" w:lineRule="auto"/>
        <w:contextualSpacing w:val="0"/>
      </w:pPr>
      <w:r w:rsidRPr="00301C0C">
        <w:t>r</w:t>
      </w:r>
      <w:r w:rsidR="00F172D2" w:rsidRPr="00301C0C">
        <w:t>educing the child mortality rate by 35 per cent between 1998 and 2016 (from 217</w:t>
      </w:r>
      <w:r w:rsidR="00A44FC6">
        <w:t> </w:t>
      </w:r>
      <w:r w:rsidR="00F172D2" w:rsidRPr="00301C0C">
        <w:t>deaths per 100,000 to 146 deaths per 100,000</w:t>
      </w:r>
      <w:r w:rsidRPr="00301C0C">
        <w:t>)</w:t>
      </w:r>
      <w:r w:rsidR="00F3674E" w:rsidRPr="00301C0C">
        <w:t>,</w:t>
      </w:r>
    </w:p>
    <w:p w14:paraId="045E7318" w14:textId="52C8A823" w:rsidR="00F172D2" w:rsidRPr="00301C0C" w:rsidRDefault="00DC18EB" w:rsidP="00B45723">
      <w:pPr>
        <w:pStyle w:val="ListParagraph"/>
        <w:numPr>
          <w:ilvl w:val="0"/>
          <w:numId w:val="2"/>
        </w:numPr>
        <w:spacing w:after="120" w:line="240" w:lineRule="auto"/>
        <w:contextualSpacing w:val="0"/>
      </w:pPr>
      <w:r w:rsidRPr="00301C0C">
        <w:t>91</w:t>
      </w:r>
      <w:r w:rsidR="00F3674E" w:rsidRPr="00301C0C">
        <w:t xml:space="preserve"> per cent of Aboriginal and Torres Strait Islander four year olds</w:t>
      </w:r>
      <w:r w:rsidR="00085A1F">
        <w:t xml:space="preserve"> are</w:t>
      </w:r>
      <w:r w:rsidR="00F3674E" w:rsidRPr="00301C0C">
        <w:t xml:space="preserve"> enrolled in early childhood education programs,</w:t>
      </w:r>
      <w:r w:rsidR="00DA615D" w:rsidRPr="00301C0C">
        <w:t xml:space="preserve"> and</w:t>
      </w:r>
    </w:p>
    <w:p w14:paraId="36720C60" w14:textId="66BCE1CE" w:rsidR="00F172D2" w:rsidRPr="00301C0C" w:rsidRDefault="00DC18EB" w:rsidP="00B45723">
      <w:pPr>
        <w:pStyle w:val="ListParagraph"/>
        <w:numPr>
          <w:ilvl w:val="0"/>
          <w:numId w:val="2"/>
        </w:numPr>
        <w:spacing w:after="120" w:line="240" w:lineRule="auto"/>
        <w:contextualSpacing w:val="0"/>
      </w:pPr>
      <w:r w:rsidRPr="00301C0C">
        <w:t>a</w:t>
      </w:r>
      <w:r w:rsidR="00F3674E" w:rsidRPr="00301C0C">
        <w:t xml:space="preserve"> doubling in Aboriginal and Torres Strait Islander students in higher education award courses between 2006 and 2016</w:t>
      </w:r>
      <w:r w:rsidR="00CD6339" w:rsidRPr="00301C0C">
        <w:t>.</w:t>
      </w:r>
      <w:r w:rsidR="00F3674E" w:rsidRPr="00301C0C">
        <w:rPr>
          <w:rStyle w:val="EndnoteReference"/>
        </w:rPr>
        <w:endnoteReference w:id="9"/>
      </w:r>
    </w:p>
    <w:p w14:paraId="5051A29B" w14:textId="04C6D958" w:rsidR="00DA615D" w:rsidRPr="00301C0C" w:rsidRDefault="00DA615D" w:rsidP="00B45723">
      <w:pPr>
        <w:spacing w:after="120" w:line="240" w:lineRule="auto"/>
      </w:pPr>
      <w:r w:rsidRPr="00301C0C">
        <w:t xml:space="preserve">Despite these </w:t>
      </w:r>
      <w:r w:rsidR="00200E09" w:rsidRPr="00301C0C">
        <w:t>gains,</w:t>
      </w:r>
      <w:r w:rsidRPr="00301C0C">
        <w:t xml:space="preserve"> Aboriginal and Torres Strait Islanders still experience poorer outcomes than non-Indigenous Australians:</w:t>
      </w:r>
    </w:p>
    <w:p w14:paraId="66D7E514" w14:textId="0699EACB" w:rsidR="00DA615D" w:rsidRPr="00301C0C" w:rsidRDefault="00DC18EB" w:rsidP="00B45723">
      <w:pPr>
        <w:pStyle w:val="ListParagraph"/>
        <w:numPr>
          <w:ilvl w:val="0"/>
          <w:numId w:val="3"/>
        </w:numPr>
        <w:spacing w:after="120" w:line="240" w:lineRule="auto"/>
        <w:ind w:left="782" w:hanging="357"/>
        <w:contextualSpacing w:val="0"/>
      </w:pPr>
      <w:r w:rsidRPr="00301C0C">
        <w:t>f</w:t>
      </w:r>
      <w:r w:rsidR="00DA615D" w:rsidRPr="00301C0C">
        <w:t xml:space="preserve">emales </w:t>
      </w:r>
      <w:r w:rsidRPr="00301C0C">
        <w:t xml:space="preserve">were </w:t>
      </w:r>
      <w:r w:rsidR="00DA615D" w:rsidRPr="00301C0C">
        <w:t>32 times and males</w:t>
      </w:r>
      <w:r w:rsidRPr="00301C0C">
        <w:t xml:space="preserve"> were</w:t>
      </w:r>
      <w:r w:rsidR="00DA615D" w:rsidRPr="00301C0C">
        <w:t xml:space="preserve"> 23 times more likely to be hospitalised due to family and domestic violence in 2014-15, </w:t>
      </w:r>
    </w:p>
    <w:p w14:paraId="037C2921" w14:textId="27F0DABC" w:rsidR="00DA615D" w:rsidRPr="00301C0C" w:rsidRDefault="00DC18EB" w:rsidP="00B45723">
      <w:pPr>
        <w:pStyle w:val="ListParagraph"/>
        <w:numPr>
          <w:ilvl w:val="0"/>
          <w:numId w:val="3"/>
        </w:numPr>
        <w:spacing w:after="120" w:line="240" w:lineRule="auto"/>
        <w:ind w:left="782" w:hanging="357"/>
        <w:contextualSpacing w:val="0"/>
      </w:pPr>
      <w:r w:rsidRPr="00301C0C">
        <w:t>c</w:t>
      </w:r>
      <w:r w:rsidR="00DA615D" w:rsidRPr="00301C0C">
        <w:t>hildren are 10 times more likely to be in Out of Home Care,</w:t>
      </w:r>
    </w:p>
    <w:p w14:paraId="4D4289F0" w14:textId="7203AACB" w:rsidR="00DA615D" w:rsidRPr="00301C0C" w:rsidRDefault="00DC18EB" w:rsidP="00B45723">
      <w:pPr>
        <w:pStyle w:val="ListParagraph"/>
        <w:numPr>
          <w:ilvl w:val="0"/>
          <w:numId w:val="3"/>
        </w:numPr>
        <w:spacing w:after="120" w:line="240" w:lineRule="auto"/>
        <w:ind w:left="782" w:hanging="357"/>
        <w:contextualSpacing w:val="0"/>
      </w:pPr>
      <w:r w:rsidRPr="00301C0C">
        <w:t>y</w:t>
      </w:r>
      <w:r w:rsidR="00DA615D" w:rsidRPr="00301C0C">
        <w:t>ouths aged between 10 and 16 years old were 16 times more likely to have contact with both the child protection system and youth justice supervision in 2015</w:t>
      </w:r>
      <w:r w:rsidR="00A44FC6">
        <w:noBreakHyphen/>
      </w:r>
      <w:r w:rsidR="00DA615D" w:rsidRPr="00301C0C">
        <w:t xml:space="preserve">16, </w:t>
      </w:r>
    </w:p>
    <w:p w14:paraId="0CB2A9D0" w14:textId="482AFB06" w:rsidR="005A6932" w:rsidRPr="00301C0C" w:rsidRDefault="00DC18EB" w:rsidP="00B45723">
      <w:pPr>
        <w:pStyle w:val="ListParagraph"/>
        <w:numPr>
          <w:ilvl w:val="0"/>
          <w:numId w:val="3"/>
        </w:numPr>
        <w:spacing w:after="120" w:line="240" w:lineRule="auto"/>
        <w:ind w:left="782" w:hanging="357"/>
        <w:contextualSpacing w:val="0"/>
      </w:pPr>
      <w:r w:rsidRPr="00301C0C">
        <w:t>27</w:t>
      </w:r>
      <w:r w:rsidR="005A6932" w:rsidRPr="00301C0C">
        <w:t xml:space="preserve"> per cent of all prisoners in Australia identify as Aboriginal and Torres Strait Islander</w:t>
      </w:r>
      <w:r w:rsidR="00CD6339" w:rsidRPr="00301C0C">
        <w:t>.</w:t>
      </w:r>
      <w:r w:rsidR="005A6932" w:rsidRPr="00301C0C">
        <w:rPr>
          <w:rStyle w:val="EndnoteReference"/>
        </w:rPr>
        <w:endnoteReference w:id="10"/>
      </w:r>
    </w:p>
    <w:p w14:paraId="2EEEBB5B" w14:textId="77777777" w:rsidR="00A44FC6" w:rsidRDefault="00A44FC6">
      <w:pPr>
        <w:spacing w:before="0" w:after="200" w:line="276" w:lineRule="auto"/>
      </w:pPr>
      <w:r>
        <w:br w:type="page"/>
      </w:r>
    </w:p>
    <w:p w14:paraId="3D293A13" w14:textId="2B211350" w:rsidR="00DA615D" w:rsidRPr="00301C0C" w:rsidRDefault="005A6932" w:rsidP="00B45723">
      <w:pPr>
        <w:spacing w:after="120" w:line="240" w:lineRule="auto"/>
      </w:pPr>
      <w:r w:rsidRPr="00301C0C">
        <w:lastRenderedPageBreak/>
        <w:t>The effect of past child removal practices continues to have an impact on the outcomes experienced by Aboriginal and Torres Strait Islander adults and their children. Aboriginal and Torres Strait Islander adults were 2.7 times more likely to have high or very high levels of psychological distress, with almost half (48</w:t>
      </w:r>
      <w:r w:rsidR="00085A1F">
        <w:t xml:space="preserve"> per cent</w:t>
      </w:r>
      <w:r w:rsidRPr="00301C0C">
        <w:t>) of Aboriginal and Torres Strait Islander adults reporting either they or their relatives had been removed from their natural family</w:t>
      </w:r>
      <w:r w:rsidR="00CD6339" w:rsidRPr="00301C0C">
        <w:t>.</w:t>
      </w:r>
      <w:r w:rsidRPr="00301C0C">
        <w:rPr>
          <w:rStyle w:val="EndnoteReference"/>
        </w:rPr>
        <w:endnoteReference w:id="11"/>
      </w:r>
      <w:r w:rsidRPr="00301C0C">
        <w:t xml:space="preserve"> </w:t>
      </w:r>
    </w:p>
    <w:p w14:paraId="71A5B681" w14:textId="73FB27E1" w:rsidR="005A6932" w:rsidRPr="00301C0C" w:rsidRDefault="00141093" w:rsidP="00B45723">
      <w:pPr>
        <w:pStyle w:val="Heading2"/>
        <w:spacing w:before="120"/>
      </w:pPr>
      <w:bookmarkStart w:id="3" w:name="_Toc516213676"/>
      <w:r w:rsidRPr="00301C0C">
        <w:t xml:space="preserve">Existing </w:t>
      </w:r>
      <w:r w:rsidR="00DC18EB" w:rsidRPr="00301C0C">
        <w:t>p</w:t>
      </w:r>
      <w:r w:rsidR="005A6932" w:rsidRPr="00301C0C">
        <w:t>olicy</w:t>
      </w:r>
      <w:r w:rsidR="00D83129" w:rsidRPr="00301C0C">
        <w:t xml:space="preserve">, reviews and recent engagement </w:t>
      </w:r>
      <w:r w:rsidR="00734961" w:rsidRPr="00301C0C">
        <w:t>processes</w:t>
      </w:r>
      <w:bookmarkEnd w:id="3"/>
    </w:p>
    <w:p w14:paraId="10F0872C" w14:textId="76970E27" w:rsidR="007F68D2" w:rsidRPr="00085A1F" w:rsidRDefault="00734961" w:rsidP="00B45723">
      <w:pPr>
        <w:spacing w:after="120" w:line="240" w:lineRule="auto"/>
      </w:pPr>
      <w:r w:rsidRPr="00562ECA">
        <w:t xml:space="preserve">The need for collaborative and joint effort to intervene early with families and children is a key theme of multiple policies, reviews and engagement </w:t>
      </w:r>
      <w:r w:rsidRPr="00A44B70">
        <w:t>processes undertaken by the Comm</w:t>
      </w:r>
      <w:r w:rsidR="007F68D2" w:rsidRPr="00085A1F">
        <w:t xml:space="preserve">onwealth over the last 20 years. </w:t>
      </w:r>
      <w:r w:rsidR="00DC18EB" w:rsidRPr="00085A1F">
        <w:t>These have</w:t>
      </w:r>
      <w:r w:rsidR="007F68D2" w:rsidRPr="00085A1F">
        <w:t xml:space="preserve"> included:</w:t>
      </w:r>
    </w:p>
    <w:p w14:paraId="14032AEC" w14:textId="399DDB86" w:rsidR="007F68D2" w:rsidRPr="00301C0C" w:rsidRDefault="007F68D2" w:rsidP="00B45723">
      <w:pPr>
        <w:pStyle w:val="ListParagraph"/>
        <w:numPr>
          <w:ilvl w:val="0"/>
          <w:numId w:val="30"/>
        </w:numPr>
        <w:spacing w:after="120" w:line="240" w:lineRule="auto"/>
        <w:contextualSpacing w:val="0"/>
      </w:pPr>
      <w:r w:rsidRPr="00301C0C">
        <w:t xml:space="preserve">the </w:t>
      </w:r>
      <w:r w:rsidR="00DC18EB" w:rsidRPr="00301C0C">
        <w:t>201</w:t>
      </w:r>
      <w:r w:rsidR="00DB7E64" w:rsidRPr="00301C0C">
        <w:t>8</w:t>
      </w:r>
      <w:r w:rsidR="00DC18EB" w:rsidRPr="00301C0C">
        <w:t xml:space="preserve"> </w:t>
      </w:r>
      <w:r w:rsidRPr="00301C0C">
        <w:t>Productivity Commission</w:t>
      </w:r>
      <w:r w:rsidR="00DC18EB" w:rsidRPr="00301C0C">
        <w:t xml:space="preserve"> Inquiry Report</w:t>
      </w:r>
      <w:r w:rsidRPr="00301C0C">
        <w:t xml:space="preserve"> into Human Services,  </w:t>
      </w:r>
    </w:p>
    <w:p w14:paraId="1E21C11C" w14:textId="77777777" w:rsidR="00945255" w:rsidRPr="00301C0C" w:rsidRDefault="00945255" w:rsidP="00B45723">
      <w:pPr>
        <w:pStyle w:val="ListParagraph"/>
        <w:numPr>
          <w:ilvl w:val="0"/>
          <w:numId w:val="30"/>
        </w:numPr>
        <w:spacing w:after="120" w:line="240" w:lineRule="auto"/>
        <w:contextualSpacing w:val="0"/>
      </w:pPr>
      <w:r w:rsidRPr="00301C0C">
        <w:t>Closing the Gap in 2008, and the 2018 Closing the Gap Refresh,</w:t>
      </w:r>
    </w:p>
    <w:p w14:paraId="584ED4F9" w14:textId="3B0B3D4E" w:rsidR="00945255" w:rsidRPr="00301C0C" w:rsidRDefault="00945255" w:rsidP="00B45723">
      <w:pPr>
        <w:pStyle w:val="ListParagraph"/>
        <w:numPr>
          <w:ilvl w:val="0"/>
          <w:numId w:val="30"/>
        </w:numPr>
        <w:spacing w:after="120" w:line="240" w:lineRule="auto"/>
        <w:contextualSpacing w:val="0"/>
      </w:pPr>
      <w:r w:rsidRPr="00301C0C">
        <w:t xml:space="preserve">the 2017 Royal Commission into the Protection and Detention of Children in the Northern Territory, </w:t>
      </w:r>
    </w:p>
    <w:p w14:paraId="3A0806DE" w14:textId="77FB82C3" w:rsidR="00BF4FC4" w:rsidRPr="00301C0C" w:rsidRDefault="00BF4FC4" w:rsidP="00B45723">
      <w:pPr>
        <w:pStyle w:val="ListParagraph"/>
        <w:numPr>
          <w:ilvl w:val="0"/>
          <w:numId w:val="30"/>
        </w:numPr>
        <w:spacing w:after="120" w:line="240" w:lineRule="auto"/>
        <w:contextualSpacing w:val="0"/>
      </w:pPr>
      <w:r w:rsidRPr="00301C0C">
        <w:t>the 2013-2017 Royal Commission into Institutional Responses to Child Sexual Abuse,</w:t>
      </w:r>
    </w:p>
    <w:p w14:paraId="0F068BA4" w14:textId="7AF2026E" w:rsidR="00FE5057" w:rsidRDefault="00FE5057" w:rsidP="00B45723">
      <w:pPr>
        <w:pStyle w:val="ListParagraph"/>
        <w:numPr>
          <w:ilvl w:val="0"/>
          <w:numId w:val="30"/>
        </w:numPr>
        <w:spacing w:after="120" w:line="240" w:lineRule="auto"/>
        <w:contextualSpacing w:val="0"/>
      </w:pPr>
      <w:r>
        <w:t>the 2017 consultations on the ‘First 1,000 Days of Life’ lead by the Prime Minister’s Community Business Partnership,</w:t>
      </w:r>
    </w:p>
    <w:p w14:paraId="7545D60D" w14:textId="54BEAD2A" w:rsidR="007F68D2" w:rsidRPr="00301C0C" w:rsidRDefault="00DC18EB" w:rsidP="00B45723">
      <w:pPr>
        <w:pStyle w:val="ListParagraph"/>
        <w:numPr>
          <w:ilvl w:val="0"/>
          <w:numId w:val="30"/>
        </w:numPr>
        <w:spacing w:after="120" w:line="240" w:lineRule="auto"/>
        <w:contextualSpacing w:val="0"/>
      </w:pPr>
      <w:r w:rsidRPr="00301C0C">
        <w:t xml:space="preserve">the </w:t>
      </w:r>
      <w:r w:rsidR="008B1C96" w:rsidRPr="00301C0C">
        <w:t xml:space="preserve">2017 </w:t>
      </w:r>
      <w:r w:rsidR="007F68D2" w:rsidRPr="00301C0C">
        <w:t>Social and Cultural Determinants of Indigenous Health consultations</w:t>
      </w:r>
      <w:r w:rsidR="00A15C1D" w:rsidRPr="00301C0C">
        <w:t xml:space="preserve"> lead by the Department of Health</w:t>
      </w:r>
      <w:r w:rsidR="00945255">
        <w:t>,</w:t>
      </w:r>
    </w:p>
    <w:p w14:paraId="2E9D7617" w14:textId="66182D03" w:rsidR="007F68D2" w:rsidRDefault="007F68D2" w:rsidP="00B45723">
      <w:pPr>
        <w:pStyle w:val="ListParagraph"/>
        <w:numPr>
          <w:ilvl w:val="0"/>
          <w:numId w:val="30"/>
        </w:numPr>
        <w:spacing w:after="120" w:line="240" w:lineRule="auto"/>
        <w:contextualSpacing w:val="0"/>
      </w:pPr>
      <w:r w:rsidRPr="00301C0C">
        <w:t>the</w:t>
      </w:r>
      <w:r w:rsidR="00DC18EB" w:rsidRPr="00301C0C">
        <w:t xml:space="preserve"> 2017</w:t>
      </w:r>
      <w:r w:rsidRPr="00301C0C">
        <w:t xml:space="preserve"> </w:t>
      </w:r>
      <w:r w:rsidR="00DC18EB" w:rsidRPr="00301C0C">
        <w:t>DSS r</w:t>
      </w:r>
      <w:r w:rsidRPr="00301C0C">
        <w:t xml:space="preserve">oundtables on improving outcomes for Aboriginal and Torres Strait Islander </w:t>
      </w:r>
      <w:r w:rsidR="00945255">
        <w:t>f</w:t>
      </w:r>
      <w:r w:rsidRPr="00301C0C">
        <w:t xml:space="preserve">amilies and </w:t>
      </w:r>
      <w:r w:rsidR="00945255">
        <w:t>c</w:t>
      </w:r>
      <w:r w:rsidRPr="00301C0C">
        <w:t xml:space="preserve">hildren under the </w:t>
      </w:r>
      <w:r w:rsidR="00945255">
        <w:t xml:space="preserve">FaC </w:t>
      </w:r>
      <w:r w:rsidRPr="00301C0C">
        <w:t>Activity</w:t>
      </w:r>
      <w:r w:rsidR="00945255">
        <w:t>, and</w:t>
      </w:r>
    </w:p>
    <w:p w14:paraId="4EF6FC7D" w14:textId="08D991E8" w:rsidR="00945255" w:rsidRPr="00301C0C" w:rsidRDefault="00945255" w:rsidP="00B45723">
      <w:pPr>
        <w:pStyle w:val="ListParagraph"/>
        <w:numPr>
          <w:ilvl w:val="0"/>
          <w:numId w:val="30"/>
        </w:numPr>
        <w:spacing w:after="120" w:line="240" w:lineRule="auto"/>
        <w:contextualSpacing w:val="0"/>
      </w:pPr>
      <w:r w:rsidRPr="00301C0C">
        <w:t>the 2016 Redfern Statement</w:t>
      </w:r>
      <w:r>
        <w:t>.</w:t>
      </w:r>
    </w:p>
    <w:p w14:paraId="228AF2DC" w14:textId="1E15658A" w:rsidR="00734961" w:rsidRPr="00301C0C" w:rsidRDefault="00A15C1D" w:rsidP="00B45723">
      <w:pPr>
        <w:spacing w:after="120" w:line="240" w:lineRule="auto"/>
      </w:pPr>
      <w:r w:rsidRPr="00301C0C">
        <w:t>The Commonwealth, states and t</w:t>
      </w:r>
      <w:r w:rsidR="007F68D2" w:rsidRPr="00301C0C">
        <w:t xml:space="preserve">erritories already have a number of existing joint </w:t>
      </w:r>
      <w:bookmarkStart w:id="4" w:name="_GoBack"/>
      <w:bookmarkEnd w:id="4"/>
      <w:r w:rsidR="007F68D2" w:rsidRPr="00301C0C">
        <w:t xml:space="preserve">initiatives to collaborate to improve outcomes for families and children including: </w:t>
      </w:r>
    </w:p>
    <w:p w14:paraId="77B3A52F" w14:textId="2A683953" w:rsidR="00734961" w:rsidRPr="00301C0C" w:rsidRDefault="00DC18EB" w:rsidP="00B45723">
      <w:pPr>
        <w:pStyle w:val="ListParagraph"/>
        <w:numPr>
          <w:ilvl w:val="0"/>
          <w:numId w:val="30"/>
        </w:numPr>
        <w:spacing w:after="120" w:line="240" w:lineRule="auto"/>
        <w:contextualSpacing w:val="0"/>
      </w:pPr>
      <w:r w:rsidRPr="00301C0C">
        <w:t>t</w:t>
      </w:r>
      <w:r w:rsidR="00734961" w:rsidRPr="00301C0C">
        <w:t>he National Framework for Protecting Australia’s Children 2009-2020,</w:t>
      </w:r>
      <w:r w:rsidR="007F68D2" w:rsidRPr="00301C0C">
        <w:t xml:space="preserve"> and</w:t>
      </w:r>
    </w:p>
    <w:p w14:paraId="0FAA80C3" w14:textId="0A811372" w:rsidR="00734961" w:rsidRDefault="00DC18EB" w:rsidP="00B45723">
      <w:pPr>
        <w:pStyle w:val="ListParagraph"/>
        <w:numPr>
          <w:ilvl w:val="0"/>
          <w:numId w:val="30"/>
        </w:numPr>
        <w:spacing w:after="120" w:line="240" w:lineRule="auto"/>
        <w:contextualSpacing w:val="0"/>
      </w:pPr>
      <w:r w:rsidRPr="00301C0C">
        <w:t>t</w:t>
      </w:r>
      <w:r w:rsidR="00734961" w:rsidRPr="00301C0C">
        <w:t xml:space="preserve">he National Plan to Reduce Violence against Women and their </w:t>
      </w:r>
      <w:r w:rsidR="007F68D2" w:rsidRPr="00301C0C">
        <w:t>Children 2010-2022.</w:t>
      </w:r>
    </w:p>
    <w:p w14:paraId="2ADD1860" w14:textId="1C713FA6" w:rsidR="007F68D2" w:rsidRPr="00301C0C" w:rsidRDefault="007F68D2" w:rsidP="00B45723">
      <w:pPr>
        <w:spacing w:after="120" w:line="240" w:lineRule="auto"/>
      </w:pPr>
      <w:r w:rsidRPr="00301C0C">
        <w:t>There has also been an acknowledgement that existing methods for commissioning grants may be impacting our ability to achieve the outcomes sought. This discussion started in 2014 with DSS’ New Way of Working with Grants. For family and children grants</w:t>
      </w:r>
      <w:r w:rsidR="008925B9" w:rsidRPr="00301C0C">
        <w:t>,</w:t>
      </w:r>
      <w:r w:rsidRPr="00301C0C">
        <w:t xml:space="preserve"> this represented a shift in both the way grants were commissioned (with several open rounds) and the collection and reporting of administrative program data through the Data Exchange. </w:t>
      </w:r>
    </w:p>
    <w:p w14:paraId="4644B37F" w14:textId="77777777" w:rsidR="00945255" w:rsidRDefault="007F68D2" w:rsidP="00B45723">
      <w:pPr>
        <w:spacing w:after="120" w:line="240" w:lineRule="auto"/>
      </w:pPr>
      <w:r w:rsidRPr="00301C0C">
        <w:t>Ensuring that the method of funding supports the outcomes being sought has been discussed with the sector through consultations on DSS’</w:t>
      </w:r>
      <w:r w:rsidR="00A15C1D" w:rsidRPr="00301C0C">
        <w:t xml:space="preserve"> Getting Better Outcomes approach (previously known as </w:t>
      </w:r>
      <w:r w:rsidR="00171846" w:rsidRPr="00301C0C">
        <w:t>Commissioning for</w:t>
      </w:r>
      <w:r w:rsidR="00A15C1D" w:rsidRPr="00301C0C">
        <w:t xml:space="preserve"> Better</w:t>
      </w:r>
      <w:r w:rsidR="00171846" w:rsidRPr="00301C0C">
        <w:t xml:space="preserve"> Outcomes</w:t>
      </w:r>
      <w:r w:rsidR="00A15C1D" w:rsidRPr="00301C0C">
        <w:t>)</w:t>
      </w:r>
      <w:r w:rsidR="00171846" w:rsidRPr="00301C0C">
        <w:t xml:space="preserve">. </w:t>
      </w:r>
    </w:p>
    <w:p w14:paraId="2C7AC991" w14:textId="00E3F5B8" w:rsidR="00CE769D" w:rsidRPr="00301C0C" w:rsidRDefault="00945255" w:rsidP="00B45723">
      <w:pPr>
        <w:spacing w:after="120" w:line="240" w:lineRule="auto"/>
      </w:pPr>
      <w:r>
        <w:t xml:space="preserve">The 2017 DSS roundtables on improving outcomes for Aboriginal and Torres Strait Islander also identified that </w:t>
      </w:r>
      <w:r w:rsidR="00171846" w:rsidRPr="00301C0C">
        <w:t xml:space="preserve">the existing method of commissioning services for Aboriginal and Torres Strait Islander families and children </w:t>
      </w:r>
      <w:r w:rsidR="00BA40B6" w:rsidRPr="00301C0C">
        <w:t xml:space="preserve">has </w:t>
      </w:r>
      <w:r w:rsidR="00171846" w:rsidRPr="00301C0C">
        <w:t xml:space="preserve">created barriers for access to services and the outcomes achieved. </w:t>
      </w:r>
    </w:p>
    <w:p w14:paraId="1DEB74C4" w14:textId="77777777" w:rsidR="00A44FC6" w:rsidRDefault="00A44FC6">
      <w:pPr>
        <w:spacing w:before="0" w:after="200" w:line="276" w:lineRule="auto"/>
      </w:pPr>
      <w:r>
        <w:br w:type="page"/>
      </w:r>
    </w:p>
    <w:p w14:paraId="4C300E48" w14:textId="24AD0D7F" w:rsidR="00C73D3A" w:rsidRPr="00301C0C" w:rsidRDefault="00C73D3A" w:rsidP="00B45723">
      <w:pPr>
        <w:spacing w:after="120" w:line="240" w:lineRule="auto"/>
      </w:pPr>
      <w:r w:rsidRPr="00085A1F">
        <w:lastRenderedPageBreak/>
        <w:t>These barriers are acknowledged through the Government’s announcement of the development of the Indigenous Grants Policy (IGP). The IGP will be trialled in several departments (including DSS) from 1 July 2018. The IGP aims to increase the involvement of Indigenous people in the grant funded activities and programs that are intended to benefit them</w:t>
      </w:r>
      <w:r w:rsidR="008925B9" w:rsidRPr="00301C0C">
        <w:t xml:space="preserve"> to ensure that services are culturally appropriate</w:t>
      </w:r>
      <w:r w:rsidRPr="00085A1F">
        <w:t xml:space="preserve">. </w:t>
      </w:r>
    </w:p>
    <w:p w14:paraId="6CF2AA25" w14:textId="1DE29B39" w:rsidR="00171846" w:rsidRPr="00301C0C" w:rsidRDefault="00171846" w:rsidP="00B45723">
      <w:pPr>
        <w:spacing w:after="120" w:line="240" w:lineRule="auto"/>
      </w:pPr>
      <w:r w:rsidRPr="00301C0C">
        <w:t xml:space="preserve">A summary of each of these key policy decisions and engagement </w:t>
      </w:r>
      <w:r w:rsidR="00945255">
        <w:t>processes</w:t>
      </w:r>
      <w:r w:rsidR="00945255" w:rsidRPr="00301C0C">
        <w:t xml:space="preserve"> </w:t>
      </w:r>
      <w:r w:rsidRPr="00301C0C">
        <w:t xml:space="preserve">is at </w:t>
      </w:r>
      <w:r w:rsidR="00A15C1D" w:rsidRPr="00301C0C">
        <w:rPr>
          <w:b/>
        </w:rPr>
        <w:t>Attachment B</w:t>
      </w:r>
      <w:r w:rsidR="00A15C1D" w:rsidRPr="00301C0C">
        <w:t>.</w:t>
      </w:r>
      <w:r w:rsidRPr="00301C0C">
        <w:t xml:space="preserve"> </w:t>
      </w:r>
    </w:p>
    <w:p w14:paraId="6D4DC26B" w14:textId="7AF4D1DE" w:rsidR="00141093" w:rsidRPr="00301C0C" w:rsidRDefault="00141093" w:rsidP="00B45723">
      <w:pPr>
        <w:pStyle w:val="Heading2"/>
        <w:spacing w:before="120"/>
      </w:pPr>
      <w:bookmarkStart w:id="5" w:name="_Toc516213677"/>
      <w:r w:rsidRPr="00301C0C">
        <w:t>Families and Children Activity</w:t>
      </w:r>
      <w:bookmarkEnd w:id="5"/>
    </w:p>
    <w:p w14:paraId="0AC36449" w14:textId="12DB0F1E" w:rsidR="00152642" w:rsidRPr="00301C0C" w:rsidRDefault="00152642" w:rsidP="00B45723">
      <w:pPr>
        <w:spacing w:after="120" w:line="240" w:lineRule="auto"/>
      </w:pPr>
      <w:r w:rsidRPr="00301C0C">
        <w:t xml:space="preserve">DSS delivers a range of activities under the Families and Communities Program to support families, improve children’s wellbeing and increase participation of vulnerable people in community life to enhance family and community functioning. The Program encompasses seven activities that support the Australian Government’s priorities and responsibilities, one of which is the </w:t>
      </w:r>
      <w:r w:rsidR="000D7C62" w:rsidRPr="00301C0C">
        <w:t>FaC</w:t>
      </w:r>
      <w:r w:rsidRPr="00301C0C">
        <w:t xml:space="preserve"> Activity.</w:t>
      </w:r>
    </w:p>
    <w:p w14:paraId="37F65119" w14:textId="737506F7" w:rsidR="000309B2" w:rsidRDefault="000309B2" w:rsidP="00B45723">
      <w:pPr>
        <w:spacing w:after="120" w:line="240" w:lineRule="auto"/>
      </w:pPr>
      <w:r>
        <w:t xml:space="preserve">Under the FaC Activity, the Department of Social Services (DSS) invests approximately $217 million annually in the following programs, which are in-scope for this </w:t>
      </w:r>
      <w:r w:rsidR="008F16D2">
        <w:t>engagement process</w:t>
      </w:r>
      <w:r>
        <w:t>:</w:t>
      </w:r>
    </w:p>
    <w:p w14:paraId="7F91F4E9" w14:textId="7A2180AA" w:rsidR="000309B2" w:rsidRDefault="000309B2" w:rsidP="00B45723">
      <w:pPr>
        <w:pStyle w:val="ListParagraph"/>
        <w:numPr>
          <w:ilvl w:val="0"/>
          <w:numId w:val="34"/>
        </w:numPr>
        <w:spacing w:after="120" w:line="240" w:lineRule="auto"/>
        <w:contextualSpacing w:val="0"/>
      </w:pPr>
      <w:r>
        <w:t xml:space="preserve">Communities for Children Facilitating Partners </w:t>
      </w:r>
      <w:r w:rsidR="007A5198">
        <w:t>(CFC FP)</w:t>
      </w:r>
    </w:p>
    <w:p w14:paraId="1D6D7DC4" w14:textId="6EA66F5B" w:rsidR="000309B2" w:rsidRDefault="000309B2" w:rsidP="00B45723">
      <w:pPr>
        <w:pStyle w:val="ListParagraph"/>
        <w:numPr>
          <w:ilvl w:val="0"/>
          <w:numId w:val="34"/>
        </w:numPr>
        <w:spacing w:after="120" w:line="240" w:lineRule="auto"/>
        <w:contextualSpacing w:val="0"/>
      </w:pPr>
      <w:r>
        <w:t>Family and Relationship Services</w:t>
      </w:r>
      <w:r w:rsidR="007F2003">
        <w:t xml:space="preserve"> (FaRS)</w:t>
      </w:r>
      <w:r>
        <w:t xml:space="preserve"> </w:t>
      </w:r>
    </w:p>
    <w:p w14:paraId="0C7E8A12" w14:textId="77777777" w:rsidR="000309B2" w:rsidRDefault="000309B2" w:rsidP="00B45723">
      <w:pPr>
        <w:pStyle w:val="ListParagraph"/>
        <w:numPr>
          <w:ilvl w:val="0"/>
          <w:numId w:val="34"/>
        </w:numPr>
        <w:spacing w:after="120" w:line="240" w:lineRule="auto"/>
        <w:contextualSpacing w:val="0"/>
      </w:pPr>
      <w:r>
        <w:t xml:space="preserve">Children and Parenting Support </w:t>
      </w:r>
    </w:p>
    <w:p w14:paraId="6D837B0D" w14:textId="77777777" w:rsidR="000309B2" w:rsidRDefault="000309B2" w:rsidP="00B45723">
      <w:pPr>
        <w:pStyle w:val="ListParagraph"/>
        <w:numPr>
          <w:ilvl w:val="0"/>
          <w:numId w:val="34"/>
        </w:numPr>
        <w:spacing w:after="120" w:line="240" w:lineRule="auto"/>
        <w:contextualSpacing w:val="0"/>
      </w:pPr>
      <w:r>
        <w:t>Intensive Family Support Service, and</w:t>
      </w:r>
    </w:p>
    <w:p w14:paraId="6814897F" w14:textId="47DB8CB3" w:rsidR="000309B2" w:rsidRDefault="000309B2" w:rsidP="00B45723">
      <w:pPr>
        <w:pStyle w:val="ListParagraph"/>
        <w:numPr>
          <w:ilvl w:val="0"/>
          <w:numId w:val="34"/>
        </w:numPr>
        <w:spacing w:after="120" w:line="240" w:lineRule="auto"/>
        <w:contextualSpacing w:val="0"/>
      </w:pPr>
      <w:r>
        <w:t>the Home Interaction Program for Parents and Youngsters</w:t>
      </w:r>
      <w:r w:rsidR="007A5198">
        <w:t xml:space="preserve"> (HIPPY).</w:t>
      </w:r>
      <w:r>
        <w:rPr>
          <w:rStyle w:val="FootnoteReference"/>
        </w:rPr>
        <w:footnoteReference w:id="1"/>
      </w:r>
    </w:p>
    <w:p w14:paraId="61C3BF1D" w14:textId="6AB7A705" w:rsidR="008F16D2" w:rsidRDefault="000309B2" w:rsidP="00B45723">
      <w:pPr>
        <w:spacing w:after="120" w:line="240" w:lineRule="auto"/>
      </w:pPr>
      <w:r>
        <w:t>These programs deliver a range of early intervention and prevention services to improve child, youth, adult and family wellbeing, increase economic engagement and support more cohesive communities.</w:t>
      </w:r>
      <w:r w:rsidR="008F16D2">
        <w:t xml:space="preserve"> The majority of grant agreements for these programs expire on 30 June 2020. It is therefore timely for us to discuss how we can continue to work together to ensure our programs continue to achieve positive outcomes for families and children across Australia. </w:t>
      </w:r>
    </w:p>
    <w:p w14:paraId="0F561914" w14:textId="77777777" w:rsidR="00B45723" w:rsidRDefault="00B45723">
      <w:pPr>
        <w:spacing w:before="0" w:after="200" w:line="276" w:lineRule="auto"/>
        <w:rPr>
          <w:rFonts w:ascii="Georgia" w:eastAsiaTheme="majorEastAsia" w:hAnsi="Georgia" w:cstheme="majorBidi"/>
          <w:bCs/>
          <w:color w:val="500778"/>
          <w:sz w:val="36"/>
          <w:szCs w:val="28"/>
        </w:rPr>
      </w:pPr>
      <w:bookmarkStart w:id="6" w:name="_Toc516213678"/>
      <w:r>
        <w:br w:type="page"/>
      </w:r>
    </w:p>
    <w:p w14:paraId="061AB33F" w14:textId="5A587A3B" w:rsidR="008E3C87" w:rsidRPr="00301C0C" w:rsidRDefault="008E3C87" w:rsidP="00B45723">
      <w:pPr>
        <w:pStyle w:val="Heading1"/>
        <w:spacing w:before="120"/>
        <w:contextualSpacing w:val="0"/>
      </w:pPr>
      <w:r w:rsidRPr="00301C0C">
        <w:lastRenderedPageBreak/>
        <w:t>Principles</w:t>
      </w:r>
      <w:bookmarkEnd w:id="6"/>
    </w:p>
    <w:p w14:paraId="495B3840" w14:textId="6447B14B" w:rsidR="008E3C87" w:rsidRPr="00301C0C" w:rsidRDefault="008E3C87" w:rsidP="00B45723">
      <w:pPr>
        <w:spacing w:after="120" w:line="240" w:lineRule="auto"/>
      </w:pPr>
      <w:r w:rsidRPr="00301C0C">
        <w:t xml:space="preserve">DSS proposes the following principles underpin the future design of programs for families and children across Australia. </w:t>
      </w:r>
    </w:p>
    <w:p w14:paraId="4B89CA36" w14:textId="5B625853" w:rsidR="008E3C87" w:rsidRPr="00301C0C" w:rsidRDefault="00301C0C" w:rsidP="00B45723">
      <w:pPr>
        <w:spacing w:after="120" w:line="240" w:lineRule="auto"/>
      </w:pPr>
      <w:r w:rsidRPr="00301C0C">
        <w:t xml:space="preserve"> </w:t>
      </w:r>
      <w:r>
        <w:rPr>
          <w:noProof/>
        </w:rPr>
        <w:drawing>
          <wp:inline distT="0" distB="0" distL="0" distR="0" wp14:anchorId="15190C55" wp14:editId="3F30E8E1">
            <wp:extent cx="5809129" cy="3738182"/>
            <wp:effectExtent l="0" t="0" r="1270" b="0"/>
            <wp:docPr id="10" name="Picture 10" descr="Outcomes Focussed&#10;We will clearly define and aritculate measurable and achievable outcomes.&#10;We will understand what is possible within our limited funding and seek to do it well.&#10;We will use funding mechanisms that are sustainable and help us achieve outcomes for families and children.&#10;&#10;Targeted Service Delivery&#10;We will target our investments in high need, high cost children, families and communities where there is the potential for a greater return on investment.&#10;We will ensure our programs and services are tailored to priority needs.&#10;&#10;Data and Evidence Driven&#10;We will ensure service design and delivery is informed by quality data and evidence about 'what works'.&#10;We will consider evidence informed, best practice, promising and emerging practice.&#10;We will regularly collect and anlyse data and evidence to inform policy, make decisions on strategy and investment, and guide practive and innovation.&#10;&#10;Early Intervention and Prevention&#10;We will fund programs and services that act early to support families and children with a specific focus on preventing harm or problems from escalating (especially breaking trajectories toward out of home care).&#10;Our programs and services will seek to identify and respond to key risk factors (such as child abuse and neglect, domestic violence, homelessness) and strengthen protective factors in families and children (such as resilience).&#10;&#10;Collaborative&#10;We will use a 'system approach' and ensure service providers actively connect with other organisations and local communities to provide joined up services for children and families, providing a holistic support system.&#10;We will encourage the establishment of partnerships, collaborative networks, and community coalitions.&#10;We will work collaboratively with other government agencies to join up efforts and reduce duplication. " title="Princi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3FCAE.82BD9D1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895751" cy="3793924"/>
                    </a:xfrm>
                    <a:prstGeom prst="rect">
                      <a:avLst/>
                    </a:prstGeom>
                    <a:noFill/>
                    <a:ln>
                      <a:noFill/>
                    </a:ln>
                  </pic:spPr>
                </pic:pic>
              </a:graphicData>
            </a:graphic>
          </wp:inline>
        </w:drawing>
      </w:r>
    </w:p>
    <w:p w14:paraId="11FF55DA" w14:textId="1B5167B6" w:rsidR="00152642" w:rsidRPr="00301C0C" w:rsidRDefault="008E3C87" w:rsidP="00B45723">
      <w:pPr>
        <w:pStyle w:val="Heading1"/>
        <w:spacing w:before="120"/>
        <w:contextualSpacing w:val="0"/>
      </w:pPr>
      <w:bookmarkStart w:id="7" w:name="_Toc516213679"/>
      <w:r w:rsidRPr="00301C0C">
        <w:t xml:space="preserve">Principle 1: </w:t>
      </w:r>
      <w:r w:rsidR="00734961" w:rsidRPr="00301C0C">
        <w:t>Outcomes</w:t>
      </w:r>
      <w:r w:rsidR="00C61F9F" w:rsidRPr="00301C0C">
        <w:t xml:space="preserve"> focussed</w:t>
      </w:r>
      <w:bookmarkEnd w:id="7"/>
    </w:p>
    <w:p w14:paraId="1F69E5A2" w14:textId="77777777" w:rsidR="00C61F9F" w:rsidRPr="00301C0C" w:rsidRDefault="00C61F9F" w:rsidP="00B45723">
      <w:pPr>
        <w:pStyle w:val="Heading2"/>
        <w:spacing w:before="120"/>
      </w:pPr>
      <w:bookmarkStart w:id="8" w:name="_Toc516213680"/>
      <w:r w:rsidRPr="00301C0C">
        <w:t>The role of families</w:t>
      </w:r>
      <w:bookmarkEnd w:id="8"/>
    </w:p>
    <w:p w14:paraId="3C9B4A6C" w14:textId="2BDD16B4" w:rsidR="00C61F9F" w:rsidRPr="00301C0C" w:rsidRDefault="00C61F9F" w:rsidP="00B45723">
      <w:pPr>
        <w:spacing w:after="120" w:line="240" w:lineRule="auto"/>
      </w:pPr>
      <w:r w:rsidRPr="00301C0C">
        <w:t>Families with and without children perform essential roles of caring, sharing, supporting members emotionally and financially, and providing a connection to wider society. The nature and importance of these roles will differ by family type</w:t>
      </w:r>
      <w:r w:rsidR="008E3C87" w:rsidRPr="00301C0C">
        <w:t>,</w:t>
      </w:r>
      <w:r w:rsidRPr="00301C0C">
        <w:t xml:space="preserve"> circumstances, values and whether children are present. </w:t>
      </w:r>
    </w:p>
    <w:p w14:paraId="36783E74" w14:textId="5F2DAD20" w:rsidR="00C61F9F" w:rsidRPr="00301C0C" w:rsidRDefault="00C61F9F" w:rsidP="00B45723">
      <w:pPr>
        <w:spacing w:after="120" w:line="240" w:lineRule="auto"/>
      </w:pPr>
      <w:r w:rsidRPr="00301C0C">
        <w:t xml:space="preserve">DSS has identified five overlapping roles that families </w:t>
      </w:r>
      <w:r w:rsidR="008E3C87" w:rsidRPr="00301C0C">
        <w:t>play</w:t>
      </w:r>
      <w:r w:rsidRPr="00301C0C">
        <w:t>:</w:t>
      </w:r>
    </w:p>
    <w:p w14:paraId="644CB9B5" w14:textId="77777777" w:rsidR="00852794" w:rsidRPr="00301C0C" w:rsidRDefault="00852794" w:rsidP="00B45723">
      <w:pPr>
        <w:pStyle w:val="ListParagraph"/>
        <w:numPr>
          <w:ilvl w:val="0"/>
          <w:numId w:val="21"/>
        </w:numPr>
        <w:spacing w:after="120" w:line="240" w:lineRule="auto"/>
        <w:ind w:left="714" w:hanging="357"/>
        <w:contextualSpacing w:val="0"/>
      </w:pPr>
      <w:r w:rsidRPr="00301C0C">
        <w:rPr>
          <w:b/>
          <w:bCs/>
        </w:rPr>
        <w:t>Supporting each other through relationships:</w:t>
      </w:r>
      <w:r w:rsidRPr="00301C0C">
        <w:t xml:space="preserve"> families can provide each other with their closest, most meaningful social and emotional supports. Families that support each other sufficiently are characterised by cohesion, good communication and support for family members’ goals.</w:t>
      </w:r>
    </w:p>
    <w:p w14:paraId="016BB31C" w14:textId="0E7DDA06" w:rsidR="00852794" w:rsidRPr="00301C0C" w:rsidRDefault="00852794" w:rsidP="00B45723">
      <w:pPr>
        <w:pStyle w:val="ListParagraph"/>
        <w:numPr>
          <w:ilvl w:val="0"/>
          <w:numId w:val="21"/>
        </w:numPr>
        <w:spacing w:after="120" w:line="240" w:lineRule="auto"/>
        <w:ind w:left="714" w:hanging="357"/>
        <w:contextualSpacing w:val="0"/>
      </w:pPr>
      <w:r w:rsidRPr="00301C0C">
        <w:rPr>
          <w:b/>
          <w:bCs/>
        </w:rPr>
        <w:t>Nurturing children and young people:</w:t>
      </w:r>
      <w:r w:rsidRPr="00301C0C">
        <w:t xml:space="preserve"> a key function of family is the nurturing, bearing and raising of children. Families provide the resources necessary for life</w:t>
      </w:r>
      <w:r w:rsidR="00FB5E8F">
        <w:t xml:space="preserve">, </w:t>
      </w:r>
      <w:r w:rsidR="008F16D2">
        <w:t>help children grow</w:t>
      </w:r>
      <w:r w:rsidRPr="00301C0C">
        <w:t xml:space="preserve"> </w:t>
      </w:r>
      <w:r w:rsidR="00FB5E8F">
        <w:t xml:space="preserve">and </w:t>
      </w:r>
      <w:r w:rsidRPr="00301C0C">
        <w:t xml:space="preserve">contribute to the development </w:t>
      </w:r>
      <w:r w:rsidR="008F16D2">
        <w:t>social</w:t>
      </w:r>
      <w:r w:rsidR="00FB5E8F">
        <w:t>,</w:t>
      </w:r>
      <w:r w:rsidR="008F16D2">
        <w:t xml:space="preserve"> </w:t>
      </w:r>
      <w:r w:rsidRPr="00301C0C">
        <w:t xml:space="preserve">literacy and numeracy </w:t>
      </w:r>
      <w:r w:rsidR="008F16D2">
        <w:t xml:space="preserve">skills </w:t>
      </w:r>
      <w:r w:rsidRPr="00301C0C">
        <w:t>in children. Families instil in children a sense of appropriate behaviour</w:t>
      </w:r>
      <w:r w:rsidR="008F16D2">
        <w:t>,</w:t>
      </w:r>
      <w:r w:rsidRPr="00301C0C">
        <w:t xml:space="preserve"> transmit the values that are important to the family</w:t>
      </w:r>
      <w:r w:rsidR="008F16D2">
        <w:t xml:space="preserve"> and provide comfort and affection</w:t>
      </w:r>
      <w:r w:rsidRPr="00301C0C">
        <w:t>.</w:t>
      </w:r>
    </w:p>
    <w:p w14:paraId="17DEEAFF" w14:textId="457A740B" w:rsidR="00852794" w:rsidRPr="00301C0C" w:rsidRDefault="00852794" w:rsidP="00B45723">
      <w:pPr>
        <w:pStyle w:val="ListParagraph"/>
        <w:numPr>
          <w:ilvl w:val="0"/>
          <w:numId w:val="21"/>
        </w:numPr>
        <w:spacing w:after="120" w:line="240" w:lineRule="auto"/>
        <w:ind w:left="714" w:hanging="357"/>
        <w:contextualSpacing w:val="0"/>
      </w:pPr>
      <w:r w:rsidRPr="00301C0C">
        <w:rPr>
          <w:b/>
          <w:bCs/>
        </w:rPr>
        <w:t>Connection to physical, social and cultural environments:</w:t>
      </w:r>
      <w:r w:rsidRPr="00301C0C">
        <w:t xml:space="preserve"> families </w:t>
      </w:r>
      <w:r w:rsidR="008E3C87" w:rsidRPr="00301C0C">
        <w:t>connect</w:t>
      </w:r>
      <w:r w:rsidRPr="00301C0C">
        <w:t xml:space="preserve"> their members to broader environments, important for individuals’ psychological health and for enhancing social cohesion.</w:t>
      </w:r>
    </w:p>
    <w:p w14:paraId="4A62B09B" w14:textId="77777777" w:rsidR="00852794" w:rsidRPr="00301C0C" w:rsidRDefault="00852794" w:rsidP="00B45723">
      <w:pPr>
        <w:pStyle w:val="ListParagraph"/>
        <w:numPr>
          <w:ilvl w:val="0"/>
          <w:numId w:val="21"/>
        </w:numPr>
        <w:spacing w:after="120" w:line="240" w:lineRule="auto"/>
        <w:ind w:left="714" w:hanging="357"/>
        <w:contextualSpacing w:val="0"/>
      </w:pPr>
      <w:r w:rsidRPr="00301C0C">
        <w:rPr>
          <w:b/>
          <w:bCs/>
        </w:rPr>
        <w:lastRenderedPageBreak/>
        <w:t>Managing and sharing resources and tasks:</w:t>
      </w:r>
      <w:r w:rsidRPr="00301C0C">
        <w:t xml:space="preserve"> acquiring, managing and sharing resources and tasks as a family ensures individuals have their basic needs met so that all members of the family can reach their full potential.</w:t>
      </w:r>
    </w:p>
    <w:p w14:paraId="70FC1E2B" w14:textId="77777777" w:rsidR="00852794" w:rsidRPr="00301C0C" w:rsidRDefault="00852794" w:rsidP="00B45723">
      <w:pPr>
        <w:numPr>
          <w:ilvl w:val="0"/>
          <w:numId w:val="21"/>
        </w:numPr>
        <w:spacing w:after="120" w:line="240" w:lineRule="auto"/>
        <w:ind w:left="714" w:hanging="357"/>
      </w:pPr>
      <w:r w:rsidRPr="00301C0C">
        <w:rPr>
          <w:b/>
          <w:bCs/>
        </w:rPr>
        <w:t>Caring for vulnerable family members:</w:t>
      </w:r>
      <w:r w:rsidRPr="00301C0C">
        <w:t xml:space="preserve"> families often provide informal care for family members who are sick, have a disability, or are frail, rather than placing them in formal care arrangements.</w:t>
      </w:r>
    </w:p>
    <w:p w14:paraId="59F115E2" w14:textId="1AA9ECBA" w:rsidR="00852794" w:rsidRPr="00301C0C" w:rsidRDefault="00852794" w:rsidP="00B45723">
      <w:pPr>
        <w:spacing w:after="120" w:line="240" w:lineRule="auto"/>
      </w:pPr>
      <w:r w:rsidRPr="00301C0C">
        <w:t>As families are a major influence on children’s lives, interventions to improve the context and resources with</w:t>
      </w:r>
      <w:r w:rsidR="00546E41" w:rsidRPr="00301C0C">
        <w:t>in</w:t>
      </w:r>
      <w:r w:rsidRPr="00301C0C">
        <w:t xml:space="preserve"> which families function represent an investment in the overall quality of the social environment for children du</w:t>
      </w:r>
      <w:r w:rsidR="00546E41" w:rsidRPr="00301C0C">
        <w:t>ring their developmental years</w:t>
      </w:r>
      <w:r w:rsidR="00CD6339" w:rsidRPr="00301C0C">
        <w:t>.</w:t>
      </w:r>
      <w:r w:rsidR="004009CF" w:rsidRPr="00301C0C">
        <w:rPr>
          <w:rStyle w:val="EndnoteReference"/>
        </w:rPr>
        <w:endnoteReference w:id="12"/>
      </w:r>
      <w:r w:rsidR="00546E41" w:rsidRPr="00301C0C">
        <w:t xml:space="preserve"> </w:t>
      </w:r>
      <w:r w:rsidRPr="00301C0C">
        <w:t>Ensuring families have the skills and resources to perform their functions well, will assist in improving the quality of the child’s environment, protecting against poore</w:t>
      </w:r>
      <w:r w:rsidR="00546E41" w:rsidRPr="00301C0C">
        <w:t>r developmental outcomes and may</w:t>
      </w:r>
      <w:r w:rsidRPr="00301C0C">
        <w:t xml:space="preserve"> improve outcomes for a generation of children.</w:t>
      </w:r>
    </w:p>
    <w:p w14:paraId="4BD60859" w14:textId="67790F6C" w:rsidR="008D79A0" w:rsidRPr="00301C0C" w:rsidRDefault="008D79A0" w:rsidP="00B45723">
      <w:pPr>
        <w:pStyle w:val="Heading2"/>
        <w:spacing w:before="120"/>
      </w:pPr>
      <w:bookmarkStart w:id="9" w:name="_Toc516213681"/>
      <w:r w:rsidRPr="00301C0C">
        <w:t>Outcomes for families and children</w:t>
      </w:r>
      <w:bookmarkEnd w:id="9"/>
    </w:p>
    <w:p w14:paraId="1D231D54" w14:textId="45AA0233" w:rsidR="00EB058C" w:rsidRDefault="00EB058C" w:rsidP="00B45723">
      <w:pPr>
        <w:spacing w:after="120" w:line="240" w:lineRule="auto"/>
      </w:pPr>
      <w:r w:rsidRPr="00301C0C">
        <w:t xml:space="preserve">Improving family functioning is necessary to support long-term wellbeing for communities by creating a happier, healthier and more skilled population. Positive family functioning can then become self-fulfilling, increasing self-reliance and capability over the life cycle and across generations. Following a review of the evidence, </w:t>
      </w:r>
      <w:r w:rsidR="00DC1752">
        <w:t>DSS has identified three overarching long-term outcomes that are vital for all families and children.</w:t>
      </w:r>
    </w:p>
    <w:p w14:paraId="262336F2" w14:textId="64E00A34" w:rsidR="00B537E6" w:rsidRPr="00301C0C" w:rsidRDefault="00B537E6" w:rsidP="00B45723">
      <w:pPr>
        <w:spacing w:after="120" w:line="240" w:lineRule="auto"/>
      </w:pPr>
      <w:r>
        <w:rPr>
          <w:noProof/>
        </w:rPr>
        <w:drawing>
          <wp:inline distT="0" distB="0" distL="0" distR="0" wp14:anchorId="126D2222" wp14:editId="0F827F24">
            <wp:extent cx="6301105" cy="4336514"/>
            <wp:effectExtent l="0" t="0" r="4445" b="6985"/>
            <wp:docPr id="2" name="Picture 2" descr="Venn diagram of the three outcomes proposed." title="Outcome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0231.D44D845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301105" cy="4336514"/>
                    </a:xfrm>
                    <a:prstGeom prst="rect">
                      <a:avLst/>
                    </a:prstGeom>
                    <a:noFill/>
                    <a:ln>
                      <a:noFill/>
                    </a:ln>
                  </pic:spPr>
                </pic:pic>
              </a:graphicData>
            </a:graphic>
          </wp:inline>
        </w:drawing>
      </w:r>
    </w:p>
    <w:p w14:paraId="23472688" w14:textId="7BCD64F8" w:rsidR="008E3C87" w:rsidRPr="00301C0C" w:rsidRDefault="00301C0C" w:rsidP="00B45723">
      <w:pPr>
        <w:spacing w:after="120" w:line="240" w:lineRule="auto"/>
      </w:pPr>
      <w:r w:rsidRPr="00301C0C">
        <w:t xml:space="preserve"> </w:t>
      </w:r>
    </w:p>
    <w:p w14:paraId="413BB812" w14:textId="77777777" w:rsidR="00B45723" w:rsidRDefault="00B45723">
      <w:pPr>
        <w:spacing w:before="0" w:after="200" w:line="276" w:lineRule="auto"/>
        <w:rPr>
          <w:rFonts w:ascii="Georgia" w:eastAsiaTheme="majorEastAsia" w:hAnsi="Georgia" w:cstheme="majorBidi"/>
          <w:bCs/>
          <w:sz w:val="28"/>
        </w:rPr>
      </w:pPr>
      <w:bookmarkStart w:id="10" w:name="_Toc516213682"/>
      <w:r>
        <w:br w:type="page"/>
      </w:r>
    </w:p>
    <w:p w14:paraId="0BFD69B0" w14:textId="77B6F757" w:rsidR="00171846" w:rsidRPr="00301C0C" w:rsidRDefault="00EB058C" w:rsidP="00B45723">
      <w:pPr>
        <w:pStyle w:val="Heading3"/>
        <w:spacing w:before="120" w:after="120" w:line="240" w:lineRule="auto"/>
      </w:pPr>
      <w:r w:rsidRPr="00301C0C">
        <w:lastRenderedPageBreak/>
        <w:t>Families and children are safe and w</w:t>
      </w:r>
      <w:r w:rsidR="00171846" w:rsidRPr="00301C0C">
        <w:t>ell</w:t>
      </w:r>
      <w:bookmarkEnd w:id="10"/>
    </w:p>
    <w:p w14:paraId="739FF15D" w14:textId="5233BF4C" w:rsidR="003516B7" w:rsidRPr="00567995" w:rsidRDefault="003516B7" w:rsidP="00B45723">
      <w:pPr>
        <w:spacing w:after="120" w:line="240" w:lineRule="auto"/>
        <w:rPr>
          <w:rStyle w:val="BookTitle"/>
          <w:i w:val="0"/>
          <w:smallCaps w:val="0"/>
          <w:spacing w:val="0"/>
        </w:rPr>
      </w:pPr>
      <w:r w:rsidRPr="00567995">
        <w:rPr>
          <w:rStyle w:val="BookTitle"/>
          <w:i w:val="0"/>
          <w:smallCaps w:val="0"/>
          <w:spacing w:val="0"/>
        </w:rPr>
        <w:t xml:space="preserve">All families and children should feel safe in their homes, their schools, their workplaces and their communities. </w:t>
      </w:r>
      <w:r w:rsidR="005468F4" w:rsidRPr="00567995">
        <w:rPr>
          <w:rStyle w:val="BookTitle"/>
          <w:i w:val="0"/>
          <w:smallCaps w:val="0"/>
          <w:spacing w:val="0"/>
        </w:rPr>
        <w:t xml:space="preserve">No family or child should be without the basics needed to have a good, healthy life and to participate fully in society. </w:t>
      </w:r>
    </w:p>
    <w:p w14:paraId="74B6384D" w14:textId="4BEA3B7B" w:rsidR="005468F4" w:rsidRPr="00567995" w:rsidRDefault="00FD1CD8" w:rsidP="00B45723">
      <w:pPr>
        <w:spacing w:after="120" w:line="240" w:lineRule="auto"/>
        <w:rPr>
          <w:rStyle w:val="BookTitle"/>
          <w:i w:val="0"/>
          <w:smallCaps w:val="0"/>
          <w:spacing w:val="0"/>
        </w:rPr>
      </w:pPr>
      <w:r>
        <w:t xml:space="preserve">A number of </w:t>
      </w:r>
      <w:r w:rsidR="00E70363" w:rsidRPr="00567995">
        <w:t xml:space="preserve">DSS’ payments and programs contribute to ensuring that families and children have the material basics </w:t>
      </w:r>
      <w:r>
        <w:t>including</w:t>
      </w:r>
      <w:r w:rsidRPr="00567995">
        <w:t xml:space="preserve"> </w:t>
      </w:r>
      <w:r w:rsidR="00E70363" w:rsidRPr="00567995">
        <w:t xml:space="preserve">income support and family payments, rent assistance, financial wellbeing and capability programs, and homelessness programs. </w:t>
      </w:r>
      <w:r w:rsidR="00E70363" w:rsidRPr="00567995">
        <w:rPr>
          <w:rStyle w:val="BookTitle"/>
          <w:i w:val="0"/>
          <w:smallCaps w:val="0"/>
          <w:spacing w:val="0"/>
        </w:rPr>
        <w:t>Through our FaC services, w</w:t>
      </w:r>
      <w:r w:rsidR="005468F4" w:rsidRPr="00567995">
        <w:rPr>
          <w:rStyle w:val="BookTitle"/>
          <w:i w:val="0"/>
          <w:smallCaps w:val="0"/>
          <w:spacing w:val="0"/>
        </w:rPr>
        <w:t xml:space="preserve">e have </w:t>
      </w:r>
      <w:r w:rsidR="00E70363" w:rsidRPr="00567995">
        <w:rPr>
          <w:rStyle w:val="BookTitle"/>
          <w:i w:val="0"/>
          <w:smallCaps w:val="0"/>
          <w:spacing w:val="0"/>
        </w:rPr>
        <w:t xml:space="preserve">further </w:t>
      </w:r>
      <w:r w:rsidR="005468F4" w:rsidRPr="00567995">
        <w:rPr>
          <w:rStyle w:val="BookTitle"/>
          <w:i w:val="0"/>
          <w:smallCaps w:val="0"/>
          <w:spacing w:val="0"/>
        </w:rPr>
        <w:t xml:space="preserve">opportunities to work with families to increase their education, knowledge and practice of child protective behaviours, conflict resolution skills and </w:t>
      </w:r>
      <w:r w:rsidR="00E70363" w:rsidRPr="00567995">
        <w:rPr>
          <w:rStyle w:val="BookTitle"/>
          <w:i w:val="0"/>
          <w:smallCaps w:val="0"/>
          <w:spacing w:val="0"/>
        </w:rPr>
        <w:t xml:space="preserve">interpersonal skills. </w:t>
      </w:r>
      <w:r w:rsidR="005468F4" w:rsidRPr="00567995">
        <w:rPr>
          <w:rStyle w:val="BookTitle"/>
          <w:i w:val="0"/>
          <w:smallCaps w:val="0"/>
          <w:spacing w:val="0"/>
        </w:rPr>
        <w:t>By helping families to equip themselves with these skills we can ensure a safe and positive home environment</w:t>
      </w:r>
      <w:r w:rsidR="00E70363" w:rsidRPr="00567995">
        <w:rPr>
          <w:rStyle w:val="BookTitle"/>
          <w:i w:val="0"/>
          <w:smallCaps w:val="0"/>
          <w:spacing w:val="0"/>
        </w:rPr>
        <w:t xml:space="preserve"> that gives all members of the family an opportunity to thrive.  </w:t>
      </w:r>
    </w:p>
    <w:p w14:paraId="2788B8B5" w14:textId="6CB7B86A" w:rsidR="00E70363" w:rsidRPr="00567995" w:rsidRDefault="00E70363" w:rsidP="00B45723">
      <w:pPr>
        <w:spacing w:after="120" w:line="240" w:lineRule="auto"/>
        <w:rPr>
          <w:rStyle w:val="BookTitle"/>
          <w:i w:val="0"/>
          <w:smallCaps w:val="0"/>
          <w:spacing w:val="0"/>
        </w:rPr>
      </w:pPr>
      <w:r w:rsidRPr="00567995">
        <w:rPr>
          <w:rStyle w:val="BookTitle"/>
          <w:i w:val="0"/>
          <w:smallCaps w:val="0"/>
          <w:spacing w:val="0"/>
        </w:rPr>
        <w:t>Unfortunately, for many families and children</w:t>
      </w:r>
      <w:r w:rsidR="006636D3" w:rsidRPr="00567995">
        <w:rPr>
          <w:rStyle w:val="BookTitle"/>
          <w:i w:val="0"/>
          <w:smallCaps w:val="0"/>
          <w:spacing w:val="0"/>
        </w:rPr>
        <w:t xml:space="preserve"> being safe and well is more difficult due to </w:t>
      </w:r>
      <w:r w:rsidRPr="00567995">
        <w:rPr>
          <w:rStyle w:val="BookTitle"/>
          <w:i w:val="0"/>
          <w:iCs w:val="0"/>
          <w:smallCaps w:val="0"/>
          <w:spacing w:val="0"/>
        </w:rPr>
        <w:t>experiencing and/or witnessing domestic and family violence,</w:t>
      </w:r>
      <w:r w:rsidRPr="00567995">
        <w:rPr>
          <w:rStyle w:val="EndnoteReference"/>
          <w:spacing w:val="0"/>
        </w:rPr>
        <w:endnoteReference w:id="13"/>
      </w:r>
      <w:r w:rsidRPr="00567995">
        <w:rPr>
          <w:rStyle w:val="BookTitle"/>
          <w:i w:val="0"/>
          <w:iCs w:val="0"/>
          <w:smallCaps w:val="0"/>
          <w:spacing w:val="0"/>
        </w:rPr>
        <w:t xml:space="preserve"> sexual abuse,</w:t>
      </w:r>
      <w:r w:rsidRPr="00567995">
        <w:rPr>
          <w:rStyle w:val="EndnoteReference"/>
          <w:spacing w:val="0"/>
        </w:rPr>
        <w:endnoteReference w:id="14"/>
      </w:r>
      <w:r w:rsidRPr="00567995">
        <w:rPr>
          <w:rStyle w:val="BookTitle"/>
          <w:i w:val="0"/>
          <w:iCs w:val="0"/>
          <w:smallCaps w:val="0"/>
          <w:spacing w:val="0"/>
        </w:rPr>
        <w:t xml:space="preserve"> homelessness,</w:t>
      </w:r>
      <w:r w:rsidRPr="00567995">
        <w:rPr>
          <w:rStyle w:val="EndnoteReference"/>
          <w:spacing w:val="0"/>
        </w:rPr>
        <w:endnoteReference w:id="15"/>
      </w:r>
      <w:r w:rsidRPr="00567995">
        <w:rPr>
          <w:rStyle w:val="BookTitle"/>
          <w:i w:val="0"/>
          <w:iCs w:val="0"/>
          <w:smallCaps w:val="0"/>
          <w:spacing w:val="0"/>
        </w:rPr>
        <w:t xml:space="preserve"> antenatal risk factors including maternal smoking, alcohol and drug use, malnutrition, stress and antenatal depression,</w:t>
      </w:r>
      <w:r w:rsidRPr="00567995">
        <w:rPr>
          <w:rStyle w:val="EndnoteReference"/>
          <w:spacing w:val="0"/>
        </w:rPr>
        <w:endnoteReference w:id="16"/>
      </w:r>
      <w:r w:rsidRPr="00567995">
        <w:rPr>
          <w:rStyle w:val="BookTitle"/>
          <w:i w:val="0"/>
          <w:smallCaps w:val="0"/>
          <w:spacing w:val="0"/>
        </w:rPr>
        <w:t xml:space="preserve"> </w:t>
      </w:r>
      <w:r w:rsidRPr="00567995">
        <w:rPr>
          <w:rStyle w:val="BookTitle"/>
          <w:i w:val="0"/>
          <w:iCs w:val="0"/>
          <w:smallCaps w:val="0"/>
          <w:spacing w:val="0"/>
        </w:rPr>
        <w:t>disability,</w:t>
      </w:r>
      <w:r w:rsidRPr="00567995">
        <w:rPr>
          <w:rStyle w:val="EndnoteReference"/>
          <w:spacing w:val="0"/>
        </w:rPr>
        <w:endnoteReference w:id="17"/>
      </w:r>
      <w:r w:rsidRPr="00567995">
        <w:rPr>
          <w:rStyle w:val="BookTitle"/>
          <w:i w:val="0"/>
          <w:iCs w:val="0"/>
          <w:smallCaps w:val="0"/>
          <w:spacing w:val="0"/>
        </w:rPr>
        <w:t xml:space="preserve"> poor early health and nutrition,</w:t>
      </w:r>
      <w:r w:rsidRPr="00567995">
        <w:rPr>
          <w:rStyle w:val="EndnoteReference"/>
          <w:spacing w:val="0"/>
        </w:rPr>
        <w:endnoteReference w:id="18"/>
      </w:r>
      <w:r w:rsidRPr="00567995">
        <w:rPr>
          <w:rStyle w:val="BookTitle"/>
          <w:i w:val="0"/>
          <w:smallCaps w:val="0"/>
          <w:spacing w:val="0"/>
        </w:rPr>
        <w:t xml:space="preserve"> and </w:t>
      </w:r>
      <w:r w:rsidRPr="00567995">
        <w:rPr>
          <w:rStyle w:val="BookTitle"/>
          <w:i w:val="0"/>
          <w:iCs w:val="0"/>
          <w:smallCaps w:val="0"/>
          <w:spacing w:val="0"/>
        </w:rPr>
        <w:t>poverty.</w:t>
      </w:r>
      <w:r w:rsidRPr="00567995">
        <w:rPr>
          <w:rStyle w:val="EndnoteReference"/>
          <w:spacing w:val="0"/>
        </w:rPr>
        <w:endnoteReference w:id="19"/>
      </w:r>
    </w:p>
    <w:p w14:paraId="197B49C4" w14:textId="76B07DE1" w:rsidR="006636D3" w:rsidRPr="00567995" w:rsidRDefault="006636D3" w:rsidP="00B45723">
      <w:pPr>
        <w:spacing w:after="120" w:line="240" w:lineRule="auto"/>
        <w:rPr>
          <w:rStyle w:val="BookTitle"/>
          <w:i w:val="0"/>
          <w:smallCaps w:val="0"/>
          <w:spacing w:val="0"/>
        </w:rPr>
      </w:pPr>
      <w:r w:rsidRPr="00567995">
        <w:rPr>
          <w:rStyle w:val="BookTitle"/>
          <w:i w:val="0"/>
          <w:smallCaps w:val="0"/>
          <w:spacing w:val="0"/>
        </w:rPr>
        <w:t>These families and children are not a small minority. Violence is prevalent in our homes, with one in four women and one in 13 men experiencing violence from an intimate partner.</w:t>
      </w:r>
      <w:r w:rsidRPr="00567995">
        <w:rPr>
          <w:rStyle w:val="EndnoteReference"/>
          <w:iCs/>
          <w:spacing w:val="0"/>
        </w:rPr>
        <w:endnoteReference w:id="20"/>
      </w:r>
      <w:r w:rsidRPr="00567995">
        <w:rPr>
          <w:rStyle w:val="BookTitle"/>
          <w:i w:val="0"/>
          <w:smallCaps w:val="0"/>
          <w:spacing w:val="0"/>
        </w:rPr>
        <w:t xml:space="preserve"> </w:t>
      </w:r>
      <w:r w:rsidR="00557281" w:rsidRPr="00567995">
        <w:rPr>
          <w:rStyle w:val="BookTitle"/>
          <w:i w:val="0"/>
          <w:smallCaps w:val="0"/>
          <w:spacing w:val="0"/>
        </w:rPr>
        <w:t>Ending an unhealthy relationship can further heighten the risk of violence. Around one in five parents reported that they held safety concerns associated with ongoing contact with their child's other parent and over 90 per cent of these parents had been either physically hurt or emotionally abused by the other parent.</w:t>
      </w:r>
      <w:r w:rsidR="00557281" w:rsidRPr="00567995">
        <w:rPr>
          <w:rStyle w:val="EndnoteReference"/>
          <w:iCs/>
          <w:spacing w:val="0"/>
        </w:rPr>
        <w:endnoteReference w:id="21"/>
      </w:r>
      <w:r w:rsidR="00557281" w:rsidRPr="00567995">
        <w:rPr>
          <w:rStyle w:val="BookTitle"/>
          <w:i w:val="0"/>
          <w:smallCaps w:val="0"/>
          <w:spacing w:val="0"/>
        </w:rPr>
        <w:t xml:space="preserve"> </w:t>
      </w:r>
    </w:p>
    <w:p w14:paraId="77134E66" w14:textId="40402759" w:rsidR="00557281" w:rsidRPr="00567995" w:rsidRDefault="00557281" w:rsidP="00B45723">
      <w:pPr>
        <w:spacing w:after="120" w:line="240" w:lineRule="auto"/>
        <w:rPr>
          <w:rStyle w:val="BookTitle"/>
          <w:i w:val="0"/>
          <w:smallCaps w:val="0"/>
          <w:spacing w:val="0"/>
        </w:rPr>
      </w:pPr>
      <w:r w:rsidRPr="00567995">
        <w:rPr>
          <w:rStyle w:val="BookTitle"/>
          <w:i w:val="0"/>
          <w:smallCaps w:val="0"/>
          <w:spacing w:val="0"/>
        </w:rPr>
        <w:t>The consequences of not doing more to ensure that families and children have a safe home environment are grave. Experiencing violence can significantly hamper a parent’s confidence, health and ability to parent. It can also have significant impacts on children in the family, even when violence isn’t directed specifically towards them.</w:t>
      </w:r>
    </w:p>
    <w:p w14:paraId="14EA93B1" w14:textId="7700DC60" w:rsidR="00557281" w:rsidRPr="00567995" w:rsidRDefault="00557281" w:rsidP="00B45723">
      <w:pPr>
        <w:spacing w:after="120" w:line="240" w:lineRule="auto"/>
        <w:rPr>
          <w:rStyle w:val="BookTitle"/>
          <w:i w:val="0"/>
          <w:smallCaps w:val="0"/>
          <w:spacing w:val="0"/>
        </w:rPr>
      </w:pPr>
      <w:r w:rsidRPr="00567995">
        <w:rPr>
          <w:rStyle w:val="BookTitle"/>
          <w:i w:val="0"/>
          <w:smallCaps w:val="0"/>
          <w:spacing w:val="0"/>
        </w:rPr>
        <w:t>Children being socially isolated, having low self-esteem, having mental health or behavioural difficulties, experiencing domestic violence or being hurt physically or emotionally by their parents increases their risk of being sexually abused.</w:t>
      </w:r>
      <w:r w:rsidRPr="00567995">
        <w:rPr>
          <w:rStyle w:val="EndnoteReference"/>
          <w:iCs/>
          <w:spacing w:val="0"/>
        </w:rPr>
        <w:endnoteReference w:id="22"/>
      </w:r>
      <w:r w:rsidRPr="00567995">
        <w:rPr>
          <w:rStyle w:val="BookTitle"/>
          <w:i w:val="0"/>
          <w:smallCaps w:val="0"/>
          <w:spacing w:val="0"/>
        </w:rPr>
        <w:t xml:space="preserve"> We know from the Adverse Child Experience Study that child abuse and neglect can, in addition to harming the immediate wellbeing of the child, impair early brain development and metabolic and immune system function leading to chronic health problems.</w:t>
      </w:r>
      <w:r w:rsidRPr="00567995">
        <w:rPr>
          <w:rStyle w:val="EndnoteReference"/>
          <w:iCs/>
          <w:spacing w:val="0"/>
        </w:rPr>
        <w:endnoteReference w:id="23"/>
      </w:r>
    </w:p>
    <w:p w14:paraId="10A9F435" w14:textId="6E1B9DAE" w:rsidR="006636D3" w:rsidRDefault="006636D3" w:rsidP="00B45723">
      <w:pPr>
        <w:spacing w:after="120" w:line="240" w:lineRule="auto"/>
      </w:pPr>
      <w:r w:rsidRPr="00567995">
        <w:t xml:space="preserve">Failure to address </w:t>
      </w:r>
      <w:r w:rsidR="00557281" w:rsidRPr="00567995">
        <w:t>families</w:t>
      </w:r>
      <w:r w:rsidRPr="00567995">
        <w:t xml:space="preserve"> and children’s physical and safety needs, makes it extremely difficult for them to connect to others, commit to learning and develop the skills they need to navigate challenges.</w:t>
      </w:r>
      <w:r w:rsidRPr="00567995">
        <w:rPr>
          <w:rStyle w:val="EndnoteReference"/>
        </w:rPr>
        <w:endnoteReference w:id="24"/>
      </w:r>
      <w:r w:rsidRPr="00567995">
        <w:t xml:space="preserve"> </w:t>
      </w:r>
      <w:r w:rsidR="00557281" w:rsidRPr="00567995">
        <w:t xml:space="preserve">All families and children should have the same opportunities to participate in society. It is important that our services help families to achieve their </w:t>
      </w:r>
      <w:r w:rsidR="00416FB7">
        <w:t>maximum potential.</w:t>
      </w:r>
    </w:p>
    <w:p w14:paraId="5C654268" w14:textId="2E5FEF62" w:rsidR="00171846" w:rsidRPr="00301C0C" w:rsidRDefault="000F245D" w:rsidP="00B45723">
      <w:pPr>
        <w:pStyle w:val="Heading3"/>
        <w:spacing w:before="120" w:after="120" w:line="240" w:lineRule="auto"/>
      </w:pPr>
      <w:bookmarkStart w:id="11" w:name="_Toc516213683"/>
      <w:r w:rsidRPr="00085A1F">
        <w:t>Families and c</w:t>
      </w:r>
      <w:r w:rsidR="00EB058C" w:rsidRPr="00301C0C">
        <w:t>hildren are ready to l</w:t>
      </w:r>
      <w:r w:rsidR="00AE2066" w:rsidRPr="00301C0C">
        <w:t>earn</w:t>
      </w:r>
      <w:bookmarkEnd w:id="11"/>
    </w:p>
    <w:p w14:paraId="499B081F" w14:textId="028328DF" w:rsidR="000C6AEE" w:rsidRDefault="00FB5E8F" w:rsidP="00B45723">
      <w:pPr>
        <w:spacing w:after="120" w:line="240" w:lineRule="auto"/>
        <w:rPr>
          <w:rStyle w:val="BookTitle"/>
          <w:i w:val="0"/>
          <w:smallCaps w:val="0"/>
          <w:spacing w:val="0"/>
        </w:rPr>
      </w:pPr>
      <w:r>
        <w:rPr>
          <w:rStyle w:val="BookTitle"/>
          <w:i w:val="0"/>
          <w:smallCaps w:val="0"/>
          <w:spacing w:val="0"/>
        </w:rPr>
        <w:t xml:space="preserve">All families and children should have access to education and the ability to learn. </w:t>
      </w:r>
      <w:r w:rsidR="0020322F">
        <w:rPr>
          <w:rStyle w:val="BookTitle"/>
          <w:i w:val="0"/>
          <w:smallCaps w:val="0"/>
          <w:spacing w:val="0"/>
        </w:rPr>
        <w:t>Formal and informal l</w:t>
      </w:r>
      <w:r w:rsidR="000C6AEE">
        <w:rPr>
          <w:rStyle w:val="BookTitle"/>
          <w:i w:val="0"/>
          <w:smallCaps w:val="0"/>
          <w:spacing w:val="0"/>
        </w:rPr>
        <w:t>earning provide</w:t>
      </w:r>
      <w:r w:rsidR="0020322F">
        <w:rPr>
          <w:rStyle w:val="BookTitle"/>
          <w:i w:val="0"/>
          <w:smallCaps w:val="0"/>
          <w:spacing w:val="0"/>
        </w:rPr>
        <w:t>s</w:t>
      </w:r>
      <w:r w:rsidR="000C6AEE">
        <w:rPr>
          <w:rStyle w:val="BookTitle"/>
          <w:i w:val="0"/>
          <w:smallCaps w:val="0"/>
          <w:spacing w:val="0"/>
        </w:rPr>
        <w:t xml:space="preserve"> opportunities for families to engage with higher paid and more secure work, to communicate effectively with others, to think creatively and to engage more fully with the world around them. </w:t>
      </w:r>
      <w:r w:rsidR="0020322F">
        <w:rPr>
          <w:rStyle w:val="BookTitle"/>
          <w:i w:val="0"/>
          <w:smallCaps w:val="0"/>
          <w:spacing w:val="0"/>
        </w:rPr>
        <w:t>Families and children services</w:t>
      </w:r>
      <w:r w:rsidR="000C6AEE">
        <w:rPr>
          <w:rStyle w:val="BookTitle"/>
          <w:i w:val="0"/>
          <w:smallCaps w:val="0"/>
          <w:spacing w:val="0"/>
        </w:rPr>
        <w:t xml:space="preserve"> play a critical role in assisting families to create an environment that is conducive to learning and allows children to explore their curiosity during their first years of life. </w:t>
      </w:r>
    </w:p>
    <w:p w14:paraId="0D75C42E" w14:textId="77777777" w:rsidR="00B45723" w:rsidRDefault="00B45723">
      <w:pPr>
        <w:spacing w:before="0" w:after="200" w:line="276" w:lineRule="auto"/>
        <w:rPr>
          <w:rStyle w:val="BookTitle"/>
          <w:i w:val="0"/>
          <w:smallCaps w:val="0"/>
          <w:spacing w:val="0"/>
        </w:rPr>
      </w:pPr>
      <w:r>
        <w:rPr>
          <w:rStyle w:val="BookTitle"/>
          <w:i w:val="0"/>
          <w:smallCaps w:val="0"/>
          <w:spacing w:val="0"/>
        </w:rPr>
        <w:br w:type="page"/>
      </w:r>
    </w:p>
    <w:p w14:paraId="27354614" w14:textId="4396DBA9" w:rsidR="008660A1" w:rsidRDefault="008660A1" w:rsidP="00B45723">
      <w:pPr>
        <w:spacing w:after="120" w:line="240" w:lineRule="auto"/>
        <w:rPr>
          <w:rStyle w:val="BookTitle"/>
          <w:i w:val="0"/>
          <w:smallCaps w:val="0"/>
          <w:spacing w:val="0"/>
        </w:rPr>
      </w:pPr>
      <w:r>
        <w:rPr>
          <w:rStyle w:val="BookTitle"/>
          <w:i w:val="0"/>
          <w:smallCaps w:val="0"/>
          <w:spacing w:val="0"/>
        </w:rPr>
        <w:lastRenderedPageBreak/>
        <w:t>Unfortunately, significant numbers of children are arriving to school poorly equipped to benefit from the social and learning opportunities that schools offer. AEDC data demonstrates that o</w:t>
      </w:r>
      <w:r w:rsidRPr="00301C0C">
        <w:rPr>
          <w:rStyle w:val="BookTitle"/>
          <w:i w:val="0"/>
          <w:smallCaps w:val="0"/>
          <w:spacing w:val="0"/>
        </w:rPr>
        <w:t>ne in five Australian children are vulnerable on one or more developmental</w:t>
      </w:r>
      <w:r>
        <w:rPr>
          <w:rStyle w:val="BookTitle"/>
          <w:i w:val="0"/>
          <w:smallCaps w:val="0"/>
          <w:spacing w:val="0"/>
        </w:rPr>
        <w:t xml:space="preserve"> domains when they start school. </w:t>
      </w:r>
    </w:p>
    <w:p w14:paraId="0093B52A" w14:textId="5305CC14" w:rsidR="000C6AEE" w:rsidRDefault="008660A1" w:rsidP="00B45723">
      <w:pPr>
        <w:spacing w:after="120" w:line="240" w:lineRule="auto"/>
        <w:rPr>
          <w:rStyle w:val="BookTitle"/>
          <w:i w:val="0"/>
          <w:smallCaps w:val="0"/>
          <w:spacing w:val="0"/>
        </w:rPr>
      </w:pPr>
      <w:r>
        <w:rPr>
          <w:rStyle w:val="BookTitle"/>
          <w:i w:val="0"/>
          <w:smallCaps w:val="0"/>
          <w:spacing w:val="0"/>
        </w:rPr>
        <w:t>DSS recognises that l</w:t>
      </w:r>
      <w:r w:rsidR="00FB5E8F">
        <w:rPr>
          <w:rStyle w:val="BookTitle"/>
          <w:i w:val="0"/>
          <w:smallCaps w:val="0"/>
          <w:spacing w:val="0"/>
        </w:rPr>
        <w:t xml:space="preserve">earning for children </w:t>
      </w:r>
      <w:r w:rsidR="000C6AEE">
        <w:rPr>
          <w:rStyle w:val="BookTitle"/>
          <w:i w:val="0"/>
          <w:smallCaps w:val="0"/>
          <w:spacing w:val="0"/>
        </w:rPr>
        <w:t>occurs</w:t>
      </w:r>
      <w:r w:rsidR="00FB5E8F">
        <w:rPr>
          <w:rStyle w:val="BookTitle"/>
          <w:i w:val="0"/>
          <w:smallCaps w:val="0"/>
          <w:spacing w:val="0"/>
        </w:rPr>
        <w:t xml:space="preserve"> long before they first step into an early childhood education centre or a school. It happens during the first years of a child’s life, with their p</w:t>
      </w:r>
      <w:r w:rsidR="000C6AEE">
        <w:rPr>
          <w:rStyle w:val="BookTitle"/>
          <w:i w:val="0"/>
          <w:smallCaps w:val="0"/>
          <w:spacing w:val="0"/>
        </w:rPr>
        <w:t xml:space="preserve">arents and families teaching them critical sensory, motor learning, mental, physical and social capabilities. </w:t>
      </w:r>
      <w:r>
        <w:rPr>
          <w:rStyle w:val="BookTitle"/>
          <w:i w:val="0"/>
          <w:smallCaps w:val="0"/>
          <w:spacing w:val="0"/>
        </w:rPr>
        <w:t xml:space="preserve">Shifting the long-term trajectories of children can be most effective during this prenatal and early childhood period as the </w:t>
      </w:r>
      <w:r w:rsidRPr="00301C0C">
        <w:rPr>
          <w:rStyle w:val="BookTitle"/>
          <w:i w:val="0"/>
          <w:smallCaps w:val="0"/>
          <w:spacing w:val="0"/>
        </w:rPr>
        <w:t>foundations for development are established.</w:t>
      </w:r>
      <w:r w:rsidRPr="00301C0C">
        <w:rPr>
          <w:rStyle w:val="EndnoteReference"/>
          <w:iCs/>
          <w:spacing w:val="0"/>
        </w:rPr>
        <w:endnoteReference w:id="25"/>
      </w:r>
      <w:r>
        <w:rPr>
          <w:rStyle w:val="BookTitle"/>
          <w:i w:val="0"/>
          <w:smallCaps w:val="0"/>
          <w:spacing w:val="0"/>
        </w:rPr>
        <w:t xml:space="preserve"> For example, i</w:t>
      </w:r>
      <w:r w:rsidR="000C6AEE" w:rsidRPr="00301C0C">
        <w:rPr>
          <w:rStyle w:val="BookTitle"/>
          <w:i w:val="0"/>
          <w:smallCaps w:val="0"/>
          <w:spacing w:val="0"/>
        </w:rPr>
        <w:t xml:space="preserve">n a child’s first three years of life, their brain grows from approximately 25 per cent to 80-90 per cent of adult size. </w:t>
      </w:r>
    </w:p>
    <w:p w14:paraId="04A9031C" w14:textId="68E8531E" w:rsidR="008660A1" w:rsidRPr="00301C0C" w:rsidRDefault="008660A1" w:rsidP="00B45723">
      <w:pPr>
        <w:spacing w:after="120" w:line="240" w:lineRule="auto"/>
        <w:rPr>
          <w:rStyle w:val="BookTitle"/>
          <w:i w:val="0"/>
          <w:smallCaps w:val="0"/>
          <w:spacing w:val="0"/>
        </w:rPr>
      </w:pPr>
      <w:r>
        <w:rPr>
          <w:rStyle w:val="BookTitle"/>
          <w:i w:val="0"/>
          <w:smallCaps w:val="0"/>
          <w:spacing w:val="0"/>
        </w:rPr>
        <w:t xml:space="preserve">This period </w:t>
      </w:r>
      <w:r w:rsidR="00E87A1D">
        <w:rPr>
          <w:rStyle w:val="BookTitle"/>
          <w:i w:val="0"/>
          <w:smallCaps w:val="0"/>
          <w:spacing w:val="0"/>
        </w:rPr>
        <w:t xml:space="preserve">is also one </w:t>
      </w:r>
      <w:r>
        <w:rPr>
          <w:rStyle w:val="BookTitle"/>
          <w:i w:val="0"/>
          <w:smallCaps w:val="0"/>
          <w:spacing w:val="0"/>
        </w:rPr>
        <w:t>of intense change for families, as they commit to learning new approaches and adapting to the changes in family dynamics a new child brings. Competing demands can place significant time and resource pressures on families. However,</w:t>
      </w:r>
      <w:r w:rsidR="003C3180">
        <w:rPr>
          <w:rStyle w:val="BookTitle"/>
          <w:i w:val="0"/>
          <w:smallCaps w:val="0"/>
          <w:spacing w:val="0"/>
        </w:rPr>
        <w:t xml:space="preserve"> there is a significant positive impact on the outcomes for children when families commit to creating a stimulating learning environment and parents are engaged in their education.</w:t>
      </w:r>
      <w:r w:rsidR="003C3180" w:rsidRPr="003C3180">
        <w:rPr>
          <w:rStyle w:val="EndnoteReference"/>
          <w:iCs/>
          <w:spacing w:val="0"/>
        </w:rPr>
        <w:t xml:space="preserve"> </w:t>
      </w:r>
      <w:r w:rsidR="003C3180" w:rsidRPr="00301C0C">
        <w:rPr>
          <w:rStyle w:val="EndnoteReference"/>
          <w:iCs/>
          <w:spacing w:val="0"/>
        </w:rPr>
        <w:endnoteReference w:id="26"/>
      </w:r>
      <w:r w:rsidR="003C3180">
        <w:rPr>
          <w:rStyle w:val="BookTitle"/>
          <w:i w:val="0"/>
          <w:smallCaps w:val="0"/>
          <w:spacing w:val="0"/>
        </w:rPr>
        <w:t xml:space="preserve"> Skills acquired from families form the basis for skill development later in that child’s life.</w:t>
      </w:r>
      <w:r w:rsidR="003C3180" w:rsidRPr="003C3180">
        <w:rPr>
          <w:rStyle w:val="EndnoteReference"/>
          <w:iCs/>
          <w:spacing w:val="0"/>
        </w:rPr>
        <w:t xml:space="preserve"> </w:t>
      </w:r>
      <w:r w:rsidR="003C3180" w:rsidRPr="00301C0C">
        <w:rPr>
          <w:rStyle w:val="EndnoteReference"/>
          <w:iCs/>
          <w:spacing w:val="0"/>
        </w:rPr>
        <w:endnoteReference w:id="27"/>
      </w:r>
      <w:r w:rsidR="003C3180">
        <w:rPr>
          <w:rStyle w:val="BookTitle"/>
          <w:i w:val="0"/>
          <w:smallCaps w:val="0"/>
          <w:spacing w:val="0"/>
        </w:rPr>
        <w:t xml:space="preserve"> </w:t>
      </w:r>
    </w:p>
    <w:p w14:paraId="63213CCC" w14:textId="26CC44AB" w:rsidR="00301C0C" w:rsidRDefault="00FB5E8F" w:rsidP="00B45723">
      <w:pPr>
        <w:spacing w:after="120" w:line="240" w:lineRule="auto"/>
        <w:rPr>
          <w:rFonts w:ascii="Georgia" w:eastAsiaTheme="majorEastAsia" w:hAnsi="Georgia" w:cstheme="majorBidi"/>
          <w:bCs/>
          <w:sz w:val="28"/>
        </w:rPr>
      </w:pPr>
      <w:r>
        <w:rPr>
          <w:rStyle w:val="BookTitle"/>
          <w:i w:val="0"/>
          <w:smallCaps w:val="0"/>
          <w:spacing w:val="0"/>
        </w:rPr>
        <w:t>Parents and families have the most direct and lasting impact on children’s learning</w:t>
      </w:r>
      <w:r w:rsidR="003C3180">
        <w:rPr>
          <w:rStyle w:val="BookTitle"/>
          <w:i w:val="0"/>
          <w:smallCaps w:val="0"/>
          <w:spacing w:val="0"/>
        </w:rPr>
        <w:t xml:space="preserve"> outcomes</w:t>
      </w:r>
      <w:r>
        <w:rPr>
          <w:rStyle w:val="BookTitle"/>
          <w:i w:val="0"/>
          <w:smallCaps w:val="0"/>
          <w:spacing w:val="0"/>
        </w:rPr>
        <w:t xml:space="preserve">. </w:t>
      </w:r>
      <w:r w:rsidR="003C3180">
        <w:rPr>
          <w:rStyle w:val="BookTitle"/>
          <w:i w:val="0"/>
          <w:smallCaps w:val="0"/>
          <w:spacing w:val="0"/>
        </w:rPr>
        <w:t>Creating an environment that allows children to learn and parents being  positive learning role model</w:t>
      </w:r>
      <w:r w:rsidR="0020322F">
        <w:rPr>
          <w:rStyle w:val="BookTitle"/>
          <w:i w:val="0"/>
          <w:smallCaps w:val="0"/>
          <w:spacing w:val="0"/>
        </w:rPr>
        <w:t>s</w:t>
      </w:r>
      <w:r w:rsidR="003C3180">
        <w:rPr>
          <w:rStyle w:val="BookTitle"/>
          <w:i w:val="0"/>
          <w:smallCaps w:val="0"/>
          <w:spacing w:val="0"/>
        </w:rPr>
        <w:t xml:space="preserve"> help children to have the capacity to learn and be ready for school. </w:t>
      </w:r>
      <w:r w:rsidR="00E87A1D">
        <w:rPr>
          <w:rStyle w:val="BookTitle"/>
          <w:i w:val="0"/>
          <w:smallCaps w:val="0"/>
          <w:spacing w:val="0"/>
        </w:rPr>
        <w:t xml:space="preserve">Our services can assist to build parents skills, education and confidence to ensure their children are school ready and have the capacity to learn. </w:t>
      </w:r>
    </w:p>
    <w:p w14:paraId="1DD94A57" w14:textId="376A6075" w:rsidR="00AE2066" w:rsidRPr="00301C0C" w:rsidRDefault="000F245D" w:rsidP="00B45723">
      <w:pPr>
        <w:pStyle w:val="Heading3"/>
        <w:spacing w:before="120" w:after="120" w:line="240" w:lineRule="auto"/>
      </w:pPr>
      <w:bookmarkStart w:id="12" w:name="_Toc516213684"/>
      <w:r w:rsidRPr="00301C0C">
        <w:t>Families and c</w:t>
      </w:r>
      <w:r w:rsidR="00AE2066" w:rsidRPr="00301C0C">
        <w:t>hildren are strong and resilient</w:t>
      </w:r>
      <w:bookmarkEnd w:id="12"/>
    </w:p>
    <w:p w14:paraId="31F1E4D4" w14:textId="5027DFA2" w:rsidR="00B91C55" w:rsidRDefault="00B91C55" w:rsidP="00B45723">
      <w:pPr>
        <w:spacing w:after="120" w:line="240" w:lineRule="auto"/>
        <w:rPr>
          <w:rStyle w:val="BookTitle"/>
          <w:i w:val="0"/>
          <w:smallCaps w:val="0"/>
          <w:spacing w:val="0"/>
        </w:rPr>
      </w:pPr>
      <w:r>
        <w:rPr>
          <w:rStyle w:val="BookTitle"/>
          <w:i w:val="0"/>
          <w:smallCaps w:val="0"/>
          <w:spacing w:val="0"/>
        </w:rPr>
        <w:t>All families and children should have the strength, resilience and capabilities to navigate challenges and resolve problems throughout their lives. Many families and children will experience challenges in their lives, be it domestic violence, financial difficulty, relationship breakdown, homelessness, medical difficulties or one of many other challenges we all face. Happy, satisfied and confident families and children are more able to manage their emotions and reactions to challenges they experience over the course of their lives.</w:t>
      </w:r>
    </w:p>
    <w:p w14:paraId="7BE7FEA7" w14:textId="1E20B83D" w:rsidR="00B91C55" w:rsidRDefault="00BC5031" w:rsidP="00B45723">
      <w:pPr>
        <w:spacing w:after="120" w:line="240" w:lineRule="auto"/>
        <w:rPr>
          <w:rStyle w:val="BookTitle"/>
          <w:i w:val="0"/>
          <w:smallCaps w:val="0"/>
          <w:spacing w:val="0"/>
        </w:rPr>
      </w:pPr>
      <w:r>
        <w:rPr>
          <w:rStyle w:val="BookTitle"/>
          <w:i w:val="0"/>
          <w:smallCaps w:val="0"/>
          <w:spacing w:val="0"/>
        </w:rPr>
        <w:t>How families function and the way they support each other influences how they will meet challenges.</w:t>
      </w:r>
      <w:r w:rsidRPr="00BC5031">
        <w:rPr>
          <w:rStyle w:val="EndnoteReference"/>
          <w:iCs/>
          <w:spacing w:val="0"/>
        </w:rPr>
        <w:t xml:space="preserve"> </w:t>
      </w:r>
      <w:r w:rsidRPr="00301C0C">
        <w:rPr>
          <w:rStyle w:val="EndnoteReference"/>
          <w:iCs/>
          <w:spacing w:val="0"/>
        </w:rPr>
        <w:endnoteReference w:id="28"/>
      </w:r>
      <w:r w:rsidRPr="00301C0C">
        <w:rPr>
          <w:rStyle w:val="BookTitle"/>
          <w:i w:val="0"/>
          <w:smallCaps w:val="0"/>
          <w:spacing w:val="0"/>
        </w:rPr>
        <w:t xml:space="preserve"> The resilience and coping mechanisms of families are extremely important as children’s behaviours are learned mostly through the</w:t>
      </w:r>
      <w:r>
        <w:rPr>
          <w:rStyle w:val="BookTitle"/>
          <w:i w:val="0"/>
          <w:smallCaps w:val="0"/>
          <w:spacing w:val="0"/>
        </w:rPr>
        <w:t>ir</w:t>
      </w:r>
      <w:r w:rsidRPr="00301C0C">
        <w:rPr>
          <w:rStyle w:val="BookTitle"/>
          <w:i w:val="0"/>
          <w:smallCaps w:val="0"/>
          <w:spacing w:val="0"/>
        </w:rPr>
        <w:t xml:space="preserve"> observation of others, especially their families who are important role models for young children. </w:t>
      </w:r>
      <w:r>
        <w:rPr>
          <w:rStyle w:val="BookTitle"/>
          <w:i w:val="0"/>
          <w:smallCaps w:val="0"/>
          <w:spacing w:val="0"/>
        </w:rPr>
        <w:t>For</w:t>
      </w:r>
      <w:r w:rsidR="0020322F">
        <w:rPr>
          <w:rStyle w:val="BookTitle"/>
          <w:i w:val="0"/>
          <w:smallCaps w:val="0"/>
          <w:spacing w:val="0"/>
        </w:rPr>
        <w:t> </w:t>
      </w:r>
      <w:r>
        <w:rPr>
          <w:rStyle w:val="BookTitle"/>
          <w:i w:val="0"/>
          <w:smallCaps w:val="0"/>
          <w:spacing w:val="0"/>
        </w:rPr>
        <w:t>example, poor parenting has almost twice the impact of persistent poverty on a child’</w:t>
      </w:r>
      <w:r w:rsidR="0020322F">
        <w:rPr>
          <w:rStyle w:val="BookTitle"/>
          <w:i w:val="0"/>
          <w:smallCaps w:val="0"/>
          <w:spacing w:val="0"/>
        </w:rPr>
        <w:t> </w:t>
      </w:r>
      <w:r>
        <w:rPr>
          <w:rStyle w:val="BookTitle"/>
          <w:i w:val="0"/>
          <w:smallCaps w:val="0"/>
          <w:spacing w:val="0"/>
        </w:rPr>
        <w:t>outcomes</w:t>
      </w:r>
      <w:r w:rsidR="0020322F">
        <w:rPr>
          <w:rStyle w:val="BookTitle"/>
          <w:i w:val="0"/>
          <w:smallCaps w:val="0"/>
          <w:spacing w:val="0"/>
        </w:rPr>
        <w:t>, when compared to other factors</w:t>
      </w:r>
      <w:r>
        <w:rPr>
          <w:rStyle w:val="BookTitle"/>
          <w:i w:val="0"/>
          <w:smallCaps w:val="0"/>
          <w:spacing w:val="0"/>
        </w:rPr>
        <w:t>.</w:t>
      </w:r>
      <w:r>
        <w:rPr>
          <w:rStyle w:val="EndnoteReference"/>
          <w:iCs/>
          <w:spacing w:val="0"/>
        </w:rPr>
        <w:t> </w:t>
      </w:r>
      <w:r w:rsidRPr="00301C0C">
        <w:rPr>
          <w:rStyle w:val="EndnoteReference"/>
          <w:iCs/>
          <w:spacing w:val="0"/>
        </w:rPr>
        <w:endnoteReference w:id="29"/>
      </w:r>
      <w:r>
        <w:rPr>
          <w:rStyle w:val="BookTitle"/>
          <w:i w:val="0"/>
          <w:smallCaps w:val="0"/>
          <w:spacing w:val="0"/>
        </w:rPr>
        <w:t xml:space="preserve"> The more time </w:t>
      </w:r>
      <w:r w:rsidRPr="00301C0C">
        <w:rPr>
          <w:rStyle w:val="BookTitle"/>
          <w:i w:val="0"/>
          <w:smallCaps w:val="0"/>
          <w:spacing w:val="0"/>
        </w:rPr>
        <w:t xml:space="preserve">children spend in adverse environments the more </w:t>
      </w:r>
      <w:r>
        <w:rPr>
          <w:rStyle w:val="BookTitle"/>
          <w:i w:val="0"/>
          <w:smallCaps w:val="0"/>
          <w:spacing w:val="0"/>
        </w:rPr>
        <w:t>difficult it is for them to recover from the effects</w:t>
      </w:r>
      <w:r w:rsidRPr="00301C0C">
        <w:rPr>
          <w:rStyle w:val="BookTitle"/>
          <w:i w:val="0"/>
          <w:smallCaps w:val="0"/>
          <w:spacing w:val="0"/>
        </w:rPr>
        <w:t>.</w:t>
      </w:r>
      <w:r w:rsidRPr="00301C0C">
        <w:rPr>
          <w:rStyle w:val="EndnoteReference"/>
          <w:iCs/>
          <w:spacing w:val="0"/>
        </w:rPr>
        <w:endnoteReference w:id="30"/>
      </w:r>
    </w:p>
    <w:p w14:paraId="4DA495D5" w14:textId="27731334" w:rsidR="00E73B92" w:rsidRPr="00301C0C" w:rsidRDefault="007A475E" w:rsidP="00B45723">
      <w:pPr>
        <w:spacing w:after="120" w:line="240" w:lineRule="auto"/>
        <w:rPr>
          <w:rStyle w:val="BookTitle"/>
          <w:i w:val="0"/>
          <w:smallCaps w:val="0"/>
          <w:spacing w:val="0"/>
        </w:rPr>
      </w:pPr>
      <w:r>
        <w:rPr>
          <w:rStyle w:val="BookTitle"/>
          <w:i w:val="0"/>
          <w:smallCaps w:val="0"/>
          <w:spacing w:val="0"/>
        </w:rPr>
        <w:t>However, p</w:t>
      </w:r>
      <w:r w:rsidR="00BC5031">
        <w:rPr>
          <w:rStyle w:val="BookTitle"/>
          <w:i w:val="0"/>
          <w:smallCaps w:val="0"/>
          <w:spacing w:val="0"/>
        </w:rPr>
        <w:t xml:space="preserve">ositive </w:t>
      </w:r>
      <w:r w:rsidR="00BC5031" w:rsidRPr="00301C0C">
        <w:rPr>
          <w:rStyle w:val="BookTitle"/>
          <w:i w:val="0"/>
          <w:smallCaps w:val="0"/>
          <w:spacing w:val="0"/>
        </w:rPr>
        <w:t>stimulation in early life affects subsequent health, wellbeing, coping skills and competence across the lifespan.</w:t>
      </w:r>
      <w:r w:rsidR="00BC5031" w:rsidRPr="00301C0C">
        <w:rPr>
          <w:rStyle w:val="EndnoteReference"/>
        </w:rPr>
        <w:endnoteReference w:id="31"/>
      </w:r>
      <w:r w:rsidR="00BC5031">
        <w:rPr>
          <w:rStyle w:val="BookTitle"/>
          <w:i w:val="0"/>
          <w:smallCaps w:val="0"/>
          <w:spacing w:val="0"/>
        </w:rPr>
        <w:t xml:space="preserve"> The experiences of children from conception to age three </w:t>
      </w:r>
      <w:r w:rsidR="0020322F">
        <w:rPr>
          <w:rStyle w:val="BookTitle"/>
          <w:i w:val="0"/>
          <w:smallCaps w:val="0"/>
          <w:spacing w:val="0"/>
        </w:rPr>
        <w:t>have</w:t>
      </w:r>
      <w:r w:rsidR="00BC5031">
        <w:rPr>
          <w:rStyle w:val="BookTitle"/>
          <w:i w:val="0"/>
          <w:smallCaps w:val="0"/>
          <w:spacing w:val="0"/>
        </w:rPr>
        <w:t xml:space="preserve"> </w:t>
      </w:r>
      <w:r w:rsidR="00BC5031" w:rsidRPr="00301C0C">
        <w:rPr>
          <w:rStyle w:val="BookTitle"/>
          <w:i w:val="0"/>
          <w:smallCaps w:val="0"/>
          <w:spacing w:val="0"/>
        </w:rPr>
        <w:t xml:space="preserve">the </w:t>
      </w:r>
      <w:r w:rsidR="00822800">
        <w:rPr>
          <w:rStyle w:val="BookTitle"/>
          <w:i w:val="0"/>
          <w:smallCaps w:val="0"/>
          <w:spacing w:val="0"/>
        </w:rPr>
        <w:t>most significant impact</w:t>
      </w:r>
      <w:r w:rsidR="00BC5031" w:rsidRPr="00301C0C">
        <w:rPr>
          <w:rStyle w:val="BookTitle"/>
          <w:i w:val="0"/>
          <w:smallCaps w:val="0"/>
          <w:spacing w:val="0"/>
        </w:rPr>
        <w:t xml:space="preserve"> on connecting and sculpting the neurons in children’s brains.</w:t>
      </w:r>
      <w:r w:rsidR="00BC5031" w:rsidRPr="00301C0C">
        <w:rPr>
          <w:rStyle w:val="EndnoteReference"/>
          <w:iCs/>
          <w:spacing w:val="0"/>
        </w:rPr>
        <w:endnoteReference w:id="32"/>
      </w:r>
      <w:r w:rsidR="00BC5031">
        <w:rPr>
          <w:rStyle w:val="BookTitle"/>
          <w:i w:val="0"/>
          <w:smallCaps w:val="0"/>
          <w:spacing w:val="0"/>
        </w:rPr>
        <w:t xml:space="preserve"> These e</w:t>
      </w:r>
      <w:r w:rsidR="00BC5031" w:rsidRPr="00301C0C">
        <w:rPr>
          <w:rStyle w:val="BookTitle"/>
          <w:i w:val="0"/>
          <w:smallCaps w:val="0"/>
          <w:spacing w:val="0"/>
        </w:rPr>
        <w:t xml:space="preserve">arly experiences either enhance or diminish </w:t>
      </w:r>
      <w:r w:rsidR="00BC5031">
        <w:rPr>
          <w:rStyle w:val="BookTitle"/>
          <w:i w:val="0"/>
          <w:smallCaps w:val="0"/>
          <w:spacing w:val="0"/>
        </w:rPr>
        <w:t xml:space="preserve">a child’s </w:t>
      </w:r>
      <w:r w:rsidR="00BC5031" w:rsidRPr="00301C0C">
        <w:rPr>
          <w:rStyle w:val="BookTitle"/>
          <w:i w:val="0"/>
          <w:smallCaps w:val="0"/>
          <w:spacing w:val="0"/>
        </w:rPr>
        <w:t>potential, laying either a strong or fragile platform on which all further development is built.</w:t>
      </w:r>
      <w:r w:rsidR="0020322F">
        <w:rPr>
          <w:rStyle w:val="BookTitle"/>
          <w:i w:val="0"/>
          <w:smallCaps w:val="0"/>
          <w:spacing w:val="0"/>
        </w:rPr>
        <w:t xml:space="preserve"> </w:t>
      </w:r>
      <w:r w:rsidR="00CA2B03">
        <w:rPr>
          <w:rStyle w:val="BookTitle"/>
          <w:i w:val="0"/>
          <w:smallCaps w:val="0"/>
          <w:spacing w:val="0"/>
        </w:rPr>
        <w:t xml:space="preserve">Family and children </w:t>
      </w:r>
      <w:r>
        <w:rPr>
          <w:rStyle w:val="BookTitle"/>
          <w:i w:val="0"/>
          <w:smallCaps w:val="0"/>
          <w:spacing w:val="0"/>
        </w:rPr>
        <w:t>services</w:t>
      </w:r>
      <w:r w:rsidR="00CA2B03">
        <w:rPr>
          <w:rStyle w:val="BookTitle"/>
          <w:i w:val="0"/>
          <w:smallCaps w:val="0"/>
          <w:spacing w:val="0"/>
        </w:rPr>
        <w:t xml:space="preserve"> have a role to play in s</w:t>
      </w:r>
      <w:r w:rsidR="00E73B92" w:rsidRPr="00301C0C">
        <w:rPr>
          <w:rStyle w:val="BookTitle"/>
          <w:i w:val="0"/>
          <w:smallCaps w:val="0"/>
          <w:spacing w:val="0"/>
        </w:rPr>
        <w:t xml:space="preserve">upporting families and children </w:t>
      </w:r>
      <w:r w:rsidR="00A17A97" w:rsidRPr="00301C0C">
        <w:rPr>
          <w:rStyle w:val="BookTitle"/>
          <w:i w:val="0"/>
          <w:smallCaps w:val="0"/>
          <w:spacing w:val="0"/>
        </w:rPr>
        <w:t xml:space="preserve">to develop the </w:t>
      </w:r>
      <w:r w:rsidR="00E73B92" w:rsidRPr="00301C0C">
        <w:rPr>
          <w:rStyle w:val="BookTitle"/>
          <w:i w:val="0"/>
          <w:smallCaps w:val="0"/>
          <w:spacing w:val="0"/>
        </w:rPr>
        <w:t>skills and capacity to deal with and succeed in difficult circumstances</w:t>
      </w:r>
      <w:r w:rsidR="00CA2B03">
        <w:rPr>
          <w:rStyle w:val="BookTitle"/>
          <w:i w:val="0"/>
          <w:smallCaps w:val="0"/>
          <w:spacing w:val="0"/>
        </w:rPr>
        <w:t>.</w:t>
      </w:r>
      <w:r w:rsidR="00103E0C" w:rsidRPr="00301C0C">
        <w:rPr>
          <w:rStyle w:val="BookTitle"/>
          <w:i w:val="0"/>
          <w:smallCaps w:val="0"/>
          <w:spacing w:val="0"/>
        </w:rPr>
        <w:t xml:space="preserve"> </w:t>
      </w:r>
    </w:p>
    <w:p w14:paraId="2C119A16" w14:textId="77777777" w:rsidR="00B45723" w:rsidRDefault="00B45723">
      <w:pPr>
        <w:spacing w:before="0" w:after="200" w:line="276" w:lineRule="auto"/>
        <w:rPr>
          <w:rFonts w:ascii="Georgia" w:eastAsiaTheme="majorEastAsia" w:hAnsi="Georgia" w:cstheme="majorBidi"/>
          <w:bCs/>
          <w:color w:val="500778"/>
          <w:sz w:val="32"/>
          <w:szCs w:val="26"/>
        </w:rPr>
      </w:pPr>
      <w:bookmarkStart w:id="13" w:name="_Toc516213685"/>
      <w:r>
        <w:br w:type="page"/>
      </w:r>
    </w:p>
    <w:p w14:paraId="5675C445" w14:textId="45140506" w:rsidR="00AE2066" w:rsidRPr="00301C0C" w:rsidRDefault="008D79A0" w:rsidP="00B45723">
      <w:pPr>
        <w:pStyle w:val="Heading2"/>
        <w:spacing w:before="120"/>
      </w:pPr>
      <w:r w:rsidRPr="00301C0C">
        <w:lastRenderedPageBreak/>
        <w:t>Funding</w:t>
      </w:r>
      <w:bookmarkEnd w:id="13"/>
      <w:r w:rsidRPr="00301C0C">
        <w:t xml:space="preserve"> </w:t>
      </w:r>
    </w:p>
    <w:p w14:paraId="1AD9EEF4" w14:textId="232DC5A9" w:rsidR="00685597" w:rsidRPr="00301C0C" w:rsidRDefault="0042576E" w:rsidP="00B45723">
      <w:pPr>
        <w:spacing w:after="120" w:line="240" w:lineRule="auto"/>
      </w:pPr>
      <w:r w:rsidRPr="00301C0C">
        <w:t xml:space="preserve">There are currently 225 organisations funded to deliver services under in-scope </w:t>
      </w:r>
      <w:r w:rsidR="00685597" w:rsidRPr="00301C0C">
        <w:t>programs.</w:t>
      </w:r>
      <w:r w:rsidRPr="00301C0C">
        <w:t xml:space="preserve"> Approximately 300 additional organisations are sub-contracted to deliver services </w:t>
      </w:r>
      <w:r w:rsidR="00103E0C" w:rsidRPr="00301C0C">
        <w:t xml:space="preserve">through </w:t>
      </w:r>
      <w:r w:rsidRPr="00301C0C">
        <w:t xml:space="preserve">the </w:t>
      </w:r>
      <w:r w:rsidR="007A5198">
        <w:t>C</w:t>
      </w:r>
      <w:r w:rsidR="007A475E">
        <w:t>f</w:t>
      </w:r>
      <w:r w:rsidR="007A5198">
        <w:t>C</w:t>
      </w:r>
      <w:r w:rsidR="00685597" w:rsidRPr="00301C0C">
        <w:t xml:space="preserve"> FP</w:t>
      </w:r>
      <w:r w:rsidRPr="00301C0C">
        <w:t xml:space="preserve"> and HIPPY programs. </w:t>
      </w:r>
      <w:r w:rsidR="007A5198">
        <w:t>M</w:t>
      </w:r>
      <w:r w:rsidR="00685597" w:rsidRPr="00301C0C">
        <w:t>any organisations receive funding under multiple FaC Activity programs. Ideally, DSS would like support for families and children to be provided base</w:t>
      </w:r>
      <w:r w:rsidR="007A5198">
        <w:t>d</w:t>
      </w:r>
      <w:r w:rsidR="00685597" w:rsidRPr="00301C0C">
        <w:t xml:space="preserve"> on an assessment of their needs. Instead of funding based on specific programs, DSS could provide funding under three streams:</w:t>
      </w:r>
    </w:p>
    <w:p w14:paraId="6BAB854A" w14:textId="6205036E" w:rsidR="00685597" w:rsidRPr="00301C0C" w:rsidRDefault="00685597" w:rsidP="00B45723">
      <w:pPr>
        <w:pStyle w:val="ListParagraph"/>
        <w:numPr>
          <w:ilvl w:val="0"/>
          <w:numId w:val="26"/>
        </w:numPr>
        <w:spacing w:after="120" w:line="240" w:lineRule="auto"/>
        <w:ind w:left="714" w:hanging="357"/>
        <w:contextualSpacing w:val="0"/>
        <w:rPr>
          <w:b/>
        </w:rPr>
      </w:pPr>
      <w:r w:rsidRPr="00301C0C">
        <w:rPr>
          <w:b/>
        </w:rPr>
        <w:t xml:space="preserve">Universal </w:t>
      </w:r>
      <w:r w:rsidRPr="00301C0C">
        <w:t xml:space="preserve">– </w:t>
      </w:r>
      <w:r w:rsidR="007A5198">
        <w:t>p</w:t>
      </w:r>
      <w:r w:rsidRPr="00301C0C">
        <w:t xml:space="preserve">rovides opportunities for all families and children to seek help and access information, advice and education to address issues before they escalate or become entrenched. </w:t>
      </w:r>
    </w:p>
    <w:p w14:paraId="2E255667" w14:textId="7561836D" w:rsidR="00685597" w:rsidRPr="00301C0C" w:rsidRDefault="00685597" w:rsidP="00B45723">
      <w:pPr>
        <w:pStyle w:val="ListParagraph"/>
        <w:numPr>
          <w:ilvl w:val="0"/>
          <w:numId w:val="26"/>
        </w:numPr>
        <w:spacing w:after="120" w:line="240" w:lineRule="auto"/>
        <w:ind w:left="714" w:hanging="357"/>
        <w:contextualSpacing w:val="0"/>
        <w:rPr>
          <w:b/>
        </w:rPr>
      </w:pPr>
      <w:r w:rsidRPr="00301C0C">
        <w:rPr>
          <w:b/>
        </w:rPr>
        <w:t xml:space="preserve">Targeted </w:t>
      </w:r>
      <w:r w:rsidRPr="00301C0C">
        <w:t>–</w:t>
      </w:r>
      <w:r w:rsidRPr="00301C0C">
        <w:rPr>
          <w:b/>
        </w:rPr>
        <w:t xml:space="preserve"> </w:t>
      </w:r>
      <w:r w:rsidR="007A5198">
        <w:t>p</w:t>
      </w:r>
      <w:r w:rsidRPr="00301C0C">
        <w:t>rovides more intensive, and where necessary, frequent and sustained support for children and families experiencing vulnerability or multiple complex risk factors.</w:t>
      </w:r>
    </w:p>
    <w:p w14:paraId="6DFEBD13" w14:textId="38FBDF17" w:rsidR="00685597" w:rsidRPr="00301C0C" w:rsidRDefault="00685597" w:rsidP="00B45723">
      <w:pPr>
        <w:pStyle w:val="ListParagraph"/>
        <w:numPr>
          <w:ilvl w:val="0"/>
          <w:numId w:val="26"/>
        </w:numPr>
        <w:spacing w:after="120" w:line="240" w:lineRule="auto"/>
        <w:ind w:left="714" w:hanging="357"/>
        <w:contextualSpacing w:val="0"/>
        <w:rPr>
          <w:b/>
        </w:rPr>
      </w:pPr>
      <w:r w:rsidRPr="00301C0C">
        <w:rPr>
          <w:b/>
        </w:rPr>
        <w:t xml:space="preserve">Place-based </w:t>
      </w:r>
      <w:r w:rsidRPr="007A475E">
        <w:t>–</w:t>
      </w:r>
      <w:r w:rsidRPr="00301C0C">
        <w:rPr>
          <w:b/>
        </w:rPr>
        <w:t xml:space="preserve"> </w:t>
      </w:r>
      <w:r w:rsidR="007A5198">
        <w:t>p</w:t>
      </w:r>
      <w:r w:rsidRPr="00301C0C">
        <w:t>rovides funding to communities experiencing disadvantage to deliver community-driven, collaborative responses to address local problems impacting the wellbeing of children and their families.</w:t>
      </w:r>
    </w:p>
    <w:p w14:paraId="386836C2" w14:textId="6E7880E4" w:rsidR="00AE2066" w:rsidRPr="00301C0C" w:rsidRDefault="0042576E" w:rsidP="00B45723">
      <w:pPr>
        <w:pStyle w:val="Heading3"/>
        <w:spacing w:before="120" w:after="120" w:line="240" w:lineRule="auto"/>
      </w:pPr>
      <w:bookmarkStart w:id="14" w:name="_Toc516213686"/>
      <w:r w:rsidRPr="00301C0C">
        <w:t>Universal</w:t>
      </w:r>
      <w:bookmarkEnd w:id="14"/>
    </w:p>
    <w:p w14:paraId="5C886E58" w14:textId="31D71202" w:rsidR="0042576E" w:rsidRPr="00085A1F" w:rsidRDefault="0042576E" w:rsidP="00B45723">
      <w:pPr>
        <w:spacing w:after="120" w:line="240" w:lineRule="auto"/>
        <w:rPr>
          <w:rStyle w:val="BookTitle"/>
          <w:rFonts w:asciiTheme="minorHAnsi" w:hAnsiTheme="minorHAnsi" w:cstheme="minorHAnsi"/>
          <w:i w:val="0"/>
          <w:smallCaps w:val="0"/>
          <w:spacing w:val="0"/>
        </w:rPr>
      </w:pPr>
      <w:r w:rsidRPr="00301C0C">
        <w:rPr>
          <w:rStyle w:val="BookTitle"/>
          <w:rFonts w:asciiTheme="minorHAnsi" w:hAnsiTheme="minorHAnsi" w:cstheme="minorHAnsi"/>
          <w:i w:val="0"/>
          <w:smallCaps w:val="0"/>
          <w:spacing w:val="0"/>
        </w:rPr>
        <w:t>Universal services refer to strategies that target entire populations or a whole population (such as the broader population of all families or all children) and are aimed at preventing problems before they occur including those that aim to tackle underlying risks and bolster protective factors</w:t>
      </w:r>
      <w:r w:rsidR="00CD6339" w:rsidRPr="00301C0C">
        <w:rPr>
          <w:rStyle w:val="BookTitle"/>
          <w:rFonts w:asciiTheme="minorHAnsi" w:hAnsiTheme="minorHAnsi" w:cstheme="minorHAnsi"/>
          <w:i w:val="0"/>
          <w:smallCaps w:val="0"/>
          <w:spacing w:val="0"/>
        </w:rPr>
        <w:t>.</w:t>
      </w:r>
      <w:r w:rsidRPr="00301C0C">
        <w:rPr>
          <w:rStyle w:val="EndnoteReference"/>
          <w:rFonts w:asciiTheme="minorHAnsi" w:hAnsiTheme="minorHAnsi" w:cstheme="minorHAnsi"/>
          <w:iCs/>
          <w:spacing w:val="0"/>
        </w:rPr>
        <w:endnoteReference w:id="33"/>
      </w:r>
      <w:r w:rsidRPr="00301C0C">
        <w:rPr>
          <w:rStyle w:val="BookTitle"/>
          <w:rFonts w:asciiTheme="minorHAnsi" w:hAnsiTheme="minorHAnsi" w:cstheme="minorHAnsi"/>
          <w:i w:val="0"/>
          <w:smallCaps w:val="0"/>
          <w:spacing w:val="0"/>
        </w:rPr>
        <w:t xml:space="preserve"> </w:t>
      </w:r>
    </w:p>
    <w:p w14:paraId="597A7A5B" w14:textId="2D4606EE" w:rsidR="00F952EB" w:rsidRPr="00301C0C" w:rsidRDefault="00F952EB" w:rsidP="00B45723">
      <w:pPr>
        <w:spacing w:after="120" w:line="240" w:lineRule="auto"/>
        <w:rPr>
          <w:rFonts w:asciiTheme="minorHAnsi" w:hAnsiTheme="minorHAnsi" w:cstheme="minorHAnsi"/>
        </w:rPr>
      </w:pPr>
      <w:r w:rsidRPr="00301C0C">
        <w:rPr>
          <w:rFonts w:asciiTheme="minorHAnsi" w:hAnsiTheme="minorHAnsi" w:cstheme="minorHAnsi"/>
        </w:rPr>
        <w:t xml:space="preserve">Universal services are generally accessible, non-stigmatising, with the focus on </w:t>
      </w:r>
      <w:r w:rsidR="00103E0C" w:rsidRPr="00301C0C">
        <w:rPr>
          <w:rFonts w:asciiTheme="minorHAnsi" w:hAnsiTheme="minorHAnsi" w:cstheme="minorHAnsi"/>
        </w:rPr>
        <w:t xml:space="preserve">primary </w:t>
      </w:r>
      <w:r w:rsidRPr="00301C0C">
        <w:rPr>
          <w:rFonts w:asciiTheme="minorHAnsi" w:hAnsiTheme="minorHAnsi" w:cstheme="minorHAnsi"/>
        </w:rPr>
        <w:t>prevention and reaching the majority of</w:t>
      </w:r>
      <w:r w:rsidR="0005262D" w:rsidRPr="00301C0C">
        <w:rPr>
          <w:rFonts w:asciiTheme="minorHAnsi" w:hAnsiTheme="minorHAnsi" w:cstheme="minorHAnsi"/>
        </w:rPr>
        <w:t xml:space="preserve"> families and</w:t>
      </w:r>
      <w:r w:rsidRPr="00301C0C">
        <w:rPr>
          <w:rFonts w:asciiTheme="minorHAnsi" w:hAnsiTheme="minorHAnsi" w:cstheme="minorHAnsi"/>
        </w:rPr>
        <w:t xml:space="preserve"> children in need. As</w:t>
      </w:r>
      <w:r w:rsidR="007A5198">
        <w:rPr>
          <w:rFonts w:asciiTheme="minorHAnsi" w:hAnsiTheme="minorHAnsi" w:cstheme="minorHAnsi"/>
        </w:rPr>
        <w:t> </w:t>
      </w:r>
      <w:r w:rsidRPr="00301C0C">
        <w:rPr>
          <w:rFonts w:asciiTheme="minorHAnsi" w:hAnsiTheme="minorHAnsi" w:cstheme="minorHAnsi"/>
        </w:rPr>
        <w:t>such, universal services often provide a ‘soft’ non-threatening entry point to services for families that may have additional needs and require more intensive services</w:t>
      </w:r>
      <w:r w:rsidR="00CD6339" w:rsidRPr="00301C0C">
        <w:rPr>
          <w:rFonts w:asciiTheme="minorHAnsi" w:hAnsiTheme="minorHAnsi" w:cstheme="minorHAnsi"/>
        </w:rPr>
        <w:t>.</w:t>
      </w:r>
      <w:r w:rsidRPr="00301C0C">
        <w:rPr>
          <w:rStyle w:val="EndnoteReference"/>
          <w:rFonts w:asciiTheme="minorHAnsi" w:hAnsiTheme="minorHAnsi" w:cstheme="minorHAnsi"/>
        </w:rPr>
        <w:endnoteReference w:id="34"/>
      </w:r>
      <w:r w:rsidR="0005262D" w:rsidRPr="00301C0C">
        <w:rPr>
          <w:rFonts w:asciiTheme="minorHAnsi" w:hAnsiTheme="minorHAnsi" w:cstheme="minorHAnsi"/>
        </w:rPr>
        <w:t xml:space="preserve"> Evidence also suggests that universal interventions are much more likely to deliver large-scale population-level change.</w:t>
      </w:r>
      <w:r w:rsidR="0084488E" w:rsidRPr="00301C0C">
        <w:rPr>
          <w:rStyle w:val="EndnoteReference"/>
          <w:rFonts w:asciiTheme="minorHAnsi" w:hAnsiTheme="minorHAnsi" w:cstheme="minorHAnsi"/>
        </w:rPr>
        <w:endnoteReference w:id="35"/>
      </w:r>
      <w:r w:rsidR="00FD6EE8" w:rsidRPr="00301C0C">
        <w:rPr>
          <w:rFonts w:asciiTheme="minorHAnsi" w:hAnsiTheme="minorHAnsi" w:cstheme="minorHAnsi"/>
        </w:rPr>
        <w:t xml:space="preserve"> Universal services can provide baseline support and important service s</w:t>
      </w:r>
      <w:r w:rsidR="00103E0C" w:rsidRPr="00301C0C">
        <w:rPr>
          <w:rFonts w:asciiTheme="minorHAnsi" w:hAnsiTheme="minorHAnsi" w:cstheme="minorHAnsi"/>
        </w:rPr>
        <w:t>y</w:t>
      </w:r>
      <w:r w:rsidR="00FD6EE8" w:rsidRPr="00301C0C">
        <w:rPr>
          <w:rFonts w:asciiTheme="minorHAnsi" w:hAnsiTheme="minorHAnsi" w:cstheme="minorHAnsi"/>
        </w:rPr>
        <w:t>stem access and referral points for families to seek help, information, advice and education, including through cost effective modern communication technologies.</w:t>
      </w:r>
    </w:p>
    <w:p w14:paraId="511CA843" w14:textId="58A3A1C8" w:rsidR="0005262D" w:rsidRPr="00301C0C" w:rsidRDefault="0005262D" w:rsidP="00B45723">
      <w:pPr>
        <w:spacing w:after="120" w:line="240" w:lineRule="auto"/>
        <w:rPr>
          <w:rStyle w:val="BookTitle"/>
          <w:rFonts w:asciiTheme="minorHAnsi" w:hAnsiTheme="minorHAnsi" w:cstheme="minorHAnsi"/>
          <w:i w:val="0"/>
          <w:smallCaps w:val="0"/>
          <w:spacing w:val="0"/>
        </w:rPr>
      </w:pPr>
      <w:r w:rsidRPr="00301C0C">
        <w:rPr>
          <w:rStyle w:val="BookTitle"/>
          <w:rFonts w:asciiTheme="minorHAnsi" w:hAnsiTheme="minorHAnsi" w:cstheme="minorHAnsi"/>
          <w:i w:val="0"/>
          <w:smallCaps w:val="0"/>
          <w:spacing w:val="0"/>
        </w:rPr>
        <w:t>For the purposes of this consultation process, DSS is not considering the health and education systems when discussing universal service provision. Rather, DSS is considering universal access to families</w:t>
      </w:r>
      <w:r w:rsidR="007A5198">
        <w:rPr>
          <w:rStyle w:val="BookTitle"/>
          <w:rFonts w:asciiTheme="minorHAnsi" w:hAnsiTheme="minorHAnsi" w:cstheme="minorHAnsi"/>
          <w:i w:val="0"/>
          <w:smallCaps w:val="0"/>
          <w:spacing w:val="0"/>
        </w:rPr>
        <w:t>’</w:t>
      </w:r>
      <w:r w:rsidRPr="00301C0C">
        <w:rPr>
          <w:rStyle w:val="BookTitle"/>
          <w:rFonts w:asciiTheme="minorHAnsi" w:hAnsiTheme="minorHAnsi" w:cstheme="minorHAnsi"/>
          <w:i w:val="0"/>
          <w:smallCaps w:val="0"/>
          <w:spacing w:val="0"/>
        </w:rPr>
        <w:t xml:space="preserve"> and children</w:t>
      </w:r>
      <w:r w:rsidR="00103E0C" w:rsidRPr="00301C0C">
        <w:rPr>
          <w:rStyle w:val="BookTitle"/>
          <w:rFonts w:asciiTheme="minorHAnsi" w:hAnsiTheme="minorHAnsi" w:cstheme="minorHAnsi"/>
          <w:i w:val="0"/>
          <w:smallCaps w:val="0"/>
          <w:spacing w:val="0"/>
        </w:rPr>
        <w:t>’</w:t>
      </w:r>
      <w:r w:rsidRPr="00301C0C">
        <w:rPr>
          <w:rStyle w:val="BookTitle"/>
          <w:rFonts w:asciiTheme="minorHAnsi" w:hAnsiTheme="minorHAnsi" w:cstheme="minorHAnsi"/>
          <w:i w:val="0"/>
          <w:smallCaps w:val="0"/>
          <w:spacing w:val="0"/>
        </w:rPr>
        <w:t>s programs.</w:t>
      </w:r>
    </w:p>
    <w:p w14:paraId="0762CE99" w14:textId="59413C1B" w:rsidR="0042576E" w:rsidRPr="00301C0C" w:rsidRDefault="00470A6D" w:rsidP="00B45723">
      <w:pPr>
        <w:pStyle w:val="Heading3"/>
        <w:spacing w:before="120" w:after="120" w:line="240" w:lineRule="auto"/>
      </w:pPr>
      <w:bookmarkStart w:id="15" w:name="_Toc516213687"/>
      <w:r w:rsidRPr="00301C0C">
        <w:t>Targeted</w:t>
      </w:r>
      <w:bookmarkEnd w:id="15"/>
      <w:r w:rsidRPr="00301C0C">
        <w:t xml:space="preserve"> </w:t>
      </w:r>
    </w:p>
    <w:p w14:paraId="1F145D71" w14:textId="0E0D3CF9" w:rsidR="00E538CE" w:rsidRPr="00085A1F" w:rsidRDefault="00131F68" w:rsidP="00B45723">
      <w:pPr>
        <w:spacing w:after="120" w:line="240" w:lineRule="auto"/>
        <w:rPr>
          <w:rStyle w:val="BookTitle"/>
          <w:rFonts w:asciiTheme="minorHAnsi" w:hAnsiTheme="minorHAnsi" w:cstheme="minorHAnsi"/>
          <w:i w:val="0"/>
          <w:smallCaps w:val="0"/>
          <w:spacing w:val="0"/>
        </w:rPr>
      </w:pPr>
      <w:r w:rsidRPr="00301C0C">
        <w:rPr>
          <w:rStyle w:val="BookTitle"/>
          <w:rFonts w:asciiTheme="minorHAnsi" w:hAnsiTheme="minorHAnsi" w:cstheme="minorHAnsi"/>
          <w:i w:val="0"/>
          <w:smallCaps w:val="0"/>
          <w:spacing w:val="0"/>
        </w:rPr>
        <w:t xml:space="preserve">There is a need for both universal and targeted early intervention and prevention services in order to achieve long term gains. </w:t>
      </w:r>
      <w:r w:rsidR="00F177E4" w:rsidRPr="00301C0C">
        <w:rPr>
          <w:rStyle w:val="BookTitle"/>
          <w:rFonts w:asciiTheme="minorHAnsi" w:hAnsiTheme="minorHAnsi" w:cstheme="minorHAnsi"/>
          <w:i w:val="0"/>
          <w:smallCaps w:val="0"/>
          <w:spacing w:val="0"/>
        </w:rPr>
        <w:t>Families with multiple and complex needs often requi</w:t>
      </w:r>
      <w:r w:rsidR="00A95E2E" w:rsidRPr="00301C0C">
        <w:rPr>
          <w:rStyle w:val="BookTitle"/>
          <w:rFonts w:asciiTheme="minorHAnsi" w:hAnsiTheme="minorHAnsi" w:cstheme="minorHAnsi"/>
          <w:i w:val="0"/>
          <w:smallCaps w:val="0"/>
          <w:spacing w:val="0"/>
        </w:rPr>
        <w:t>re a coordinated service response that is of a high intensity over a long</w:t>
      </w:r>
      <w:r w:rsidR="00470A6D" w:rsidRPr="00301C0C">
        <w:rPr>
          <w:rStyle w:val="BookTitle"/>
          <w:rFonts w:asciiTheme="minorHAnsi" w:hAnsiTheme="minorHAnsi" w:cstheme="minorHAnsi"/>
          <w:i w:val="0"/>
          <w:smallCaps w:val="0"/>
          <w:spacing w:val="0"/>
        </w:rPr>
        <w:t>er</w:t>
      </w:r>
      <w:r w:rsidR="00A95E2E" w:rsidRPr="00301C0C">
        <w:rPr>
          <w:rStyle w:val="BookTitle"/>
          <w:rFonts w:asciiTheme="minorHAnsi" w:hAnsiTheme="minorHAnsi" w:cstheme="minorHAnsi"/>
          <w:i w:val="0"/>
          <w:smallCaps w:val="0"/>
          <w:spacing w:val="0"/>
        </w:rPr>
        <w:t xml:space="preserve"> period of time. </w:t>
      </w:r>
      <w:r w:rsidR="00E538CE" w:rsidRPr="00301C0C">
        <w:rPr>
          <w:rStyle w:val="BookTitle"/>
          <w:rFonts w:asciiTheme="minorHAnsi" w:hAnsiTheme="minorHAnsi" w:cstheme="minorHAnsi"/>
          <w:i w:val="0"/>
          <w:smallCaps w:val="0"/>
          <w:spacing w:val="0"/>
        </w:rPr>
        <w:t>Targeted services usually refer</w:t>
      </w:r>
      <w:r w:rsidR="007E4787" w:rsidRPr="00301C0C">
        <w:rPr>
          <w:rStyle w:val="BookTitle"/>
          <w:rFonts w:asciiTheme="minorHAnsi" w:hAnsiTheme="minorHAnsi" w:cstheme="minorHAnsi"/>
          <w:i w:val="0"/>
          <w:smallCaps w:val="0"/>
          <w:spacing w:val="0"/>
        </w:rPr>
        <w:t xml:space="preserve"> to services that are designed specifically for one group of families or to specific client groups with known vulnerabilities. Targeted can also refer to more intensive services which require referrals from universal services to more specialised services</w:t>
      </w:r>
      <w:r w:rsidR="00E538CE" w:rsidRPr="00301C0C">
        <w:rPr>
          <w:rStyle w:val="BookTitle"/>
          <w:rFonts w:asciiTheme="minorHAnsi" w:hAnsiTheme="minorHAnsi" w:cstheme="minorHAnsi"/>
          <w:i w:val="0"/>
          <w:smallCaps w:val="0"/>
          <w:spacing w:val="0"/>
        </w:rPr>
        <w:t>.</w:t>
      </w:r>
      <w:r w:rsidR="007E4787" w:rsidRPr="00301C0C">
        <w:rPr>
          <w:rStyle w:val="EndnoteReference"/>
          <w:rFonts w:asciiTheme="minorHAnsi" w:hAnsiTheme="minorHAnsi" w:cstheme="minorHAnsi"/>
          <w:iCs/>
          <w:spacing w:val="0"/>
        </w:rPr>
        <w:endnoteReference w:id="36"/>
      </w:r>
    </w:p>
    <w:p w14:paraId="1A1CE763" w14:textId="77777777" w:rsidR="00B45723" w:rsidRDefault="00B45723">
      <w:pPr>
        <w:spacing w:before="0" w:after="200" w:line="276" w:lineRule="auto"/>
        <w:rPr>
          <w:rStyle w:val="BookTitle"/>
          <w:rFonts w:asciiTheme="minorHAnsi" w:hAnsiTheme="minorHAnsi" w:cstheme="minorHAnsi"/>
          <w:i w:val="0"/>
          <w:smallCaps w:val="0"/>
          <w:spacing w:val="0"/>
        </w:rPr>
      </w:pPr>
      <w:r>
        <w:rPr>
          <w:rStyle w:val="BookTitle"/>
          <w:rFonts w:asciiTheme="minorHAnsi" w:hAnsiTheme="minorHAnsi" w:cstheme="minorHAnsi"/>
          <w:i w:val="0"/>
          <w:smallCaps w:val="0"/>
          <w:spacing w:val="0"/>
        </w:rPr>
        <w:br w:type="page"/>
      </w:r>
    </w:p>
    <w:p w14:paraId="65788116" w14:textId="611C6A0A" w:rsidR="00A95E2E" w:rsidRPr="00301C0C" w:rsidRDefault="00AA7647" w:rsidP="00B45723">
      <w:pPr>
        <w:spacing w:after="120" w:line="240" w:lineRule="auto"/>
        <w:rPr>
          <w:rStyle w:val="BookTitle"/>
          <w:rFonts w:asciiTheme="minorHAnsi" w:hAnsiTheme="minorHAnsi" w:cstheme="minorHAnsi"/>
          <w:i w:val="0"/>
          <w:smallCaps w:val="0"/>
          <w:spacing w:val="0"/>
        </w:rPr>
      </w:pPr>
      <w:r w:rsidRPr="00301C0C">
        <w:rPr>
          <w:rStyle w:val="BookTitle"/>
          <w:rFonts w:asciiTheme="minorHAnsi" w:hAnsiTheme="minorHAnsi" w:cstheme="minorHAnsi"/>
          <w:i w:val="0"/>
          <w:smallCaps w:val="0"/>
          <w:spacing w:val="0"/>
        </w:rPr>
        <w:lastRenderedPageBreak/>
        <w:t>Targeted interventions work best in tandem with universal services to address the additional needs of vulnerable families and children</w:t>
      </w:r>
      <w:r w:rsidR="009B7F5B" w:rsidRPr="00301C0C">
        <w:rPr>
          <w:rStyle w:val="BookTitle"/>
          <w:rFonts w:asciiTheme="minorHAnsi" w:hAnsiTheme="minorHAnsi" w:cstheme="minorHAnsi"/>
          <w:i w:val="0"/>
          <w:smallCaps w:val="0"/>
          <w:spacing w:val="0"/>
        </w:rPr>
        <w:t xml:space="preserve"> at risk of</w:t>
      </w:r>
      <w:r w:rsidR="006B6C0D" w:rsidRPr="00301C0C">
        <w:rPr>
          <w:rStyle w:val="BookTitle"/>
          <w:rFonts w:asciiTheme="minorHAnsi" w:hAnsiTheme="minorHAnsi" w:cstheme="minorHAnsi"/>
          <w:i w:val="0"/>
          <w:smallCaps w:val="0"/>
          <w:spacing w:val="0"/>
        </w:rPr>
        <w:t xml:space="preserve"> or experiencing</w:t>
      </w:r>
      <w:r w:rsidR="009B7F5B" w:rsidRPr="00301C0C">
        <w:rPr>
          <w:rStyle w:val="BookTitle"/>
          <w:rFonts w:asciiTheme="minorHAnsi" w:hAnsiTheme="minorHAnsi" w:cstheme="minorHAnsi"/>
          <w:i w:val="0"/>
          <w:smallCaps w:val="0"/>
          <w:spacing w:val="0"/>
        </w:rPr>
        <w:t xml:space="preserve"> significant or multiple issues</w:t>
      </w:r>
      <w:r w:rsidR="00E538CE" w:rsidRPr="00301C0C">
        <w:rPr>
          <w:rStyle w:val="BookTitle"/>
          <w:rFonts w:asciiTheme="minorHAnsi" w:hAnsiTheme="minorHAnsi" w:cstheme="minorHAnsi"/>
          <w:i w:val="0"/>
          <w:smallCaps w:val="0"/>
          <w:spacing w:val="0"/>
        </w:rPr>
        <w:t>.</w:t>
      </w:r>
      <w:r w:rsidRPr="00301C0C">
        <w:rPr>
          <w:rStyle w:val="EndnoteReference"/>
          <w:rFonts w:asciiTheme="minorHAnsi" w:hAnsiTheme="minorHAnsi" w:cstheme="minorHAnsi"/>
          <w:iCs/>
          <w:spacing w:val="0"/>
        </w:rPr>
        <w:endnoteReference w:id="37"/>
      </w:r>
      <w:r w:rsidR="00F952EB" w:rsidRPr="00301C0C">
        <w:rPr>
          <w:rStyle w:val="BookTitle"/>
          <w:rFonts w:asciiTheme="minorHAnsi" w:hAnsiTheme="minorHAnsi" w:cstheme="minorHAnsi"/>
          <w:i w:val="0"/>
          <w:smallCaps w:val="0"/>
          <w:spacing w:val="0"/>
        </w:rPr>
        <w:t xml:space="preserve"> </w:t>
      </w:r>
      <w:r w:rsidR="00F952EB" w:rsidRPr="00301C0C">
        <w:t xml:space="preserve">These targeted services need to be available at the right time and for the required duration for that individual </w:t>
      </w:r>
      <w:r w:rsidR="007A5198">
        <w:t>family’s</w:t>
      </w:r>
      <w:r w:rsidR="007A5198" w:rsidRPr="00301C0C">
        <w:t xml:space="preserve"> </w:t>
      </w:r>
      <w:r w:rsidR="00F952EB" w:rsidRPr="00301C0C">
        <w:t>need</w:t>
      </w:r>
      <w:r w:rsidR="00E538CE" w:rsidRPr="00301C0C">
        <w:t>.</w:t>
      </w:r>
      <w:r w:rsidR="00E538CE" w:rsidRPr="00301C0C">
        <w:rPr>
          <w:rStyle w:val="EndnoteReference"/>
        </w:rPr>
        <w:endnoteReference w:id="38"/>
      </w:r>
      <w:r w:rsidR="00F952EB" w:rsidRPr="00301C0C">
        <w:t>.</w:t>
      </w:r>
    </w:p>
    <w:p w14:paraId="05228B6C" w14:textId="4186FB47" w:rsidR="00EC5623" w:rsidRPr="00301C0C" w:rsidRDefault="007E4787" w:rsidP="00B45723">
      <w:pPr>
        <w:spacing w:after="120" w:line="240" w:lineRule="auto"/>
        <w:rPr>
          <w:rStyle w:val="BookTitle"/>
          <w:rFonts w:asciiTheme="minorHAnsi" w:hAnsiTheme="minorHAnsi" w:cstheme="minorHAnsi"/>
          <w:i w:val="0"/>
          <w:smallCaps w:val="0"/>
          <w:spacing w:val="0"/>
        </w:rPr>
      </w:pPr>
      <w:r w:rsidRPr="00301C0C">
        <w:rPr>
          <w:rStyle w:val="BookTitle"/>
          <w:rFonts w:asciiTheme="minorHAnsi" w:hAnsiTheme="minorHAnsi" w:cstheme="minorHAnsi"/>
          <w:i w:val="0"/>
          <w:smallCaps w:val="0"/>
          <w:spacing w:val="0"/>
        </w:rPr>
        <w:t xml:space="preserve">By identifying and assessing risk factors, targeted early intervention and prevention services can seek to reduce their impact by building the family’s skills, strengths and resources to address these risks. </w:t>
      </w:r>
    </w:p>
    <w:p w14:paraId="70F1E505" w14:textId="3346021B" w:rsidR="00CE59CB" w:rsidRPr="00301C0C" w:rsidRDefault="00CE59CB" w:rsidP="00B45723">
      <w:pPr>
        <w:pStyle w:val="Heading3"/>
        <w:spacing w:before="120" w:after="120" w:line="240" w:lineRule="auto"/>
      </w:pPr>
      <w:bookmarkStart w:id="16" w:name="_Toc516213688"/>
      <w:r w:rsidRPr="00301C0C">
        <w:t>Place-based</w:t>
      </w:r>
      <w:bookmarkEnd w:id="16"/>
    </w:p>
    <w:p w14:paraId="1E426C43" w14:textId="7D1FF11D" w:rsidR="00C11925" w:rsidRPr="00301C0C" w:rsidRDefault="00B02F93" w:rsidP="00B45723">
      <w:pPr>
        <w:tabs>
          <w:tab w:val="num" w:pos="2880"/>
        </w:tabs>
        <w:spacing w:after="120" w:line="240" w:lineRule="auto"/>
        <w:rPr>
          <w:rFonts w:eastAsiaTheme="minorHAnsi"/>
        </w:rPr>
      </w:pPr>
      <w:r w:rsidRPr="00301C0C">
        <w:t>Place</w:t>
      </w:r>
      <w:r w:rsidR="007A5198">
        <w:t>-</w:t>
      </w:r>
      <w:r w:rsidRPr="00301C0C">
        <w:t xml:space="preserve">based </w:t>
      </w:r>
      <w:r w:rsidR="006C65C7" w:rsidRPr="00301C0C">
        <w:t>funding</w:t>
      </w:r>
      <w:r w:rsidRPr="00301C0C">
        <w:t xml:space="preserve"> represent</w:t>
      </w:r>
      <w:r w:rsidR="006C65C7" w:rsidRPr="00301C0C">
        <w:t>s</w:t>
      </w:r>
      <w:r w:rsidRPr="00301C0C">
        <w:t xml:space="preserve"> an opportunity to build a shared understanding of place or location and tailor services to individual and community need.</w:t>
      </w:r>
      <w:r w:rsidR="009C01A5" w:rsidRPr="00301C0C">
        <w:t xml:space="preserve"> </w:t>
      </w:r>
      <w:r w:rsidR="006C65C7" w:rsidRPr="00301C0C">
        <w:t xml:space="preserve">Place-based approaches are </w:t>
      </w:r>
      <w:r w:rsidR="009C01A5" w:rsidRPr="00301C0C">
        <w:t xml:space="preserve">generally long-term </w:t>
      </w:r>
      <w:r w:rsidR="006C65C7" w:rsidRPr="00301C0C">
        <w:t>responses</w:t>
      </w:r>
      <w:r w:rsidR="009C01A5" w:rsidRPr="00301C0C">
        <w:t xml:space="preserve"> to complex problems delivered in a defined geographic location.</w:t>
      </w:r>
      <w:r w:rsidR="000039B7" w:rsidRPr="00301C0C">
        <w:t xml:space="preserve"> Place-based models vary and include initiatives such as Logan Together, Empowered Communities and </w:t>
      </w:r>
      <w:r w:rsidR="007A5198">
        <w:t>C</w:t>
      </w:r>
      <w:r w:rsidR="007A475E">
        <w:t>f</w:t>
      </w:r>
      <w:r w:rsidR="007A5198">
        <w:t>C</w:t>
      </w:r>
      <w:r w:rsidR="0053603E" w:rsidRPr="00301C0C">
        <w:t xml:space="preserve"> FP</w:t>
      </w:r>
      <w:r w:rsidR="000039B7" w:rsidRPr="00301C0C">
        <w:t>.</w:t>
      </w:r>
      <w:r w:rsidR="00C11925" w:rsidRPr="00301C0C">
        <w:t xml:space="preserve"> </w:t>
      </w:r>
    </w:p>
    <w:p w14:paraId="3A5C82B6" w14:textId="74D337BD" w:rsidR="00B96B11" w:rsidRPr="00301C0C" w:rsidRDefault="00CE59CB" w:rsidP="00B45723">
      <w:pPr>
        <w:spacing w:after="120" w:line="240" w:lineRule="auto"/>
      </w:pPr>
      <w:r w:rsidRPr="00301C0C">
        <w:t>Around three in every ten people unemployed in Ju</w:t>
      </w:r>
      <w:r w:rsidR="000039B7" w:rsidRPr="00301C0C">
        <w:t>ne 2016 were residing in the 20 </w:t>
      </w:r>
      <w:r w:rsidRPr="00301C0C">
        <w:t xml:space="preserve">per cent most disadvantaged areas in Australia (refer to Figure </w:t>
      </w:r>
      <w:r w:rsidR="00B02F93" w:rsidRPr="00301C0C">
        <w:t>1</w:t>
      </w:r>
      <w:r w:rsidRPr="00301C0C">
        <w:t>). Children’s vulnerability also correlates with place-based disadvantage</w:t>
      </w:r>
      <w:r w:rsidR="00953BEF" w:rsidRPr="00301C0C">
        <w:t>.</w:t>
      </w:r>
      <w:r w:rsidRPr="00301C0C">
        <w:t xml:space="preserve"> In 2015, children in the most disadvantaged areas were 4.1 times more likely to be developmentally vulnerable, relative to children in the least disadvantaged areas. Locational disadvantage </w:t>
      </w:r>
      <w:r w:rsidR="00B96B11" w:rsidRPr="00301C0C">
        <w:t>is</w:t>
      </w:r>
      <w:r w:rsidRPr="00301C0C">
        <w:t xml:space="preserve"> persistent</w:t>
      </w:r>
      <w:r w:rsidR="00B96B11" w:rsidRPr="00301C0C">
        <w:t>. New South Wales, Victoria and South Australia each have eight to nine localities that have remained in the top 12 most disadvantaged localities in Australia since 1999.</w:t>
      </w:r>
    </w:p>
    <w:p w14:paraId="60941C27" w14:textId="4626625B" w:rsidR="00CE59CB" w:rsidRPr="00B45723" w:rsidRDefault="007A5198" w:rsidP="00B45723">
      <w:pPr>
        <w:spacing w:after="120" w:line="240" w:lineRule="auto"/>
        <w:jc w:val="center"/>
        <w:rPr>
          <w:i/>
        </w:rPr>
      </w:pPr>
      <w:r>
        <w:rPr>
          <w:i/>
        </w:rPr>
        <w:t xml:space="preserve">Figure 1: </w:t>
      </w:r>
      <w:r w:rsidR="00CE59CB" w:rsidRPr="00B45723">
        <w:rPr>
          <w:i/>
        </w:rPr>
        <w:t xml:space="preserve">Index of Relative Advantage and Disadvantage </w:t>
      </w:r>
      <w:r w:rsidR="00E2652E" w:rsidRPr="00B45723">
        <w:rPr>
          <w:i/>
        </w:rPr>
        <w:t>quintiles for</w:t>
      </w:r>
      <w:r w:rsidR="00CE59CB" w:rsidRPr="00B45723">
        <w:rPr>
          <w:i/>
        </w:rPr>
        <w:t xml:space="preserve"> Local Government Area, deciles 201</w:t>
      </w:r>
      <w:r w:rsidR="00E2652E" w:rsidRPr="00B45723">
        <w:rPr>
          <w:i/>
        </w:rPr>
        <w:t>6</w:t>
      </w:r>
      <w:r w:rsidR="00CE59CB" w:rsidRPr="00B45723">
        <w:rPr>
          <w:rStyle w:val="EndnoteReference"/>
          <w:i/>
        </w:rPr>
        <w:endnoteReference w:id="39"/>
      </w:r>
    </w:p>
    <w:p w14:paraId="1408DC90" w14:textId="402482E3" w:rsidR="00CE59CB" w:rsidRPr="00301C0C" w:rsidRDefault="00E2652E" w:rsidP="00B45723">
      <w:pPr>
        <w:spacing w:after="120" w:line="240" w:lineRule="auto"/>
      </w:pPr>
      <w:r w:rsidRPr="00562ECA">
        <w:rPr>
          <w:rFonts w:ascii="Times New Roman" w:eastAsiaTheme="minorHAnsi" w:hAnsi="Times New Roman"/>
          <w:noProof/>
          <w:spacing w:val="0"/>
        </w:rPr>
        <w:drawing>
          <wp:inline distT="0" distB="0" distL="0" distR="0" wp14:anchorId="4650B9F7" wp14:editId="2E5C9AE3">
            <wp:extent cx="5592519" cy="3939396"/>
            <wp:effectExtent l="0" t="0" r="825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dex of relative advantage and disadvantage quintiles for Local Government Areas 2016.jpg"/>
                    <pic:cNvPicPr/>
                  </pic:nvPicPr>
                  <pic:blipFill>
                    <a:blip r:embed="rId19">
                      <a:extLst>
                        <a:ext uri="{28A0092B-C50C-407E-A947-70E740481C1C}">
                          <a14:useLocalDpi xmlns:a14="http://schemas.microsoft.com/office/drawing/2010/main" val="0"/>
                        </a:ext>
                      </a:extLst>
                    </a:blip>
                    <a:stretch>
                      <a:fillRect/>
                    </a:stretch>
                  </pic:blipFill>
                  <pic:spPr>
                    <a:xfrm>
                      <a:off x="0" y="0"/>
                      <a:ext cx="5596152" cy="3941955"/>
                    </a:xfrm>
                    <a:prstGeom prst="rect">
                      <a:avLst/>
                    </a:prstGeom>
                  </pic:spPr>
                </pic:pic>
              </a:graphicData>
            </a:graphic>
          </wp:inline>
        </w:drawing>
      </w:r>
    </w:p>
    <w:p w14:paraId="77B8BD4C" w14:textId="77777777" w:rsidR="00B45723" w:rsidRDefault="00B45723">
      <w:pPr>
        <w:spacing w:before="0" w:after="200" w:line="276" w:lineRule="auto"/>
        <w:rPr>
          <w:rFonts w:eastAsiaTheme="minorHAnsi"/>
        </w:rPr>
      </w:pPr>
      <w:r>
        <w:rPr>
          <w:rFonts w:eastAsiaTheme="minorHAnsi"/>
        </w:rPr>
        <w:br w:type="page"/>
      </w:r>
    </w:p>
    <w:p w14:paraId="73481F94" w14:textId="196FF939" w:rsidR="00EC5623" w:rsidRPr="00301C0C" w:rsidRDefault="000039B7" w:rsidP="00B45723">
      <w:pPr>
        <w:spacing w:after="120" w:line="240" w:lineRule="auto"/>
        <w:rPr>
          <w:rFonts w:eastAsiaTheme="minorHAnsi"/>
        </w:rPr>
      </w:pPr>
      <w:r w:rsidRPr="00301C0C">
        <w:rPr>
          <w:rFonts w:eastAsiaTheme="minorHAnsi"/>
        </w:rPr>
        <w:lastRenderedPageBreak/>
        <w:t>E</w:t>
      </w:r>
      <w:r w:rsidR="00EC5623" w:rsidRPr="00301C0C">
        <w:rPr>
          <w:rFonts w:eastAsiaTheme="minorHAnsi"/>
        </w:rPr>
        <w:t>vidence on</w:t>
      </w:r>
      <w:r w:rsidR="007A5198">
        <w:rPr>
          <w:rFonts w:eastAsiaTheme="minorHAnsi"/>
        </w:rPr>
        <w:t xml:space="preserve"> the success of</w:t>
      </w:r>
      <w:r w:rsidR="00EC5623" w:rsidRPr="00301C0C">
        <w:rPr>
          <w:rFonts w:eastAsiaTheme="minorHAnsi"/>
        </w:rPr>
        <w:t xml:space="preserve"> place-based appr</w:t>
      </w:r>
      <w:r w:rsidRPr="00301C0C">
        <w:rPr>
          <w:rFonts w:eastAsiaTheme="minorHAnsi"/>
        </w:rPr>
        <w:t>oaches is still being developed. However</w:t>
      </w:r>
      <w:r w:rsidR="00B96B11" w:rsidRPr="00301C0C">
        <w:rPr>
          <w:rFonts w:eastAsiaTheme="minorHAnsi"/>
        </w:rPr>
        <w:t>,</w:t>
      </w:r>
      <w:r w:rsidRPr="00301C0C">
        <w:rPr>
          <w:rFonts w:eastAsiaTheme="minorHAnsi"/>
        </w:rPr>
        <w:t xml:space="preserve"> </w:t>
      </w:r>
      <w:r w:rsidR="009D6A99" w:rsidRPr="00301C0C">
        <w:rPr>
          <w:rFonts w:eastAsiaTheme="minorHAnsi"/>
        </w:rPr>
        <w:t xml:space="preserve">place-based approaches are worth exploring based on </w:t>
      </w:r>
      <w:r w:rsidRPr="00301C0C">
        <w:rPr>
          <w:rFonts w:eastAsiaTheme="minorHAnsi"/>
        </w:rPr>
        <w:t>early </w:t>
      </w:r>
      <w:r w:rsidR="00EC5623" w:rsidRPr="00301C0C">
        <w:rPr>
          <w:rFonts w:eastAsiaTheme="minorHAnsi"/>
        </w:rPr>
        <w:t>indicators from a number of place</w:t>
      </w:r>
      <w:r w:rsidR="009D6A99" w:rsidRPr="00301C0C">
        <w:rPr>
          <w:rFonts w:eastAsiaTheme="minorHAnsi"/>
        </w:rPr>
        <w:noBreakHyphen/>
      </w:r>
      <w:r w:rsidR="00EC5623" w:rsidRPr="00301C0C">
        <w:rPr>
          <w:rFonts w:eastAsiaTheme="minorHAnsi"/>
        </w:rPr>
        <w:t>based initiative</w:t>
      </w:r>
      <w:r w:rsidR="006C65C7" w:rsidRPr="00301C0C">
        <w:rPr>
          <w:rFonts w:eastAsiaTheme="minorHAnsi"/>
        </w:rPr>
        <w:t xml:space="preserve">s </w:t>
      </w:r>
      <w:r w:rsidR="00B96B11" w:rsidRPr="00301C0C">
        <w:rPr>
          <w:rFonts w:eastAsiaTheme="minorHAnsi"/>
        </w:rPr>
        <w:t>around</w:t>
      </w:r>
      <w:r w:rsidR="006C65C7" w:rsidRPr="00301C0C">
        <w:rPr>
          <w:rFonts w:eastAsiaTheme="minorHAnsi"/>
        </w:rPr>
        <w:t xml:space="preserve"> Australia, including Logan </w:t>
      </w:r>
      <w:r w:rsidR="00EC5623" w:rsidRPr="00301C0C">
        <w:rPr>
          <w:rFonts w:eastAsiaTheme="minorHAnsi"/>
        </w:rPr>
        <w:t>Together</w:t>
      </w:r>
      <w:r w:rsidR="00B96B11" w:rsidRPr="00301C0C">
        <w:rPr>
          <w:rFonts w:eastAsiaTheme="minorHAnsi"/>
        </w:rPr>
        <w:t xml:space="preserve"> and </w:t>
      </w:r>
      <w:r w:rsidR="00572534" w:rsidRPr="00301C0C">
        <w:rPr>
          <w:rFonts w:eastAsiaTheme="minorHAnsi"/>
        </w:rPr>
        <w:t>Burnie Works</w:t>
      </w:r>
      <w:r w:rsidR="00B96B11" w:rsidRPr="00301C0C">
        <w:rPr>
          <w:rFonts w:eastAsiaTheme="minorHAnsi"/>
        </w:rPr>
        <w:t xml:space="preserve">, combined with </w:t>
      </w:r>
      <w:r w:rsidR="00EC5623" w:rsidRPr="00301C0C">
        <w:rPr>
          <w:rFonts w:eastAsiaTheme="minorHAnsi"/>
        </w:rPr>
        <w:t xml:space="preserve">the desire of communities to </w:t>
      </w:r>
      <w:r w:rsidR="009D6A99" w:rsidRPr="00301C0C">
        <w:rPr>
          <w:rFonts w:eastAsiaTheme="minorHAnsi"/>
        </w:rPr>
        <w:t xml:space="preserve">have more </w:t>
      </w:r>
      <w:r w:rsidR="00EC5623" w:rsidRPr="00301C0C">
        <w:rPr>
          <w:rFonts w:eastAsiaTheme="minorHAnsi"/>
        </w:rPr>
        <w:t>control</w:t>
      </w:r>
      <w:r w:rsidR="009D6A99" w:rsidRPr="00301C0C">
        <w:rPr>
          <w:rFonts w:eastAsiaTheme="minorHAnsi"/>
        </w:rPr>
        <w:t xml:space="preserve"> over the </w:t>
      </w:r>
      <w:r w:rsidR="00EC5623" w:rsidRPr="00301C0C">
        <w:rPr>
          <w:rFonts w:eastAsiaTheme="minorHAnsi"/>
        </w:rPr>
        <w:t>services</w:t>
      </w:r>
      <w:r w:rsidR="009D6A99" w:rsidRPr="00301C0C">
        <w:rPr>
          <w:rFonts w:eastAsiaTheme="minorHAnsi"/>
        </w:rPr>
        <w:t xml:space="preserve"> they receive</w:t>
      </w:r>
      <w:r w:rsidR="00EC5623" w:rsidRPr="00301C0C">
        <w:rPr>
          <w:rFonts w:eastAsiaTheme="minorHAnsi"/>
        </w:rPr>
        <w:t>.</w:t>
      </w:r>
      <w:r w:rsidR="00572534" w:rsidRPr="00301C0C">
        <w:rPr>
          <w:rStyle w:val="EndnoteReference"/>
          <w:rFonts w:eastAsiaTheme="minorHAnsi"/>
        </w:rPr>
        <w:endnoteReference w:id="40"/>
      </w:r>
      <w:r w:rsidR="00EC5623" w:rsidRPr="00301C0C">
        <w:rPr>
          <w:rFonts w:eastAsiaTheme="minorHAnsi"/>
        </w:rPr>
        <w:t xml:space="preserve"> </w:t>
      </w:r>
    </w:p>
    <w:p w14:paraId="2426A0FF" w14:textId="77777777" w:rsidR="00A17A97" w:rsidRPr="00085A1F" w:rsidRDefault="00A17A97" w:rsidP="00B45723">
      <w:pPr>
        <w:pStyle w:val="Heading2"/>
        <w:spacing w:before="120"/>
      </w:pPr>
      <w:bookmarkStart w:id="17" w:name="_Toc516213689"/>
      <w:r w:rsidRPr="00085A1F">
        <w:t>Indigenous Grants Policy</w:t>
      </w:r>
      <w:bookmarkEnd w:id="17"/>
      <w:r w:rsidRPr="00085A1F">
        <w:t xml:space="preserve"> </w:t>
      </w:r>
    </w:p>
    <w:p w14:paraId="78FB24B5" w14:textId="6FF72D41" w:rsidR="00A17A97" w:rsidRPr="00085A1F" w:rsidRDefault="00A17A97" w:rsidP="00B45723">
      <w:pPr>
        <w:spacing w:after="120" w:line="240" w:lineRule="auto"/>
        <w:rPr>
          <w:spacing w:val="0"/>
          <w:sz w:val="22"/>
          <w:szCs w:val="22"/>
        </w:rPr>
      </w:pPr>
      <w:r w:rsidRPr="00085A1F">
        <w:t>DSS is committed to working with Aboriginal and Torres Strait Islander stakeholders to improve outcomes for their families and children. In late 2016</w:t>
      </w:r>
      <w:r w:rsidR="007A475E">
        <w:t>,</w:t>
      </w:r>
      <w:r w:rsidRPr="00085A1F">
        <w:t xml:space="preserve"> the Government agreed to the development of the IGP. The purpose of the IGP is to ensure that where Indigenous Australians are the principle beneficiaries of a Commonwealth granting activity, </w:t>
      </w:r>
      <w:r w:rsidR="00CB4CA5" w:rsidRPr="00085A1F">
        <w:t xml:space="preserve">or are highly represented, </w:t>
      </w:r>
      <w:r w:rsidRPr="00085A1F">
        <w:t>they have a key role in designing and delivering that activity. This strengthened role for Indigenous organisations, businesses and individuals is likely to have beneficial economic flow-on effects and improve service delivery to Indigenous people.</w:t>
      </w:r>
    </w:p>
    <w:p w14:paraId="258A340A" w14:textId="39AE6AFC" w:rsidR="007A475E" w:rsidRDefault="00A17A97" w:rsidP="00B45723">
      <w:pPr>
        <w:spacing w:after="120" w:line="240" w:lineRule="auto"/>
      </w:pPr>
      <w:r w:rsidRPr="00085A1F">
        <w:t xml:space="preserve">The IGP will be trialled by DSS as part of its consideration of the future of family and children programs. </w:t>
      </w:r>
      <w:r w:rsidR="007A5198" w:rsidRPr="00301C0C">
        <w:t>Of the organisations funded directly under the FaC Activity only 17 are identified as Indigenous organisations.</w:t>
      </w:r>
      <w:r w:rsidR="007A475E">
        <w:t xml:space="preserve"> </w:t>
      </w:r>
      <w:r w:rsidRPr="00085A1F">
        <w:t xml:space="preserve">DSS will consider how </w:t>
      </w:r>
      <w:r w:rsidR="00CB4CA5" w:rsidRPr="00085A1F">
        <w:t xml:space="preserve">to increase the number of </w:t>
      </w:r>
      <w:r w:rsidRPr="00085A1F">
        <w:t>Indigenous organisations deliver</w:t>
      </w:r>
      <w:r w:rsidR="00CB4CA5" w:rsidRPr="00085A1F">
        <w:t>ing</w:t>
      </w:r>
      <w:r w:rsidRPr="00085A1F">
        <w:t xml:space="preserve"> services in locations with high Indigenous populations, assuming they provide value for money. </w:t>
      </w:r>
    </w:p>
    <w:p w14:paraId="55BC3E4C" w14:textId="44D11E74" w:rsidR="00A17A97" w:rsidRDefault="00A17A97" w:rsidP="00B45723">
      <w:pPr>
        <w:spacing w:after="120" w:line="240" w:lineRule="auto"/>
      </w:pPr>
      <w:r w:rsidRPr="00085A1F">
        <w:t>In alignment with the IGP, non-Indigenous organisations should be able to develop and demonstrate meaningful partnerships with Aboriginal and Torres Strait Islander families, children and service providers to ensure services are designed and delivered in a culturally appropriate way.</w:t>
      </w:r>
      <w:r w:rsidRPr="00301C0C">
        <w:t xml:space="preserve">  </w:t>
      </w:r>
    </w:p>
    <w:p w14:paraId="46B6B198" w14:textId="5E874A48" w:rsidR="00CE59CB" w:rsidRPr="00301C0C" w:rsidRDefault="008E630D" w:rsidP="00B45723">
      <w:pPr>
        <w:pStyle w:val="Heading1"/>
        <w:spacing w:before="120"/>
        <w:contextualSpacing w:val="0"/>
      </w:pPr>
      <w:bookmarkStart w:id="18" w:name="_Toc516213690"/>
      <w:r w:rsidRPr="00301C0C">
        <w:t xml:space="preserve">Principle 2: </w:t>
      </w:r>
      <w:r w:rsidR="00CE59CB" w:rsidRPr="00301C0C">
        <w:t>Target</w:t>
      </w:r>
      <w:r w:rsidR="008D79A0" w:rsidRPr="00301C0C">
        <w:t>ed</w:t>
      </w:r>
      <w:r w:rsidRPr="00301C0C">
        <w:t xml:space="preserve"> Service Delivery</w:t>
      </w:r>
      <w:bookmarkEnd w:id="18"/>
    </w:p>
    <w:p w14:paraId="4ABA1EEE" w14:textId="6BBB49B0" w:rsidR="006C65C7" w:rsidRPr="00301C0C" w:rsidRDefault="006C65C7" w:rsidP="00B45723">
      <w:pPr>
        <w:pStyle w:val="Heading2"/>
        <w:spacing w:before="120"/>
      </w:pPr>
      <w:bookmarkStart w:id="19" w:name="_Toc516213691"/>
      <w:r w:rsidRPr="00301C0C">
        <w:t>Cohorts</w:t>
      </w:r>
      <w:bookmarkEnd w:id="19"/>
    </w:p>
    <w:p w14:paraId="785467A0" w14:textId="37C49D7B" w:rsidR="003A6297" w:rsidRPr="00301C0C" w:rsidRDefault="003A6297" w:rsidP="00B45723">
      <w:pPr>
        <w:spacing w:after="120" w:line="240" w:lineRule="auto"/>
        <w:rPr>
          <w:rStyle w:val="BookTitle"/>
          <w:rFonts w:cs="Arial"/>
          <w:i w:val="0"/>
          <w:smallCaps w:val="0"/>
        </w:rPr>
      </w:pPr>
      <w:r w:rsidRPr="00301C0C">
        <w:rPr>
          <w:rStyle w:val="BookTitle"/>
          <w:rFonts w:cs="Arial"/>
          <w:i w:val="0"/>
          <w:smallCaps w:val="0"/>
        </w:rPr>
        <w:t>Families and children may be at risk of a single</w:t>
      </w:r>
      <w:r>
        <w:rPr>
          <w:rStyle w:val="BookTitle"/>
          <w:rFonts w:cs="Arial"/>
          <w:i w:val="0"/>
          <w:smallCaps w:val="0"/>
        </w:rPr>
        <w:t xml:space="preserve"> factor</w:t>
      </w:r>
      <w:r w:rsidRPr="00301C0C">
        <w:rPr>
          <w:rStyle w:val="BookTitle"/>
          <w:rFonts w:cs="Arial"/>
          <w:i w:val="0"/>
          <w:smallCaps w:val="0"/>
        </w:rPr>
        <w:t xml:space="preserve"> or multiple factors that increase the likelihood of the</w:t>
      </w:r>
      <w:r>
        <w:rPr>
          <w:rStyle w:val="BookTitle"/>
          <w:rFonts w:cs="Arial"/>
          <w:i w:val="0"/>
          <w:smallCaps w:val="0"/>
        </w:rPr>
        <w:t xml:space="preserve">m </w:t>
      </w:r>
      <w:r w:rsidRPr="00301C0C">
        <w:rPr>
          <w:rStyle w:val="BookTitle"/>
          <w:rFonts w:cs="Arial"/>
          <w:i w:val="0"/>
          <w:smallCaps w:val="0"/>
        </w:rPr>
        <w:t>not being safe, resilient and ready to learn. These factors may include:</w:t>
      </w:r>
    </w:p>
    <w:p w14:paraId="591868EA" w14:textId="77777777" w:rsidR="003A6297" w:rsidRPr="00301C0C" w:rsidRDefault="003A6297" w:rsidP="00B45723">
      <w:pPr>
        <w:pStyle w:val="ListParagraph"/>
        <w:numPr>
          <w:ilvl w:val="0"/>
          <w:numId w:val="20"/>
        </w:numPr>
        <w:spacing w:after="120" w:line="240" w:lineRule="auto"/>
        <w:ind w:left="714" w:hanging="357"/>
        <w:contextualSpacing w:val="0"/>
        <w:rPr>
          <w:rStyle w:val="BookTitle"/>
          <w:rFonts w:cs="Arial"/>
          <w:i w:val="0"/>
          <w:smallCaps w:val="0"/>
        </w:rPr>
      </w:pPr>
      <w:r w:rsidRPr="00301C0C">
        <w:rPr>
          <w:rStyle w:val="BookTitle"/>
          <w:rFonts w:cs="Arial"/>
          <w:i w:val="0"/>
          <w:smallCaps w:val="0"/>
        </w:rPr>
        <w:t>drug and alcohol abuse,</w:t>
      </w:r>
    </w:p>
    <w:p w14:paraId="187DB70C" w14:textId="77777777" w:rsidR="003A6297" w:rsidRPr="00301C0C" w:rsidRDefault="003A6297" w:rsidP="00B45723">
      <w:pPr>
        <w:pStyle w:val="ListParagraph"/>
        <w:numPr>
          <w:ilvl w:val="0"/>
          <w:numId w:val="20"/>
        </w:numPr>
        <w:spacing w:after="120" w:line="240" w:lineRule="auto"/>
        <w:ind w:left="714" w:hanging="357"/>
        <w:contextualSpacing w:val="0"/>
        <w:rPr>
          <w:rStyle w:val="BookTitle"/>
          <w:rFonts w:cs="Arial"/>
          <w:i w:val="0"/>
          <w:smallCaps w:val="0"/>
        </w:rPr>
      </w:pPr>
      <w:r w:rsidRPr="00301C0C">
        <w:rPr>
          <w:rStyle w:val="BookTitle"/>
          <w:rFonts w:cs="Arial"/>
          <w:i w:val="0"/>
          <w:smallCaps w:val="0"/>
        </w:rPr>
        <w:t>domestic and family violence,</w:t>
      </w:r>
    </w:p>
    <w:p w14:paraId="29E3F943" w14:textId="77777777" w:rsidR="003A6297" w:rsidRPr="00301C0C" w:rsidRDefault="003A6297" w:rsidP="00B45723">
      <w:pPr>
        <w:pStyle w:val="ListParagraph"/>
        <w:numPr>
          <w:ilvl w:val="0"/>
          <w:numId w:val="20"/>
        </w:numPr>
        <w:spacing w:after="120" w:line="240" w:lineRule="auto"/>
        <w:ind w:left="714" w:hanging="357"/>
        <w:contextualSpacing w:val="0"/>
        <w:rPr>
          <w:rStyle w:val="BookTitle"/>
          <w:rFonts w:cs="Arial"/>
          <w:i w:val="0"/>
          <w:smallCaps w:val="0"/>
        </w:rPr>
      </w:pPr>
      <w:r w:rsidRPr="00301C0C">
        <w:rPr>
          <w:rStyle w:val="BookTitle"/>
          <w:rFonts w:cs="Arial"/>
          <w:i w:val="0"/>
          <w:smallCaps w:val="0"/>
        </w:rPr>
        <w:t>child abuse and neglect,</w:t>
      </w:r>
    </w:p>
    <w:p w14:paraId="29DE5822" w14:textId="77777777" w:rsidR="003A6297" w:rsidRPr="00301C0C" w:rsidRDefault="003A6297" w:rsidP="00B45723">
      <w:pPr>
        <w:pStyle w:val="ListParagraph"/>
        <w:numPr>
          <w:ilvl w:val="0"/>
          <w:numId w:val="20"/>
        </w:numPr>
        <w:spacing w:after="120" w:line="240" w:lineRule="auto"/>
        <w:ind w:left="714" w:hanging="357"/>
        <w:contextualSpacing w:val="0"/>
        <w:rPr>
          <w:rStyle w:val="BookTitle"/>
          <w:rFonts w:cs="Arial"/>
          <w:i w:val="0"/>
          <w:smallCaps w:val="0"/>
        </w:rPr>
      </w:pPr>
      <w:r w:rsidRPr="00301C0C">
        <w:rPr>
          <w:rStyle w:val="BookTitle"/>
          <w:rFonts w:cs="Arial"/>
          <w:i w:val="0"/>
          <w:smallCaps w:val="0"/>
        </w:rPr>
        <w:t>disability,</w:t>
      </w:r>
    </w:p>
    <w:p w14:paraId="51E7CD31" w14:textId="77777777" w:rsidR="003A6297" w:rsidRPr="00301C0C" w:rsidRDefault="003A6297" w:rsidP="00B45723">
      <w:pPr>
        <w:pStyle w:val="ListParagraph"/>
        <w:numPr>
          <w:ilvl w:val="0"/>
          <w:numId w:val="20"/>
        </w:numPr>
        <w:spacing w:after="120" w:line="240" w:lineRule="auto"/>
        <w:ind w:left="714" w:hanging="357"/>
        <w:contextualSpacing w:val="0"/>
        <w:rPr>
          <w:rStyle w:val="BookTitle"/>
          <w:rFonts w:cs="Arial"/>
          <w:i w:val="0"/>
          <w:smallCaps w:val="0"/>
        </w:rPr>
      </w:pPr>
      <w:r w:rsidRPr="00301C0C">
        <w:rPr>
          <w:rStyle w:val="BookTitle"/>
          <w:rFonts w:cs="Arial"/>
          <w:i w:val="0"/>
          <w:smallCaps w:val="0"/>
        </w:rPr>
        <w:t>homelessness,</w:t>
      </w:r>
    </w:p>
    <w:p w14:paraId="44B7BD86" w14:textId="77777777" w:rsidR="003A6297" w:rsidRPr="00301C0C" w:rsidRDefault="003A6297" w:rsidP="00B45723">
      <w:pPr>
        <w:pStyle w:val="ListParagraph"/>
        <w:numPr>
          <w:ilvl w:val="0"/>
          <w:numId w:val="20"/>
        </w:numPr>
        <w:spacing w:after="120" w:line="240" w:lineRule="auto"/>
        <w:ind w:left="714" w:hanging="357"/>
        <w:contextualSpacing w:val="0"/>
        <w:rPr>
          <w:rStyle w:val="BookTitle"/>
          <w:rFonts w:cs="Arial"/>
          <w:i w:val="0"/>
          <w:smallCaps w:val="0"/>
        </w:rPr>
      </w:pPr>
      <w:r w:rsidRPr="00301C0C">
        <w:rPr>
          <w:rStyle w:val="BookTitle"/>
          <w:rFonts w:cs="Arial"/>
          <w:i w:val="0"/>
          <w:smallCaps w:val="0"/>
        </w:rPr>
        <w:t>children who are developmentally vulnerable,</w:t>
      </w:r>
    </w:p>
    <w:p w14:paraId="57EE86A9" w14:textId="77777777" w:rsidR="003A6297" w:rsidRPr="00301C0C" w:rsidRDefault="003A6297" w:rsidP="00B45723">
      <w:pPr>
        <w:pStyle w:val="ListParagraph"/>
        <w:numPr>
          <w:ilvl w:val="0"/>
          <w:numId w:val="20"/>
        </w:numPr>
        <w:spacing w:after="120" w:line="240" w:lineRule="auto"/>
        <w:ind w:left="714" w:hanging="357"/>
        <w:contextualSpacing w:val="0"/>
        <w:rPr>
          <w:rStyle w:val="BookTitle"/>
          <w:rFonts w:cs="Arial"/>
          <w:i w:val="0"/>
          <w:smallCaps w:val="0"/>
        </w:rPr>
      </w:pPr>
      <w:r w:rsidRPr="00301C0C">
        <w:rPr>
          <w:rStyle w:val="BookTitle"/>
          <w:rFonts w:cs="Arial"/>
          <w:i w:val="0"/>
          <w:smallCaps w:val="0"/>
        </w:rPr>
        <w:t xml:space="preserve">relationship breakdown, or </w:t>
      </w:r>
    </w:p>
    <w:p w14:paraId="149FD394" w14:textId="77777777" w:rsidR="00316AC1" w:rsidRDefault="003A6297" w:rsidP="00B45723">
      <w:pPr>
        <w:pStyle w:val="ListParagraph"/>
        <w:numPr>
          <w:ilvl w:val="0"/>
          <w:numId w:val="20"/>
        </w:numPr>
        <w:spacing w:after="120" w:line="240" w:lineRule="auto"/>
        <w:ind w:left="714" w:hanging="357"/>
        <w:contextualSpacing w:val="0"/>
        <w:rPr>
          <w:rStyle w:val="BookTitle"/>
          <w:rFonts w:cs="Arial"/>
          <w:i w:val="0"/>
          <w:smallCaps w:val="0"/>
        </w:rPr>
      </w:pPr>
      <w:r w:rsidRPr="00301C0C">
        <w:rPr>
          <w:rStyle w:val="BookTitle"/>
          <w:rFonts w:cs="Arial"/>
          <w:i w:val="0"/>
          <w:smallCaps w:val="0"/>
        </w:rPr>
        <w:t>financial difficulty.</w:t>
      </w:r>
    </w:p>
    <w:p w14:paraId="00C50B15" w14:textId="0CDA4E27" w:rsidR="00B87C53" w:rsidRPr="00B87C53" w:rsidRDefault="00B87C53" w:rsidP="00B45723">
      <w:pPr>
        <w:spacing w:after="120" w:line="240" w:lineRule="auto"/>
        <w:rPr>
          <w:rStyle w:val="BookTitle"/>
          <w:rFonts w:cs="Arial"/>
          <w:i w:val="0"/>
          <w:smallCaps w:val="0"/>
        </w:rPr>
      </w:pPr>
      <w:r>
        <w:rPr>
          <w:rStyle w:val="BookTitle"/>
          <w:rFonts w:cs="Arial"/>
          <w:i w:val="0"/>
          <w:smallCaps w:val="0"/>
        </w:rPr>
        <w:t>A</w:t>
      </w:r>
      <w:r w:rsidRPr="00B87C53">
        <w:rPr>
          <w:rStyle w:val="BookTitle"/>
          <w:rFonts w:cs="Arial"/>
          <w:i w:val="0"/>
          <w:smallCaps w:val="0"/>
        </w:rPr>
        <w:t>nalysis of the administrative data for FaC programs contained in the Data</w:t>
      </w:r>
      <w:r w:rsidR="00822800">
        <w:rPr>
          <w:rStyle w:val="BookTitle"/>
          <w:rFonts w:cs="Arial"/>
          <w:i w:val="0"/>
          <w:smallCaps w:val="0"/>
        </w:rPr>
        <w:t> </w:t>
      </w:r>
      <w:r w:rsidRPr="00B87C53">
        <w:rPr>
          <w:rStyle w:val="BookTitle"/>
          <w:rFonts w:cs="Arial"/>
          <w:i w:val="0"/>
          <w:smallCaps w:val="0"/>
        </w:rPr>
        <w:t xml:space="preserve">Exchange demonstrates that clients often access multiple services funded by the Department, with Emergency Relief being the most common service accessed outside of FaC. </w:t>
      </w:r>
    </w:p>
    <w:p w14:paraId="31593AAB" w14:textId="77777777" w:rsidR="00B45723" w:rsidRDefault="00B45723">
      <w:pPr>
        <w:spacing w:before="0" w:after="200" w:line="276" w:lineRule="auto"/>
        <w:rPr>
          <w:rStyle w:val="BookTitle"/>
          <w:rFonts w:cs="Arial"/>
          <w:i w:val="0"/>
          <w:smallCaps w:val="0"/>
        </w:rPr>
      </w:pPr>
      <w:r>
        <w:rPr>
          <w:rStyle w:val="BookTitle"/>
          <w:rFonts w:cs="Arial"/>
          <w:i w:val="0"/>
          <w:smallCaps w:val="0"/>
        </w:rPr>
        <w:br w:type="page"/>
      </w:r>
    </w:p>
    <w:p w14:paraId="15209F8F" w14:textId="666AFC2D" w:rsidR="00C643D9" w:rsidRDefault="00C643D9" w:rsidP="00B45723">
      <w:pPr>
        <w:spacing w:after="120" w:line="240" w:lineRule="auto"/>
        <w:rPr>
          <w:rStyle w:val="BookTitle"/>
          <w:rFonts w:cs="Arial"/>
          <w:i w:val="0"/>
          <w:smallCaps w:val="0"/>
        </w:rPr>
      </w:pPr>
      <w:r w:rsidRPr="00C643D9">
        <w:rPr>
          <w:rStyle w:val="BookTitle"/>
          <w:rFonts w:cs="Arial"/>
          <w:i w:val="0"/>
          <w:smallCaps w:val="0"/>
        </w:rPr>
        <w:lastRenderedPageBreak/>
        <w:t xml:space="preserve">Anecdotal feedback from service providers and Funding Arrangement Managers (FAMS), supported by the Personal Safety Survey from the Australian Bureau of Statistics, indicates that approximately half of families and children that attend a FaC service identify as experiencing family and domestic violence over the course of interacting with that service. This can have a significant impact on the resilience and development of their children and on their children’s attitudes to violence. </w:t>
      </w:r>
    </w:p>
    <w:p w14:paraId="75FF7245" w14:textId="2DF4F92C" w:rsidR="00316AC1" w:rsidRDefault="00316AC1" w:rsidP="00B45723">
      <w:pPr>
        <w:spacing w:after="120" w:line="240" w:lineRule="auto"/>
        <w:rPr>
          <w:rFonts w:cs="Arial"/>
          <w:iCs/>
          <w:spacing w:val="5"/>
        </w:rPr>
      </w:pPr>
      <w:r>
        <w:rPr>
          <w:rFonts w:cs="Arial"/>
          <w:iCs/>
          <w:spacing w:val="5"/>
        </w:rPr>
        <w:t>W</w:t>
      </w:r>
      <w:r w:rsidRPr="00B45723">
        <w:rPr>
          <w:rFonts w:cs="Arial"/>
          <w:iCs/>
          <w:spacing w:val="5"/>
        </w:rPr>
        <w:t>hen considering families and children who experience poorer outcomes</w:t>
      </w:r>
      <w:r>
        <w:rPr>
          <w:rFonts w:cs="Arial"/>
          <w:iCs/>
          <w:spacing w:val="5"/>
        </w:rPr>
        <w:t xml:space="preserve">, </w:t>
      </w:r>
      <w:r w:rsidR="007B52DA" w:rsidRPr="00B45723">
        <w:rPr>
          <w:rFonts w:cs="Arial"/>
          <w:iCs/>
          <w:spacing w:val="5"/>
        </w:rPr>
        <w:t xml:space="preserve">Aboriginal and Torres Strait Islander, Culturally and Linguistically Diverse, or </w:t>
      </w:r>
      <w:r w:rsidRPr="00B45723">
        <w:rPr>
          <w:rFonts w:cs="Arial"/>
          <w:iCs/>
          <w:spacing w:val="5"/>
        </w:rPr>
        <w:t>families and children w</w:t>
      </w:r>
      <w:r>
        <w:rPr>
          <w:rFonts w:cs="Arial"/>
          <w:iCs/>
          <w:spacing w:val="5"/>
        </w:rPr>
        <w:t>ith</w:t>
      </w:r>
      <w:r w:rsidR="007B52DA" w:rsidRPr="00B45723">
        <w:rPr>
          <w:rFonts w:cs="Arial"/>
          <w:iCs/>
          <w:spacing w:val="5"/>
        </w:rPr>
        <w:t xml:space="preserve"> disability</w:t>
      </w:r>
      <w:r w:rsidRPr="00B45723">
        <w:rPr>
          <w:rFonts w:cs="Arial"/>
          <w:iCs/>
          <w:spacing w:val="5"/>
        </w:rPr>
        <w:t>,</w:t>
      </w:r>
      <w:r w:rsidR="007B52DA" w:rsidRPr="00B45723">
        <w:rPr>
          <w:rFonts w:cs="Arial"/>
          <w:iCs/>
          <w:spacing w:val="5"/>
        </w:rPr>
        <w:t xml:space="preserve"> are over</w:t>
      </w:r>
      <w:r w:rsidRPr="00B45723">
        <w:rPr>
          <w:rFonts w:cs="Arial"/>
          <w:iCs/>
          <w:spacing w:val="5"/>
        </w:rPr>
        <w:noBreakHyphen/>
      </w:r>
      <w:r w:rsidR="007B52DA" w:rsidRPr="00B45723">
        <w:rPr>
          <w:rFonts w:cs="Arial"/>
          <w:iCs/>
          <w:spacing w:val="5"/>
        </w:rPr>
        <w:t>represented</w:t>
      </w:r>
      <w:r>
        <w:rPr>
          <w:rFonts w:cs="Arial"/>
          <w:iCs/>
          <w:spacing w:val="5"/>
        </w:rPr>
        <w:t xml:space="preserve">. This is due to a variety of reasons including intergenerational trauma, problems accessing culturally appropriate services, language barriers, racism, trust, physical barriers and services not being appropriate for people’s disability. </w:t>
      </w:r>
    </w:p>
    <w:p w14:paraId="6A019BC0" w14:textId="72CD1B6A" w:rsidR="00C643D9" w:rsidRDefault="00316AC1" w:rsidP="00B45723">
      <w:pPr>
        <w:spacing w:after="120" w:line="240" w:lineRule="auto"/>
        <w:rPr>
          <w:rFonts w:cs="Arial"/>
          <w:iCs/>
          <w:spacing w:val="5"/>
        </w:rPr>
      </w:pPr>
      <w:r>
        <w:rPr>
          <w:rFonts w:cs="Arial"/>
          <w:iCs/>
          <w:spacing w:val="5"/>
        </w:rPr>
        <w:t xml:space="preserve">Given the needs of these families and children, DSS would expect that they would be a large component of people accessing FaC services. </w:t>
      </w:r>
      <w:r w:rsidR="00C643D9">
        <w:rPr>
          <w:rFonts w:cs="Arial"/>
          <w:iCs/>
          <w:spacing w:val="5"/>
        </w:rPr>
        <w:t>However, a</w:t>
      </w:r>
      <w:r>
        <w:rPr>
          <w:rFonts w:cs="Arial"/>
          <w:iCs/>
          <w:spacing w:val="5"/>
        </w:rPr>
        <w:t xml:space="preserve">n analysis </w:t>
      </w:r>
      <w:r w:rsidR="00C643D9">
        <w:rPr>
          <w:rFonts w:cs="Arial"/>
          <w:iCs/>
          <w:spacing w:val="5"/>
        </w:rPr>
        <w:t xml:space="preserve">undertaken </w:t>
      </w:r>
      <w:r>
        <w:rPr>
          <w:rFonts w:cs="Arial"/>
          <w:iCs/>
          <w:spacing w:val="5"/>
        </w:rPr>
        <w:t xml:space="preserve">of </w:t>
      </w:r>
      <w:r w:rsidR="00C643D9">
        <w:rPr>
          <w:rFonts w:cs="Arial"/>
          <w:iCs/>
          <w:spacing w:val="5"/>
        </w:rPr>
        <w:t>FaC data for the 200,000 individual clients serviced</w:t>
      </w:r>
      <w:r>
        <w:rPr>
          <w:rFonts w:cs="Arial"/>
          <w:iCs/>
          <w:spacing w:val="5"/>
        </w:rPr>
        <w:t xml:space="preserve"> from July</w:t>
      </w:r>
      <w:r w:rsidR="00C643D9">
        <w:rPr>
          <w:rFonts w:cs="Arial"/>
          <w:iCs/>
          <w:spacing w:val="5"/>
        </w:rPr>
        <w:t xml:space="preserve"> to December 2017 found that only </w:t>
      </w:r>
      <w:r w:rsidR="00C643D9" w:rsidRPr="00301C0C">
        <w:t>seven per cent identified as Indigenous, seven</w:t>
      </w:r>
      <w:r w:rsidR="00C643D9">
        <w:t> </w:t>
      </w:r>
      <w:r w:rsidR="00C643D9" w:rsidRPr="00301C0C">
        <w:t>per</w:t>
      </w:r>
      <w:r w:rsidR="00C643D9">
        <w:t> </w:t>
      </w:r>
      <w:r w:rsidR="00C643D9" w:rsidRPr="00301C0C">
        <w:t>cent identified as having a disability and less than 0.01 per cent identified as being born outside of Australia.</w:t>
      </w:r>
      <w:r w:rsidR="00C643D9" w:rsidRPr="00C643D9">
        <w:t xml:space="preserve"> </w:t>
      </w:r>
      <w:r w:rsidR="00C643D9" w:rsidRPr="00301C0C">
        <w:t>Over half of i</w:t>
      </w:r>
      <w:r w:rsidR="00C643D9">
        <w:t>ndividual</w:t>
      </w:r>
      <w:r w:rsidR="00C643D9" w:rsidRPr="00301C0C">
        <w:t xml:space="preserve"> clients were between the ages of 20 and 64 (55</w:t>
      </w:r>
      <w:r w:rsidR="00C643D9">
        <w:t> </w:t>
      </w:r>
      <w:r w:rsidR="00C643D9" w:rsidRPr="00301C0C">
        <w:t>per</w:t>
      </w:r>
      <w:r w:rsidR="00C643D9">
        <w:t> </w:t>
      </w:r>
      <w:r w:rsidR="00C643D9" w:rsidRPr="00301C0C">
        <w:t>cent) and over a third (36 per cent) were children between the ages of 0 and 14 years.</w:t>
      </w:r>
    </w:p>
    <w:p w14:paraId="46C33F50" w14:textId="73F4675D" w:rsidR="00C643D9" w:rsidRDefault="00C643D9" w:rsidP="00B45723">
      <w:pPr>
        <w:spacing w:after="120" w:line="240" w:lineRule="auto"/>
        <w:rPr>
          <w:rStyle w:val="BookTitle"/>
          <w:rFonts w:cs="Arial"/>
          <w:i w:val="0"/>
          <w:smallCaps w:val="0"/>
        </w:rPr>
      </w:pPr>
      <w:r>
        <w:rPr>
          <w:rStyle w:val="BookTitle"/>
          <w:rFonts w:cs="Arial"/>
          <w:i w:val="0"/>
          <w:smallCaps w:val="0"/>
        </w:rPr>
        <w:t>In designing our services, we need to ensure that</w:t>
      </w:r>
      <w:r w:rsidR="00B87C53">
        <w:rPr>
          <w:rStyle w:val="BookTitle"/>
          <w:rFonts w:cs="Arial"/>
          <w:i w:val="0"/>
          <w:smallCaps w:val="0"/>
        </w:rPr>
        <w:t xml:space="preserve"> families and children at high</w:t>
      </w:r>
      <w:r>
        <w:rPr>
          <w:rStyle w:val="BookTitle"/>
          <w:rFonts w:cs="Arial"/>
          <w:i w:val="0"/>
          <w:smallCaps w:val="0"/>
        </w:rPr>
        <w:t xml:space="preserve"> risk of not being safe and well, resilient or ready to learn have</w:t>
      </w:r>
      <w:r w:rsidR="00B87C53">
        <w:rPr>
          <w:rStyle w:val="BookTitle"/>
          <w:rFonts w:cs="Arial"/>
          <w:i w:val="0"/>
          <w:smallCaps w:val="0"/>
        </w:rPr>
        <w:t xml:space="preserve"> access to appropriate services. These families have the least capacity and capability to negotiate a complex system but have the highest need for a holistic and coordinated service response.</w:t>
      </w:r>
    </w:p>
    <w:p w14:paraId="290D407D" w14:textId="77777777" w:rsidR="00E2652E" w:rsidRPr="00085A1F" w:rsidRDefault="00E2652E" w:rsidP="00B45723">
      <w:pPr>
        <w:pStyle w:val="Heading3"/>
        <w:spacing w:before="120" w:after="120" w:line="240" w:lineRule="auto"/>
        <w:rPr>
          <w:rStyle w:val="BookTitle"/>
          <w:i w:val="0"/>
          <w:iCs w:val="0"/>
          <w:smallCaps w:val="0"/>
          <w:spacing w:val="4"/>
        </w:rPr>
      </w:pPr>
      <w:bookmarkStart w:id="20" w:name="_Toc516213692"/>
      <w:r w:rsidRPr="00301C0C">
        <w:rPr>
          <w:rStyle w:val="BookTitle"/>
          <w:i w:val="0"/>
          <w:iCs w:val="0"/>
          <w:smallCaps w:val="0"/>
          <w:spacing w:val="4"/>
        </w:rPr>
        <w:t>Access Strategy</w:t>
      </w:r>
      <w:bookmarkEnd w:id="20"/>
    </w:p>
    <w:p w14:paraId="7C6FB361" w14:textId="77777777" w:rsidR="00E2652E" w:rsidRPr="00085A1F" w:rsidRDefault="00E2652E" w:rsidP="00B45723">
      <w:pPr>
        <w:spacing w:after="120" w:line="240" w:lineRule="auto"/>
        <w:rPr>
          <w:rStyle w:val="BookTitle"/>
          <w:rFonts w:cs="Arial"/>
          <w:i w:val="0"/>
          <w:iCs w:val="0"/>
          <w:smallCaps w:val="0"/>
        </w:rPr>
      </w:pPr>
      <w:r w:rsidRPr="00301C0C">
        <w:rPr>
          <w:rStyle w:val="BookTitle"/>
          <w:rFonts w:cs="Arial"/>
          <w:i w:val="0"/>
          <w:smallCaps w:val="0"/>
        </w:rPr>
        <w:t>Organisations funded under the FaC Activity are required to develop and implement an Access Strategy to increase access for vulnerable children and families to their services as part of their funding arrangements. Monitoring is based on discussions with FAMS during site visits, with no formal reporting, targets or performance measurement requirements.</w:t>
      </w:r>
    </w:p>
    <w:p w14:paraId="64418460" w14:textId="77777777" w:rsidR="00E2652E" w:rsidRPr="00301C0C" w:rsidRDefault="00E2652E" w:rsidP="00B45723">
      <w:pPr>
        <w:spacing w:after="120" w:line="240" w:lineRule="auto"/>
        <w:rPr>
          <w:rStyle w:val="BookTitle"/>
          <w:rFonts w:cs="Arial"/>
          <w:i w:val="0"/>
          <w:iCs w:val="0"/>
          <w:smallCaps w:val="0"/>
        </w:rPr>
      </w:pPr>
      <w:r w:rsidRPr="00301C0C">
        <w:rPr>
          <w:rStyle w:val="BookTitle"/>
          <w:rFonts w:cs="Arial"/>
          <w:i w:val="0"/>
          <w:smallCaps w:val="0"/>
        </w:rPr>
        <w:t>Organisations funded by DSS are no longer required to complete a Vulnerable and Disadvantaged Client Access Strategy (VADCAS). Introduced in 2011, VADCAS required organisations funded by the Family Support Program to improve service accessibility and responsiveness for vulnerable and disadvantaged families, including Indigenous families. Organisations were required to (with a few exceptions):</w:t>
      </w:r>
    </w:p>
    <w:p w14:paraId="408045B2" w14:textId="77777777" w:rsidR="00E2652E" w:rsidRPr="00301C0C" w:rsidRDefault="00E2652E" w:rsidP="00B45723">
      <w:pPr>
        <w:pStyle w:val="ListParagraph"/>
        <w:numPr>
          <w:ilvl w:val="0"/>
          <w:numId w:val="19"/>
        </w:numPr>
        <w:spacing w:after="120" w:line="240" w:lineRule="auto"/>
        <w:contextualSpacing w:val="0"/>
        <w:rPr>
          <w:rStyle w:val="BookTitle"/>
          <w:rFonts w:cs="Arial"/>
          <w:i w:val="0"/>
          <w:iCs w:val="0"/>
          <w:smallCaps w:val="0"/>
        </w:rPr>
      </w:pPr>
      <w:r w:rsidRPr="00301C0C">
        <w:rPr>
          <w:rStyle w:val="BookTitle"/>
          <w:rFonts w:cs="Arial"/>
          <w:i w:val="0"/>
          <w:smallCaps w:val="0"/>
        </w:rPr>
        <w:t>Develop an Access Strategy and supporting Indigenous Access Plan as per the funding agreement, resulting in the creation of Indigenous Access Improvement Targets.</w:t>
      </w:r>
    </w:p>
    <w:p w14:paraId="13FE89F2" w14:textId="13001772" w:rsidR="00E2652E" w:rsidRPr="00301C0C" w:rsidRDefault="00E2652E" w:rsidP="00B45723">
      <w:pPr>
        <w:pStyle w:val="ListParagraph"/>
        <w:numPr>
          <w:ilvl w:val="0"/>
          <w:numId w:val="19"/>
        </w:numPr>
        <w:spacing w:after="120" w:line="240" w:lineRule="auto"/>
        <w:contextualSpacing w:val="0"/>
        <w:rPr>
          <w:rStyle w:val="BookTitle"/>
          <w:rFonts w:cs="Arial"/>
          <w:i w:val="0"/>
          <w:iCs w:val="0"/>
          <w:smallCaps w:val="0"/>
        </w:rPr>
      </w:pPr>
      <w:r w:rsidRPr="00301C0C">
        <w:rPr>
          <w:rStyle w:val="BookTitle"/>
          <w:rFonts w:cs="Arial"/>
          <w:i w:val="0"/>
          <w:smallCaps w:val="0"/>
        </w:rPr>
        <w:t>Report annually on implementation of and progress against the Access</w:t>
      </w:r>
      <w:r w:rsidR="00F54AA5">
        <w:rPr>
          <w:rStyle w:val="BookTitle"/>
          <w:rFonts w:cs="Arial"/>
          <w:i w:val="0"/>
          <w:smallCaps w:val="0"/>
        </w:rPr>
        <w:t> </w:t>
      </w:r>
      <w:r w:rsidRPr="00301C0C">
        <w:rPr>
          <w:rStyle w:val="BookTitle"/>
          <w:rFonts w:cs="Arial"/>
          <w:i w:val="0"/>
          <w:smallCaps w:val="0"/>
        </w:rPr>
        <w:t>Strategy and Indigenous Access Plan.</w:t>
      </w:r>
    </w:p>
    <w:p w14:paraId="26FEB8F2" w14:textId="77777777" w:rsidR="00E2652E" w:rsidRPr="00301C0C" w:rsidRDefault="00E2652E" w:rsidP="00B45723">
      <w:pPr>
        <w:pStyle w:val="ListParagraph"/>
        <w:numPr>
          <w:ilvl w:val="0"/>
          <w:numId w:val="19"/>
        </w:numPr>
        <w:spacing w:after="120" w:line="240" w:lineRule="auto"/>
        <w:contextualSpacing w:val="0"/>
        <w:rPr>
          <w:rStyle w:val="BookTitle"/>
          <w:rFonts w:cs="Arial"/>
          <w:i w:val="0"/>
          <w:iCs w:val="0"/>
          <w:smallCaps w:val="0"/>
        </w:rPr>
      </w:pPr>
      <w:r w:rsidRPr="00301C0C">
        <w:rPr>
          <w:rStyle w:val="BookTitle"/>
          <w:rFonts w:cs="Arial"/>
          <w:i w:val="0"/>
          <w:smallCaps w:val="0"/>
        </w:rPr>
        <w:t>Demonstrate they are adequately providing services to Indigenous people, in line with the COAG’s Closing the Gap Service Delivery Principles.</w:t>
      </w:r>
    </w:p>
    <w:p w14:paraId="44DC4278" w14:textId="77777777" w:rsidR="00B45723" w:rsidRDefault="00B45723">
      <w:pPr>
        <w:spacing w:before="0" w:after="200" w:line="276" w:lineRule="auto"/>
        <w:rPr>
          <w:rStyle w:val="BookTitle"/>
          <w:rFonts w:cs="Arial"/>
          <w:i w:val="0"/>
          <w:smallCaps w:val="0"/>
        </w:rPr>
      </w:pPr>
      <w:r>
        <w:rPr>
          <w:rStyle w:val="BookTitle"/>
          <w:rFonts w:cs="Arial"/>
          <w:i w:val="0"/>
          <w:smallCaps w:val="0"/>
        </w:rPr>
        <w:br w:type="page"/>
      </w:r>
    </w:p>
    <w:p w14:paraId="1509DFF4" w14:textId="53CEF00F" w:rsidR="00E2652E" w:rsidRPr="00301C0C" w:rsidRDefault="00E2652E" w:rsidP="00B45723">
      <w:pPr>
        <w:spacing w:after="120" w:line="240" w:lineRule="auto"/>
        <w:rPr>
          <w:rStyle w:val="BookTitle"/>
          <w:rFonts w:cs="Arial"/>
          <w:i w:val="0"/>
          <w:smallCaps w:val="0"/>
        </w:rPr>
      </w:pPr>
      <w:r w:rsidRPr="00301C0C">
        <w:rPr>
          <w:rStyle w:val="BookTitle"/>
          <w:rFonts w:cs="Arial"/>
          <w:i w:val="0"/>
          <w:smallCaps w:val="0"/>
        </w:rPr>
        <w:lastRenderedPageBreak/>
        <w:t>Although the process was viewed by affected organisations as time-consuming, VADCAS was effective in improving accessibility. The 2012 VADCAS Report by Family &amp; Relationship Services Australia showed that whilst burdensome, the vast majority of organisations surveyed appreciated the opportunities VADCAS provided to review and evaluate their current services and gain a better understanding of their clients and communities, and initiated changes to their services and working relationships as a result.</w:t>
      </w:r>
      <w:r w:rsidRPr="00301C0C">
        <w:rPr>
          <w:rStyle w:val="EndnoteReference"/>
          <w:rFonts w:cs="Arial"/>
          <w:iCs/>
          <w:spacing w:val="5"/>
        </w:rPr>
        <w:endnoteReference w:id="41"/>
      </w:r>
      <w:r w:rsidRPr="00301C0C">
        <w:rPr>
          <w:rStyle w:val="BookTitle"/>
          <w:rFonts w:cs="Arial"/>
          <w:i w:val="0"/>
          <w:iCs w:val="0"/>
          <w:smallCaps w:val="0"/>
          <w:sz w:val="22"/>
          <w:szCs w:val="22"/>
        </w:rPr>
        <w:t xml:space="preserve"> </w:t>
      </w:r>
      <w:r w:rsidRPr="00301C0C">
        <w:rPr>
          <w:rStyle w:val="BookTitle"/>
          <w:rFonts w:cs="Arial"/>
          <w:i w:val="0"/>
          <w:smallCaps w:val="0"/>
        </w:rPr>
        <w:t xml:space="preserve">VADCAS requirements were streamlined through the 2014 grants process and replaced with the current Access Strategy. </w:t>
      </w:r>
    </w:p>
    <w:p w14:paraId="36E1446B" w14:textId="3179D6DA" w:rsidR="00E2652E" w:rsidRPr="00301C0C" w:rsidRDefault="00E2652E" w:rsidP="00B45723">
      <w:pPr>
        <w:spacing w:after="120" w:line="240" w:lineRule="auto"/>
        <w:rPr>
          <w:rStyle w:val="BookTitle"/>
          <w:rFonts w:cs="Arial"/>
          <w:i w:val="0"/>
          <w:iCs w:val="0"/>
          <w:smallCaps w:val="0"/>
          <w:sz w:val="22"/>
          <w:szCs w:val="22"/>
        </w:rPr>
      </w:pPr>
      <w:r w:rsidRPr="00301C0C">
        <w:rPr>
          <w:rStyle w:val="BookTitle"/>
          <w:rFonts w:cs="Arial"/>
          <w:i w:val="0"/>
          <w:smallCaps w:val="0"/>
        </w:rPr>
        <w:t xml:space="preserve">Building on learnings from VADCAS, and the current Access Strategy, DSS is considering new access strategy requirements that provide priority to at-risk families and children. Under the new access strategy, service providers may be required to develop service and outcome targets for at-risk families and children in their community. Targets would be measured through existing data reporting and/or in performance discussions with the relevant FAM. </w:t>
      </w:r>
    </w:p>
    <w:p w14:paraId="3919C04B" w14:textId="54397261" w:rsidR="008D11CA" w:rsidRPr="00301C0C" w:rsidRDefault="008D11CA" w:rsidP="00B45723">
      <w:pPr>
        <w:pStyle w:val="Heading2"/>
        <w:spacing w:before="120"/>
      </w:pPr>
      <w:bookmarkStart w:id="21" w:name="_Toc516213693"/>
      <w:r w:rsidRPr="00301C0C">
        <w:t>Locations</w:t>
      </w:r>
      <w:bookmarkEnd w:id="21"/>
    </w:p>
    <w:p w14:paraId="7718090A" w14:textId="3151C033" w:rsidR="008D11CA" w:rsidRPr="00301C0C" w:rsidRDefault="00F80B94" w:rsidP="00B45723">
      <w:pPr>
        <w:spacing w:after="120" w:line="240" w:lineRule="auto"/>
      </w:pPr>
      <w:r w:rsidRPr="00301C0C">
        <w:rPr>
          <w:iCs/>
        </w:rPr>
        <w:t>Families also have an increased likelihood of their children not being safe, resilient and ready to learn depending where they live. For example, c</w:t>
      </w:r>
      <w:r w:rsidR="008D11CA" w:rsidRPr="00301C0C">
        <w:t>hildren and families in disadvantaged locations often experience poorer outcomes across a range of indicators, including lower educational attainment, higher unemployment, poor he</w:t>
      </w:r>
      <w:r w:rsidRPr="00301C0C">
        <w:t xml:space="preserve">alth, and delayed development. </w:t>
      </w:r>
      <w:r w:rsidR="008D11CA" w:rsidRPr="00301C0C">
        <w:t>Areas of disadvantage are themselves often characterised by poorer physical infrastructure and quality of housing, along with higher levels of crime and violence than more advantaged regions</w:t>
      </w:r>
      <w:r w:rsidR="00E2652E" w:rsidRPr="00301C0C">
        <w:t>.</w:t>
      </w:r>
      <w:r w:rsidR="00E2652E" w:rsidRPr="00301C0C">
        <w:rPr>
          <w:rStyle w:val="EndnoteReference"/>
        </w:rPr>
        <w:endnoteReference w:id="42"/>
      </w:r>
    </w:p>
    <w:p w14:paraId="09DE24D0" w14:textId="4FBD72FE" w:rsidR="008D11CA" w:rsidRPr="00301C0C" w:rsidRDefault="008D11CA" w:rsidP="00B45723">
      <w:pPr>
        <w:spacing w:after="120" w:line="240" w:lineRule="auto"/>
      </w:pPr>
      <w:r w:rsidRPr="00301C0C">
        <w:t>The most common method of measuring locational disadvantage is the Socio Economic Indexes for Areas (SEIFA), which collates several factors linked to disadvantage, including household income and expenditure, level of education and occupation-related skills. Analysis using SEIFA shows that the most disadvantaged locations exist in major cities</w:t>
      </w:r>
      <w:r w:rsidR="00F80B94" w:rsidRPr="00301C0C">
        <w:t xml:space="preserve"> or urban centres</w:t>
      </w:r>
      <w:r w:rsidRPr="00301C0C">
        <w:t>, with the exception of the most disadvantaged one per cent of households, which are located in very remote areas.</w:t>
      </w:r>
      <w:r w:rsidR="00E2652E" w:rsidRPr="00301C0C">
        <w:rPr>
          <w:rStyle w:val="EndnoteReference"/>
        </w:rPr>
        <w:endnoteReference w:id="43"/>
      </w:r>
    </w:p>
    <w:p w14:paraId="5DDCEB2A" w14:textId="38DB7456" w:rsidR="008D11CA" w:rsidRPr="00301C0C" w:rsidRDefault="000E1DE2" w:rsidP="00B45723">
      <w:pPr>
        <w:spacing w:after="120" w:line="240" w:lineRule="auto"/>
      </w:pPr>
      <w:r w:rsidRPr="00301C0C">
        <w:t>Research indicates that d</w:t>
      </w:r>
      <w:r w:rsidR="008D11CA" w:rsidRPr="00301C0C">
        <w:t xml:space="preserve">isadvantage is becoming increasingly concentrated in some locations. </w:t>
      </w:r>
      <w:r w:rsidRPr="00301C0C">
        <w:t>Identifying and e</w:t>
      </w:r>
      <w:r w:rsidR="008D11CA" w:rsidRPr="00301C0C">
        <w:t>nsuring services are targeted to the</w:t>
      </w:r>
      <w:r w:rsidR="005C0C4D" w:rsidRPr="00301C0C">
        <w:t>se</w:t>
      </w:r>
      <w:r w:rsidR="008D11CA" w:rsidRPr="00301C0C">
        <w:t xml:space="preserve"> locations</w:t>
      </w:r>
      <w:r w:rsidR="005C0C4D" w:rsidRPr="00301C0C">
        <w:t xml:space="preserve"> is critical to improving outcomes for those families and children most in need. </w:t>
      </w:r>
    </w:p>
    <w:p w14:paraId="3AE5DA1E" w14:textId="7885E900" w:rsidR="008D11CA" w:rsidRPr="00301C0C" w:rsidRDefault="008D11CA" w:rsidP="00B45723">
      <w:pPr>
        <w:spacing w:after="120" w:line="240" w:lineRule="auto"/>
      </w:pPr>
      <w:r w:rsidRPr="00301C0C">
        <w:t>T</w:t>
      </w:r>
      <w:r w:rsidR="000E1DE2" w:rsidRPr="00301C0C">
        <w:t xml:space="preserve">he problems present in </w:t>
      </w:r>
      <w:r w:rsidR="00F80B94" w:rsidRPr="00301C0C">
        <w:t>disadvantaged locations</w:t>
      </w:r>
      <w:r w:rsidR="000E1DE2" w:rsidRPr="00301C0C">
        <w:t xml:space="preserve"> </w:t>
      </w:r>
      <w:r w:rsidRPr="00301C0C">
        <w:t>are</w:t>
      </w:r>
      <w:r w:rsidR="00A43DDF" w:rsidRPr="00301C0C">
        <w:t xml:space="preserve"> also</w:t>
      </w:r>
      <w:r w:rsidRPr="00301C0C">
        <w:t xml:space="preserve"> often complex and interrelated. </w:t>
      </w:r>
      <w:r w:rsidR="000E1DE2" w:rsidRPr="00301C0C">
        <w:t>G</w:t>
      </w:r>
      <w:r w:rsidRPr="00301C0C">
        <w:t>overnments, non-government organisations and communities are</w:t>
      </w:r>
      <w:r w:rsidR="000E1DE2" w:rsidRPr="00301C0C">
        <w:t xml:space="preserve"> </w:t>
      </w:r>
      <w:r w:rsidRPr="00301C0C">
        <w:t xml:space="preserve">increasingly looking to more localised place-based approaches to </w:t>
      </w:r>
      <w:r w:rsidR="00A43DDF" w:rsidRPr="00301C0C">
        <w:t xml:space="preserve">collectively respond </w:t>
      </w:r>
      <w:r w:rsidR="000E1DE2" w:rsidRPr="00301C0C">
        <w:t xml:space="preserve">to </w:t>
      </w:r>
      <w:r w:rsidRPr="00301C0C">
        <w:t xml:space="preserve">local problems and </w:t>
      </w:r>
      <w:r w:rsidR="000E1DE2" w:rsidRPr="00301C0C">
        <w:t>improve</w:t>
      </w:r>
      <w:r w:rsidRPr="00301C0C">
        <w:t xml:space="preserve"> social, educational and eco</w:t>
      </w:r>
      <w:r w:rsidR="000E1DE2" w:rsidRPr="00301C0C">
        <w:t>nomic outcomes for families and children.</w:t>
      </w:r>
      <w:r w:rsidR="00B87C53">
        <w:rPr>
          <w:rStyle w:val="EndnoteReference"/>
        </w:rPr>
        <w:endnoteReference w:id="44"/>
      </w:r>
      <w:r w:rsidRPr="00301C0C">
        <w:t xml:space="preserve"> </w:t>
      </w:r>
    </w:p>
    <w:p w14:paraId="464E29FC" w14:textId="25474614" w:rsidR="00ED1E03" w:rsidRPr="00301C0C" w:rsidRDefault="00821D0D" w:rsidP="00B45723">
      <w:pPr>
        <w:pStyle w:val="Heading1"/>
        <w:spacing w:before="120"/>
        <w:contextualSpacing w:val="0"/>
      </w:pPr>
      <w:bookmarkStart w:id="22" w:name="_Toc516213694"/>
      <w:r w:rsidRPr="00301C0C">
        <w:t xml:space="preserve">Principle 3: </w:t>
      </w:r>
      <w:r w:rsidR="008D79A0" w:rsidRPr="00301C0C">
        <w:t>Data and Evidence Driven</w:t>
      </w:r>
      <w:bookmarkEnd w:id="22"/>
    </w:p>
    <w:p w14:paraId="7F1D41D1" w14:textId="41241EB5" w:rsidR="000632D3" w:rsidRPr="00301C0C" w:rsidRDefault="006973B3" w:rsidP="00B45723">
      <w:pPr>
        <w:spacing w:after="120" w:line="240" w:lineRule="auto"/>
      </w:pPr>
      <w:r w:rsidRPr="00301C0C">
        <w:t>There is increasing interest in ensuring that programs are supported by evidence on what works to improve outcomes for families and children in Australia.</w:t>
      </w:r>
      <w:r w:rsidR="000632D3" w:rsidRPr="00301C0C">
        <w:t xml:space="preserve"> Effective</w:t>
      </w:r>
      <w:r w:rsidR="00B83DEF">
        <w:t xml:space="preserve"> outcomes</w:t>
      </w:r>
      <w:r w:rsidR="000632D3" w:rsidRPr="00301C0C">
        <w:t xml:space="preserve"> measurement is vital to ensure that families and children are safe and well, ready to learn and are resilient. </w:t>
      </w:r>
    </w:p>
    <w:p w14:paraId="125CF97D" w14:textId="440470AE" w:rsidR="000632D3" w:rsidRDefault="000632D3" w:rsidP="00B45723">
      <w:pPr>
        <w:spacing w:after="120" w:line="240" w:lineRule="auto"/>
      </w:pPr>
      <w:r w:rsidRPr="00301C0C">
        <w:t>Funding under the FaC Activity is currently centred on outputs</w:t>
      </w:r>
      <w:r w:rsidR="00E2652E" w:rsidRPr="00301C0C">
        <w:t>, such as the number of clients a service sees,</w:t>
      </w:r>
      <w:r w:rsidRPr="00301C0C">
        <w:t xml:space="preserve"> and inputs</w:t>
      </w:r>
      <w:r w:rsidR="00E2652E" w:rsidRPr="00301C0C">
        <w:t>, such as the resources needed to deliver a service or program</w:t>
      </w:r>
      <w:r w:rsidRPr="00301C0C">
        <w:t xml:space="preserve">. Although outputs are simpler to report they do not give us a full understanding of whether services are achieving intended results. Shifting towards a focus of measuring outcomes will allow government and service providers to assess whether services have improved the lives of families and children. </w:t>
      </w:r>
    </w:p>
    <w:p w14:paraId="13DBF306" w14:textId="4D716D0D" w:rsidR="000632D3" w:rsidRPr="00301C0C" w:rsidRDefault="0053603E" w:rsidP="00B45723">
      <w:pPr>
        <w:spacing w:after="120" w:line="240" w:lineRule="auto"/>
      </w:pPr>
      <w:r w:rsidRPr="00301C0C">
        <w:lastRenderedPageBreak/>
        <w:t>In 2014, the</w:t>
      </w:r>
      <w:r w:rsidR="000632D3" w:rsidRPr="00301C0C">
        <w:t xml:space="preserve"> DSS New Way of Working </w:t>
      </w:r>
      <w:r w:rsidR="000B2F69" w:rsidRPr="00301C0C">
        <w:t xml:space="preserve">with Grants </w:t>
      </w:r>
      <w:r w:rsidR="000632D3" w:rsidRPr="00301C0C">
        <w:t xml:space="preserve">reforms began this process, when it introduced some significant changes to help organisations develop quality programs based on clear outcomes and effective use of data and evidence. These reforms included the introduction of the DSS Data Exchange, establishing the </w:t>
      </w:r>
      <w:r w:rsidR="00617759" w:rsidRPr="00301C0C">
        <w:t>FaC</w:t>
      </w:r>
      <w:r w:rsidR="000632D3" w:rsidRPr="00301C0C">
        <w:t xml:space="preserve"> Expert Panel (and Industry List) and evidence-based program requirements for the </w:t>
      </w:r>
      <w:r w:rsidR="007A5198">
        <w:t>C</w:t>
      </w:r>
      <w:r w:rsidR="002D29E6">
        <w:t>f</w:t>
      </w:r>
      <w:r w:rsidR="007A5198">
        <w:t>C</w:t>
      </w:r>
      <w:r w:rsidR="000632D3" w:rsidRPr="00301C0C">
        <w:t xml:space="preserve"> FP program. These reforms sought to help organisations plan and implement programs informed by evidence, measure </w:t>
      </w:r>
      <w:r w:rsidRPr="00301C0C">
        <w:t>outcomes and conduct evaluations</w:t>
      </w:r>
      <w:r w:rsidR="000632D3" w:rsidRPr="00301C0C">
        <w:t>.</w:t>
      </w:r>
    </w:p>
    <w:p w14:paraId="7806F302" w14:textId="796D53ED" w:rsidR="000632D3" w:rsidRDefault="000632D3" w:rsidP="00B45723">
      <w:pPr>
        <w:spacing w:after="120" w:line="240" w:lineRule="auto"/>
      </w:pPr>
      <w:r w:rsidRPr="00301C0C">
        <w:t xml:space="preserve">The Commonwealth Government </w:t>
      </w:r>
      <w:r w:rsidR="0053603E" w:rsidRPr="00301C0C">
        <w:t>is keen to continue</w:t>
      </w:r>
      <w:r w:rsidRPr="00301C0C">
        <w:t xml:space="preserve"> build</w:t>
      </w:r>
      <w:r w:rsidR="0053603E" w:rsidRPr="00301C0C">
        <w:t>ing</w:t>
      </w:r>
      <w:r w:rsidRPr="00301C0C">
        <w:t xml:space="preserve"> on successful elements of these programs</w:t>
      </w:r>
      <w:r w:rsidR="0053603E" w:rsidRPr="00301C0C">
        <w:t>,</w:t>
      </w:r>
      <w:r w:rsidRPr="00301C0C">
        <w:t xml:space="preserve"> </w:t>
      </w:r>
      <w:r w:rsidR="0053603E" w:rsidRPr="00301C0C">
        <w:t>by</w:t>
      </w:r>
      <w:r w:rsidRPr="00301C0C">
        <w:t xml:space="preserve"> further </w:t>
      </w:r>
      <w:r w:rsidR="0053603E" w:rsidRPr="00301C0C">
        <w:t>promoting</w:t>
      </w:r>
      <w:r w:rsidRPr="00301C0C">
        <w:t xml:space="preserve"> and scaling-up of practices that are known to </w:t>
      </w:r>
      <w:r w:rsidR="0053603E" w:rsidRPr="00301C0C">
        <w:t>improve</w:t>
      </w:r>
      <w:r w:rsidRPr="00301C0C">
        <w:t xml:space="preserve"> outcomes for families and children, and </w:t>
      </w:r>
      <w:r w:rsidR="0053603E" w:rsidRPr="00301C0C">
        <w:t xml:space="preserve">by </w:t>
      </w:r>
      <w:r w:rsidRPr="00301C0C">
        <w:t>increasing the uptake and quality of standardised data rep</w:t>
      </w:r>
      <w:r w:rsidR="00821D0D" w:rsidRPr="00301C0C">
        <w:t>orting through</w:t>
      </w:r>
      <w:r w:rsidR="005163A1" w:rsidRPr="00301C0C">
        <w:t xml:space="preserve"> the Data Exchange</w:t>
      </w:r>
      <w:r w:rsidR="00821D0D" w:rsidRPr="00301C0C">
        <w:t>.</w:t>
      </w:r>
      <w:r w:rsidR="0053603E" w:rsidRPr="00301C0C">
        <w:t xml:space="preserve"> By making better use of </w:t>
      </w:r>
      <w:r w:rsidRPr="00301C0C">
        <w:t>the evidence we have, we can continue to improve services and outcomes for vulnerable families and children.</w:t>
      </w:r>
    </w:p>
    <w:p w14:paraId="0C60D80B" w14:textId="51DB88DC" w:rsidR="007F2003" w:rsidRPr="00301C0C" w:rsidRDefault="007F2003" w:rsidP="00B45723">
      <w:pPr>
        <w:spacing w:after="120" w:line="240" w:lineRule="auto"/>
      </w:pPr>
      <w:r>
        <w:t>However, DSS recognises that outcomes measurement is challenging. In order to effectively measure outcomes, we will need to clearly identify short, medium and long-term outcomes, as well as progress indicators, which are achievable within a funding cycle.</w:t>
      </w:r>
    </w:p>
    <w:p w14:paraId="1A7A4329" w14:textId="47A33661" w:rsidR="00ED1E03" w:rsidRPr="00301C0C" w:rsidRDefault="00E2652E" w:rsidP="00B45723">
      <w:pPr>
        <w:pStyle w:val="Heading3"/>
        <w:spacing w:before="120" w:after="120" w:line="240" w:lineRule="auto"/>
      </w:pPr>
      <w:bookmarkStart w:id="23" w:name="_Toc516213695"/>
      <w:r w:rsidRPr="00301C0C">
        <w:t xml:space="preserve">FaC </w:t>
      </w:r>
      <w:r w:rsidR="00ED1E03" w:rsidRPr="00301C0C">
        <w:t>Expert Panel</w:t>
      </w:r>
      <w:bookmarkEnd w:id="23"/>
    </w:p>
    <w:p w14:paraId="130CE4FB" w14:textId="3D549A27" w:rsidR="00ED1E03" w:rsidRPr="00301C0C" w:rsidRDefault="00ED1E03" w:rsidP="00B45723">
      <w:pPr>
        <w:spacing w:after="120" w:line="240" w:lineRule="auto"/>
      </w:pPr>
      <w:r w:rsidRPr="00301C0C">
        <w:t xml:space="preserve">The FaC Expert Panel project is funded </w:t>
      </w:r>
      <w:r w:rsidR="00C61F9F" w:rsidRPr="00301C0C">
        <w:t>to support service providers to plan and implement programs, measure outcomes and conduct evaluations.</w:t>
      </w:r>
      <w:r w:rsidRPr="00301C0C">
        <w:t xml:space="preserve"> </w:t>
      </w:r>
      <w:r w:rsidR="00E2652E" w:rsidRPr="00301C0C">
        <w:t>T</w:t>
      </w:r>
      <w:r w:rsidRPr="00301C0C">
        <w:t xml:space="preserve">he Australian Institute of Family Studies (AIFS) manages the Expert Panel project on behalf of the Department. AIFS provides capacity building support to service providers </w:t>
      </w:r>
      <w:r w:rsidR="00E2652E" w:rsidRPr="00301C0C">
        <w:t xml:space="preserve">to </w:t>
      </w:r>
      <w:r w:rsidRPr="00301C0C">
        <w:t xml:space="preserve">improve </w:t>
      </w:r>
      <w:r w:rsidR="00E2652E" w:rsidRPr="00301C0C">
        <w:t xml:space="preserve">program planning, </w:t>
      </w:r>
      <w:r w:rsidRPr="00301C0C">
        <w:t xml:space="preserve">measurement of outcomes and </w:t>
      </w:r>
      <w:r w:rsidR="00E2652E" w:rsidRPr="00301C0C">
        <w:t xml:space="preserve">their </w:t>
      </w:r>
      <w:r w:rsidRPr="00301C0C">
        <w:t>understanding of evaluation,</w:t>
      </w:r>
      <w:r w:rsidR="00E2652E" w:rsidRPr="00301C0C">
        <w:t xml:space="preserve"> as well as undertaking special projects. </w:t>
      </w:r>
      <w:r w:rsidRPr="00301C0C">
        <w:t xml:space="preserve"> </w:t>
      </w:r>
    </w:p>
    <w:p w14:paraId="70B91ED0" w14:textId="71AAA581" w:rsidR="00ED1E03" w:rsidRPr="00301C0C" w:rsidRDefault="00ED1E03" w:rsidP="00B45723">
      <w:pPr>
        <w:spacing w:after="120" w:line="240" w:lineRule="auto"/>
      </w:pPr>
      <w:r w:rsidRPr="00301C0C">
        <w:t>FaC Activity service providers identified further capability strengthening priorities through a survey in August 2017. AIFS is considering additional projects and tools needed to continue to build capability in the areas identified</w:t>
      </w:r>
      <w:r w:rsidR="00E2652E" w:rsidRPr="00301C0C">
        <w:t xml:space="preserve">. </w:t>
      </w:r>
      <w:r w:rsidRPr="00301C0C">
        <w:t xml:space="preserve"> </w:t>
      </w:r>
    </w:p>
    <w:p w14:paraId="08E00328" w14:textId="23E20C38" w:rsidR="00ED1E03" w:rsidRPr="00301C0C" w:rsidRDefault="00B45723" w:rsidP="00B45723">
      <w:pPr>
        <w:pStyle w:val="Heading3"/>
        <w:spacing w:before="120" w:after="120" w:line="240" w:lineRule="auto"/>
      </w:pPr>
      <w:bookmarkStart w:id="24" w:name="_Toc516213696"/>
      <w:r>
        <w:t>Cf</w:t>
      </w:r>
      <w:r w:rsidR="007A5198">
        <w:t>C</w:t>
      </w:r>
      <w:r w:rsidR="00617759" w:rsidRPr="00301C0C">
        <w:t xml:space="preserve"> FP </w:t>
      </w:r>
      <w:r w:rsidR="00ED1E03" w:rsidRPr="00301C0C">
        <w:t>Evidence</w:t>
      </w:r>
      <w:r w:rsidR="00C61F9F" w:rsidRPr="00301C0C">
        <w:t>-</w:t>
      </w:r>
      <w:r w:rsidR="00ED1E03" w:rsidRPr="00301C0C">
        <w:t xml:space="preserve">Based </w:t>
      </w:r>
      <w:r w:rsidR="00C61F9F" w:rsidRPr="00301C0C">
        <w:t xml:space="preserve">Program </w:t>
      </w:r>
      <w:r w:rsidR="00ED1E03" w:rsidRPr="00301C0C">
        <w:t>Requirement</w:t>
      </w:r>
      <w:bookmarkEnd w:id="24"/>
    </w:p>
    <w:p w14:paraId="29B961C7" w14:textId="7EA283FC" w:rsidR="00C61F9F" w:rsidRPr="00301C0C" w:rsidRDefault="000B2F69" w:rsidP="00B45723">
      <w:pPr>
        <w:spacing w:after="120" w:line="240" w:lineRule="auto"/>
      </w:pPr>
      <w:r w:rsidRPr="00301C0C">
        <w:t xml:space="preserve">As part of </w:t>
      </w:r>
      <w:r w:rsidR="00E2652E" w:rsidRPr="00301C0C">
        <w:t xml:space="preserve">new grants provided in 2014, </w:t>
      </w:r>
      <w:r w:rsidR="00B45723">
        <w:t>Cf</w:t>
      </w:r>
      <w:r w:rsidR="007A5198">
        <w:t>C</w:t>
      </w:r>
      <w:r w:rsidRPr="00301C0C">
        <w:t> </w:t>
      </w:r>
      <w:r w:rsidR="00C61F9F" w:rsidRPr="00301C0C">
        <w:t xml:space="preserve">FPs </w:t>
      </w:r>
      <w:r w:rsidR="00572534" w:rsidRPr="00301C0C">
        <w:t xml:space="preserve">were required </w:t>
      </w:r>
      <w:r w:rsidR="00C61F9F" w:rsidRPr="00301C0C">
        <w:t>to increase their use of evidence-base</w:t>
      </w:r>
      <w:r w:rsidRPr="00301C0C">
        <w:t xml:space="preserve">d programs. From 1 July 2015, </w:t>
      </w:r>
      <w:r w:rsidR="007A5198">
        <w:t>C</w:t>
      </w:r>
      <w:r w:rsidR="00B45723">
        <w:t>f</w:t>
      </w:r>
      <w:r w:rsidR="007A5198">
        <w:t>C</w:t>
      </w:r>
      <w:r w:rsidR="00C61F9F" w:rsidRPr="00301C0C">
        <w:t> FPs were required to use 30 per cent of the funding they allocate</w:t>
      </w:r>
      <w:r w:rsidR="00E2652E" w:rsidRPr="00301C0C">
        <w:t>d</w:t>
      </w:r>
      <w:r w:rsidR="00C61F9F" w:rsidRPr="00301C0C">
        <w:t xml:space="preserve"> to</w:t>
      </w:r>
      <w:r w:rsidR="00E2652E" w:rsidRPr="00301C0C">
        <w:t xml:space="preserve"> direct</w:t>
      </w:r>
      <w:r w:rsidR="00C61F9F" w:rsidRPr="00301C0C">
        <w:t xml:space="preserve"> service delivery to purchase evidence-based programs, rising to </w:t>
      </w:r>
      <w:r w:rsidRPr="00301C0C">
        <w:t xml:space="preserve">50 per cent from 1 July 2017. </w:t>
      </w:r>
      <w:r w:rsidR="007A5198">
        <w:t>C</w:t>
      </w:r>
      <w:r w:rsidR="00B45723">
        <w:t>f</w:t>
      </w:r>
      <w:r w:rsidR="007A5198">
        <w:t>C</w:t>
      </w:r>
      <w:r w:rsidR="00C61F9F" w:rsidRPr="00301C0C">
        <w:t xml:space="preserve"> FPs can meet the requirement by choosing to implement a program from the Guidebook created by the Child Family Community Australia (</w:t>
      </w:r>
      <w:r w:rsidR="007A5198">
        <w:t>CFC</w:t>
      </w:r>
      <w:r w:rsidR="00C61F9F" w:rsidRPr="00301C0C">
        <w:t>A) Information Exchange that includes relatively rigorously evalu</w:t>
      </w:r>
      <w:r w:rsidRPr="00301C0C">
        <w:t xml:space="preserve">ated programs. Alternatively, </w:t>
      </w:r>
      <w:r w:rsidR="007A5198">
        <w:t>C</w:t>
      </w:r>
      <w:r w:rsidR="00B45723">
        <w:t>f</w:t>
      </w:r>
      <w:r w:rsidR="007A5198">
        <w:t>C</w:t>
      </w:r>
      <w:r w:rsidR="00C61F9F" w:rsidRPr="00301C0C">
        <w:t xml:space="preserve"> FPs can submit other programs to </w:t>
      </w:r>
      <w:r w:rsidR="007A5198">
        <w:t>CFC</w:t>
      </w:r>
      <w:r w:rsidR="00C61F9F" w:rsidRPr="00301C0C">
        <w:t>A to assess whether they meet minimum standards of a quality program and can be included in the 50 per cent requirement.</w:t>
      </w:r>
    </w:p>
    <w:p w14:paraId="33A24ADD" w14:textId="66111E16" w:rsidR="007B037B" w:rsidRPr="00301C0C" w:rsidRDefault="007B037B" w:rsidP="00B45723">
      <w:pPr>
        <w:pStyle w:val="Heading3"/>
        <w:spacing w:before="120" w:after="120" w:line="240" w:lineRule="auto"/>
      </w:pPr>
      <w:bookmarkStart w:id="25" w:name="_Toc516213697"/>
      <w:r w:rsidRPr="00301C0C">
        <w:t>Partnership Approach</w:t>
      </w:r>
      <w:bookmarkEnd w:id="25"/>
    </w:p>
    <w:p w14:paraId="4E8861A1" w14:textId="2E779C21" w:rsidR="00B25BF6" w:rsidRPr="00301C0C" w:rsidRDefault="00617759" w:rsidP="00B45723">
      <w:pPr>
        <w:spacing w:after="120" w:line="240" w:lineRule="auto"/>
      </w:pPr>
      <w:r w:rsidRPr="00301C0C">
        <w:t xml:space="preserve">The </w:t>
      </w:r>
      <w:r w:rsidR="005163A1" w:rsidRPr="00301C0C">
        <w:t xml:space="preserve">Data Exchange </w:t>
      </w:r>
      <w:r w:rsidRPr="00301C0C">
        <w:t xml:space="preserve">Framework was </w:t>
      </w:r>
      <w:r w:rsidR="000B2F69" w:rsidRPr="00301C0C">
        <w:t xml:space="preserve">also </w:t>
      </w:r>
      <w:r w:rsidRPr="00301C0C">
        <w:t>implemented as</w:t>
      </w:r>
      <w:r w:rsidR="007B037B" w:rsidRPr="00301C0C">
        <w:t xml:space="preserve"> part of the New Way of Working with Grants in 2014</w:t>
      </w:r>
      <w:r w:rsidRPr="00301C0C">
        <w:t>.</w:t>
      </w:r>
      <w:r w:rsidR="007B037B" w:rsidRPr="00301C0C">
        <w:t xml:space="preserve"> The </w:t>
      </w:r>
      <w:r w:rsidR="005163A1" w:rsidRPr="00301C0C">
        <w:t xml:space="preserve">Data Exchange </w:t>
      </w:r>
      <w:r w:rsidR="007B037B" w:rsidRPr="00301C0C">
        <w:t>Framework outlined a new approach to collecting program data in grant agreements with a focus on two way data sharing</w:t>
      </w:r>
      <w:r w:rsidR="000B2F69" w:rsidRPr="00301C0C">
        <w:t>.</w:t>
      </w:r>
      <w:r w:rsidR="007B037B" w:rsidRPr="00301C0C">
        <w:rPr>
          <w:rStyle w:val="EndnoteReference"/>
        </w:rPr>
        <w:endnoteReference w:id="45"/>
      </w:r>
      <w:r w:rsidR="007B037B" w:rsidRPr="00301C0C">
        <w:t xml:space="preserve"> All services engaging directly with clients were required to report on a set of mandatory priority requirements outlining the client</w:t>
      </w:r>
      <w:r w:rsidR="009D6A99" w:rsidRPr="00301C0C">
        <w:t>’</w:t>
      </w:r>
      <w:r w:rsidR="007B037B" w:rsidRPr="00301C0C">
        <w:t xml:space="preserve">s demographics, the service data for the client and consent to participate in follow-up research and evaluation. </w:t>
      </w:r>
    </w:p>
    <w:p w14:paraId="06B067A2" w14:textId="77777777" w:rsidR="00B45723" w:rsidRDefault="00B45723">
      <w:pPr>
        <w:spacing w:before="0" w:after="200" w:line="276" w:lineRule="auto"/>
      </w:pPr>
      <w:r>
        <w:br w:type="page"/>
      </w:r>
    </w:p>
    <w:p w14:paraId="2028426A" w14:textId="52EA6EFB" w:rsidR="007B037B" w:rsidRPr="00301C0C" w:rsidRDefault="00B25BF6" w:rsidP="00B45723">
      <w:pPr>
        <w:spacing w:after="120" w:line="240" w:lineRule="auto"/>
      </w:pPr>
      <w:r w:rsidRPr="00301C0C">
        <w:lastRenderedPageBreak/>
        <w:t xml:space="preserve">Service providers </w:t>
      </w:r>
      <w:r w:rsidR="001D675A" w:rsidRPr="00301C0C">
        <w:t xml:space="preserve">can </w:t>
      </w:r>
      <w:r w:rsidRPr="00301C0C">
        <w:t>also elect to collect additional data items under a Partnership</w:t>
      </w:r>
      <w:r w:rsidR="007F2003">
        <w:t> </w:t>
      </w:r>
      <w:r w:rsidRPr="00301C0C">
        <w:t>Approach relating to a client</w:t>
      </w:r>
      <w:r w:rsidR="009D6A99" w:rsidRPr="00301C0C">
        <w:t>’</w:t>
      </w:r>
      <w:r w:rsidRPr="00301C0C">
        <w:t xml:space="preserve">s needs, circumstances and outcomes. Service providers electing to opt-in would receive additional and tailored Partnership Approach </w:t>
      </w:r>
      <w:r w:rsidR="002D29E6">
        <w:t xml:space="preserve">reports </w:t>
      </w:r>
      <w:r w:rsidRPr="00301C0C">
        <w:t>about their service coverage area and client outcomes.</w:t>
      </w:r>
    </w:p>
    <w:p w14:paraId="0B0194B6" w14:textId="2E087119" w:rsidR="00B25BF6" w:rsidRPr="00301C0C" w:rsidRDefault="00B25BF6" w:rsidP="00B45723">
      <w:pPr>
        <w:spacing w:after="120" w:line="240" w:lineRule="auto"/>
      </w:pPr>
      <w:r w:rsidRPr="00301C0C">
        <w:t xml:space="preserve">There has been mixed feedback from the sector in relation to the introduction of </w:t>
      </w:r>
      <w:r w:rsidR="005163A1" w:rsidRPr="00301C0C">
        <w:t>the Data Exchange</w:t>
      </w:r>
      <w:r w:rsidRPr="00301C0C">
        <w:t>, in part due to the changes required for existing systems, staff processes</w:t>
      </w:r>
      <w:r w:rsidR="001D675A" w:rsidRPr="00301C0C">
        <w:t xml:space="preserve"> and training,</w:t>
      </w:r>
      <w:r w:rsidRPr="00301C0C">
        <w:t xml:space="preserve"> and delays in </w:t>
      </w:r>
      <w:r w:rsidR="008925B9" w:rsidRPr="00301C0C">
        <w:t xml:space="preserve">the </w:t>
      </w:r>
      <w:r w:rsidRPr="00301C0C">
        <w:t>release of new reports</w:t>
      </w:r>
      <w:r w:rsidR="007F2003">
        <w:t>.</w:t>
      </w:r>
      <w:r w:rsidR="001D675A" w:rsidRPr="00301C0C">
        <w:rPr>
          <w:rStyle w:val="EndnoteReference"/>
        </w:rPr>
        <w:endnoteReference w:id="46"/>
      </w:r>
      <w:r w:rsidRPr="00301C0C">
        <w:t xml:space="preserve"> However, </w:t>
      </w:r>
      <w:r w:rsidR="005163A1" w:rsidRPr="00301C0C">
        <w:t xml:space="preserve">the </w:t>
      </w:r>
      <w:r w:rsidR="007F2003">
        <w:t>D</w:t>
      </w:r>
      <w:r w:rsidR="005163A1" w:rsidRPr="00301C0C">
        <w:t>ata Exchange</w:t>
      </w:r>
      <w:r w:rsidRPr="00301C0C">
        <w:t xml:space="preserve"> has informed the Department on what services a</w:t>
      </w:r>
      <w:r w:rsidR="0003698E" w:rsidRPr="00301C0C">
        <w:t xml:space="preserve">re being delivered and enabled </w:t>
      </w:r>
      <w:r w:rsidR="00D07E99" w:rsidRPr="00301C0C">
        <w:t xml:space="preserve">DSS staff </w:t>
      </w:r>
      <w:r w:rsidRPr="00301C0C">
        <w:t>to have conversations with service providers on barriers to access and service delivery trends.</w:t>
      </w:r>
      <w:r w:rsidR="00D07E99" w:rsidRPr="00301C0C">
        <w:t xml:space="preserve"> There has also been interest in th</w:t>
      </w:r>
      <w:r w:rsidR="00350C16" w:rsidRPr="00301C0C">
        <w:t>e Data Exchange f</w:t>
      </w:r>
      <w:r w:rsidR="00D07E99" w:rsidRPr="00301C0C">
        <w:t xml:space="preserve">rom state and territory governments, with Tasmania and New South Wales exploring </w:t>
      </w:r>
      <w:r w:rsidR="00350C16" w:rsidRPr="00301C0C">
        <w:t xml:space="preserve">how shared data collection can lead to better outcomes for families and communities. </w:t>
      </w:r>
    </w:p>
    <w:p w14:paraId="657828E5" w14:textId="160AFF29" w:rsidR="00B25BF6" w:rsidRPr="00301C0C" w:rsidRDefault="00B25BF6" w:rsidP="00B45723">
      <w:pPr>
        <w:spacing w:after="120" w:line="240" w:lineRule="auto"/>
      </w:pPr>
      <w:r w:rsidRPr="00301C0C">
        <w:t>Given the proposed focus of family and children services on delivering outcomes, DSS is proposing to mandate the Partnership Approach for service providers. This would enable the Department and service providers to have ongoing conversations about what is and isn’t working for clients, enabling us to embark on a continuous improvement p</w:t>
      </w:r>
      <w:r w:rsidR="000B2F69" w:rsidRPr="00301C0C">
        <w:t>rocess to ensure that</w:t>
      </w:r>
      <w:r w:rsidRPr="00301C0C">
        <w:t xml:space="preserve"> outcomes </w:t>
      </w:r>
      <w:r w:rsidR="000B2F69" w:rsidRPr="00301C0C">
        <w:t>are improving</w:t>
      </w:r>
      <w:r w:rsidRPr="00301C0C">
        <w:t xml:space="preserve">. </w:t>
      </w:r>
    </w:p>
    <w:p w14:paraId="180BC0CB" w14:textId="07E5441F" w:rsidR="008D79A0" w:rsidRPr="00301C0C" w:rsidRDefault="00821D0D" w:rsidP="00B45723">
      <w:pPr>
        <w:pStyle w:val="Heading1"/>
        <w:spacing w:before="120"/>
        <w:contextualSpacing w:val="0"/>
      </w:pPr>
      <w:bookmarkStart w:id="26" w:name="_Toc516213698"/>
      <w:r w:rsidRPr="00301C0C">
        <w:t xml:space="preserve">Principle 4: </w:t>
      </w:r>
      <w:r w:rsidR="008D79A0" w:rsidRPr="00301C0C">
        <w:t>Early Intervention and Prevention</w:t>
      </w:r>
      <w:bookmarkEnd w:id="26"/>
    </w:p>
    <w:p w14:paraId="15EFE13F" w14:textId="6122BAA2" w:rsidR="008D79A0" w:rsidRPr="00085A1F" w:rsidRDefault="00245F80" w:rsidP="00B45723">
      <w:pPr>
        <w:spacing w:after="120" w:line="240" w:lineRule="auto"/>
        <w:rPr>
          <w:rStyle w:val="BookTitle"/>
          <w:i w:val="0"/>
          <w:smallCaps w:val="0"/>
          <w:spacing w:val="0"/>
        </w:rPr>
      </w:pPr>
      <w:r w:rsidRPr="00301C0C">
        <w:rPr>
          <w:rStyle w:val="BookTitle"/>
          <w:i w:val="0"/>
          <w:smallCaps w:val="0"/>
          <w:spacing w:val="0"/>
        </w:rPr>
        <w:t>There is clear and persuasive evidence that prevention and early intervention to support positive child and family outcomes is more effective and cost effective than remedial responses</w:t>
      </w:r>
      <w:r w:rsidR="000B2F69" w:rsidRPr="00301C0C">
        <w:rPr>
          <w:rStyle w:val="BookTitle"/>
          <w:i w:val="0"/>
          <w:smallCaps w:val="0"/>
          <w:spacing w:val="0"/>
        </w:rPr>
        <w:t>.</w:t>
      </w:r>
      <w:r w:rsidRPr="00301C0C">
        <w:rPr>
          <w:rStyle w:val="EndnoteReference"/>
          <w:iCs/>
          <w:spacing w:val="0"/>
        </w:rPr>
        <w:endnoteReference w:id="47"/>
      </w:r>
      <w:r w:rsidR="000B2F69" w:rsidRPr="00301C0C">
        <w:rPr>
          <w:rStyle w:val="BookTitle"/>
          <w:i w:val="0"/>
          <w:smallCaps w:val="0"/>
          <w:spacing w:val="0"/>
        </w:rPr>
        <w:t xml:space="preserve"> </w:t>
      </w:r>
      <w:r w:rsidR="008D79A0" w:rsidRPr="00301C0C">
        <w:rPr>
          <w:rStyle w:val="BookTitle"/>
          <w:i w:val="0"/>
          <w:smallCaps w:val="0"/>
          <w:spacing w:val="0"/>
        </w:rPr>
        <w:t>Nobel prize-winning economist James Heckman argues that interventions early in the life cycle of disadvantaged children are less costly and have much higher economic returns than later interventions such as reduced student-teacher ratios, public job training programs, prisoner rehabilitation programs, adult literacy programs, tuition subsidies, or expenditure on policy</w:t>
      </w:r>
      <w:r w:rsidR="00617759" w:rsidRPr="00301C0C">
        <w:rPr>
          <w:rStyle w:val="BookTitle"/>
          <w:i w:val="0"/>
          <w:smallCaps w:val="0"/>
          <w:spacing w:val="0"/>
        </w:rPr>
        <w:t>.</w:t>
      </w:r>
      <w:r w:rsidR="00617759" w:rsidRPr="00301C0C">
        <w:rPr>
          <w:rStyle w:val="EndnoteReference"/>
          <w:iCs/>
          <w:spacing w:val="0"/>
        </w:rPr>
        <w:endnoteReference w:id="48"/>
      </w:r>
      <w:r w:rsidR="008D79A0" w:rsidRPr="00301C0C">
        <w:rPr>
          <w:rStyle w:val="BookTitle"/>
          <w:i w:val="0"/>
          <w:smallCaps w:val="0"/>
          <w:spacing w:val="0"/>
        </w:rPr>
        <w:t xml:space="preserve"> Similarly, Kilburn and Karoly argue that longitudinal studies of effective interventions find that the personal benefits (cognitive development, behaviour and social competence, educational attainment, earnings), social benefits (reduced delinquency and crime), and government savings (higher tax revenues, reduced social welfare spending), associated with intervening early in a child’s life clearly outweigh the costs.</w:t>
      </w:r>
      <w:r w:rsidR="00617759" w:rsidRPr="00301C0C">
        <w:rPr>
          <w:rStyle w:val="EndnoteReference"/>
          <w:iCs/>
          <w:spacing w:val="0"/>
        </w:rPr>
        <w:endnoteReference w:id="49"/>
      </w:r>
    </w:p>
    <w:p w14:paraId="509D762B" w14:textId="362C919B" w:rsidR="003E1F4C" w:rsidRPr="00301C0C" w:rsidRDefault="003E1F4C" w:rsidP="00B45723">
      <w:pPr>
        <w:spacing w:after="120" w:line="240" w:lineRule="auto"/>
        <w:rPr>
          <w:rStyle w:val="BookTitle"/>
          <w:i w:val="0"/>
          <w:smallCaps w:val="0"/>
          <w:spacing w:val="0"/>
        </w:rPr>
      </w:pPr>
      <w:r w:rsidRPr="00301C0C">
        <w:rPr>
          <w:rStyle w:val="BookTitle"/>
          <w:i w:val="0"/>
          <w:smallCaps w:val="0"/>
          <w:spacing w:val="0"/>
        </w:rPr>
        <w:t xml:space="preserve">Services need to intervene early where and when a problem is identified and be able to match the needs of the family and children. However, feedback from service providers indicates that the immediate needs of a family in crisis often takes precedence over early intervention and prevention activities that might stop many families from entering crisis. </w:t>
      </w:r>
      <w:r w:rsidR="009675C6">
        <w:rPr>
          <w:rStyle w:val="BookTitle"/>
          <w:i w:val="0"/>
          <w:smallCaps w:val="0"/>
          <w:spacing w:val="0"/>
        </w:rPr>
        <w:t>A recent survey of the FaRS workforce highlights the need for more resources to be allocated towards early intervention and prevention.</w:t>
      </w:r>
      <w:r w:rsidR="009675C6">
        <w:rPr>
          <w:rStyle w:val="EndnoteReference"/>
          <w:iCs/>
          <w:spacing w:val="0"/>
        </w:rPr>
        <w:endnoteReference w:id="50"/>
      </w:r>
      <w:r w:rsidR="009675C6">
        <w:rPr>
          <w:rStyle w:val="BookTitle"/>
          <w:i w:val="0"/>
          <w:smallCaps w:val="0"/>
          <w:spacing w:val="0"/>
        </w:rPr>
        <w:t xml:space="preserve"> </w:t>
      </w:r>
    </w:p>
    <w:p w14:paraId="1ED85EBE" w14:textId="0E00E153" w:rsidR="003E1F4C" w:rsidRPr="00301C0C" w:rsidRDefault="000B2F69" w:rsidP="00B45723">
      <w:pPr>
        <w:spacing w:after="120" w:line="240" w:lineRule="auto"/>
        <w:rPr>
          <w:rStyle w:val="BookTitle"/>
          <w:i w:val="0"/>
          <w:smallCaps w:val="0"/>
          <w:spacing w:val="0"/>
        </w:rPr>
      </w:pPr>
      <w:r w:rsidRPr="00301C0C">
        <w:rPr>
          <w:rStyle w:val="BookTitle"/>
          <w:i w:val="0"/>
          <w:smallCaps w:val="0"/>
          <w:spacing w:val="0"/>
        </w:rPr>
        <w:t xml:space="preserve">DSS is committed to funding early intervention and prevention services. </w:t>
      </w:r>
      <w:r w:rsidR="00AB1CFC" w:rsidRPr="00301C0C">
        <w:rPr>
          <w:rStyle w:val="BookTitle"/>
          <w:i w:val="0"/>
          <w:smallCaps w:val="0"/>
          <w:spacing w:val="0"/>
        </w:rPr>
        <w:t xml:space="preserve">DSS is not alone in recognising </w:t>
      </w:r>
      <w:r w:rsidR="003E1F4C" w:rsidRPr="00301C0C">
        <w:rPr>
          <w:rStyle w:val="BookTitle"/>
          <w:i w:val="0"/>
          <w:smallCaps w:val="0"/>
          <w:spacing w:val="0"/>
        </w:rPr>
        <w:t>the benefit of early intervention and prevention</w:t>
      </w:r>
      <w:r w:rsidR="00AB1CFC" w:rsidRPr="00301C0C">
        <w:rPr>
          <w:rStyle w:val="BookTitle"/>
          <w:i w:val="0"/>
          <w:smallCaps w:val="0"/>
          <w:spacing w:val="0"/>
        </w:rPr>
        <w:t xml:space="preserve"> with some states and territories also </w:t>
      </w:r>
      <w:r w:rsidR="003E1F4C" w:rsidRPr="00301C0C">
        <w:rPr>
          <w:rStyle w:val="BookTitle"/>
          <w:i w:val="0"/>
          <w:smallCaps w:val="0"/>
          <w:spacing w:val="0"/>
        </w:rPr>
        <w:t>implementing programs with a similar focus for families and children. For example, New South Wales is implementing a Targeted Earlier Intervention Program to support families and children to transition to more positive pathways in life.</w:t>
      </w:r>
      <w:r w:rsidR="003E1F4C" w:rsidRPr="00301C0C">
        <w:rPr>
          <w:rStyle w:val="EndnoteReference"/>
          <w:iCs/>
          <w:spacing w:val="0"/>
        </w:rPr>
        <w:endnoteReference w:id="51"/>
      </w:r>
      <w:r w:rsidR="003E1F4C" w:rsidRPr="00301C0C">
        <w:rPr>
          <w:rStyle w:val="BookTitle"/>
          <w:i w:val="0"/>
          <w:smallCaps w:val="0"/>
          <w:spacing w:val="0"/>
        </w:rPr>
        <w:t xml:space="preserve"> Ensuring that families and children are safe and well, ready to learn and are strong and resilient will require all of us to act early to prevent a problem or to stop it escalating.  </w:t>
      </w:r>
    </w:p>
    <w:p w14:paraId="1FF019DD" w14:textId="77777777" w:rsidR="00C6050E" w:rsidRPr="00301C0C" w:rsidRDefault="00C6050E" w:rsidP="00B45723">
      <w:pPr>
        <w:spacing w:after="120" w:line="240" w:lineRule="auto"/>
        <w:rPr>
          <w:rStyle w:val="BookTitle"/>
          <w:rFonts w:ascii="Georgia" w:eastAsiaTheme="majorEastAsia" w:hAnsi="Georgia" w:cstheme="majorBidi"/>
          <w:bCs/>
          <w:i w:val="0"/>
          <w:smallCaps w:val="0"/>
          <w:color w:val="500778"/>
          <w:spacing w:val="0"/>
          <w:sz w:val="36"/>
          <w:szCs w:val="28"/>
        </w:rPr>
      </w:pPr>
      <w:r w:rsidRPr="00301C0C">
        <w:rPr>
          <w:rStyle w:val="BookTitle"/>
          <w:i w:val="0"/>
          <w:smallCaps w:val="0"/>
          <w:spacing w:val="0"/>
        </w:rPr>
        <w:br w:type="page"/>
      </w:r>
    </w:p>
    <w:p w14:paraId="57B534F2" w14:textId="71566843" w:rsidR="008D79A0" w:rsidRPr="00301C0C" w:rsidRDefault="00821D0D" w:rsidP="00B45723">
      <w:pPr>
        <w:pStyle w:val="Heading1"/>
        <w:spacing w:before="120"/>
        <w:contextualSpacing w:val="0"/>
      </w:pPr>
      <w:bookmarkStart w:id="27" w:name="_Toc516213699"/>
      <w:r w:rsidRPr="00301C0C">
        <w:lastRenderedPageBreak/>
        <w:t xml:space="preserve">Principle 5: </w:t>
      </w:r>
      <w:r w:rsidR="008D79A0" w:rsidRPr="00301C0C">
        <w:t>Collaborati</w:t>
      </w:r>
      <w:r w:rsidR="000B2F69" w:rsidRPr="00301C0C">
        <w:t>ve</w:t>
      </w:r>
      <w:bookmarkEnd w:id="27"/>
    </w:p>
    <w:p w14:paraId="7324C749" w14:textId="799B09CC" w:rsidR="00BF62E4" w:rsidRPr="00301C0C" w:rsidRDefault="00BF62E4" w:rsidP="00B45723">
      <w:pPr>
        <w:spacing w:after="120" w:line="240" w:lineRule="auto"/>
      </w:pPr>
      <w:r w:rsidRPr="00301C0C">
        <w:t xml:space="preserve">The need for collaborative and joint efforts to intervene early with families and children has been a key theme of multiple policies, reviews and engagement processes undertaken over the last 20 years (see </w:t>
      </w:r>
      <w:r w:rsidRPr="00301C0C">
        <w:rPr>
          <w:b/>
        </w:rPr>
        <w:t>Attachment B</w:t>
      </w:r>
      <w:r w:rsidRPr="00301C0C">
        <w:t xml:space="preserve">). This principle relates not only to how services are designed (requiring collaboration between government, service providers, communities and families), but also </w:t>
      </w:r>
      <w:r w:rsidR="000368E1" w:rsidRPr="00301C0C">
        <w:t>to</w:t>
      </w:r>
      <w:r w:rsidRPr="00301C0C">
        <w:t xml:space="preserve"> how services are delivered (requiring ongoing collaboration between service providers). </w:t>
      </w:r>
    </w:p>
    <w:p w14:paraId="60D01750" w14:textId="14E784BB" w:rsidR="00BF62E4" w:rsidRPr="00301C0C" w:rsidRDefault="00BF62E4" w:rsidP="00B45723">
      <w:pPr>
        <w:spacing w:after="120" w:line="240" w:lineRule="auto"/>
      </w:pPr>
      <w:r w:rsidRPr="00301C0C">
        <w:t xml:space="preserve">Collaboration is a key feature of the </w:t>
      </w:r>
      <w:r w:rsidR="00D131A1" w:rsidRPr="00085A1F">
        <w:t>IGP</w:t>
      </w:r>
      <w:r w:rsidRPr="00085A1F">
        <w:t>,</w:t>
      </w:r>
      <w:r w:rsidRPr="00301C0C">
        <w:t xml:space="preserve"> which requires services to be designed with </w:t>
      </w:r>
      <w:r w:rsidR="0040046A" w:rsidRPr="00301C0C">
        <w:t xml:space="preserve">Aboriginal and Torres Strait Islander people. This could include collaboration with local organisations delivering services and </w:t>
      </w:r>
      <w:r w:rsidRPr="00301C0C">
        <w:t>recipients of th</w:t>
      </w:r>
      <w:r w:rsidR="0040046A" w:rsidRPr="00301C0C">
        <w:t>ose</w:t>
      </w:r>
      <w:r w:rsidRPr="00301C0C">
        <w:t xml:space="preserve"> service</w:t>
      </w:r>
      <w:r w:rsidR="0040046A" w:rsidRPr="00301C0C">
        <w:t>s</w:t>
      </w:r>
      <w:r w:rsidRPr="00301C0C">
        <w:t>. It is also vital for the design of place-based services, to understand the lived experience of families and children in context of the challenges and opportunities of the location they live in.</w:t>
      </w:r>
      <w:r w:rsidRPr="00301C0C">
        <w:rPr>
          <w:rStyle w:val="EndnoteReference"/>
        </w:rPr>
        <w:endnoteReference w:id="52"/>
      </w:r>
      <w:r w:rsidRPr="00301C0C">
        <w:t xml:space="preserve"> </w:t>
      </w:r>
    </w:p>
    <w:p w14:paraId="2569F571" w14:textId="77777777" w:rsidR="002D29E6" w:rsidRPr="00301C0C" w:rsidRDefault="00BF62E4" w:rsidP="00B45723">
      <w:pPr>
        <w:spacing w:after="120" w:line="240" w:lineRule="auto"/>
      </w:pPr>
      <w:r w:rsidRPr="00301C0C">
        <w:t>By working with people to design services we can ensure that the outcomes sought, and the approach of the service, is relevant to them. Research and evidence will inform but cannot take the place of involving families and children in the design of services.</w:t>
      </w:r>
      <w:r w:rsidRPr="00301C0C">
        <w:rPr>
          <w:rStyle w:val="EndnoteReference"/>
        </w:rPr>
        <w:endnoteReference w:id="53"/>
      </w:r>
      <w:r w:rsidR="002D29E6">
        <w:t xml:space="preserve"> </w:t>
      </w:r>
      <w:r w:rsidR="002D29E6" w:rsidRPr="00301C0C">
        <w:t xml:space="preserve">Poorly designed services that don’t engage collaboratively with the families and children they are seeking to support may in fact create barriers to accessing these very services. </w:t>
      </w:r>
    </w:p>
    <w:p w14:paraId="3F6DB9E2" w14:textId="77777777" w:rsidR="002D29E6" w:rsidRPr="00301C0C" w:rsidRDefault="002D29E6" w:rsidP="00B45723">
      <w:pPr>
        <w:spacing w:after="120" w:line="240" w:lineRule="auto"/>
        <w:rPr>
          <w:rFonts w:asciiTheme="minorHAnsi" w:hAnsiTheme="minorHAnsi" w:cstheme="minorHAnsi"/>
          <w:sz w:val="20"/>
          <w:szCs w:val="20"/>
        </w:rPr>
      </w:pPr>
      <w:r w:rsidRPr="00301C0C">
        <w:t>This frequently occurs with services that are designed for, instead of with, Aboriginal</w:t>
      </w:r>
      <w:r>
        <w:t> </w:t>
      </w:r>
      <w:r w:rsidRPr="00301C0C">
        <w:t>and Torres Strait Islander families and children. The complex system of kinship, culture and society is fundamental to the health and wellbeing for Indigenous families and a source of strength and resilience for many</w:t>
      </w:r>
      <w:r w:rsidRPr="00301C0C">
        <w:rPr>
          <w:rFonts w:asciiTheme="minorHAnsi" w:hAnsiTheme="minorHAnsi" w:cstheme="minorHAnsi"/>
          <w:sz w:val="20"/>
          <w:szCs w:val="20"/>
        </w:rPr>
        <w:t>.</w:t>
      </w:r>
      <w:r w:rsidRPr="00301C0C">
        <w:rPr>
          <w:rStyle w:val="EndnoteReference"/>
          <w:rFonts w:asciiTheme="minorHAnsi" w:hAnsiTheme="minorHAnsi" w:cstheme="minorHAnsi"/>
          <w:sz w:val="20"/>
          <w:szCs w:val="20"/>
        </w:rPr>
        <w:endnoteReference w:id="54"/>
      </w:r>
      <w:r w:rsidRPr="00301C0C">
        <w:rPr>
          <w:rFonts w:asciiTheme="minorHAnsi" w:hAnsiTheme="minorHAnsi" w:cstheme="minorHAnsi"/>
          <w:sz w:val="20"/>
          <w:szCs w:val="20"/>
        </w:rPr>
        <w:t xml:space="preserve"> </w:t>
      </w:r>
      <w:r w:rsidRPr="00301C0C">
        <w:t>Cultural views of health and wellbeing, and the importance of family need to be understood when working with Indigenous families. For Aboriginal and Torres Strait Islander people, health represents a holistic concept of wellbeing, not simply an absence of illness. Disability is also viewed differently. Despite Aboriginal and Torres Strait Islander people being 1.8 times more likely to have a disability compared to other Australians they don’t have a word for disability</w:t>
      </w:r>
      <w:r w:rsidRPr="00301C0C">
        <w:rPr>
          <w:rStyle w:val="EndnoteReference"/>
        </w:rPr>
        <w:endnoteReference w:id="55"/>
      </w:r>
      <w:r w:rsidRPr="00301C0C">
        <w:t xml:space="preserve">. It’s just part of who that person is. Services need to be responsive to cultural needs and have an understanding of a social model of health and wellbeing, recognising the broader social determinants impacting upon health outcomes for Aboriginal people. These principles are reflected in the </w:t>
      </w:r>
      <w:r w:rsidRPr="00085A1F">
        <w:t>IGP</w:t>
      </w:r>
      <w:r w:rsidRPr="00301C0C">
        <w:t>.</w:t>
      </w:r>
      <w:r w:rsidRPr="00301C0C">
        <w:rPr>
          <w:rFonts w:asciiTheme="minorHAnsi" w:hAnsiTheme="minorHAnsi" w:cstheme="minorHAnsi"/>
          <w:sz w:val="20"/>
          <w:szCs w:val="20"/>
        </w:rPr>
        <w:t xml:space="preserve">  </w:t>
      </w:r>
    </w:p>
    <w:p w14:paraId="439C764E" w14:textId="327F6FB1" w:rsidR="000368E1" w:rsidRPr="00301C0C" w:rsidRDefault="00BF62E4" w:rsidP="00B45723">
      <w:pPr>
        <w:spacing w:after="120" w:line="240" w:lineRule="auto"/>
      </w:pPr>
      <w:r w:rsidRPr="00301C0C">
        <w:t>Collaboration is also an important part of service delivery.</w:t>
      </w:r>
      <w:r w:rsidR="000368E1" w:rsidRPr="00301C0C">
        <w:t xml:space="preserve"> We know that many families and children who access FaC services have complex needs. Not all of these needs can be met by one service provider, and ensuring service providers have meaningful relationships with each other, and have effective referral mechanisms in place, is critical to ensuring all of the needs can be met. </w:t>
      </w:r>
    </w:p>
    <w:p w14:paraId="7F9FF9B1" w14:textId="44BDE239" w:rsidR="000B27BE" w:rsidRPr="00301C0C" w:rsidRDefault="000368E1" w:rsidP="00B45723">
      <w:pPr>
        <w:spacing w:after="120" w:line="240" w:lineRule="auto"/>
      </w:pPr>
      <w:r w:rsidRPr="00301C0C">
        <w:t>T</w:t>
      </w:r>
      <w:r w:rsidR="000B27BE" w:rsidRPr="00301C0C">
        <w:t xml:space="preserve">he level of engagement between services, governments, communities, and families and children can range from low levels (characterised by service autonomy), medium levels with streamlined referrals or regular cooperation, through to high levels of coordination and integration across the system (see Figure 2). </w:t>
      </w:r>
    </w:p>
    <w:p w14:paraId="6594FFE3" w14:textId="77777777" w:rsidR="00B45723" w:rsidRDefault="00B45723">
      <w:pPr>
        <w:spacing w:before="0" w:after="200" w:line="276" w:lineRule="auto"/>
        <w:rPr>
          <w:i/>
        </w:rPr>
      </w:pPr>
      <w:r>
        <w:rPr>
          <w:i/>
        </w:rPr>
        <w:br w:type="page"/>
      </w:r>
    </w:p>
    <w:p w14:paraId="373AEFF7" w14:textId="7930F0DB" w:rsidR="000B27BE" w:rsidRPr="00B45723" w:rsidRDefault="000B27BE" w:rsidP="00B45723">
      <w:pPr>
        <w:spacing w:after="120" w:line="240" w:lineRule="auto"/>
        <w:jc w:val="center"/>
        <w:rPr>
          <w:i/>
        </w:rPr>
      </w:pPr>
      <w:r w:rsidRPr="00B45723">
        <w:rPr>
          <w:i/>
        </w:rPr>
        <w:lastRenderedPageBreak/>
        <w:t>Figure 2: Service Engagement Continuum</w:t>
      </w:r>
    </w:p>
    <w:p w14:paraId="6B14A986" w14:textId="77777777" w:rsidR="000B27BE" w:rsidRPr="00301C0C" w:rsidRDefault="000B27BE" w:rsidP="00B45723">
      <w:pPr>
        <w:spacing w:after="120" w:line="240" w:lineRule="auto"/>
      </w:pPr>
      <w:r w:rsidRPr="00562ECA">
        <w:rPr>
          <w:noProof/>
        </w:rPr>
        <w:drawing>
          <wp:inline distT="0" distB="0" distL="0" distR="0" wp14:anchorId="488217C9" wp14:editId="41D74B64">
            <wp:extent cx="5756275" cy="1629410"/>
            <wp:effectExtent l="0" t="0" r="0" b="8890"/>
            <wp:docPr id="39" name="Picture 39" descr="The term ‘integration’ can refer to a continuum of different arrangements between government agencies and service providers. &#10;Lower levels of engagement focus on inter-personal engagement, such as service autonomy that involves networking, and increase with greater inter-organisational engagement, such as formalised collaborative practices and streamlined referrals that include incident based processes. &#10;Higher levels of engagement involve cooperation through regular communication and the establishment of common goals. Engagement increases as a result of coordination through agreed plans and protocols or a separately appointed coordinator, or full integration by establishing a single-system with sub-units and cross-unit accountability.&#10;" title="Figure 12: A continuum of integrated responses"/>
            <wp:cNvGraphicFramePr/>
            <a:graphic xmlns:a="http://schemas.openxmlformats.org/drawingml/2006/main">
              <a:graphicData uri="http://schemas.openxmlformats.org/drawingml/2006/picture">
                <pic:pic xmlns:pic="http://schemas.openxmlformats.org/drawingml/2006/picture">
                  <pic:nvPicPr>
                    <pic:cNvPr id="39" name="Picture 39" descr="The term ‘integration’ can refer to a continuum of different arrangements between government agencies and service providers. &#10;Lower levels of engagement focus on inter-personal engagement, such as service autonomy that involves networking, and increase with greater inter-organisational engagement, such as formalised collaborative practices and streamlined referrals that include incident based processes. &#10;Higher levels of engagement involve cooperation through regular communication and the establishment of common goals. Engagement increases as a result of coordination through agreed plans and protocols or a separately appointed coordinator, or full integration by establishing a single-system with sub-units and cross-unit accountability.&#10;" title="Figure 12: A continuum of integrated responses"/>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56275" cy="1629410"/>
                    </a:xfrm>
                    <a:prstGeom prst="rect">
                      <a:avLst/>
                    </a:prstGeom>
                  </pic:spPr>
                </pic:pic>
              </a:graphicData>
            </a:graphic>
          </wp:inline>
        </w:drawing>
      </w:r>
    </w:p>
    <w:p w14:paraId="12B86EDF" w14:textId="2B403A92" w:rsidR="000B27BE" w:rsidRDefault="000B27BE" w:rsidP="00B45723">
      <w:pPr>
        <w:spacing w:after="120" w:line="240" w:lineRule="auto"/>
      </w:pPr>
      <w:r w:rsidRPr="00301C0C">
        <w:t xml:space="preserve">Not all levels of engagement will be appropriate for all services. However, moving from low levels of engagement to higher levels of engagement can have significant benefit for families and children receiving services. Research clearly demonstrates that for families experiencing complex and intersecting needs a holistic and integrated response is more effective at improving outcomes. </w:t>
      </w:r>
    </w:p>
    <w:p w14:paraId="5A13C502" w14:textId="77777777" w:rsidR="00B87C53" w:rsidRPr="00301C0C" w:rsidRDefault="00B87C53" w:rsidP="00B45723">
      <w:pPr>
        <w:spacing w:after="120" w:line="240" w:lineRule="auto"/>
      </w:pPr>
    </w:p>
    <w:p w14:paraId="1E84A458" w14:textId="77777777" w:rsidR="000B27BE" w:rsidRPr="00301C0C" w:rsidRDefault="000B27BE" w:rsidP="00B45723">
      <w:pPr>
        <w:spacing w:after="120" w:line="240" w:lineRule="auto"/>
      </w:pPr>
    </w:p>
    <w:p w14:paraId="0CB8B4B7" w14:textId="7BEBC229" w:rsidR="00C67B98" w:rsidRPr="00301C0C" w:rsidRDefault="00C67B98" w:rsidP="00B45723">
      <w:pPr>
        <w:spacing w:after="120" w:line="240" w:lineRule="auto"/>
      </w:pPr>
      <w:r w:rsidRPr="00301C0C">
        <w:br w:type="page"/>
      </w:r>
    </w:p>
    <w:p w14:paraId="350864EF" w14:textId="5196884A" w:rsidR="000368E1" w:rsidRPr="00301C0C" w:rsidRDefault="000368E1" w:rsidP="00B45723">
      <w:pPr>
        <w:pStyle w:val="Heading1"/>
        <w:spacing w:before="120"/>
        <w:contextualSpacing w:val="0"/>
      </w:pPr>
      <w:bookmarkStart w:id="28" w:name="_Toc516213700"/>
      <w:r w:rsidRPr="00301C0C">
        <w:lastRenderedPageBreak/>
        <w:t xml:space="preserve">Attachment A </w:t>
      </w:r>
      <w:r w:rsidR="00C6050E" w:rsidRPr="00301C0C">
        <w:t>–</w:t>
      </w:r>
      <w:r w:rsidRPr="00301C0C">
        <w:t xml:space="preserve"> Glossary</w:t>
      </w:r>
      <w:r w:rsidR="00C6050E" w:rsidRPr="00301C0C">
        <w:t xml:space="preserve"> of Acronyms</w:t>
      </w:r>
      <w:bookmarkEnd w:id="28"/>
    </w:p>
    <w:p w14:paraId="649FEB1D" w14:textId="16F76F34" w:rsidR="000368E1" w:rsidRPr="00301C0C" w:rsidRDefault="000368E1" w:rsidP="00B45723">
      <w:pPr>
        <w:spacing w:after="120" w:line="240" w:lineRule="auto"/>
        <w:rPr>
          <w:rFonts w:eastAsiaTheme="majorEastAsi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655"/>
      </w:tblGrid>
      <w:tr w:rsidR="00C6050E" w:rsidRPr="00301C0C" w14:paraId="25153890" w14:textId="77777777" w:rsidTr="00C6050E">
        <w:tc>
          <w:tcPr>
            <w:tcW w:w="2689" w:type="dxa"/>
          </w:tcPr>
          <w:p w14:paraId="0A0CEDB5" w14:textId="49D868D6" w:rsidR="00C6050E" w:rsidRPr="00301C0C" w:rsidRDefault="00C6050E" w:rsidP="00B45723">
            <w:pPr>
              <w:spacing w:after="120" w:line="240" w:lineRule="auto"/>
            </w:pPr>
            <w:r w:rsidRPr="00301C0C">
              <w:t>CaPS</w:t>
            </w:r>
          </w:p>
        </w:tc>
        <w:tc>
          <w:tcPr>
            <w:tcW w:w="6655" w:type="dxa"/>
          </w:tcPr>
          <w:p w14:paraId="2D07F380" w14:textId="3C901AEB" w:rsidR="00C6050E" w:rsidRPr="00301C0C" w:rsidRDefault="00C6050E" w:rsidP="00B45723">
            <w:pPr>
              <w:spacing w:after="120" w:line="240" w:lineRule="auto"/>
            </w:pPr>
            <w:r w:rsidRPr="00301C0C">
              <w:t>Children and Parenting Support</w:t>
            </w:r>
          </w:p>
        </w:tc>
      </w:tr>
      <w:tr w:rsidR="00C6050E" w:rsidRPr="00301C0C" w14:paraId="730DE135" w14:textId="77777777" w:rsidTr="00C6050E">
        <w:tc>
          <w:tcPr>
            <w:tcW w:w="2689" w:type="dxa"/>
          </w:tcPr>
          <w:p w14:paraId="33DAF44C" w14:textId="1FCD6B90" w:rsidR="00C6050E" w:rsidRPr="00301C0C" w:rsidRDefault="007A5198" w:rsidP="00B45723">
            <w:pPr>
              <w:spacing w:after="120" w:line="240" w:lineRule="auto"/>
            </w:pPr>
            <w:r>
              <w:t>CFC</w:t>
            </w:r>
            <w:r w:rsidR="00C6050E" w:rsidRPr="00301C0C">
              <w:t>A</w:t>
            </w:r>
          </w:p>
        </w:tc>
        <w:tc>
          <w:tcPr>
            <w:tcW w:w="6655" w:type="dxa"/>
          </w:tcPr>
          <w:p w14:paraId="71DAD442" w14:textId="77777777" w:rsidR="00C6050E" w:rsidRPr="00301C0C" w:rsidRDefault="00C6050E" w:rsidP="00B45723">
            <w:pPr>
              <w:spacing w:after="120" w:line="240" w:lineRule="auto"/>
            </w:pPr>
            <w:r w:rsidRPr="00301C0C">
              <w:t>Child Family Community Australia information exchange</w:t>
            </w:r>
          </w:p>
        </w:tc>
      </w:tr>
      <w:tr w:rsidR="008D12BF" w:rsidRPr="00301C0C" w14:paraId="4C7BC2F0" w14:textId="77777777" w:rsidTr="00085A1F">
        <w:tc>
          <w:tcPr>
            <w:tcW w:w="2689" w:type="dxa"/>
          </w:tcPr>
          <w:p w14:paraId="05541C51" w14:textId="03AFF6B4" w:rsidR="008D12BF" w:rsidRPr="00301C0C" w:rsidRDefault="007A5198" w:rsidP="00B45723">
            <w:pPr>
              <w:spacing w:after="120" w:line="240" w:lineRule="auto"/>
            </w:pPr>
            <w:r>
              <w:t>C</w:t>
            </w:r>
            <w:r w:rsidR="00B45723">
              <w:t>f</w:t>
            </w:r>
            <w:r>
              <w:t>C</w:t>
            </w:r>
            <w:r w:rsidR="001D675A" w:rsidRPr="00301C0C">
              <w:t xml:space="preserve"> FP</w:t>
            </w:r>
          </w:p>
        </w:tc>
        <w:tc>
          <w:tcPr>
            <w:tcW w:w="6655" w:type="dxa"/>
          </w:tcPr>
          <w:p w14:paraId="06CEF438" w14:textId="18471C2C" w:rsidR="008D12BF" w:rsidRPr="00301C0C" w:rsidRDefault="001D675A" w:rsidP="00B45723">
            <w:pPr>
              <w:spacing w:after="120" w:line="240" w:lineRule="auto"/>
            </w:pPr>
            <w:r w:rsidRPr="00301C0C">
              <w:t xml:space="preserve">Communities for Children Facilitating Partners </w:t>
            </w:r>
          </w:p>
        </w:tc>
      </w:tr>
      <w:tr w:rsidR="008D12BF" w:rsidRPr="00301C0C" w14:paraId="7E249B60" w14:textId="77777777" w:rsidTr="00085A1F">
        <w:tc>
          <w:tcPr>
            <w:tcW w:w="2689" w:type="dxa"/>
          </w:tcPr>
          <w:p w14:paraId="34DD8F54" w14:textId="14716144" w:rsidR="008D12BF" w:rsidRPr="00301C0C" w:rsidRDefault="001D675A" w:rsidP="00B45723">
            <w:pPr>
              <w:spacing w:after="120" w:line="240" w:lineRule="auto"/>
            </w:pPr>
            <w:r w:rsidRPr="00301C0C">
              <w:t>DSS</w:t>
            </w:r>
          </w:p>
        </w:tc>
        <w:tc>
          <w:tcPr>
            <w:tcW w:w="6655" w:type="dxa"/>
          </w:tcPr>
          <w:p w14:paraId="32D05A4A" w14:textId="23C87F3C" w:rsidR="008D12BF" w:rsidRPr="00301C0C" w:rsidRDefault="001D675A" w:rsidP="00B45723">
            <w:pPr>
              <w:spacing w:after="120" w:line="240" w:lineRule="auto"/>
            </w:pPr>
            <w:r w:rsidRPr="00301C0C">
              <w:t>Department of Social Services</w:t>
            </w:r>
          </w:p>
        </w:tc>
      </w:tr>
      <w:tr w:rsidR="008D12BF" w:rsidRPr="00301C0C" w14:paraId="73493D57" w14:textId="77777777" w:rsidTr="00085A1F">
        <w:tc>
          <w:tcPr>
            <w:tcW w:w="2689" w:type="dxa"/>
          </w:tcPr>
          <w:p w14:paraId="5D69B18D" w14:textId="166B2717" w:rsidR="008D12BF" w:rsidRPr="00301C0C" w:rsidRDefault="001D675A" w:rsidP="00B45723">
            <w:pPr>
              <w:spacing w:after="120" w:line="240" w:lineRule="auto"/>
            </w:pPr>
            <w:r w:rsidRPr="00301C0C">
              <w:t>FaC</w:t>
            </w:r>
          </w:p>
        </w:tc>
        <w:tc>
          <w:tcPr>
            <w:tcW w:w="6655" w:type="dxa"/>
          </w:tcPr>
          <w:p w14:paraId="3ACD5BD8" w14:textId="0BE3B9C2" w:rsidR="008D12BF" w:rsidRPr="00301C0C" w:rsidRDefault="001D675A" w:rsidP="00B45723">
            <w:pPr>
              <w:spacing w:after="120" w:line="240" w:lineRule="auto"/>
            </w:pPr>
            <w:r w:rsidRPr="00301C0C">
              <w:t>Family and Children Activity</w:t>
            </w:r>
          </w:p>
        </w:tc>
      </w:tr>
      <w:tr w:rsidR="00A70E8D" w:rsidRPr="00301C0C" w14:paraId="1381A915" w14:textId="77777777" w:rsidTr="00085A1F">
        <w:tc>
          <w:tcPr>
            <w:tcW w:w="2689" w:type="dxa"/>
          </w:tcPr>
          <w:p w14:paraId="14B5CE73" w14:textId="533A6F09" w:rsidR="00A70E8D" w:rsidRPr="00301C0C" w:rsidRDefault="00A70E8D" w:rsidP="00B45723">
            <w:pPr>
              <w:spacing w:after="120" w:line="240" w:lineRule="auto"/>
            </w:pPr>
            <w:r>
              <w:t>FAMS</w:t>
            </w:r>
          </w:p>
        </w:tc>
        <w:tc>
          <w:tcPr>
            <w:tcW w:w="6655" w:type="dxa"/>
          </w:tcPr>
          <w:p w14:paraId="1DBDC029" w14:textId="0ED22D62" w:rsidR="00A70E8D" w:rsidRPr="00301C0C" w:rsidRDefault="00A70E8D" w:rsidP="00B45723">
            <w:pPr>
              <w:spacing w:after="120" w:line="240" w:lineRule="auto"/>
            </w:pPr>
            <w:r w:rsidRPr="00C643D9">
              <w:rPr>
                <w:rStyle w:val="BookTitle"/>
                <w:rFonts w:cs="Arial"/>
                <w:i w:val="0"/>
                <w:smallCaps w:val="0"/>
              </w:rPr>
              <w:t>Funding Arrangement Managers</w:t>
            </w:r>
          </w:p>
        </w:tc>
      </w:tr>
      <w:tr w:rsidR="008D12BF" w:rsidRPr="00301C0C" w14:paraId="19CB8D0C" w14:textId="77777777" w:rsidTr="00085A1F">
        <w:tc>
          <w:tcPr>
            <w:tcW w:w="2689" w:type="dxa"/>
          </w:tcPr>
          <w:p w14:paraId="5BC32492" w14:textId="5776E132" w:rsidR="008D12BF" w:rsidRPr="00301C0C" w:rsidRDefault="00C6050E" w:rsidP="00B45723">
            <w:pPr>
              <w:spacing w:after="120" w:line="240" w:lineRule="auto"/>
            </w:pPr>
            <w:r w:rsidRPr="00301C0C">
              <w:t>FaRS</w:t>
            </w:r>
          </w:p>
        </w:tc>
        <w:tc>
          <w:tcPr>
            <w:tcW w:w="6655" w:type="dxa"/>
          </w:tcPr>
          <w:p w14:paraId="685ED984" w14:textId="5B1EFB32" w:rsidR="008D12BF" w:rsidRPr="00301C0C" w:rsidRDefault="00C6050E" w:rsidP="00B45723">
            <w:pPr>
              <w:spacing w:after="120" w:line="240" w:lineRule="auto"/>
            </w:pPr>
            <w:r w:rsidRPr="00301C0C">
              <w:t>Family and Relationship Services</w:t>
            </w:r>
          </w:p>
        </w:tc>
      </w:tr>
      <w:tr w:rsidR="00C6050E" w:rsidRPr="00301C0C" w14:paraId="469CC6BC" w14:textId="77777777" w:rsidTr="008D12BF">
        <w:tc>
          <w:tcPr>
            <w:tcW w:w="2689" w:type="dxa"/>
          </w:tcPr>
          <w:p w14:paraId="57C2B858" w14:textId="6F20D5A6" w:rsidR="00C6050E" w:rsidRPr="00301C0C" w:rsidRDefault="00C6050E" w:rsidP="00B45723">
            <w:pPr>
              <w:spacing w:after="120" w:line="240" w:lineRule="auto"/>
            </w:pPr>
            <w:r w:rsidRPr="00301C0C">
              <w:t>HIPPY</w:t>
            </w:r>
          </w:p>
        </w:tc>
        <w:tc>
          <w:tcPr>
            <w:tcW w:w="6655" w:type="dxa"/>
          </w:tcPr>
          <w:p w14:paraId="6426FBF5" w14:textId="2673E633" w:rsidR="00C6050E" w:rsidRPr="00301C0C" w:rsidRDefault="00C6050E" w:rsidP="00B45723">
            <w:pPr>
              <w:spacing w:after="120" w:line="240" w:lineRule="auto"/>
            </w:pPr>
            <w:r w:rsidRPr="00301C0C">
              <w:t xml:space="preserve">Home Interaction </w:t>
            </w:r>
            <w:r w:rsidR="00A70E8D">
              <w:t xml:space="preserve">Program </w:t>
            </w:r>
            <w:r w:rsidRPr="00301C0C">
              <w:t xml:space="preserve">for Parents and Youngsters </w:t>
            </w:r>
          </w:p>
        </w:tc>
      </w:tr>
      <w:tr w:rsidR="008D12BF" w:rsidRPr="00301C0C" w14:paraId="0CCF31CA" w14:textId="77777777" w:rsidTr="00085A1F">
        <w:tc>
          <w:tcPr>
            <w:tcW w:w="2689" w:type="dxa"/>
          </w:tcPr>
          <w:p w14:paraId="30EED502" w14:textId="727B75BC" w:rsidR="008D12BF" w:rsidRPr="00301C0C" w:rsidRDefault="00C6050E" w:rsidP="00B45723">
            <w:pPr>
              <w:spacing w:after="120" w:line="240" w:lineRule="auto"/>
            </w:pPr>
            <w:r w:rsidRPr="00301C0C">
              <w:t>IFSS</w:t>
            </w:r>
          </w:p>
        </w:tc>
        <w:tc>
          <w:tcPr>
            <w:tcW w:w="6655" w:type="dxa"/>
          </w:tcPr>
          <w:p w14:paraId="556E8AC9" w14:textId="2C822440" w:rsidR="008D12BF" w:rsidRPr="00301C0C" w:rsidRDefault="00C6050E" w:rsidP="00B45723">
            <w:pPr>
              <w:spacing w:after="120" w:line="240" w:lineRule="auto"/>
            </w:pPr>
            <w:r w:rsidRPr="00301C0C">
              <w:t>Intensive Family Support Service</w:t>
            </w:r>
          </w:p>
        </w:tc>
      </w:tr>
      <w:tr w:rsidR="008D12BF" w:rsidRPr="00301C0C" w14:paraId="47C07FF2" w14:textId="77777777" w:rsidTr="00085A1F">
        <w:tc>
          <w:tcPr>
            <w:tcW w:w="2689" w:type="dxa"/>
          </w:tcPr>
          <w:p w14:paraId="03B5D406" w14:textId="2B21A18E" w:rsidR="008D12BF" w:rsidRPr="00301C0C" w:rsidRDefault="00C6050E" w:rsidP="00B45723">
            <w:pPr>
              <w:spacing w:after="120" w:line="240" w:lineRule="auto"/>
            </w:pPr>
            <w:r w:rsidRPr="00301C0C">
              <w:t>IGP</w:t>
            </w:r>
          </w:p>
        </w:tc>
        <w:tc>
          <w:tcPr>
            <w:tcW w:w="6655" w:type="dxa"/>
          </w:tcPr>
          <w:p w14:paraId="7193A226" w14:textId="70706D04" w:rsidR="008D12BF" w:rsidRPr="00301C0C" w:rsidRDefault="00C6050E" w:rsidP="00B45723">
            <w:pPr>
              <w:spacing w:after="120" w:line="240" w:lineRule="auto"/>
            </w:pPr>
            <w:r w:rsidRPr="00301C0C">
              <w:t>Indigenous Grants Policy</w:t>
            </w:r>
          </w:p>
        </w:tc>
      </w:tr>
      <w:tr w:rsidR="00C6050E" w:rsidRPr="00301C0C" w14:paraId="756E8645" w14:textId="77777777" w:rsidTr="008D12BF">
        <w:tc>
          <w:tcPr>
            <w:tcW w:w="2689" w:type="dxa"/>
          </w:tcPr>
          <w:p w14:paraId="7CA99805" w14:textId="65CF533F" w:rsidR="00C6050E" w:rsidRPr="00301C0C" w:rsidRDefault="00C6050E" w:rsidP="00B45723">
            <w:pPr>
              <w:spacing w:after="120" w:line="240" w:lineRule="auto"/>
            </w:pPr>
            <w:r w:rsidRPr="00301C0C">
              <w:t>VADCAS</w:t>
            </w:r>
          </w:p>
        </w:tc>
        <w:tc>
          <w:tcPr>
            <w:tcW w:w="6655" w:type="dxa"/>
          </w:tcPr>
          <w:p w14:paraId="1139E763" w14:textId="729FE25E" w:rsidR="00C6050E" w:rsidRPr="00301C0C" w:rsidRDefault="00C6050E" w:rsidP="00B45723">
            <w:pPr>
              <w:spacing w:after="120" w:line="240" w:lineRule="auto"/>
            </w:pPr>
            <w:r w:rsidRPr="00301C0C">
              <w:t>Vulnerable a</w:t>
            </w:r>
            <w:r w:rsidRPr="00301C0C">
              <w:rPr>
                <w:rStyle w:val="BookTitle"/>
                <w:rFonts w:cs="Arial"/>
                <w:i w:val="0"/>
                <w:smallCaps w:val="0"/>
              </w:rPr>
              <w:t>nd Disadvantaged Client Access Strategy</w:t>
            </w:r>
          </w:p>
        </w:tc>
      </w:tr>
    </w:tbl>
    <w:p w14:paraId="7221C972" w14:textId="77777777" w:rsidR="008D12BF" w:rsidRPr="00301C0C" w:rsidRDefault="008D12BF" w:rsidP="00B45723">
      <w:pPr>
        <w:spacing w:after="120" w:line="240" w:lineRule="auto"/>
      </w:pPr>
    </w:p>
    <w:p w14:paraId="7F03C15E" w14:textId="77777777" w:rsidR="008D12BF" w:rsidRPr="00301C0C" w:rsidRDefault="008D12BF" w:rsidP="00B45723">
      <w:pPr>
        <w:spacing w:after="120" w:line="240" w:lineRule="auto"/>
      </w:pPr>
    </w:p>
    <w:p w14:paraId="14947948" w14:textId="77777777" w:rsidR="008D12BF" w:rsidRPr="00301C0C" w:rsidRDefault="008D12BF" w:rsidP="00B45723">
      <w:pPr>
        <w:spacing w:after="120" w:line="240" w:lineRule="auto"/>
      </w:pPr>
    </w:p>
    <w:p w14:paraId="0C89F9B7" w14:textId="7AA7DB49" w:rsidR="000368E1" w:rsidRPr="00301C0C" w:rsidRDefault="000368E1" w:rsidP="00B45723">
      <w:pPr>
        <w:spacing w:after="120" w:line="240" w:lineRule="auto"/>
        <w:rPr>
          <w:rFonts w:ascii="Georgia" w:eastAsiaTheme="majorEastAsia" w:hAnsi="Georgia" w:cstheme="majorBidi"/>
          <w:bCs/>
          <w:color w:val="500778"/>
          <w:sz w:val="36"/>
          <w:szCs w:val="28"/>
        </w:rPr>
      </w:pPr>
      <w:r w:rsidRPr="00301C0C">
        <w:br w:type="page"/>
      </w:r>
    </w:p>
    <w:p w14:paraId="0C8835B6" w14:textId="0D302F0F" w:rsidR="00171846" w:rsidRPr="00301C0C" w:rsidRDefault="00171846" w:rsidP="00B45723">
      <w:pPr>
        <w:pStyle w:val="Heading1"/>
        <w:spacing w:before="120"/>
        <w:contextualSpacing w:val="0"/>
      </w:pPr>
      <w:bookmarkStart w:id="29" w:name="_Toc516213701"/>
      <w:r w:rsidRPr="00301C0C">
        <w:lastRenderedPageBreak/>
        <w:t xml:space="preserve">Attachment </w:t>
      </w:r>
      <w:r w:rsidR="000368E1" w:rsidRPr="00301C0C">
        <w:t>B</w:t>
      </w:r>
      <w:bookmarkEnd w:id="29"/>
    </w:p>
    <w:p w14:paraId="4CDFB4A3" w14:textId="7C3E97B0" w:rsidR="00171846" w:rsidRPr="00301C0C" w:rsidRDefault="00171846" w:rsidP="00B45723">
      <w:pPr>
        <w:pStyle w:val="Heading2"/>
        <w:spacing w:before="120"/>
      </w:pPr>
      <w:bookmarkStart w:id="30" w:name="_Toc516213702"/>
      <w:r w:rsidRPr="00301C0C">
        <w:t>Key Policy Decisions</w:t>
      </w:r>
      <w:r w:rsidR="00D43E30" w:rsidRPr="00301C0C">
        <w:t xml:space="preserve"> &amp; Issues</w:t>
      </w:r>
      <w:bookmarkEnd w:id="30"/>
    </w:p>
    <w:p w14:paraId="309C9C7B" w14:textId="77777777" w:rsidR="00D43E30" w:rsidRPr="00301C0C" w:rsidRDefault="00D43E30" w:rsidP="00B45723">
      <w:pPr>
        <w:pStyle w:val="Heading4"/>
        <w:spacing w:before="120" w:after="120" w:line="240" w:lineRule="auto"/>
      </w:pPr>
      <w:r w:rsidRPr="00301C0C">
        <w:t>Closing the Gap 2008</w:t>
      </w:r>
    </w:p>
    <w:p w14:paraId="032BEE62" w14:textId="5A75036C" w:rsidR="00D43E30" w:rsidRPr="00301C0C" w:rsidRDefault="00086D5D" w:rsidP="00B45723">
      <w:pPr>
        <w:spacing w:after="120" w:line="240" w:lineRule="auto"/>
        <w:rPr>
          <w:lang w:val="en"/>
        </w:rPr>
      </w:pPr>
      <w:hyperlink r:id="rId21" w:history="1">
        <w:r w:rsidR="00D43E30" w:rsidRPr="00301C0C">
          <w:rPr>
            <w:rStyle w:val="Hyperlink"/>
            <w:sz w:val="24"/>
            <w:lang w:val="en"/>
          </w:rPr>
          <w:t>Closing the Gap</w:t>
        </w:r>
      </w:hyperlink>
      <w:r w:rsidR="00D43E30" w:rsidRPr="00301C0C">
        <w:rPr>
          <w:lang w:val="en"/>
        </w:rPr>
        <w:t xml:space="preserve"> aims to improve the lives of Aboriginal and Torres Strait Islander Australians. In 2008, the Council of Australian Governments (COAG) set targets aimed at eliminating the gap in outcomes between Indigenous and non-Indigenous Australians.</w:t>
      </w:r>
    </w:p>
    <w:p w14:paraId="4764D4F5" w14:textId="59CFA01E" w:rsidR="00D43E30" w:rsidRPr="00301C0C" w:rsidRDefault="00D43E30" w:rsidP="00B45723">
      <w:pPr>
        <w:spacing w:after="120" w:line="240" w:lineRule="auto"/>
        <w:rPr>
          <w:lang w:val="en"/>
        </w:rPr>
      </w:pPr>
      <w:r w:rsidRPr="00301C0C">
        <w:rPr>
          <w:lang w:val="en"/>
        </w:rPr>
        <w:t>In 2018, four of the seven targets will expire. Commonwealth, state and territory governments have agreed to work together with Aboriginal and Torres Strait Islander leaders, organisations, communities and families on a refreshed agenda and renewed targets (</w:t>
      </w:r>
      <w:hyperlink r:id="rId22" w:history="1">
        <w:r w:rsidRPr="00301C0C">
          <w:rPr>
            <w:rStyle w:val="Hyperlink"/>
            <w:sz w:val="24"/>
            <w:lang w:val="en"/>
          </w:rPr>
          <w:t>Closing the Gap Refresh</w:t>
        </w:r>
      </w:hyperlink>
      <w:r w:rsidRPr="00301C0C">
        <w:rPr>
          <w:lang w:val="en"/>
        </w:rPr>
        <w:t>). This engagement is currently underway.</w:t>
      </w:r>
    </w:p>
    <w:p w14:paraId="047933EA" w14:textId="4FBB3B97" w:rsidR="00171846" w:rsidRPr="00301C0C" w:rsidRDefault="00171846" w:rsidP="00B45723">
      <w:pPr>
        <w:pStyle w:val="Heading4"/>
        <w:spacing w:before="120" w:after="120" w:line="240" w:lineRule="auto"/>
      </w:pPr>
      <w:r w:rsidRPr="00301C0C">
        <w:t>National Framework for Protecting Australia’s Children 2009 - 2020</w:t>
      </w:r>
    </w:p>
    <w:p w14:paraId="38C93C93" w14:textId="56113B32" w:rsidR="00171846" w:rsidRPr="00301C0C" w:rsidRDefault="00171846" w:rsidP="00B45723">
      <w:pPr>
        <w:spacing w:after="120" w:line="240" w:lineRule="auto"/>
      </w:pPr>
      <w:r w:rsidRPr="00301C0C">
        <w:t xml:space="preserve">The </w:t>
      </w:r>
      <w:hyperlink r:id="rId23" w:history="1">
        <w:r w:rsidRPr="00301C0C">
          <w:rPr>
            <w:rStyle w:val="Hyperlink"/>
            <w:sz w:val="24"/>
          </w:rPr>
          <w:t>National Framework</w:t>
        </w:r>
      </w:hyperlink>
      <w:r w:rsidRPr="00301C0C">
        <w:t xml:space="preserve"> outlines an ambitious, long</w:t>
      </w:r>
      <w:r w:rsidR="00F72D8E">
        <w:t>-</w:t>
      </w:r>
      <w:r w:rsidRPr="00301C0C">
        <w:t>term national approach to ensuring the safety and well-being of Australia’s children. It aims to deliver a substantial and sustained reduction in levels of child abuse and neglect over time. The National Framework is being implemented through a series of three-year action plans.</w:t>
      </w:r>
    </w:p>
    <w:p w14:paraId="1B259F75" w14:textId="77777777" w:rsidR="00171846" w:rsidRPr="00301C0C" w:rsidRDefault="00171846" w:rsidP="00B45723">
      <w:pPr>
        <w:spacing w:after="120" w:line="240" w:lineRule="auto"/>
      </w:pPr>
      <w:r w:rsidRPr="00301C0C">
        <w:t xml:space="preserve">The Third Action Plan focuses on </w:t>
      </w:r>
    </w:p>
    <w:p w14:paraId="0D630CFF" w14:textId="5743CBA5" w:rsidR="00171846" w:rsidRPr="00301C0C" w:rsidRDefault="00171846" w:rsidP="00B45723">
      <w:pPr>
        <w:pStyle w:val="ListParagraph"/>
        <w:numPr>
          <w:ilvl w:val="0"/>
          <w:numId w:val="5"/>
        </w:numPr>
        <w:spacing w:after="120" w:line="240" w:lineRule="auto"/>
        <w:ind w:left="714" w:hanging="357"/>
        <w:contextualSpacing w:val="0"/>
        <w:rPr>
          <w:lang w:val="en"/>
        </w:rPr>
      </w:pPr>
      <w:r w:rsidRPr="00301C0C">
        <w:rPr>
          <w:lang w:val="en"/>
        </w:rPr>
        <w:t>early intervention, with a focus on the early years — particularly the first 1000 days for a child</w:t>
      </w:r>
      <w:r w:rsidR="00D43E30" w:rsidRPr="00301C0C">
        <w:rPr>
          <w:lang w:val="en"/>
        </w:rPr>
        <w:t>,</w:t>
      </w:r>
    </w:p>
    <w:p w14:paraId="2BF63CAC" w14:textId="769A11BA" w:rsidR="00171846" w:rsidRPr="00301C0C" w:rsidRDefault="00171846" w:rsidP="00B45723">
      <w:pPr>
        <w:pStyle w:val="ListParagraph"/>
        <w:numPr>
          <w:ilvl w:val="0"/>
          <w:numId w:val="5"/>
        </w:numPr>
        <w:spacing w:after="120" w:line="240" w:lineRule="auto"/>
        <w:ind w:left="714" w:hanging="357"/>
        <w:contextualSpacing w:val="0"/>
        <w:rPr>
          <w:lang w:val="en"/>
        </w:rPr>
      </w:pPr>
      <w:r w:rsidRPr="00301C0C">
        <w:rPr>
          <w:lang w:val="en"/>
        </w:rPr>
        <w:t>helping young people in out-of-home care to thrive in adulthood</w:t>
      </w:r>
      <w:r w:rsidR="00D43E30" w:rsidRPr="00301C0C">
        <w:rPr>
          <w:lang w:val="en"/>
        </w:rPr>
        <w:t>, and</w:t>
      </w:r>
    </w:p>
    <w:p w14:paraId="20826881" w14:textId="77777777" w:rsidR="00171846" w:rsidRPr="00301C0C" w:rsidRDefault="00171846" w:rsidP="00B45723">
      <w:pPr>
        <w:pStyle w:val="ListParagraph"/>
        <w:numPr>
          <w:ilvl w:val="0"/>
          <w:numId w:val="5"/>
        </w:numPr>
        <w:spacing w:after="120" w:line="240" w:lineRule="auto"/>
        <w:ind w:left="714" w:hanging="357"/>
        <w:contextualSpacing w:val="0"/>
        <w:rPr>
          <w:lang w:val="en"/>
        </w:rPr>
      </w:pPr>
      <w:r w:rsidRPr="00301C0C">
        <w:rPr>
          <w:lang w:val="en"/>
        </w:rPr>
        <w:t>organisations responding better to children and young people to keep them safe.</w:t>
      </w:r>
    </w:p>
    <w:p w14:paraId="45EFE46B" w14:textId="3FF7C80C" w:rsidR="00171846" w:rsidRPr="00301C0C" w:rsidRDefault="00171846" w:rsidP="00B45723">
      <w:pPr>
        <w:spacing w:after="120" w:line="240" w:lineRule="auto"/>
      </w:pPr>
      <w:r w:rsidRPr="00301C0C">
        <w:t xml:space="preserve">The Fourth Action Plan is </w:t>
      </w:r>
      <w:r w:rsidR="00D43E30" w:rsidRPr="00301C0C">
        <w:t xml:space="preserve">anticipated to be agreed by COAG </w:t>
      </w:r>
      <w:r w:rsidRPr="00301C0C">
        <w:t>in 2018.</w:t>
      </w:r>
    </w:p>
    <w:p w14:paraId="1F1AC89F" w14:textId="5DD8F664" w:rsidR="00171846" w:rsidRPr="00301C0C" w:rsidRDefault="00171846" w:rsidP="00B45723">
      <w:pPr>
        <w:pStyle w:val="Heading4"/>
        <w:spacing w:before="120" w:after="120" w:line="240" w:lineRule="auto"/>
      </w:pPr>
      <w:r w:rsidRPr="00301C0C">
        <w:t>National Plan to Reduce Violence agains</w:t>
      </w:r>
      <w:r w:rsidR="00D43E30" w:rsidRPr="00301C0C">
        <w:t xml:space="preserve">t Women and their Children 2010 - </w:t>
      </w:r>
      <w:r w:rsidRPr="00301C0C">
        <w:t>2022</w:t>
      </w:r>
    </w:p>
    <w:p w14:paraId="618F36E1" w14:textId="1F698B5E" w:rsidR="00171846" w:rsidRPr="00301C0C" w:rsidRDefault="00171846" w:rsidP="00B45723">
      <w:pPr>
        <w:spacing w:after="120" w:line="240" w:lineRule="auto"/>
      </w:pPr>
      <w:r w:rsidRPr="00301C0C">
        <w:t xml:space="preserve">The </w:t>
      </w:r>
      <w:hyperlink r:id="rId24" w:history="1">
        <w:r w:rsidRPr="00301C0C">
          <w:rPr>
            <w:rStyle w:val="Hyperlink"/>
            <w:sz w:val="24"/>
          </w:rPr>
          <w:t>National Plan</w:t>
        </w:r>
      </w:hyperlink>
      <w:r w:rsidRPr="00301C0C">
        <w:t xml:space="preserve"> focuses on stopping violence before it happens in the first place, supporting women who have experienced violence, stopping men from committing violence, and building the evidence base so that we learn more about ‘what works’ in reducing domestic and family violence and sexual assault.</w:t>
      </w:r>
    </w:p>
    <w:p w14:paraId="4E393BA4" w14:textId="77777777" w:rsidR="00171846" w:rsidRPr="00301C0C" w:rsidRDefault="00171846" w:rsidP="00B45723">
      <w:pPr>
        <w:spacing w:after="120" w:line="240" w:lineRule="auto"/>
      </w:pPr>
      <w:r w:rsidRPr="00301C0C">
        <w:t>The Third Action Plan of the National Plan outlines 36 practical actions within the following six national priority areas, to be undertaken over the next three years:</w:t>
      </w:r>
    </w:p>
    <w:p w14:paraId="04B1DD9F" w14:textId="77777777" w:rsidR="00171846" w:rsidRPr="00301C0C" w:rsidRDefault="00171846" w:rsidP="00B45723">
      <w:pPr>
        <w:pStyle w:val="ListParagraph"/>
        <w:numPr>
          <w:ilvl w:val="0"/>
          <w:numId w:val="6"/>
        </w:numPr>
        <w:spacing w:after="120" w:line="240" w:lineRule="auto"/>
        <w:ind w:left="714" w:hanging="357"/>
        <w:contextualSpacing w:val="0"/>
      </w:pPr>
      <w:r w:rsidRPr="00301C0C">
        <w:t>National Priority Area 1: Prevention and early intervention</w:t>
      </w:r>
    </w:p>
    <w:p w14:paraId="368FC47A" w14:textId="77777777" w:rsidR="00171846" w:rsidRPr="00301C0C" w:rsidRDefault="00171846" w:rsidP="00B45723">
      <w:pPr>
        <w:pStyle w:val="ListParagraph"/>
        <w:numPr>
          <w:ilvl w:val="0"/>
          <w:numId w:val="6"/>
        </w:numPr>
        <w:spacing w:after="120" w:line="240" w:lineRule="auto"/>
        <w:ind w:left="714" w:hanging="357"/>
        <w:contextualSpacing w:val="0"/>
      </w:pPr>
      <w:r w:rsidRPr="00301C0C">
        <w:t>National Priority Area 2: Aboriginal and Torres Strait Islander women and their children</w:t>
      </w:r>
    </w:p>
    <w:p w14:paraId="44713A23" w14:textId="2B65479D" w:rsidR="00171846" w:rsidRPr="00301C0C" w:rsidRDefault="00171846" w:rsidP="00B45723">
      <w:pPr>
        <w:pStyle w:val="ListParagraph"/>
        <w:numPr>
          <w:ilvl w:val="0"/>
          <w:numId w:val="6"/>
        </w:numPr>
        <w:spacing w:after="120" w:line="240" w:lineRule="auto"/>
        <w:ind w:left="714" w:hanging="357"/>
        <w:contextualSpacing w:val="0"/>
      </w:pPr>
      <w:r w:rsidRPr="00301C0C">
        <w:t>National Priority Area 3: Greater support and choice</w:t>
      </w:r>
      <w:r w:rsidR="007E4F0B" w:rsidRPr="00301C0C">
        <w:t>, including for CALD and women and children with disability</w:t>
      </w:r>
    </w:p>
    <w:p w14:paraId="46D024EF" w14:textId="77777777" w:rsidR="00171846" w:rsidRPr="00301C0C" w:rsidRDefault="00171846" w:rsidP="00B45723">
      <w:pPr>
        <w:pStyle w:val="ListParagraph"/>
        <w:numPr>
          <w:ilvl w:val="0"/>
          <w:numId w:val="6"/>
        </w:numPr>
        <w:spacing w:after="120" w:line="240" w:lineRule="auto"/>
        <w:ind w:left="714" w:hanging="357"/>
        <w:contextualSpacing w:val="0"/>
      </w:pPr>
      <w:r w:rsidRPr="00301C0C">
        <w:t>National Priority Area 4: Sexual violence</w:t>
      </w:r>
    </w:p>
    <w:p w14:paraId="3A25C4F5" w14:textId="77777777" w:rsidR="00171846" w:rsidRPr="00301C0C" w:rsidRDefault="00171846" w:rsidP="00B45723">
      <w:pPr>
        <w:pStyle w:val="ListParagraph"/>
        <w:numPr>
          <w:ilvl w:val="0"/>
          <w:numId w:val="6"/>
        </w:numPr>
        <w:spacing w:after="120" w:line="240" w:lineRule="auto"/>
        <w:ind w:left="714" w:hanging="357"/>
        <w:contextualSpacing w:val="0"/>
      </w:pPr>
      <w:r w:rsidRPr="00301C0C">
        <w:t>National Priority Area 5: Responding to children living with violence</w:t>
      </w:r>
    </w:p>
    <w:p w14:paraId="5601C691" w14:textId="77777777" w:rsidR="00171846" w:rsidRPr="00301C0C" w:rsidRDefault="00171846" w:rsidP="00B45723">
      <w:pPr>
        <w:pStyle w:val="ListParagraph"/>
        <w:numPr>
          <w:ilvl w:val="0"/>
          <w:numId w:val="6"/>
        </w:numPr>
        <w:spacing w:after="120" w:line="240" w:lineRule="auto"/>
        <w:ind w:left="714" w:hanging="357"/>
        <w:contextualSpacing w:val="0"/>
      </w:pPr>
      <w:r w:rsidRPr="00301C0C">
        <w:t>National Priority Area 6: Keeping perpetrators accountable across all systems</w:t>
      </w:r>
    </w:p>
    <w:p w14:paraId="1D2B812B" w14:textId="77777777" w:rsidR="00171846" w:rsidRPr="00301C0C" w:rsidRDefault="00171846" w:rsidP="00B45723">
      <w:pPr>
        <w:shd w:val="clear" w:color="auto" w:fill="FFFFFF"/>
        <w:spacing w:after="120" w:line="240" w:lineRule="auto"/>
      </w:pPr>
      <w:r w:rsidRPr="00301C0C">
        <w:t xml:space="preserve">The Fourth Action Plan is currently being developed with stakeholders. </w:t>
      </w:r>
    </w:p>
    <w:p w14:paraId="78EB8FA7" w14:textId="77777777" w:rsidR="00116688" w:rsidRDefault="00116688">
      <w:pPr>
        <w:spacing w:before="0" w:after="200" w:line="276" w:lineRule="auto"/>
        <w:rPr>
          <w:rFonts w:eastAsiaTheme="majorEastAsia" w:cstheme="majorBidi"/>
          <w:b/>
          <w:bCs/>
          <w:iCs/>
        </w:rPr>
      </w:pPr>
      <w:r>
        <w:br w:type="page"/>
      </w:r>
    </w:p>
    <w:p w14:paraId="0B13A4DB" w14:textId="5E36D739" w:rsidR="002D3573" w:rsidRPr="00301C0C" w:rsidRDefault="002D3573" w:rsidP="00B45723">
      <w:pPr>
        <w:pStyle w:val="Heading4"/>
        <w:spacing w:before="120" w:after="120" w:line="240" w:lineRule="auto"/>
      </w:pPr>
      <w:r w:rsidRPr="00301C0C">
        <w:lastRenderedPageBreak/>
        <w:t>National Disability Strategy 2010-2020</w:t>
      </w:r>
    </w:p>
    <w:p w14:paraId="1E8496A9" w14:textId="63241D72" w:rsidR="002D3573" w:rsidRPr="00301C0C" w:rsidRDefault="002D3573" w:rsidP="00B45723">
      <w:pPr>
        <w:spacing w:after="120" w:line="240" w:lineRule="auto"/>
        <w:rPr>
          <w:rFonts w:cs="Arial"/>
        </w:rPr>
      </w:pPr>
      <w:r w:rsidRPr="00301C0C">
        <w:rPr>
          <w:rFonts w:cs="Arial"/>
        </w:rPr>
        <w:t xml:space="preserve">The </w:t>
      </w:r>
      <w:hyperlink r:id="rId25" w:history="1">
        <w:r w:rsidRPr="00B04F2C">
          <w:rPr>
            <w:rStyle w:val="Hyperlink"/>
            <w:rFonts w:cs="Arial"/>
            <w:sz w:val="24"/>
          </w:rPr>
          <w:t>National Disability Strategy</w:t>
        </w:r>
      </w:hyperlink>
      <w:r w:rsidRPr="00301C0C">
        <w:rPr>
          <w:rFonts w:cs="Arial"/>
        </w:rPr>
        <w:t xml:space="preserve"> sets out a ten year national plan for improving life for Australians with disability, their families and carers. The purpose of the Strategy is to establish a high level policy framework to give coherence to, and guide government activity across mainstream and disability-specific areas of public policy, drive improved performance of services in delivering outcomes for people with disability, ensure that disability issues are included in the development and implementation of all public policy that impacts on people with disability, and provide national leadership toward greater inclusion of people with disability.  </w:t>
      </w:r>
    </w:p>
    <w:p w14:paraId="4CBBAE71" w14:textId="77777777" w:rsidR="002D3573" w:rsidRPr="00301C0C" w:rsidRDefault="002D3573" w:rsidP="00B45723">
      <w:pPr>
        <w:spacing w:after="120" w:line="240" w:lineRule="auto"/>
        <w:rPr>
          <w:rFonts w:cs="Arial"/>
          <w:spacing w:val="0"/>
        </w:rPr>
      </w:pPr>
      <w:r w:rsidRPr="00301C0C">
        <w:rPr>
          <w:rFonts w:cs="Arial"/>
        </w:rPr>
        <w:t>The Strategy covers six policy areas:</w:t>
      </w:r>
    </w:p>
    <w:p w14:paraId="5720130B" w14:textId="291FE682" w:rsidR="002D3573" w:rsidRPr="00A44B70" w:rsidRDefault="002D3573" w:rsidP="00B45723">
      <w:pPr>
        <w:pStyle w:val="ListParagraph"/>
        <w:numPr>
          <w:ilvl w:val="0"/>
          <w:numId w:val="6"/>
        </w:numPr>
        <w:spacing w:after="120" w:line="240" w:lineRule="auto"/>
        <w:ind w:left="714" w:hanging="357"/>
        <w:contextualSpacing w:val="0"/>
      </w:pPr>
      <w:r w:rsidRPr="00085A1F">
        <w:t>Inclusive and accessible communities</w:t>
      </w:r>
      <w:r w:rsidRPr="00301C0C">
        <w:t>: the physical environment including public transport; parks, buildings and housing; digita</w:t>
      </w:r>
      <w:r w:rsidRPr="00562ECA">
        <w:t>l information and communications technologies; civic life including social, sporting, recreational and cultural life.</w:t>
      </w:r>
    </w:p>
    <w:p w14:paraId="04877FB7" w14:textId="2ECBB781" w:rsidR="002D3573" w:rsidRPr="00A44B70" w:rsidRDefault="002D3573" w:rsidP="00B45723">
      <w:pPr>
        <w:pStyle w:val="ListParagraph"/>
        <w:numPr>
          <w:ilvl w:val="0"/>
          <w:numId w:val="6"/>
        </w:numPr>
        <w:spacing w:after="120" w:line="240" w:lineRule="auto"/>
        <w:ind w:left="714" w:hanging="357"/>
        <w:contextualSpacing w:val="0"/>
      </w:pPr>
      <w:r w:rsidRPr="00085A1F">
        <w:t>Rights protection, justice and legislation</w:t>
      </w:r>
      <w:r w:rsidRPr="00301C0C">
        <w:t>: statutory protections such as anti-discrimination measures, complaints mechanisms, advocacy, t</w:t>
      </w:r>
      <w:r w:rsidRPr="00562ECA">
        <w:t>he electoral and justice systems.</w:t>
      </w:r>
    </w:p>
    <w:p w14:paraId="5D3B467A" w14:textId="6F7D2DE9" w:rsidR="002D3573" w:rsidRPr="00301C0C" w:rsidRDefault="002D3573" w:rsidP="00B45723">
      <w:pPr>
        <w:pStyle w:val="ListParagraph"/>
        <w:numPr>
          <w:ilvl w:val="0"/>
          <w:numId w:val="6"/>
        </w:numPr>
        <w:spacing w:after="120" w:line="240" w:lineRule="auto"/>
        <w:ind w:left="714" w:hanging="357"/>
        <w:contextualSpacing w:val="0"/>
      </w:pPr>
      <w:r w:rsidRPr="00085A1F">
        <w:t>Economic security</w:t>
      </w:r>
      <w:r w:rsidRPr="00301C0C">
        <w:t xml:space="preserve">: jobs, business opportunities, financial independence, adequate income support for those not able to work, and housing. </w:t>
      </w:r>
    </w:p>
    <w:p w14:paraId="460B9C99" w14:textId="2034B823" w:rsidR="002D3573" w:rsidRPr="00301C0C" w:rsidRDefault="002D3573" w:rsidP="00B45723">
      <w:pPr>
        <w:pStyle w:val="ListParagraph"/>
        <w:numPr>
          <w:ilvl w:val="0"/>
          <w:numId w:val="6"/>
        </w:numPr>
        <w:spacing w:after="120" w:line="240" w:lineRule="auto"/>
        <w:ind w:left="714" w:hanging="357"/>
        <w:contextualSpacing w:val="0"/>
      </w:pPr>
      <w:r w:rsidRPr="00085A1F">
        <w:t>Personal and community support</w:t>
      </w:r>
      <w:r w:rsidRPr="00301C0C">
        <w:t>: inclusion and participation in the community, person-centred care and support provided by specialist disability services and mainstream services; informal care and support.</w:t>
      </w:r>
    </w:p>
    <w:p w14:paraId="46837119" w14:textId="00CDBCE2" w:rsidR="002D3573" w:rsidRPr="00301C0C" w:rsidRDefault="002D3573" w:rsidP="00B45723">
      <w:pPr>
        <w:pStyle w:val="ListParagraph"/>
        <w:numPr>
          <w:ilvl w:val="0"/>
          <w:numId w:val="6"/>
        </w:numPr>
        <w:spacing w:after="120" w:line="240" w:lineRule="auto"/>
        <w:ind w:left="714" w:hanging="357"/>
        <w:contextualSpacing w:val="0"/>
      </w:pPr>
      <w:r w:rsidRPr="00085A1F">
        <w:t>Learning and skills</w:t>
      </w:r>
      <w:r w:rsidRPr="00301C0C">
        <w:t xml:space="preserve">: early childhood education and care, schools, further education, vocational education; transitions from education to employment; life-long learning. </w:t>
      </w:r>
    </w:p>
    <w:p w14:paraId="3B96ABEA" w14:textId="72D622AD" w:rsidR="002D3573" w:rsidRPr="00301C0C" w:rsidRDefault="002D3573" w:rsidP="00B45723">
      <w:pPr>
        <w:pStyle w:val="ListParagraph"/>
        <w:numPr>
          <w:ilvl w:val="0"/>
          <w:numId w:val="6"/>
        </w:numPr>
        <w:spacing w:after="120" w:line="240" w:lineRule="auto"/>
        <w:ind w:left="714" w:hanging="357"/>
        <w:contextualSpacing w:val="0"/>
      </w:pPr>
      <w:r w:rsidRPr="00085A1F">
        <w:t>Health and wellbeing</w:t>
      </w:r>
      <w:r w:rsidRPr="00301C0C">
        <w:t>: health services, health promotion and the interaction between health and disability systems; wellbeing and enjoyment of life.</w:t>
      </w:r>
    </w:p>
    <w:p w14:paraId="774FCBFD" w14:textId="7D038509" w:rsidR="00D43E30" w:rsidRPr="00301C0C" w:rsidRDefault="00D43E30" w:rsidP="00B45723">
      <w:pPr>
        <w:pStyle w:val="Heading4"/>
        <w:spacing w:before="120" w:after="120" w:line="240" w:lineRule="auto"/>
      </w:pPr>
      <w:r w:rsidRPr="00301C0C">
        <w:t>A New Way of Working with Grants 2014</w:t>
      </w:r>
    </w:p>
    <w:p w14:paraId="4B51B0C1" w14:textId="3D09029F" w:rsidR="00D43E30" w:rsidRPr="00301C0C" w:rsidRDefault="00D43E30" w:rsidP="00B45723">
      <w:pPr>
        <w:spacing w:after="120" w:line="240" w:lineRule="auto"/>
        <w:rPr>
          <w:lang w:val="en"/>
        </w:rPr>
      </w:pPr>
      <w:r w:rsidRPr="00301C0C">
        <w:rPr>
          <w:lang w:val="en"/>
        </w:rPr>
        <w:t>In 2014, DSS implemented a New Way of Working with Grants that streamlined multiple grants into seven grant programs aimed at enhancing service delivery and providing greater freedom for service providers. The 2014 funding round included a mix of open, direct and restricted selection processes.</w:t>
      </w:r>
      <w:r w:rsidRPr="00301C0C">
        <w:rPr>
          <w:rStyle w:val="EndnoteReference"/>
          <w:lang w:val="en"/>
        </w:rPr>
        <w:endnoteReference w:id="56"/>
      </w:r>
      <w:r w:rsidRPr="00301C0C">
        <w:rPr>
          <w:lang w:val="en"/>
        </w:rPr>
        <w:t xml:space="preserve"> </w:t>
      </w:r>
    </w:p>
    <w:p w14:paraId="17F6C218" w14:textId="5EF77E80" w:rsidR="00D43E30" w:rsidRPr="00301C0C" w:rsidRDefault="00D43E30" w:rsidP="00B45723">
      <w:pPr>
        <w:spacing w:after="120" w:line="240" w:lineRule="auto"/>
        <w:rPr>
          <w:lang w:val="en"/>
        </w:rPr>
      </w:pPr>
      <w:r w:rsidRPr="00301C0C">
        <w:rPr>
          <w:lang w:val="en"/>
        </w:rPr>
        <w:t>The New Way of Working with Grants introduced:</w:t>
      </w:r>
    </w:p>
    <w:p w14:paraId="7080CE5C" w14:textId="77777777" w:rsidR="00D43E30" w:rsidRPr="00301C0C" w:rsidRDefault="00D43E30" w:rsidP="00B45723">
      <w:pPr>
        <w:pStyle w:val="ListParagraph"/>
        <w:numPr>
          <w:ilvl w:val="0"/>
          <w:numId w:val="7"/>
        </w:numPr>
        <w:spacing w:after="120" w:line="240" w:lineRule="auto"/>
        <w:ind w:left="714" w:hanging="357"/>
        <w:contextualSpacing w:val="0"/>
        <w:rPr>
          <w:lang w:val="en"/>
        </w:rPr>
      </w:pPr>
      <w:r w:rsidRPr="00301C0C">
        <w:rPr>
          <w:bCs/>
          <w:lang w:val="en"/>
        </w:rPr>
        <w:t>longer term grant agreements</w:t>
      </w:r>
      <w:r w:rsidRPr="00301C0C">
        <w:rPr>
          <w:lang w:val="en"/>
        </w:rPr>
        <w:t xml:space="preserve"> where appropriate, to offer certainty in service delivery,</w:t>
      </w:r>
    </w:p>
    <w:p w14:paraId="18798FBE" w14:textId="77777777" w:rsidR="00D43E30" w:rsidRPr="00301C0C" w:rsidRDefault="00D43E30" w:rsidP="00B45723">
      <w:pPr>
        <w:pStyle w:val="ListParagraph"/>
        <w:numPr>
          <w:ilvl w:val="0"/>
          <w:numId w:val="7"/>
        </w:numPr>
        <w:spacing w:after="120" w:line="240" w:lineRule="auto"/>
        <w:ind w:left="714" w:hanging="357"/>
        <w:contextualSpacing w:val="0"/>
        <w:rPr>
          <w:lang w:val="en"/>
        </w:rPr>
      </w:pPr>
      <w:r w:rsidRPr="00301C0C">
        <w:rPr>
          <w:lang w:val="en"/>
        </w:rPr>
        <w:t xml:space="preserve">a move towards a </w:t>
      </w:r>
      <w:r w:rsidRPr="00301C0C">
        <w:rPr>
          <w:bCs/>
          <w:lang w:val="en"/>
        </w:rPr>
        <w:t>single grant agreement for each provider</w:t>
      </w:r>
      <w:r w:rsidRPr="00301C0C">
        <w:rPr>
          <w:lang w:val="en"/>
        </w:rPr>
        <w:t xml:space="preserve"> to reduce administrative burden,</w:t>
      </w:r>
    </w:p>
    <w:p w14:paraId="0A8C2A4B" w14:textId="7B8A8EA7" w:rsidR="00D43E30" w:rsidRPr="00301C0C" w:rsidRDefault="00D43E30" w:rsidP="00B45723">
      <w:pPr>
        <w:pStyle w:val="ListParagraph"/>
        <w:numPr>
          <w:ilvl w:val="0"/>
          <w:numId w:val="7"/>
        </w:numPr>
        <w:spacing w:after="120" w:line="240" w:lineRule="auto"/>
        <w:ind w:left="714" w:hanging="357"/>
        <w:contextualSpacing w:val="0"/>
        <w:rPr>
          <w:lang w:val="en"/>
        </w:rPr>
      </w:pPr>
      <w:r w:rsidRPr="00301C0C">
        <w:rPr>
          <w:lang w:val="en"/>
        </w:rPr>
        <w:t xml:space="preserve">a </w:t>
      </w:r>
      <w:r w:rsidRPr="00301C0C">
        <w:rPr>
          <w:bCs/>
          <w:lang w:val="en"/>
        </w:rPr>
        <w:t xml:space="preserve">streamlined approach to </w:t>
      </w:r>
      <w:r w:rsidRPr="00301C0C">
        <w:rPr>
          <w:lang w:val="en"/>
        </w:rPr>
        <w:t xml:space="preserve">program performance reporting (through </w:t>
      </w:r>
      <w:r w:rsidR="005163A1" w:rsidRPr="00301C0C">
        <w:rPr>
          <w:lang w:val="en"/>
        </w:rPr>
        <w:t>the Data</w:t>
      </w:r>
      <w:r w:rsidR="00B04F2C">
        <w:rPr>
          <w:lang w:val="en"/>
        </w:rPr>
        <w:t> </w:t>
      </w:r>
      <w:r w:rsidR="005163A1" w:rsidRPr="00301C0C">
        <w:rPr>
          <w:lang w:val="en"/>
        </w:rPr>
        <w:t>Exchange</w:t>
      </w:r>
      <w:r w:rsidRPr="00301C0C">
        <w:rPr>
          <w:lang w:val="en"/>
        </w:rPr>
        <w:t>), and</w:t>
      </w:r>
      <w:r w:rsidRPr="00301C0C">
        <w:rPr>
          <w:bCs/>
          <w:lang w:val="en"/>
        </w:rPr>
        <w:t xml:space="preserve"> </w:t>
      </w:r>
    </w:p>
    <w:p w14:paraId="3E3F308D" w14:textId="77777777" w:rsidR="00D43E30" w:rsidRPr="00301C0C" w:rsidRDefault="00D43E30" w:rsidP="00B45723">
      <w:pPr>
        <w:pStyle w:val="ListParagraph"/>
        <w:numPr>
          <w:ilvl w:val="0"/>
          <w:numId w:val="7"/>
        </w:numPr>
        <w:spacing w:after="120" w:line="240" w:lineRule="auto"/>
        <w:ind w:left="714" w:hanging="357"/>
        <w:contextualSpacing w:val="0"/>
        <w:rPr>
          <w:lang w:val="en"/>
        </w:rPr>
      </w:pPr>
      <w:r w:rsidRPr="00301C0C">
        <w:rPr>
          <w:bCs/>
          <w:lang w:val="en"/>
        </w:rPr>
        <w:t>simplified financial acquittal reporting</w:t>
      </w:r>
      <w:r w:rsidRPr="00301C0C">
        <w:rPr>
          <w:lang w:val="en"/>
        </w:rPr>
        <w:t xml:space="preserve"> to cut down on administrative costs for providers.</w:t>
      </w:r>
    </w:p>
    <w:p w14:paraId="21EB8FBE" w14:textId="77777777" w:rsidR="00DE757D" w:rsidRPr="00301C0C" w:rsidRDefault="00DE757D" w:rsidP="00B45723">
      <w:pPr>
        <w:spacing w:after="120" w:line="240" w:lineRule="auto"/>
        <w:rPr>
          <w:rFonts w:eastAsiaTheme="majorEastAsia" w:cstheme="majorBidi"/>
          <w:b/>
          <w:bCs/>
          <w:iCs/>
        </w:rPr>
      </w:pPr>
      <w:r w:rsidRPr="00301C0C">
        <w:br w:type="page"/>
      </w:r>
    </w:p>
    <w:p w14:paraId="1F11F9A4" w14:textId="4CD4FC9A" w:rsidR="00BE591B" w:rsidRPr="00301C0C" w:rsidRDefault="008B1C96" w:rsidP="00B45723">
      <w:pPr>
        <w:pStyle w:val="Heading4"/>
        <w:spacing w:before="120" w:after="120" w:line="240" w:lineRule="auto"/>
      </w:pPr>
      <w:r w:rsidRPr="00301C0C">
        <w:lastRenderedPageBreak/>
        <w:t xml:space="preserve">The </w:t>
      </w:r>
      <w:r w:rsidR="00BE591B" w:rsidRPr="00301C0C">
        <w:t>Redfern Statement 2016</w:t>
      </w:r>
    </w:p>
    <w:p w14:paraId="02A8076D" w14:textId="72423BF4" w:rsidR="00BE591B" w:rsidRPr="00301C0C" w:rsidRDefault="00BE591B" w:rsidP="00B45723">
      <w:pPr>
        <w:spacing w:after="120" w:line="240" w:lineRule="auto"/>
      </w:pPr>
      <w:r w:rsidRPr="00301C0C">
        <w:t xml:space="preserve">The </w:t>
      </w:r>
      <w:hyperlink r:id="rId26" w:history="1">
        <w:r w:rsidRPr="00301C0C">
          <w:rPr>
            <w:rStyle w:val="Hyperlink"/>
            <w:sz w:val="24"/>
          </w:rPr>
          <w:t>Redfern Statement</w:t>
        </w:r>
      </w:hyperlink>
      <w:r w:rsidRPr="00301C0C">
        <w:t xml:space="preserve"> called for Government action to ensure that Aboriginal and Torres Strait Islander people have a genuine say in their own lives and the decisions that affect their people and community. Actions called for in the Redfern Statement include:</w:t>
      </w:r>
    </w:p>
    <w:p w14:paraId="31A196F5" w14:textId="605DBA8D" w:rsidR="00BE591B" w:rsidRPr="00301C0C" w:rsidRDefault="008B1C96" w:rsidP="00B45723">
      <w:pPr>
        <w:pStyle w:val="ListParagraph"/>
        <w:numPr>
          <w:ilvl w:val="0"/>
          <w:numId w:val="22"/>
        </w:numPr>
        <w:spacing w:after="120" w:line="240" w:lineRule="auto"/>
        <w:ind w:left="714" w:hanging="357"/>
        <w:contextualSpacing w:val="0"/>
      </w:pPr>
      <w:r w:rsidRPr="00301C0C">
        <w:t>c</w:t>
      </w:r>
      <w:r w:rsidR="00BE591B" w:rsidRPr="00301C0C">
        <w:t>ommitting to resource Aboriginal and Torres Strait Islander led-solutions,</w:t>
      </w:r>
    </w:p>
    <w:p w14:paraId="22092E27" w14:textId="1C09A6A7" w:rsidR="00BE591B" w:rsidRPr="00301C0C" w:rsidRDefault="008B1C96" w:rsidP="00B45723">
      <w:pPr>
        <w:pStyle w:val="ListParagraph"/>
        <w:numPr>
          <w:ilvl w:val="0"/>
          <w:numId w:val="22"/>
        </w:numPr>
        <w:spacing w:after="120" w:line="240" w:lineRule="auto"/>
        <w:ind w:left="714" w:hanging="357"/>
        <w:contextualSpacing w:val="0"/>
      </w:pPr>
      <w:r w:rsidRPr="00301C0C">
        <w:t>c</w:t>
      </w:r>
      <w:r w:rsidR="00ED1E03" w:rsidRPr="00301C0C">
        <w:t>ommitting</w:t>
      </w:r>
      <w:r w:rsidR="00BE591B" w:rsidRPr="00301C0C">
        <w:t xml:space="preserve"> to better engagement with Aboriginal and Torres Strait Islander peoples through their representative national peaks</w:t>
      </w:r>
      <w:r w:rsidR="00ED1E03" w:rsidRPr="00301C0C">
        <w:t>,</w:t>
      </w:r>
    </w:p>
    <w:p w14:paraId="5891892B" w14:textId="4049CB59" w:rsidR="00ED1E03" w:rsidRPr="00301C0C" w:rsidRDefault="008B1C96" w:rsidP="00B45723">
      <w:pPr>
        <w:pStyle w:val="ListParagraph"/>
        <w:numPr>
          <w:ilvl w:val="0"/>
          <w:numId w:val="22"/>
        </w:numPr>
        <w:spacing w:after="120" w:line="240" w:lineRule="auto"/>
        <w:ind w:left="714" w:hanging="357"/>
        <w:contextualSpacing w:val="0"/>
      </w:pPr>
      <w:r w:rsidRPr="00301C0C">
        <w:t>r</w:t>
      </w:r>
      <w:r w:rsidR="00ED1E03" w:rsidRPr="00301C0C">
        <w:t>ecommit to Closing the Gap in this generation, by and in partnership with COAG and Aboriginal and Torres Strait Islander people,</w:t>
      </w:r>
    </w:p>
    <w:p w14:paraId="3C57E5C1" w14:textId="6D336A7C" w:rsidR="00ED1E03" w:rsidRPr="00301C0C" w:rsidRDefault="008B1C96" w:rsidP="00B45723">
      <w:pPr>
        <w:pStyle w:val="ListParagraph"/>
        <w:numPr>
          <w:ilvl w:val="0"/>
          <w:numId w:val="22"/>
        </w:numPr>
        <w:spacing w:after="120" w:line="240" w:lineRule="auto"/>
        <w:ind w:left="714" w:hanging="357"/>
        <w:contextualSpacing w:val="0"/>
      </w:pPr>
      <w:r w:rsidRPr="00301C0C">
        <w:t>c</w:t>
      </w:r>
      <w:r w:rsidR="00ED1E03" w:rsidRPr="00301C0C">
        <w:t>ommit</w:t>
      </w:r>
      <w:r w:rsidRPr="00301C0C">
        <w:t>ting</w:t>
      </w:r>
      <w:r w:rsidR="00ED1E03" w:rsidRPr="00301C0C">
        <w:t xml:space="preserve"> to working with Aboriginal and Torres Strait Islander leaders to establish a Department of Aboriginal and Torres Strait Islander Affairs in the future, and</w:t>
      </w:r>
    </w:p>
    <w:p w14:paraId="1D519799" w14:textId="6DB54D20" w:rsidR="00ED1E03" w:rsidRPr="00301C0C" w:rsidRDefault="008B1C96" w:rsidP="00B45723">
      <w:pPr>
        <w:pStyle w:val="ListParagraph"/>
        <w:numPr>
          <w:ilvl w:val="0"/>
          <w:numId w:val="22"/>
        </w:numPr>
        <w:spacing w:after="120" w:line="240" w:lineRule="auto"/>
        <w:ind w:left="714" w:hanging="357"/>
        <w:contextualSpacing w:val="0"/>
      </w:pPr>
      <w:r w:rsidRPr="00301C0C">
        <w:t>c</w:t>
      </w:r>
      <w:r w:rsidR="00ED1E03" w:rsidRPr="00301C0C">
        <w:t>ommit</w:t>
      </w:r>
      <w:r w:rsidRPr="00301C0C">
        <w:t>ting</w:t>
      </w:r>
      <w:r w:rsidR="00ED1E03" w:rsidRPr="00301C0C">
        <w:t xml:space="preserve"> to addressing the unfini</w:t>
      </w:r>
      <w:r w:rsidR="00617759" w:rsidRPr="00301C0C">
        <w:t>shed business of reconciliation.</w:t>
      </w:r>
    </w:p>
    <w:p w14:paraId="76C08862" w14:textId="063A254C" w:rsidR="008B1C96" w:rsidRPr="00301C0C" w:rsidRDefault="008B1C96" w:rsidP="00B45723">
      <w:pPr>
        <w:pStyle w:val="Heading4"/>
        <w:spacing w:before="120" w:after="120" w:line="240" w:lineRule="auto"/>
      </w:pPr>
      <w:r w:rsidRPr="00301C0C">
        <w:t>DSS Getting Better Outcomes 2017</w:t>
      </w:r>
    </w:p>
    <w:p w14:paraId="533CFE1A" w14:textId="53C146FE" w:rsidR="008B1C96" w:rsidRPr="00301C0C" w:rsidRDefault="008B1C96" w:rsidP="00B45723">
      <w:pPr>
        <w:spacing w:after="120" w:line="240" w:lineRule="auto"/>
      </w:pPr>
      <w:r w:rsidRPr="00301C0C">
        <w:t xml:space="preserve">DSS commissions services in order to achieve better outcomes for people, communities and society as a whole; based on understanding their needs, wants, aspirations, environment and experience. Getting Better Outcomes (previously known as Commissioning for Better Outcomes) encourages us to embed more consultative approaches at every stage - balancing contributions from government, providers, communities and others to improve outcomes. </w:t>
      </w:r>
    </w:p>
    <w:p w14:paraId="7D3D012A" w14:textId="3625BC07" w:rsidR="008B1C96" w:rsidRPr="00301C0C" w:rsidRDefault="008B1C96" w:rsidP="00B45723">
      <w:pPr>
        <w:spacing w:after="120" w:line="240" w:lineRule="auto"/>
      </w:pPr>
      <w:r w:rsidRPr="00301C0C">
        <w:t>Getting Better Outcomes addresses the differing needs of people and families and occurs in many ways: at strategic or operational levels; in targeted locations; or across jurisdictions. Regardless, the focus is better outcomes rather than simply procuring or purchasing services.</w:t>
      </w:r>
    </w:p>
    <w:p w14:paraId="539BDF26" w14:textId="330D216C" w:rsidR="00171846" w:rsidRPr="00085A1F" w:rsidRDefault="008B1C96" w:rsidP="00B45723">
      <w:pPr>
        <w:pStyle w:val="Heading4"/>
        <w:spacing w:before="120" w:after="120" w:line="240" w:lineRule="auto"/>
      </w:pPr>
      <w:r w:rsidRPr="00085A1F">
        <w:t xml:space="preserve">The </w:t>
      </w:r>
      <w:r w:rsidR="00171846" w:rsidRPr="00085A1F">
        <w:t>Indigenous Grants Policy</w:t>
      </w:r>
      <w:r w:rsidRPr="00085A1F">
        <w:t xml:space="preserve"> </w:t>
      </w:r>
      <w:r w:rsidR="00F17B7B" w:rsidRPr="00085A1F">
        <w:t>2016</w:t>
      </w:r>
    </w:p>
    <w:p w14:paraId="1C051C4F" w14:textId="5ECDBD3A" w:rsidR="0040046A" w:rsidRPr="00085A1F" w:rsidRDefault="0040046A" w:rsidP="00B45723">
      <w:pPr>
        <w:spacing w:after="120" w:line="240" w:lineRule="auto"/>
      </w:pPr>
      <w:r w:rsidRPr="00085A1F">
        <w:t xml:space="preserve">Through the </w:t>
      </w:r>
      <w:hyperlink r:id="rId27" w:history="1">
        <w:r w:rsidRPr="00BB01B5">
          <w:rPr>
            <w:rStyle w:val="Hyperlink"/>
            <w:sz w:val="24"/>
          </w:rPr>
          <w:t>IGP</w:t>
        </w:r>
      </w:hyperlink>
      <w:r w:rsidRPr="00085A1F">
        <w:t>, the Government aims to increase the involvement of Indigenous people in the grant funded services and programs that are intended to benefit them. The aim is to increase the number of local Aboriginal or Torres Strait Islander owned and controlled organisations that deliver services. Organisations will still need to demonstrate value for money and that they have the skills and expertise to deliver those services.</w:t>
      </w:r>
    </w:p>
    <w:p w14:paraId="0B1BC696" w14:textId="77777777" w:rsidR="0040046A" w:rsidRPr="00085A1F" w:rsidRDefault="0040046A" w:rsidP="00B45723">
      <w:pPr>
        <w:spacing w:after="120" w:line="240" w:lineRule="auto"/>
      </w:pPr>
      <w:r w:rsidRPr="00085A1F">
        <w:t>Where non-Indigenous organisations are funded to provide services, they will be required to employ local Aboriginal or Torres Strait Islander people and include local Indigenous businesses in their supply chains.</w:t>
      </w:r>
    </w:p>
    <w:p w14:paraId="41FCB32C" w14:textId="0D8FA09F" w:rsidR="00292A05" w:rsidRPr="00085A1F" w:rsidRDefault="00292A05" w:rsidP="00B45723">
      <w:pPr>
        <w:spacing w:after="120" w:line="240" w:lineRule="auto"/>
      </w:pPr>
      <w:r w:rsidRPr="00085A1F">
        <w:t xml:space="preserve">The IGP will be trialled across three participating agencies; the lead agency, the Department of the Prime Minister and Cabinet, </w:t>
      </w:r>
      <w:r w:rsidR="00D131A1" w:rsidRPr="00085A1F">
        <w:t xml:space="preserve">DSS </w:t>
      </w:r>
      <w:r w:rsidRPr="00085A1F">
        <w:t xml:space="preserve">and the Department of Communication and the Arts. The trial is due to commence from 1 July 2018. </w:t>
      </w:r>
    </w:p>
    <w:p w14:paraId="611B6406" w14:textId="56666DF8" w:rsidR="00301C0C" w:rsidRDefault="00301C0C" w:rsidP="00B45723">
      <w:pPr>
        <w:spacing w:after="120" w:line="240" w:lineRule="auto"/>
        <w:rPr>
          <w:rFonts w:ascii="Georgia" w:eastAsiaTheme="majorEastAsia" w:hAnsi="Georgia" w:cstheme="majorBidi"/>
          <w:bCs/>
          <w:color w:val="500778"/>
          <w:sz w:val="32"/>
          <w:szCs w:val="26"/>
        </w:rPr>
      </w:pPr>
      <w:r>
        <w:br w:type="page"/>
      </w:r>
    </w:p>
    <w:p w14:paraId="0568EA8B" w14:textId="51CD22BE" w:rsidR="00D43E30" w:rsidRPr="00301C0C" w:rsidRDefault="00D43E30" w:rsidP="00B45723">
      <w:pPr>
        <w:pStyle w:val="Heading2"/>
        <w:spacing w:before="120"/>
      </w:pPr>
      <w:bookmarkStart w:id="31" w:name="_Toc516213703"/>
      <w:r w:rsidRPr="00301C0C">
        <w:lastRenderedPageBreak/>
        <w:t>Key Reviews &amp; Inquiries</w:t>
      </w:r>
      <w:bookmarkEnd w:id="31"/>
    </w:p>
    <w:p w14:paraId="6FBA0DBA" w14:textId="5E12E676" w:rsidR="00171846" w:rsidRPr="00301C0C" w:rsidRDefault="00171846" w:rsidP="00B45723">
      <w:pPr>
        <w:pStyle w:val="Heading4"/>
        <w:spacing w:before="120" w:after="120" w:line="240" w:lineRule="auto"/>
      </w:pPr>
      <w:r w:rsidRPr="00301C0C">
        <w:t>Royal Commission into the Protection and Detention of Children in the Northern Territory 2017</w:t>
      </w:r>
    </w:p>
    <w:p w14:paraId="4FAD95C6" w14:textId="00A34CC5" w:rsidR="00171846" w:rsidRPr="00301C0C" w:rsidRDefault="00EE7633" w:rsidP="00B45723">
      <w:pPr>
        <w:spacing w:after="120" w:line="240" w:lineRule="auto"/>
      </w:pPr>
      <w:r w:rsidRPr="00301C0C">
        <w:t xml:space="preserve">The Royal Commission released its </w:t>
      </w:r>
      <w:hyperlink r:id="rId28" w:history="1">
        <w:r w:rsidRPr="00301C0C">
          <w:rPr>
            <w:rStyle w:val="Hyperlink"/>
            <w:sz w:val="24"/>
          </w:rPr>
          <w:t>report</w:t>
        </w:r>
      </w:hyperlink>
      <w:r w:rsidRPr="00301C0C">
        <w:t xml:space="preserve"> in November 2017. It found that d</w:t>
      </w:r>
      <w:r w:rsidR="00171846" w:rsidRPr="00301C0C">
        <w:t>espite the numerous early support programs and services offered in the Northern Territory by the Northern Territory Government, the Commonwealth and non-government organisations</w:t>
      </w:r>
      <w:r w:rsidRPr="00301C0C">
        <w:t>,</w:t>
      </w:r>
      <w:r w:rsidR="00171846" w:rsidRPr="00301C0C">
        <w:t xml:space="preserve"> services remain uncoordinated resulting in:   </w:t>
      </w:r>
    </w:p>
    <w:p w14:paraId="5157BAD9" w14:textId="0E890EF9" w:rsidR="00171846" w:rsidRPr="00301C0C" w:rsidRDefault="00171846" w:rsidP="00B45723">
      <w:pPr>
        <w:pStyle w:val="ListParagraph"/>
        <w:numPr>
          <w:ilvl w:val="0"/>
          <w:numId w:val="8"/>
        </w:numPr>
        <w:spacing w:after="120" w:line="240" w:lineRule="auto"/>
        <w:contextualSpacing w:val="0"/>
      </w:pPr>
      <w:r w:rsidRPr="00301C0C">
        <w:t>gross inefficiencies and waste</w:t>
      </w:r>
      <w:r w:rsidR="00EE7633" w:rsidRPr="00301C0C">
        <w:t>,</w:t>
      </w:r>
      <w:r w:rsidRPr="00301C0C">
        <w:t xml:space="preserve"> </w:t>
      </w:r>
    </w:p>
    <w:p w14:paraId="2DA80295" w14:textId="77777777" w:rsidR="00171846" w:rsidRPr="00301C0C" w:rsidRDefault="00171846" w:rsidP="00B45723">
      <w:pPr>
        <w:pStyle w:val="ListParagraph"/>
        <w:numPr>
          <w:ilvl w:val="0"/>
          <w:numId w:val="8"/>
        </w:numPr>
        <w:spacing w:after="120" w:line="240" w:lineRule="auto"/>
        <w:contextualSpacing w:val="0"/>
      </w:pPr>
      <w:r w:rsidRPr="00301C0C">
        <w:t xml:space="preserve">disjointed services, </w:t>
      </w:r>
    </w:p>
    <w:p w14:paraId="2177C940" w14:textId="77777777" w:rsidR="00171846" w:rsidRPr="00301C0C" w:rsidRDefault="00171846" w:rsidP="00B45723">
      <w:pPr>
        <w:pStyle w:val="ListParagraph"/>
        <w:numPr>
          <w:ilvl w:val="0"/>
          <w:numId w:val="8"/>
        </w:numPr>
        <w:spacing w:after="120" w:line="240" w:lineRule="auto"/>
        <w:contextualSpacing w:val="0"/>
      </w:pPr>
      <w:r w:rsidRPr="00301C0C">
        <w:t xml:space="preserve">less effective at achieving a long lasting benefit, and </w:t>
      </w:r>
    </w:p>
    <w:p w14:paraId="0B705BCB" w14:textId="1CCEAAB6" w:rsidR="00171846" w:rsidRPr="00301C0C" w:rsidRDefault="00171846" w:rsidP="00B45723">
      <w:pPr>
        <w:pStyle w:val="ListParagraph"/>
        <w:numPr>
          <w:ilvl w:val="0"/>
          <w:numId w:val="8"/>
        </w:numPr>
        <w:spacing w:after="120" w:line="240" w:lineRule="auto"/>
        <w:contextualSpacing w:val="0"/>
      </w:pPr>
      <w:r w:rsidRPr="00301C0C">
        <w:t>lower uptake and trust of the services offered</w:t>
      </w:r>
      <w:r w:rsidR="00617759" w:rsidRPr="00301C0C">
        <w:t>.</w:t>
      </w:r>
      <w:r w:rsidRPr="00301C0C">
        <w:rPr>
          <w:rStyle w:val="EndnoteReference"/>
        </w:rPr>
        <w:endnoteReference w:id="57"/>
      </w:r>
    </w:p>
    <w:p w14:paraId="707E2F6B" w14:textId="77777777" w:rsidR="00171846" w:rsidRPr="00301C0C" w:rsidRDefault="00171846" w:rsidP="00B45723">
      <w:pPr>
        <w:spacing w:after="120" w:line="240" w:lineRule="auto"/>
      </w:pPr>
      <w:r w:rsidRPr="00301C0C">
        <w:t xml:space="preserve">DSS is leading the Commonwealth’s response to the recommendations made by the Royal Commission. </w:t>
      </w:r>
    </w:p>
    <w:p w14:paraId="34E96179" w14:textId="7889B975" w:rsidR="00BC7297" w:rsidRPr="00301C0C" w:rsidRDefault="00BC7297" w:rsidP="00B45723">
      <w:pPr>
        <w:pStyle w:val="Heading4"/>
        <w:spacing w:before="120" w:after="120" w:line="240" w:lineRule="auto"/>
      </w:pPr>
      <w:r w:rsidRPr="00301C0C">
        <w:t>Royal Commission into Institutional Responses to Child Sexual Abuse 2013</w:t>
      </w:r>
      <w:r w:rsidRPr="00301C0C">
        <w:noBreakHyphen/>
        <w:t>2017</w:t>
      </w:r>
    </w:p>
    <w:p w14:paraId="784D2AC8" w14:textId="1E865BB5" w:rsidR="00BC7297" w:rsidRPr="00301C0C" w:rsidRDefault="00BC7297" w:rsidP="00B45723">
      <w:pPr>
        <w:spacing w:after="120" w:line="240" w:lineRule="auto"/>
      </w:pPr>
      <w:r w:rsidRPr="00301C0C">
        <w:t>The Royal Commission was established in 2013 to investigate how organisations in Australia have managed and responded to allegations and instances of</w:t>
      </w:r>
      <w:r w:rsidR="00C6050E" w:rsidRPr="00301C0C">
        <w:t xml:space="preserve"> child sexual abuse. </w:t>
      </w:r>
      <w:r w:rsidRPr="00301C0C">
        <w:t xml:space="preserve">As part of </w:t>
      </w:r>
      <w:r w:rsidR="00BB01B5">
        <w:t>its</w:t>
      </w:r>
      <w:r w:rsidR="00BB01B5" w:rsidRPr="00301C0C">
        <w:t xml:space="preserve"> </w:t>
      </w:r>
      <w:r w:rsidRPr="00301C0C">
        <w:t>work, the Royal Commission has also established a program of research to identify causes of sexual abuse and practices that successfully prevent or respond to it.</w:t>
      </w:r>
      <w:r w:rsidRPr="00301C0C">
        <w:rPr>
          <w:rFonts w:ascii="gotham_book" w:hAnsi="gotham_book" w:cs="Helvetica"/>
          <w:color w:val="333333"/>
          <w:lang w:val="en"/>
        </w:rPr>
        <w:t> </w:t>
      </w:r>
      <w:r w:rsidRPr="00301C0C">
        <w:t xml:space="preserve">The final </w:t>
      </w:r>
      <w:hyperlink r:id="rId29" w:history="1">
        <w:r w:rsidRPr="00BB01B5">
          <w:rPr>
            <w:rStyle w:val="Hyperlink"/>
            <w:sz w:val="24"/>
          </w:rPr>
          <w:t>report</w:t>
        </w:r>
      </w:hyperlink>
      <w:r w:rsidRPr="00301C0C">
        <w:t>, tabled in December 2017, contains 189 new recommendations for Government and non</w:t>
      </w:r>
      <w:r w:rsidRPr="00301C0C">
        <w:noBreakHyphen/>
        <w:t xml:space="preserve">Government institutions. Together with the three reports released previously, Commissioners made a total of 409 recommendations around preventing child sexual abuse within institutions into the future. </w:t>
      </w:r>
    </w:p>
    <w:p w14:paraId="436F33F7" w14:textId="77777777" w:rsidR="00BC7297" w:rsidRPr="00301C0C" w:rsidRDefault="00BC7297" w:rsidP="00B45723">
      <w:pPr>
        <w:spacing w:after="120" w:line="240" w:lineRule="auto"/>
      </w:pPr>
      <w:r w:rsidRPr="00301C0C">
        <w:t xml:space="preserve">The Attorney-General’s Department established a Taskforce to coordinate the Commonwealth Government’s response. The Government will provide its response to the Royal Commission in June 2018. </w:t>
      </w:r>
    </w:p>
    <w:p w14:paraId="16866DB4" w14:textId="64D0173B" w:rsidR="00171846" w:rsidRPr="00301C0C" w:rsidRDefault="00171846" w:rsidP="00B45723">
      <w:pPr>
        <w:pStyle w:val="Heading4"/>
        <w:spacing w:before="120" w:after="120" w:line="240" w:lineRule="auto"/>
      </w:pPr>
      <w:r w:rsidRPr="00301C0C">
        <w:t xml:space="preserve">Productivity Commission </w:t>
      </w:r>
      <w:r w:rsidR="00FA14A6" w:rsidRPr="00301C0C">
        <w:t xml:space="preserve">Report </w:t>
      </w:r>
      <w:r w:rsidRPr="00301C0C">
        <w:t>into Human Services 201</w:t>
      </w:r>
      <w:r w:rsidR="00DB7E64" w:rsidRPr="00301C0C">
        <w:t>8</w:t>
      </w:r>
    </w:p>
    <w:p w14:paraId="035F02EB" w14:textId="2378FFC1" w:rsidR="0072459B" w:rsidRPr="00301C0C" w:rsidRDefault="00171846" w:rsidP="00B45723">
      <w:pPr>
        <w:spacing w:after="120" w:line="240" w:lineRule="auto"/>
      </w:pPr>
      <w:r w:rsidRPr="00301C0C">
        <w:t>The</w:t>
      </w:r>
      <w:r w:rsidR="00BB01B5" w:rsidRPr="00B45723">
        <w:rPr>
          <w:rStyle w:val="Hyperlink"/>
          <w:sz w:val="24"/>
          <w:u w:val="none"/>
        </w:rPr>
        <w:t xml:space="preserve"> </w:t>
      </w:r>
      <w:r w:rsidR="00C6050E" w:rsidRPr="00085A1F">
        <w:rPr>
          <w:rStyle w:val="Hyperlink"/>
          <w:color w:val="auto"/>
          <w:sz w:val="24"/>
          <w:u w:val="none"/>
        </w:rPr>
        <w:t xml:space="preserve">Productivity Commission’s </w:t>
      </w:r>
      <w:hyperlink r:id="rId30" w:history="1">
        <w:r w:rsidR="00C6050E" w:rsidRPr="00BB01B5">
          <w:rPr>
            <w:rStyle w:val="Hyperlink"/>
            <w:sz w:val="24"/>
          </w:rPr>
          <w:t>report</w:t>
        </w:r>
      </w:hyperlink>
      <w:r w:rsidR="00C6050E" w:rsidRPr="00085A1F">
        <w:rPr>
          <w:rStyle w:val="Hyperlink"/>
          <w:color w:val="auto"/>
          <w:sz w:val="24"/>
          <w:u w:val="none"/>
        </w:rPr>
        <w:t xml:space="preserve"> </w:t>
      </w:r>
      <w:r w:rsidR="00DB7E64" w:rsidRPr="00301C0C">
        <w:rPr>
          <w:rStyle w:val="Hyperlink"/>
          <w:color w:val="auto"/>
          <w:sz w:val="24"/>
          <w:u w:val="none"/>
        </w:rPr>
        <w:t>‘</w:t>
      </w:r>
      <w:r w:rsidR="00C6050E" w:rsidRPr="00085A1F">
        <w:rPr>
          <w:rStyle w:val="Hyperlink"/>
          <w:color w:val="auto"/>
          <w:sz w:val="24"/>
          <w:u w:val="none"/>
        </w:rPr>
        <w:t xml:space="preserve">Introducing Competition and Informed User Choice into Human </w:t>
      </w:r>
      <w:r w:rsidR="00C6050E" w:rsidRPr="00301C0C">
        <w:rPr>
          <w:rStyle w:val="Hyperlink"/>
          <w:color w:val="auto"/>
          <w:sz w:val="24"/>
          <w:u w:val="none"/>
        </w:rPr>
        <w:t>Services</w:t>
      </w:r>
      <w:r w:rsidR="00C6050E" w:rsidRPr="00085A1F">
        <w:rPr>
          <w:rStyle w:val="Hyperlink"/>
          <w:color w:val="auto"/>
          <w:sz w:val="24"/>
          <w:u w:val="none"/>
        </w:rPr>
        <w:t>: Reforms to Human Services</w:t>
      </w:r>
      <w:r w:rsidR="00DB7E64" w:rsidRPr="00301C0C">
        <w:rPr>
          <w:rStyle w:val="Hyperlink"/>
          <w:color w:val="auto"/>
          <w:sz w:val="24"/>
          <w:u w:val="none"/>
        </w:rPr>
        <w:t>’</w:t>
      </w:r>
      <w:r w:rsidRPr="00301C0C">
        <w:t xml:space="preserve"> found that </w:t>
      </w:r>
      <w:r w:rsidR="00FA14A6" w:rsidRPr="00301C0C">
        <w:t xml:space="preserve">family and community services are not delivering the best possible outcomes for the people who use them. </w:t>
      </w:r>
      <w:r w:rsidR="00DB7E64" w:rsidRPr="00301C0C">
        <w:t xml:space="preserve">Poor coordination between and within governments, gaps and duplication in service provision and barriers to accessing services was highlighted </w:t>
      </w:r>
      <w:r w:rsidR="0072459B" w:rsidRPr="00301C0C">
        <w:t xml:space="preserve">by the report. </w:t>
      </w:r>
    </w:p>
    <w:p w14:paraId="714B8754" w14:textId="359B9FB6" w:rsidR="00DB7E64" w:rsidRPr="00301C0C" w:rsidRDefault="0072459B" w:rsidP="00B45723">
      <w:pPr>
        <w:spacing w:after="120" w:line="240" w:lineRule="auto"/>
      </w:pPr>
      <w:r w:rsidRPr="00301C0C">
        <w:t>Short-term contracts with excessively prescriptive conditions was seen as a barriers to prevent service providers from planning ahead, innovating and investing in their workforce. Planning the system of services, selecting providers on behalf of users and ensuring that users are at the centre of service provision w</w:t>
      </w:r>
      <w:r w:rsidR="000D07EC" w:rsidRPr="00301C0C">
        <w:t>ere</w:t>
      </w:r>
      <w:r w:rsidRPr="00301C0C">
        <w:t xml:space="preserve"> recommended for family and community services. </w:t>
      </w:r>
      <w:r w:rsidRPr="00301C0C">
        <w:rPr>
          <w:rStyle w:val="EndnoteReference"/>
        </w:rPr>
        <w:endnoteReference w:id="58"/>
      </w:r>
    </w:p>
    <w:p w14:paraId="73120DA2" w14:textId="77777777" w:rsidR="00301C0C" w:rsidRDefault="00301C0C" w:rsidP="00B45723">
      <w:pPr>
        <w:spacing w:after="120" w:line="240" w:lineRule="auto"/>
        <w:rPr>
          <w:rFonts w:ascii="Georgia" w:eastAsiaTheme="majorEastAsia" w:hAnsi="Georgia" w:cstheme="majorBidi"/>
          <w:bCs/>
          <w:color w:val="500778"/>
          <w:sz w:val="32"/>
          <w:szCs w:val="26"/>
        </w:rPr>
      </w:pPr>
      <w:r>
        <w:br w:type="page"/>
      </w:r>
    </w:p>
    <w:p w14:paraId="184FE3AA" w14:textId="021A2FC0" w:rsidR="000368E1" w:rsidRPr="00301C0C" w:rsidRDefault="000368E1" w:rsidP="00B45723">
      <w:pPr>
        <w:pStyle w:val="Heading2"/>
        <w:spacing w:before="120"/>
      </w:pPr>
      <w:bookmarkStart w:id="32" w:name="_Toc516213704"/>
      <w:r w:rsidRPr="00301C0C">
        <w:lastRenderedPageBreak/>
        <w:t>Key Engagement Processes</w:t>
      </w:r>
      <w:bookmarkEnd w:id="32"/>
    </w:p>
    <w:p w14:paraId="5BAE04B2" w14:textId="77777777" w:rsidR="00BB01B5" w:rsidRPr="00B45723" w:rsidRDefault="00BB01B5" w:rsidP="00B45723">
      <w:pPr>
        <w:pStyle w:val="Heading4"/>
        <w:spacing w:before="120" w:after="120" w:line="240" w:lineRule="auto"/>
        <w:rPr>
          <w:b w:val="0"/>
          <w:bCs w:val="0"/>
        </w:rPr>
      </w:pPr>
      <w:r w:rsidRPr="00FE5057">
        <w:t>The Prime Minister’s Community Business Partnership: First 1,000 Days of Life Working Group</w:t>
      </w:r>
    </w:p>
    <w:p w14:paraId="3DF7121B" w14:textId="4D2DB3BD" w:rsidR="00BB01B5" w:rsidRPr="00B45723" w:rsidRDefault="00BB01B5" w:rsidP="00B45723">
      <w:pPr>
        <w:spacing w:after="120" w:line="240" w:lineRule="auto"/>
      </w:pPr>
      <w:r w:rsidRPr="00B45723">
        <w:t xml:space="preserve">In April 2017, the Prime Minister asked his </w:t>
      </w:r>
      <w:hyperlink r:id="rId31" w:history="1">
        <w:r w:rsidRPr="00B45723">
          <w:rPr>
            <w:rStyle w:val="Hyperlink"/>
            <w:sz w:val="24"/>
          </w:rPr>
          <w:t>Community Business Partnership</w:t>
        </w:r>
      </w:hyperlink>
      <w:r w:rsidRPr="00B45723">
        <w:t xml:space="preserve"> to advise him on practical strategies to bring together, and better leverage, Government, philanthropic and corporate investment, with a particular focus on addressing the needs of children in their first 1,000 days of life</w:t>
      </w:r>
      <w:r w:rsidR="00FE5057" w:rsidRPr="00FE5057">
        <w:t>. In response, </w:t>
      </w:r>
      <w:r w:rsidRPr="00B45723">
        <w:t xml:space="preserve">Partnership member Nicola Forrest convened the ‘First 1,000 days of Life’ Working Group and consulted stakeholders and experts to support its recommendations to Government. The Working Group recommended strategies to promote cross-sector partnerships. It also found that the rationale for early investment in children was broadly accepted by community leaders, policy makers and service providers and that place-based approaches to service delivery can be an effective way to improve outcomes, while noting some of the difficulties in implementing place-based approaches at scale. </w:t>
      </w:r>
    </w:p>
    <w:p w14:paraId="1CD96AAF" w14:textId="085026F4" w:rsidR="00171846" w:rsidRPr="00301C0C" w:rsidRDefault="00171846" w:rsidP="00B45723">
      <w:pPr>
        <w:pStyle w:val="Heading4"/>
        <w:spacing w:before="120" w:after="120" w:line="240" w:lineRule="auto"/>
      </w:pPr>
      <w:r w:rsidRPr="00301C0C">
        <w:t>Social and Cultural Determinants of Indigenous Health</w:t>
      </w:r>
      <w:r w:rsidR="008B1C96" w:rsidRPr="00301C0C">
        <w:t xml:space="preserve"> 2017</w:t>
      </w:r>
    </w:p>
    <w:p w14:paraId="5BDE8D05" w14:textId="2A69CC3B" w:rsidR="00171846" w:rsidRPr="00301C0C" w:rsidRDefault="00171846" w:rsidP="00B45723">
      <w:pPr>
        <w:spacing w:after="120" w:line="240" w:lineRule="auto"/>
      </w:pPr>
      <w:r w:rsidRPr="00301C0C">
        <w:t xml:space="preserve">Between March </w:t>
      </w:r>
      <w:r w:rsidR="00FA14A6" w:rsidRPr="00301C0C">
        <w:t>and</w:t>
      </w:r>
      <w:r w:rsidRPr="00301C0C">
        <w:t xml:space="preserve"> May 2017</w:t>
      </w:r>
      <w:r w:rsidR="00617759" w:rsidRPr="00301C0C">
        <w:t>,</w:t>
      </w:r>
      <w:r w:rsidRPr="00301C0C">
        <w:t xml:space="preserve"> the Department of Health led a consultation process to inform the development of the 2018 iteration of the Implementation plan for the </w:t>
      </w:r>
      <w:r w:rsidRPr="00301C0C">
        <w:rPr>
          <w:rFonts w:cs="Helvetica"/>
        </w:rPr>
        <w:t xml:space="preserve">National Aboriginal and Torres Strait Islander Health Plan 2013-2023. </w:t>
      </w:r>
      <w:r w:rsidRPr="00301C0C">
        <w:t xml:space="preserve">Four themes were identified: </w:t>
      </w:r>
    </w:p>
    <w:p w14:paraId="03D4E3AB" w14:textId="77777777" w:rsidR="00171846" w:rsidRPr="00301C0C" w:rsidRDefault="00171846" w:rsidP="00B45723">
      <w:pPr>
        <w:pStyle w:val="ListParagraph"/>
        <w:numPr>
          <w:ilvl w:val="0"/>
          <w:numId w:val="9"/>
        </w:numPr>
        <w:spacing w:after="120" w:line="240" w:lineRule="auto"/>
        <w:ind w:left="714" w:hanging="357"/>
        <w:contextualSpacing w:val="0"/>
      </w:pPr>
      <w:r w:rsidRPr="00301C0C">
        <w:t xml:space="preserve">Culture is central to Aboriginal and Torres Strait Islander wellbeing and needs to be embraced and embedded across a range of Aboriginal and Torres Strait Islander and mainstream services—both as a protector and enabler of health and wellbeing. </w:t>
      </w:r>
    </w:p>
    <w:p w14:paraId="192ECB59" w14:textId="77777777" w:rsidR="00171846" w:rsidRPr="00301C0C" w:rsidRDefault="00171846" w:rsidP="00B45723">
      <w:pPr>
        <w:pStyle w:val="ListParagraph"/>
        <w:numPr>
          <w:ilvl w:val="0"/>
          <w:numId w:val="9"/>
        </w:numPr>
        <w:spacing w:after="120" w:line="240" w:lineRule="auto"/>
        <w:ind w:left="714" w:hanging="357"/>
        <w:contextualSpacing w:val="0"/>
      </w:pPr>
      <w:r w:rsidRPr="00301C0C">
        <w:t xml:space="preserve">Racism within health and other systems must be addressed to remove barriers to better outcomes in health, education and employment. </w:t>
      </w:r>
    </w:p>
    <w:p w14:paraId="333BDFF6" w14:textId="77777777" w:rsidR="00171846" w:rsidRPr="00301C0C" w:rsidRDefault="00171846" w:rsidP="00B45723">
      <w:pPr>
        <w:pStyle w:val="ListParagraph"/>
        <w:numPr>
          <w:ilvl w:val="0"/>
          <w:numId w:val="9"/>
        </w:numPr>
        <w:spacing w:after="120" w:line="240" w:lineRule="auto"/>
        <w:ind w:left="714" w:hanging="357"/>
        <w:contextualSpacing w:val="0"/>
      </w:pPr>
      <w:r w:rsidRPr="00301C0C">
        <w:t xml:space="preserve">The impacts of trauma across generations of Aboriginal and Torres Strait Islander people must be acknowledged and addressed. </w:t>
      </w:r>
    </w:p>
    <w:p w14:paraId="1B0BB6E9" w14:textId="77777777" w:rsidR="00171846" w:rsidRPr="00301C0C" w:rsidRDefault="00171846" w:rsidP="00B45723">
      <w:pPr>
        <w:pStyle w:val="ListParagraph"/>
        <w:numPr>
          <w:ilvl w:val="0"/>
          <w:numId w:val="9"/>
        </w:numPr>
        <w:spacing w:after="120" w:line="240" w:lineRule="auto"/>
        <w:ind w:left="714" w:hanging="357"/>
        <w:contextualSpacing w:val="0"/>
      </w:pPr>
      <w:r w:rsidRPr="00301C0C">
        <w:t>Governments need to support long-term, coordinated, placed-based approaches that honour community priorities and embed participation.</w:t>
      </w:r>
    </w:p>
    <w:p w14:paraId="2B74DA9E" w14:textId="7C71B86D" w:rsidR="00171846" w:rsidRPr="00301C0C" w:rsidRDefault="00171846" w:rsidP="00B45723">
      <w:pPr>
        <w:pStyle w:val="Heading4"/>
        <w:spacing w:before="120" w:after="120" w:line="240" w:lineRule="auto"/>
      </w:pPr>
      <w:r w:rsidRPr="00301C0C">
        <w:t xml:space="preserve">Roundtables on improving outcomes for Aboriginal and Torres Strait Islander Families and Children under the FaC Activity </w:t>
      </w:r>
      <w:r w:rsidR="008B1C96" w:rsidRPr="00301C0C">
        <w:t>2017</w:t>
      </w:r>
    </w:p>
    <w:p w14:paraId="3CF3AE4C" w14:textId="59032DC9" w:rsidR="00171846" w:rsidRPr="00301C0C" w:rsidRDefault="008B1C96" w:rsidP="00B45723">
      <w:pPr>
        <w:spacing w:after="120" w:line="240" w:lineRule="auto"/>
      </w:pPr>
      <w:r w:rsidRPr="00301C0C">
        <w:t xml:space="preserve">In late 2017, </w:t>
      </w:r>
      <w:r w:rsidR="00171846" w:rsidRPr="00301C0C">
        <w:t>DSS held a number of roundtables across Australia to identify barriers and opportunities to improve outcomes for Aborigi</w:t>
      </w:r>
      <w:r w:rsidR="00290C93" w:rsidRPr="00301C0C">
        <w:t>nal and Torres Strait Islander families and c</w:t>
      </w:r>
      <w:r w:rsidR="00171846" w:rsidRPr="00301C0C">
        <w:t>hildren under the FaC Activity. Stakeholders identified the following as being key barriers to families and children programs for Indigenous families:</w:t>
      </w:r>
    </w:p>
    <w:p w14:paraId="6B727DB6" w14:textId="00ED304E" w:rsidR="00171846" w:rsidRPr="00301C0C" w:rsidRDefault="00171846" w:rsidP="00B45723">
      <w:pPr>
        <w:pStyle w:val="ListParagraph"/>
        <w:numPr>
          <w:ilvl w:val="0"/>
          <w:numId w:val="12"/>
        </w:numPr>
        <w:spacing w:after="120" w:line="240" w:lineRule="auto"/>
        <w:ind w:left="714" w:hanging="357"/>
        <w:contextualSpacing w:val="0"/>
      </w:pPr>
      <w:r w:rsidRPr="00301C0C">
        <w:t>current programs are spread thinly and may not be sufficiently targeted to members of Indigenous communities in particularly vulnerable circumstances</w:t>
      </w:r>
      <w:r w:rsidR="00290C93" w:rsidRPr="00301C0C">
        <w:t>,</w:t>
      </w:r>
    </w:p>
    <w:p w14:paraId="224DA2BC" w14:textId="5C54BF96" w:rsidR="00171846" w:rsidRPr="00301C0C" w:rsidRDefault="00171846" w:rsidP="00B45723">
      <w:pPr>
        <w:pStyle w:val="ListParagraph"/>
        <w:numPr>
          <w:ilvl w:val="0"/>
          <w:numId w:val="12"/>
        </w:numPr>
        <w:spacing w:after="120" w:line="240" w:lineRule="auto"/>
        <w:ind w:left="714" w:hanging="357"/>
        <w:contextualSpacing w:val="0"/>
      </w:pPr>
      <w:r w:rsidRPr="00301C0C">
        <w:t>current programs may lack flexibility to promote or tailor programs for an Indigenous context, meaning that for many Indigenous people access to, and experience of, mainstream programs do not provide them with the support they require to thrive</w:t>
      </w:r>
      <w:r w:rsidR="00290C93" w:rsidRPr="00301C0C">
        <w:t>,</w:t>
      </w:r>
    </w:p>
    <w:p w14:paraId="1768C444" w14:textId="7E13D496" w:rsidR="00171846" w:rsidRPr="00301C0C" w:rsidRDefault="00171846" w:rsidP="00B45723">
      <w:pPr>
        <w:pStyle w:val="ListParagraph"/>
        <w:numPr>
          <w:ilvl w:val="0"/>
          <w:numId w:val="12"/>
        </w:numPr>
        <w:spacing w:after="120" w:line="240" w:lineRule="auto"/>
        <w:ind w:left="714" w:hanging="357"/>
        <w:contextualSpacing w:val="0"/>
      </w:pPr>
      <w:r w:rsidRPr="00301C0C">
        <w:t>many Indigenous parents fear participation in families and children programs will place them and their child under scrutiny and at risk of having their child removed</w:t>
      </w:r>
      <w:r w:rsidR="00290C93" w:rsidRPr="00301C0C">
        <w:t>,</w:t>
      </w:r>
    </w:p>
    <w:p w14:paraId="293E207F" w14:textId="6533306E" w:rsidR="00171846" w:rsidRPr="00301C0C" w:rsidRDefault="00171846" w:rsidP="00B45723">
      <w:pPr>
        <w:pStyle w:val="ListParagraph"/>
        <w:numPr>
          <w:ilvl w:val="0"/>
          <w:numId w:val="12"/>
        </w:numPr>
        <w:spacing w:after="120" w:line="240" w:lineRule="auto"/>
        <w:ind w:left="714" w:hanging="357"/>
        <w:contextualSpacing w:val="0"/>
      </w:pPr>
      <w:r w:rsidRPr="00301C0C">
        <w:t>there are not enough Indigenous organisations delivering programs to Indigenous families and children and some non-Indigenous organisations can lack cultural competency to deliver culturally accessible and responsive services</w:t>
      </w:r>
      <w:r w:rsidR="00290C93" w:rsidRPr="00301C0C">
        <w:t>,</w:t>
      </w:r>
    </w:p>
    <w:p w14:paraId="4F718007" w14:textId="14F17143" w:rsidR="00171846" w:rsidRPr="00301C0C" w:rsidRDefault="00171846" w:rsidP="00B45723">
      <w:pPr>
        <w:pStyle w:val="ListParagraph"/>
        <w:numPr>
          <w:ilvl w:val="0"/>
          <w:numId w:val="12"/>
        </w:numPr>
        <w:spacing w:after="120" w:line="240" w:lineRule="auto"/>
        <w:ind w:left="714" w:hanging="357"/>
        <w:contextualSpacing w:val="0"/>
      </w:pPr>
      <w:r w:rsidRPr="00301C0C">
        <w:lastRenderedPageBreak/>
        <w:t>a sense that all governments may have sometimes been unwilling to devolve responsibility or partner with communities to determine solutions</w:t>
      </w:r>
      <w:r w:rsidR="00290C93" w:rsidRPr="00301C0C">
        <w:t>, and</w:t>
      </w:r>
    </w:p>
    <w:p w14:paraId="504968DB" w14:textId="77777777" w:rsidR="00171846" w:rsidRPr="00301C0C" w:rsidRDefault="00171846" w:rsidP="00B45723">
      <w:pPr>
        <w:pStyle w:val="ListParagraph"/>
        <w:numPr>
          <w:ilvl w:val="0"/>
          <w:numId w:val="12"/>
        </w:numPr>
        <w:spacing w:after="120" w:line="240" w:lineRule="auto"/>
        <w:ind w:left="714" w:hanging="357"/>
        <w:contextualSpacing w:val="0"/>
      </w:pPr>
      <w:r w:rsidRPr="00301C0C">
        <w:t>the duration of funding agreements can be too short to build trusting relationships with Indigenous communities and families, and to realise real and lasting change.</w:t>
      </w:r>
    </w:p>
    <w:p w14:paraId="2B486B02" w14:textId="0DBFF802" w:rsidR="00171846" w:rsidRPr="00301C0C" w:rsidRDefault="00171846" w:rsidP="00B45723">
      <w:pPr>
        <w:spacing w:after="120" w:line="240" w:lineRule="auto"/>
      </w:pPr>
      <w:r w:rsidRPr="00301C0C">
        <w:t xml:space="preserve">Stakeholders identified the following opportunities for enhancing families and children programs for Indigenous families: </w:t>
      </w:r>
    </w:p>
    <w:p w14:paraId="143DF037" w14:textId="01496BF7" w:rsidR="00171846" w:rsidRPr="00301C0C" w:rsidRDefault="00171846" w:rsidP="00B45723">
      <w:pPr>
        <w:numPr>
          <w:ilvl w:val="0"/>
          <w:numId w:val="11"/>
        </w:numPr>
        <w:spacing w:after="120" w:line="240" w:lineRule="auto"/>
      </w:pPr>
      <w:r w:rsidRPr="00301C0C">
        <w:t>involving the community and Indigenous leaders in the design and delivery of programs to better harness Indigenous cultural and community strengths</w:t>
      </w:r>
      <w:r w:rsidR="00290C93" w:rsidRPr="00301C0C">
        <w:t>,</w:t>
      </w:r>
    </w:p>
    <w:p w14:paraId="27352235" w14:textId="3A963187" w:rsidR="00171846" w:rsidRPr="00301C0C" w:rsidRDefault="00171846" w:rsidP="00B45723">
      <w:pPr>
        <w:numPr>
          <w:ilvl w:val="0"/>
          <w:numId w:val="11"/>
        </w:numPr>
        <w:spacing w:after="120" w:line="240" w:lineRule="auto"/>
      </w:pPr>
      <w:r w:rsidRPr="00301C0C">
        <w:t>fostering collaboration and information sharing among service providers to create a joined-up system and strengthen referral pathways</w:t>
      </w:r>
      <w:r w:rsidR="00290C93" w:rsidRPr="00301C0C">
        <w:t>,</w:t>
      </w:r>
    </w:p>
    <w:p w14:paraId="3C6E15E2" w14:textId="3A13D479" w:rsidR="00171846" w:rsidRPr="00301C0C" w:rsidRDefault="00171846" w:rsidP="00B45723">
      <w:pPr>
        <w:numPr>
          <w:ilvl w:val="0"/>
          <w:numId w:val="11"/>
        </w:numPr>
        <w:spacing w:after="120" w:line="240" w:lineRule="auto"/>
      </w:pPr>
      <w:r w:rsidRPr="00301C0C">
        <w:t>directing more funding to Indigenous organisations to deliver mainstream programs</w:t>
      </w:r>
      <w:r w:rsidR="00290C93" w:rsidRPr="00301C0C">
        <w:t>,</w:t>
      </w:r>
    </w:p>
    <w:p w14:paraId="664A55A4" w14:textId="57EE00E8" w:rsidR="00171846" w:rsidRPr="00301C0C" w:rsidRDefault="00171846" w:rsidP="00B45723">
      <w:pPr>
        <w:numPr>
          <w:ilvl w:val="0"/>
          <w:numId w:val="11"/>
        </w:numPr>
        <w:spacing w:after="120" w:line="240" w:lineRule="auto"/>
      </w:pPr>
      <w:r w:rsidRPr="00301C0C">
        <w:t>increasing the flexibility and duration of fu</w:t>
      </w:r>
      <w:r w:rsidR="00290C93" w:rsidRPr="00301C0C">
        <w:t>nding agreements (i.e. up to 10 </w:t>
      </w:r>
      <w:r w:rsidRPr="00301C0C">
        <w:t>years) to build enduring and trusting relationships with Indigenous communities and families, and to realise real and lasting change</w:t>
      </w:r>
      <w:r w:rsidR="00290C93" w:rsidRPr="00301C0C">
        <w:t>,</w:t>
      </w:r>
    </w:p>
    <w:p w14:paraId="4CC46CEA" w14:textId="0644E758" w:rsidR="00171846" w:rsidRPr="00301C0C" w:rsidRDefault="00171846" w:rsidP="00B45723">
      <w:pPr>
        <w:numPr>
          <w:ilvl w:val="0"/>
          <w:numId w:val="11"/>
        </w:numPr>
        <w:spacing w:after="120" w:line="240" w:lineRule="auto"/>
      </w:pPr>
      <w:r w:rsidRPr="00301C0C">
        <w:t>recruiting and retaining more Indigenous staff, and provide mentoring and training for existing Indigenous staff</w:t>
      </w:r>
      <w:r w:rsidR="00290C93" w:rsidRPr="00301C0C">
        <w:t>, and</w:t>
      </w:r>
    </w:p>
    <w:p w14:paraId="26931BE9" w14:textId="77777777" w:rsidR="00171846" w:rsidRPr="00301C0C" w:rsidRDefault="00171846" w:rsidP="00B45723">
      <w:pPr>
        <w:numPr>
          <w:ilvl w:val="0"/>
          <w:numId w:val="11"/>
        </w:numPr>
        <w:spacing w:after="120" w:line="240" w:lineRule="auto"/>
        <w:rPr>
          <w:color w:val="1F497D"/>
        </w:rPr>
      </w:pPr>
      <w:r w:rsidRPr="00301C0C">
        <w:t>building the capacity of non-Indigenous organisations to be culturally competent and to partner with Indigenous organisations in designing and delivering programs.</w:t>
      </w:r>
    </w:p>
    <w:p w14:paraId="6661940A" w14:textId="0A65D878" w:rsidR="000368E1" w:rsidRDefault="00D9126A" w:rsidP="00B45723">
      <w:pPr>
        <w:pStyle w:val="Heading1"/>
        <w:spacing w:before="120"/>
        <w:contextualSpacing w:val="0"/>
      </w:pPr>
      <w:r w:rsidRPr="00301C0C">
        <w:rPr>
          <w:bCs w:val="0"/>
        </w:rPr>
        <w:br w:type="page"/>
      </w:r>
      <w:bookmarkStart w:id="33" w:name="_Toc516213705"/>
      <w:r w:rsidR="000368E1" w:rsidRPr="00301C0C">
        <w:lastRenderedPageBreak/>
        <w:t>References</w:t>
      </w:r>
      <w:bookmarkEnd w:id="33"/>
    </w:p>
    <w:sectPr w:rsidR="000368E1" w:rsidSect="00A44FC6">
      <w:headerReference w:type="even" r:id="rId32"/>
      <w:headerReference w:type="default" r:id="rId33"/>
      <w:headerReference w:type="first" r:id="rId34"/>
      <w:footerReference w:type="first" r:id="rId35"/>
      <w:pgSz w:w="11906" w:h="16838"/>
      <w:pgMar w:top="528" w:right="849" w:bottom="284" w:left="1134" w:header="851" w:footer="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49C4E" w14:textId="77777777" w:rsidR="00086D5D" w:rsidRDefault="00086D5D" w:rsidP="008F3023">
      <w:pPr>
        <w:spacing w:before="0" w:after="0" w:line="240" w:lineRule="auto"/>
      </w:pPr>
      <w:r>
        <w:separator/>
      </w:r>
    </w:p>
  </w:endnote>
  <w:endnote w:type="continuationSeparator" w:id="0">
    <w:p w14:paraId="184B7374" w14:textId="77777777" w:rsidR="00086D5D" w:rsidRDefault="00086D5D" w:rsidP="008F3023">
      <w:pPr>
        <w:spacing w:before="0" w:after="0" w:line="240" w:lineRule="auto"/>
      </w:pPr>
      <w:r>
        <w:continuationSeparator/>
      </w:r>
    </w:p>
  </w:endnote>
  <w:endnote w:id="1">
    <w:p w14:paraId="3F9F91AF" w14:textId="0D09F80C" w:rsidR="00B45723" w:rsidRPr="00085A1F" w:rsidRDefault="00B45723" w:rsidP="00085A1F">
      <w:pPr>
        <w:pStyle w:val="EndnoteText"/>
        <w:spacing w:before="120" w:after="120"/>
        <w:rPr>
          <w:rFonts w:asciiTheme="minorHAnsi" w:hAnsiTheme="minorHAnsi" w:cstheme="minorHAnsi"/>
          <w:i/>
        </w:rPr>
      </w:pPr>
      <w:r w:rsidRPr="00085A1F">
        <w:rPr>
          <w:rStyle w:val="EndnoteReference"/>
          <w:rFonts w:asciiTheme="minorHAnsi" w:hAnsiTheme="minorHAnsi" w:cstheme="minorHAnsi"/>
        </w:rPr>
        <w:endnoteRef/>
      </w:r>
      <w:r w:rsidRPr="00085A1F">
        <w:rPr>
          <w:rFonts w:asciiTheme="minorHAnsi" w:hAnsiTheme="minorHAnsi" w:cstheme="minorHAnsi"/>
        </w:rPr>
        <w:t xml:space="preserve"> AEDC (2017) </w:t>
      </w:r>
      <w:r w:rsidRPr="00085A1F">
        <w:rPr>
          <w:rFonts w:asciiTheme="minorHAnsi" w:hAnsiTheme="minorHAnsi" w:cstheme="minorHAnsi"/>
          <w:i/>
        </w:rPr>
        <w:t>Emerging Trends</w:t>
      </w:r>
      <w:r w:rsidR="00116688">
        <w:rPr>
          <w:rFonts w:asciiTheme="minorHAnsi" w:hAnsiTheme="minorHAnsi" w:cstheme="minorHAnsi"/>
          <w:i/>
        </w:rPr>
        <w:t xml:space="preserve"> </w:t>
      </w:r>
      <w:r w:rsidR="00116688">
        <w:rPr>
          <w:rFonts w:asciiTheme="minorHAnsi" w:hAnsiTheme="minorHAnsi" w:cstheme="minorHAnsi"/>
        </w:rPr>
        <w:t xml:space="preserve">accessed from: </w:t>
      </w:r>
      <w:hyperlink r:id="rId1" w:history="1">
        <w:r w:rsidR="00116688" w:rsidRPr="00FC7C58">
          <w:rPr>
            <w:rStyle w:val="Hyperlink"/>
            <w:rFonts w:asciiTheme="minorHAnsi" w:hAnsiTheme="minorHAnsi" w:cstheme="minorHAnsi"/>
            <w:i/>
            <w:sz w:val="20"/>
          </w:rPr>
          <w:t>http://www.aedc.gov.au/parents/findings-from-the-aedc</w:t>
        </w:r>
      </w:hyperlink>
      <w:r w:rsidR="00116688">
        <w:rPr>
          <w:rFonts w:asciiTheme="minorHAnsi" w:hAnsiTheme="minorHAnsi" w:cstheme="minorHAnsi"/>
          <w:i/>
        </w:rPr>
        <w:t xml:space="preserve"> </w:t>
      </w:r>
    </w:p>
  </w:endnote>
  <w:endnote w:id="2">
    <w:p w14:paraId="65B45419" w14:textId="77777777" w:rsidR="00B45723" w:rsidRPr="00085A1F" w:rsidRDefault="00B45723" w:rsidP="00085A1F">
      <w:pPr>
        <w:pStyle w:val="EndnoteText"/>
        <w:spacing w:before="120" w:after="120"/>
        <w:rPr>
          <w:rFonts w:asciiTheme="minorHAnsi" w:hAnsiTheme="minorHAnsi" w:cstheme="minorHAnsi"/>
        </w:rPr>
      </w:pPr>
      <w:r w:rsidRPr="00085A1F">
        <w:rPr>
          <w:rStyle w:val="EndnoteReference"/>
          <w:rFonts w:asciiTheme="minorHAnsi" w:hAnsiTheme="minorHAnsi" w:cstheme="minorHAnsi"/>
        </w:rPr>
        <w:endnoteRef/>
      </w:r>
      <w:r w:rsidRPr="00085A1F">
        <w:rPr>
          <w:rFonts w:asciiTheme="minorHAnsi" w:hAnsiTheme="minorHAnsi" w:cstheme="minorHAnsi"/>
        </w:rPr>
        <w:t xml:space="preserve"> CFCA Resource Sheet (2017) </w:t>
      </w:r>
      <w:r w:rsidRPr="00085A1F">
        <w:rPr>
          <w:rFonts w:asciiTheme="minorHAnsi" w:hAnsiTheme="minorHAnsi" w:cstheme="minorHAnsi"/>
          <w:i/>
        </w:rPr>
        <w:t>Children in Care</w:t>
      </w:r>
      <w:r w:rsidRPr="00085A1F">
        <w:rPr>
          <w:rFonts w:asciiTheme="minorHAnsi" w:hAnsiTheme="minorHAnsi" w:cstheme="minorHAnsi"/>
        </w:rPr>
        <w:t xml:space="preserve">, Australian Institute of Family Studies </w:t>
      </w:r>
    </w:p>
  </w:endnote>
  <w:endnote w:id="3">
    <w:p w14:paraId="28CCBB65" w14:textId="2BFEA547" w:rsidR="00B45723" w:rsidRPr="00085A1F" w:rsidRDefault="00B45723" w:rsidP="00085A1F">
      <w:pPr>
        <w:pStyle w:val="EndnoteText"/>
        <w:spacing w:before="120" w:after="120"/>
        <w:rPr>
          <w:rFonts w:asciiTheme="minorHAnsi" w:hAnsiTheme="minorHAnsi" w:cstheme="minorHAnsi"/>
        </w:rPr>
      </w:pPr>
      <w:r w:rsidRPr="00085A1F">
        <w:rPr>
          <w:rStyle w:val="EndnoteReference"/>
          <w:rFonts w:asciiTheme="minorHAnsi" w:hAnsiTheme="minorHAnsi" w:cstheme="minorHAnsi"/>
        </w:rPr>
        <w:endnoteRef/>
      </w:r>
      <w:r w:rsidRPr="00085A1F">
        <w:rPr>
          <w:rFonts w:asciiTheme="minorHAnsi" w:hAnsiTheme="minorHAnsi" w:cstheme="minorHAnsi"/>
        </w:rPr>
        <w:t xml:space="preserve"> ABS (2015) </w:t>
      </w:r>
      <w:r w:rsidRPr="00085A1F">
        <w:rPr>
          <w:rFonts w:asciiTheme="minorHAnsi" w:hAnsiTheme="minorHAnsi" w:cstheme="minorHAnsi"/>
          <w:i/>
        </w:rPr>
        <w:t>Survey of Disability, Ageing and Carers</w:t>
      </w:r>
      <w:r w:rsidRPr="00085A1F">
        <w:rPr>
          <w:rFonts w:asciiTheme="minorHAnsi" w:hAnsiTheme="minorHAnsi" w:cstheme="minorHAnsi"/>
        </w:rPr>
        <w:t>, Canberra, Commonwealth of Australia</w:t>
      </w:r>
    </w:p>
  </w:endnote>
  <w:endnote w:id="4">
    <w:p w14:paraId="2DFFF54A" w14:textId="07EE8269" w:rsidR="00B45723" w:rsidRPr="00085A1F" w:rsidRDefault="00B45723" w:rsidP="00085A1F">
      <w:pPr>
        <w:pStyle w:val="EndnoteText"/>
        <w:spacing w:before="120" w:after="120"/>
        <w:rPr>
          <w:rFonts w:asciiTheme="minorHAnsi" w:hAnsiTheme="minorHAnsi" w:cstheme="minorHAnsi"/>
        </w:rPr>
      </w:pPr>
      <w:r w:rsidRPr="00085A1F">
        <w:rPr>
          <w:rStyle w:val="EndnoteReference"/>
          <w:rFonts w:asciiTheme="minorHAnsi" w:hAnsiTheme="minorHAnsi" w:cstheme="minorHAnsi"/>
        </w:rPr>
        <w:endnoteRef/>
      </w:r>
      <w:r w:rsidRPr="00085A1F">
        <w:rPr>
          <w:rFonts w:asciiTheme="minorHAnsi" w:hAnsiTheme="minorHAnsi" w:cstheme="minorHAnsi"/>
        </w:rPr>
        <w:t xml:space="preserve"> ABS (2012) </w:t>
      </w:r>
      <w:r w:rsidRPr="00116688">
        <w:rPr>
          <w:rFonts w:asciiTheme="minorHAnsi" w:hAnsiTheme="minorHAnsi" w:cstheme="minorHAnsi"/>
          <w:i/>
        </w:rPr>
        <w:t>Australian Social Trends,</w:t>
      </w:r>
      <w:r w:rsidRPr="00085A1F">
        <w:rPr>
          <w:rFonts w:asciiTheme="minorHAnsi" w:hAnsiTheme="minorHAnsi" w:cstheme="minorHAnsi"/>
        </w:rPr>
        <w:t xml:space="preserve"> Commonwealth of Australia accessed at: </w:t>
      </w:r>
      <w:hyperlink r:id="rId2" w:history="1">
        <w:r w:rsidRPr="00085A1F">
          <w:rPr>
            <w:rStyle w:val="Hyperlink"/>
            <w:rFonts w:asciiTheme="minorHAnsi" w:eastAsiaTheme="majorEastAsia" w:hAnsiTheme="minorHAnsi" w:cstheme="minorHAnsi"/>
            <w:sz w:val="20"/>
          </w:rPr>
          <w:t>http://www.abs.gov.au/AUSSTATS/abs@.nsf/Lookup/4102.0Main+Features30Jun+2012</w:t>
        </w:r>
      </w:hyperlink>
    </w:p>
  </w:endnote>
  <w:endnote w:id="5">
    <w:p w14:paraId="520B3D24" w14:textId="2897E8AA" w:rsidR="00B45723" w:rsidRPr="00085A1F" w:rsidRDefault="00B45723" w:rsidP="00085A1F">
      <w:pPr>
        <w:pStyle w:val="EndnoteText"/>
        <w:spacing w:before="120" w:after="120"/>
        <w:rPr>
          <w:rFonts w:asciiTheme="minorHAnsi" w:hAnsiTheme="minorHAnsi" w:cstheme="minorHAnsi"/>
        </w:rPr>
      </w:pPr>
      <w:r w:rsidRPr="00085A1F">
        <w:rPr>
          <w:rStyle w:val="EndnoteReference"/>
          <w:rFonts w:asciiTheme="minorHAnsi" w:hAnsiTheme="minorHAnsi" w:cstheme="minorHAnsi"/>
        </w:rPr>
        <w:endnoteRef/>
      </w:r>
      <w:r w:rsidRPr="00085A1F">
        <w:rPr>
          <w:rFonts w:asciiTheme="minorHAnsi" w:hAnsiTheme="minorHAnsi" w:cstheme="minorHAnsi"/>
        </w:rPr>
        <w:t xml:space="preserve"> ABS (2017) </w:t>
      </w:r>
      <w:r w:rsidRPr="00085A1F">
        <w:rPr>
          <w:rFonts w:asciiTheme="minorHAnsi" w:hAnsiTheme="minorHAnsi" w:cstheme="minorHAnsi"/>
          <w:i/>
        </w:rPr>
        <w:t>Personal Safety Survey 2016</w:t>
      </w:r>
      <w:r>
        <w:rPr>
          <w:rFonts w:asciiTheme="minorHAnsi" w:hAnsiTheme="minorHAnsi" w:cstheme="minorHAnsi"/>
        </w:rPr>
        <w:t>,</w:t>
      </w:r>
      <w:r w:rsidRPr="00085A1F">
        <w:rPr>
          <w:rFonts w:asciiTheme="minorHAnsi" w:hAnsiTheme="minorHAnsi" w:cstheme="minorHAnsi"/>
        </w:rPr>
        <w:t xml:space="preserve"> Canberra, Commonwealth of Australia </w:t>
      </w:r>
    </w:p>
  </w:endnote>
  <w:endnote w:id="6">
    <w:p w14:paraId="52B8AD62" w14:textId="1B6CACFB" w:rsidR="00B45723" w:rsidRPr="006440B9" w:rsidRDefault="00B45723" w:rsidP="00562ECA">
      <w:pPr>
        <w:pStyle w:val="EndnoteText"/>
        <w:spacing w:before="120" w:after="120"/>
        <w:rPr>
          <w:rFonts w:asciiTheme="minorHAnsi" w:hAnsiTheme="minorHAnsi" w:cstheme="minorHAnsi"/>
        </w:rPr>
      </w:pPr>
      <w:r w:rsidRPr="006440B9">
        <w:rPr>
          <w:rStyle w:val="EndnoteReference"/>
          <w:rFonts w:asciiTheme="minorHAnsi" w:hAnsiTheme="minorHAnsi" w:cstheme="minorHAnsi"/>
        </w:rPr>
        <w:endnoteRef/>
      </w:r>
      <w:r w:rsidRPr="006440B9">
        <w:rPr>
          <w:rFonts w:asciiTheme="minorHAnsi" w:hAnsiTheme="minorHAnsi" w:cstheme="minorHAnsi"/>
        </w:rPr>
        <w:t xml:space="preserve"> ABS (2017) </w:t>
      </w:r>
      <w:r w:rsidRPr="006440B9">
        <w:rPr>
          <w:rFonts w:asciiTheme="minorHAnsi" w:hAnsiTheme="minorHAnsi" w:cstheme="minorHAnsi"/>
          <w:i/>
        </w:rPr>
        <w:t>Personal Safety Survey 2016</w:t>
      </w:r>
      <w:r w:rsidRPr="00B45723">
        <w:rPr>
          <w:rFonts w:asciiTheme="minorHAnsi" w:hAnsiTheme="minorHAnsi" w:cstheme="minorHAnsi"/>
        </w:rPr>
        <w:t>,</w:t>
      </w:r>
      <w:r w:rsidRPr="006440B9">
        <w:rPr>
          <w:rFonts w:asciiTheme="minorHAnsi" w:hAnsiTheme="minorHAnsi" w:cstheme="minorHAnsi"/>
        </w:rPr>
        <w:t xml:space="preserve"> Canberra, Commonwealth of Australia </w:t>
      </w:r>
    </w:p>
  </w:endnote>
  <w:endnote w:id="7">
    <w:p w14:paraId="2EA32796" w14:textId="56AE87E2" w:rsidR="00B45723" w:rsidRPr="006440B9" w:rsidRDefault="00B45723" w:rsidP="00562ECA">
      <w:pPr>
        <w:pStyle w:val="EndnoteText"/>
        <w:spacing w:before="120" w:after="120"/>
        <w:rPr>
          <w:rFonts w:asciiTheme="minorHAnsi" w:hAnsiTheme="minorHAnsi" w:cstheme="minorHAnsi"/>
        </w:rPr>
      </w:pPr>
      <w:r w:rsidRPr="006440B9">
        <w:rPr>
          <w:rStyle w:val="EndnoteReference"/>
          <w:rFonts w:asciiTheme="minorHAnsi" w:hAnsiTheme="minorHAnsi" w:cstheme="minorHAnsi"/>
        </w:rPr>
        <w:endnoteRef/>
      </w:r>
      <w:r w:rsidRPr="006440B9">
        <w:rPr>
          <w:rFonts w:asciiTheme="minorHAnsi" w:hAnsiTheme="minorHAnsi" w:cstheme="minorHAnsi"/>
        </w:rPr>
        <w:t xml:space="preserve"> ABS (2017) </w:t>
      </w:r>
      <w:r w:rsidRPr="006440B9">
        <w:rPr>
          <w:rFonts w:asciiTheme="minorHAnsi" w:hAnsiTheme="minorHAnsi" w:cstheme="minorHAnsi"/>
          <w:i/>
        </w:rPr>
        <w:t>Personal Safety Survey 2016</w:t>
      </w:r>
      <w:r w:rsidRPr="00B45723">
        <w:rPr>
          <w:rFonts w:asciiTheme="minorHAnsi" w:hAnsiTheme="minorHAnsi" w:cstheme="minorHAnsi"/>
        </w:rPr>
        <w:t>,</w:t>
      </w:r>
      <w:r w:rsidRPr="006440B9">
        <w:rPr>
          <w:rFonts w:asciiTheme="minorHAnsi" w:hAnsiTheme="minorHAnsi" w:cstheme="minorHAnsi"/>
        </w:rPr>
        <w:t xml:space="preserve"> Canberra, Commonwealth of Australia </w:t>
      </w:r>
    </w:p>
  </w:endnote>
  <w:endnote w:id="8">
    <w:p w14:paraId="7C11B307" w14:textId="3EF38287" w:rsidR="00B45723" w:rsidRPr="00085A1F" w:rsidRDefault="00B45723" w:rsidP="00085A1F">
      <w:pPr>
        <w:pStyle w:val="EndnoteText"/>
        <w:spacing w:before="120" w:after="120"/>
        <w:rPr>
          <w:rFonts w:asciiTheme="minorHAnsi" w:hAnsiTheme="minorHAnsi" w:cstheme="minorHAnsi"/>
        </w:rPr>
      </w:pPr>
      <w:r w:rsidRPr="00085A1F">
        <w:rPr>
          <w:rStyle w:val="EndnoteReference"/>
          <w:rFonts w:asciiTheme="minorHAnsi" w:hAnsiTheme="minorHAnsi" w:cstheme="minorHAnsi"/>
        </w:rPr>
        <w:endnoteRef/>
      </w:r>
      <w:r w:rsidRPr="00085A1F">
        <w:rPr>
          <w:rFonts w:asciiTheme="minorHAnsi" w:hAnsiTheme="minorHAnsi" w:cstheme="minorHAnsi"/>
        </w:rPr>
        <w:t xml:space="preserve">Commonwealth of Australia (2016) </w:t>
      </w:r>
      <w:r w:rsidRPr="00085A1F">
        <w:rPr>
          <w:rFonts w:asciiTheme="minorHAnsi" w:hAnsiTheme="minorHAnsi" w:cstheme="minorHAnsi"/>
          <w:i/>
        </w:rPr>
        <w:t>National Plan to Reduce Violence against Women and their Children: Third Action Plan 2016-2019</w:t>
      </w:r>
      <w:r>
        <w:rPr>
          <w:rFonts w:asciiTheme="minorHAnsi" w:hAnsiTheme="minorHAnsi" w:cstheme="minorHAnsi"/>
        </w:rPr>
        <w:t>,</w:t>
      </w:r>
      <w:r w:rsidRPr="00085A1F">
        <w:rPr>
          <w:rFonts w:asciiTheme="minorHAnsi" w:hAnsiTheme="minorHAnsi" w:cstheme="minorHAnsi"/>
          <w:i/>
        </w:rPr>
        <w:t xml:space="preserve"> </w:t>
      </w:r>
      <w:r w:rsidRPr="00085A1F">
        <w:rPr>
          <w:rFonts w:asciiTheme="minorHAnsi" w:hAnsiTheme="minorHAnsi" w:cstheme="minorHAnsi"/>
        </w:rPr>
        <w:t xml:space="preserve">Commonwealth of Australia accessed at: </w:t>
      </w:r>
      <w:hyperlink r:id="rId3" w:history="1">
        <w:r w:rsidRPr="00085A1F">
          <w:rPr>
            <w:rStyle w:val="Hyperlink"/>
            <w:rFonts w:asciiTheme="minorHAnsi" w:hAnsiTheme="minorHAnsi" w:cstheme="minorHAnsi"/>
            <w:sz w:val="20"/>
          </w:rPr>
          <w:t>https://www.dss.gov.au/sites/default/files/documents/10_2016/fact_sheet_on_how_the_third_action_plan_supports_women_with_disability.pdf</w:t>
        </w:r>
      </w:hyperlink>
    </w:p>
  </w:endnote>
  <w:endnote w:id="9">
    <w:p w14:paraId="143563CD" w14:textId="592042E5" w:rsidR="00B45723" w:rsidRPr="00085A1F" w:rsidRDefault="00B45723" w:rsidP="00085A1F">
      <w:pPr>
        <w:pStyle w:val="EndnoteText"/>
        <w:spacing w:before="120" w:after="120"/>
        <w:rPr>
          <w:rFonts w:asciiTheme="minorHAnsi" w:hAnsiTheme="minorHAnsi" w:cstheme="minorHAnsi"/>
        </w:rPr>
      </w:pPr>
      <w:r w:rsidRPr="00085A1F">
        <w:rPr>
          <w:rStyle w:val="EndnoteReference"/>
          <w:rFonts w:asciiTheme="minorHAnsi" w:hAnsiTheme="minorHAnsi" w:cstheme="minorHAnsi"/>
        </w:rPr>
        <w:endnoteRef/>
      </w:r>
      <w:r w:rsidRPr="00085A1F">
        <w:rPr>
          <w:rFonts w:asciiTheme="minorHAnsi" w:hAnsiTheme="minorHAnsi" w:cstheme="minorHAnsi"/>
        </w:rPr>
        <w:t xml:space="preserve"> Department of Prime Minister and Cabinet (2018) </w:t>
      </w:r>
      <w:r w:rsidRPr="00085A1F">
        <w:rPr>
          <w:rFonts w:asciiTheme="minorHAnsi" w:hAnsiTheme="minorHAnsi" w:cstheme="minorHAnsi"/>
          <w:i/>
        </w:rPr>
        <w:t>Closing the Gap Report 2018</w:t>
      </w:r>
      <w:r>
        <w:rPr>
          <w:rFonts w:asciiTheme="minorHAnsi" w:hAnsiTheme="minorHAnsi" w:cstheme="minorHAnsi"/>
        </w:rPr>
        <w:t>,</w:t>
      </w:r>
      <w:r w:rsidRPr="00085A1F">
        <w:rPr>
          <w:rFonts w:asciiTheme="minorHAnsi" w:hAnsiTheme="minorHAnsi" w:cstheme="minorHAnsi"/>
        </w:rPr>
        <w:t xml:space="preserve"> Canberra, Commonwealth of Australia </w:t>
      </w:r>
    </w:p>
  </w:endnote>
  <w:endnote w:id="10">
    <w:p w14:paraId="5F425B27" w14:textId="70D194D5" w:rsidR="00B45723" w:rsidRPr="00085A1F" w:rsidRDefault="00B45723" w:rsidP="00085A1F">
      <w:pPr>
        <w:pStyle w:val="EndnoteText"/>
        <w:spacing w:before="120" w:after="120"/>
        <w:rPr>
          <w:rFonts w:asciiTheme="minorHAnsi" w:hAnsiTheme="minorHAnsi" w:cstheme="minorHAnsi"/>
        </w:rPr>
      </w:pPr>
      <w:r w:rsidRPr="00085A1F">
        <w:rPr>
          <w:rStyle w:val="EndnoteReference"/>
          <w:rFonts w:asciiTheme="minorHAnsi" w:hAnsiTheme="minorHAnsi" w:cstheme="minorHAnsi"/>
        </w:rPr>
        <w:endnoteRef/>
      </w:r>
      <w:r w:rsidRPr="00085A1F">
        <w:rPr>
          <w:rFonts w:asciiTheme="minorHAnsi" w:hAnsiTheme="minorHAnsi" w:cstheme="minorHAnsi"/>
        </w:rPr>
        <w:t xml:space="preserve"> Department of Prime Minister and Cabinet (2018) </w:t>
      </w:r>
      <w:r w:rsidRPr="00085A1F">
        <w:rPr>
          <w:rFonts w:asciiTheme="minorHAnsi" w:hAnsiTheme="minorHAnsi" w:cstheme="minorHAnsi"/>
          <w:i/>
        </w:rPr>
        <w:t>Closing the Gap Report 2018</w:t>
      </w:r>
      <w:r>
        <w:rPr>
          <w:rFonts w:asciiTheme="minorHAnsi" w:hAnsiTheme="minorHAnsi" w:cstheme="minorHAnsi"/>
        </w:rPr>
        <w:t>,</w:t>
      </w:r>
      <w:r w:rsidRPr="00085A1F">
        <w:rPr>
          <w:rFonts w:asciiTheme="minorHAnsi" w:hAnsiTheme="minorHAnsi" w:cstheme="minorHAnsi"/>
        </w:rPr>
        <w:t xml:space="preserve"> Canberra, Commonwealth of Australia </w:t>
      </w:r>
    </w:p>
  </w:endnote>
  <w:endnote w:id="11">
    <w:p w14:paraId="0FAFE367" w14:textId="068B6368" w:rsidR="00B45723" w:rsidRPr="00085A1F" w:rsidRDefault="00B45723" w:rsidP="00085A1F">
      <w:pPr>
        <w:pStyle w:val="EndnoteText"/>
        <w:spacing w:before="120" w:after="120"/>
        <w:rPr>
          <w:rFonts w:asciiTheme="minorHAnsi" w:hAnsiTheme="minorHAnsi" w:cstheme="minorHAnsi"/>
        </w:rPr>
      </w:pPr>
      <w:r w:rsidRPr="00085A1F">
        <w:rPr>
          <w:rStyle w:val="EndnoteReference"/>
          <w:rFonts w:asciiTheme="minorHAnsi" w:hAnsiTheme="minorHAnsi" w:cstheme="minorHAnsi"/>
        </w:rPr>
        <w:endnoteRef/>
      </w:r>
      <w:r w:rsidRPr="00085A1F">
        <w:rPr>
          <w:rFonts w:asciiTheme="minorHAnsi" w:hAnsiTheme="minorHAnsi" w:cstheme="minorHAnsi"/>
        </w:rPr>
        <w:t xml:space="preserve"> AIHW (2015) </w:t>
      </w:r>
      <w:r w:rsidRPr="00085A1F">
        <w:rPr>
          <w:rFonts w:asciiTheme="minorHAnsi" w:hAnsiTheme="minorHAnsi" w:cstheme="minorHAnsi"/>
          <w:i/>
        </w:rPr>
        <w:t>The Health and Welfare of Australia’s Aboriginal and Torres Strait Islander People 2015</w:t>
      </w:r>
      <w:r>
        <w:rPr>
          <w:rFonts w:asciiTheme="minorHAnsi" w:hAnsiTheme="minorHAnsi" w:cstheme="minorHAnsi"/>
        </w:rPr>
        <w:t>,</w:t>
      </w:r>
      <w:r w:rsidRPr="00085A1F">
        <w:rPr>
          <w:rFonts w:asciiTheme="minorHAnsi" w:hAnsiTheme="minorHAnsi" w:cstheme="minorHAnsi"/>
        </w:rPr>
        <w:t xml:space="preserve"> Canberra, AIHW</w:t>
      </w:r>
    </w:p>
  </w:endnote>
  <w:endnote w:id="12">
    <w:p w14:paraId="5D3C6919" w14:textId="774D9DC6" w:rsidR="00B45723" w:rsidRPr="00085A1F" w:rsidRDefault="00B45723" w:rsidP="00B45723">
      <w:pPr>
        <w:pStyle w:val="EndnoteText"/>
        <w:spacing w:before="120"/>
        <w:rPr>
          <w:rFonts w:asciiTheme="minorHAnsi" w:hAnsiTheme="minorHAnsi" w:cstheme="minorHAnsi"/>
        </w:rPr>
      </w:pPr>
      <w:r w:rsidRPr="00085A1F">
        <w:rPr>
          <w:rStyle w:val="EndnoteReference"/>
          <w:rFonts w:asciiTheme="minorHAnsi" w:hAnsiTheme="minorHAnsi" w:cstheme="minorHAnsi"/>
        </w:rPr>
        <w:endnoteRef/>
      </w:r>
      <w:r w:rsidRPr="00085A1F">
        <w:rPr>
          <w:rFonts w:asciiTheme="minorHAnsi" w:hAnsiTheme="minorHAnsi" w:cstheme="minorHAnsi"/>
        </w:rPr>
        <w:t xml:space="preserve"> AIFS, Walker, R., and Shepherd, C. (2008) </w:t>
      </w:r>
      <w:r w:rsidRPr="00085A1F">
        <w:rPr>
          <w:rFonts w:asciiTheme="minorHAnsi" w:hAnsiTheme="minorHAnsi" w:cstheme="minorHAnsi"/>
          <w:i/>
        </w:rPr>
        <w:t>Strengthening Aboriginal Family Functioning: What Works and Why?</w:t>
      </w:r>
      <w:r w:rsidRPr="00085A1F">
        <w:rPr>
          <w:rFonts w:asciiTheme="minorHAnsi" w:hAnsiTheme="minorHAnsi" w:cstheme="minorHAnsi"/>
        </w:rPr>
        <w:t xml:space="preserve">, AFRC Briefing No.7 accessed at: </w:t>
      </w:r>
      <w:hyperlink r:id="rId4" w:history="1">
        <w:r w:rsidRPr="00085A1F">
          <w:rPr>
            <w:rStyle w:val="Hyperlink"/>
            <w:rFonts w:asciiTheme="minorHAnsi" w:hAnsiTheme="minorHAnsi" w:cstheme="minorHAnsi"/>
            <w:sz w:val="20"/>
          </w:rPr>
          <w:t>https://aifs.gov.au/cfca/publications/strengthening-aboriginal-family-functioning-what-works-and</w:t>
        </w:r>
      </w:hyperlink>
      <w:r w:rsidRPr="00085A1F">
        <w:rPr>
          <w:rFonts w:asciiTheme="minorHAnsi" w:hAnsiTheme="minorHAnsi" w:cstheme="minorHAnsi"/>
        </w:rPr>
        <w:t>; Bronfenbrenner, U</w:t>
      </w:r>
      <w:r w:rsidR="00116688">
        <w:rPr>
          <w:rFonts w:asciiTheme="minorHAnsi" w:hAnsiTheme="minorHAnsi" w:cstheme="minorHAnsi"/>
        </w:rPr>
        <w:t>.</w:t>
      </w:r>
      <w:r w:rsidRPr="00085A1F">
        <w:rPr>
          <w:rFonts w:asciiTheme="minorHAnsi" w:hAnsiTheme="minorHAnsi" w:cstheme="minorHAnsi"/>
        </w:rPr>
        <w:t xml:space="preserve"> (1979) </w:t>
      </w:r>
      <w:r w:rsidRPr="00085A1F">
        <w:rPr>
          <w:rFonts w:asciiTheme="minorHAnsi" w:hAnsiTheme="minorHAnsi" w:cstheme="minorHAnsi"/>
          <w:i/>
        </w:rPr>
        <w:t>The Ecology of Human Development: Experiments by Nature and Design</w:t>
      </w:r>
      <w:r w:rsidR="002C2E81">
        <w:rPr>
          <w:rFonts w:asciiTheme="minorHAnsi" w:hAnsiTheme="minorHAnsi" w:cstheme="minorHAnsi"/>
        </w:rPr>
        <w:t>, Cambridge, Mass,</w:t>
      </w:r>
      <w:r w:rsidRPr="00085A1F">
        <w:rPr>
          <w:rFonts w:asciiTheme="minorHAnsi" w:hAnsiTheme="minorHAnsi" w:cstheme="minorHAnsi"/>
        </w:rPr>
        <w:t xml:space="preserve"> Harvard University Press; and AIFS (2013) </w:t>
      </w:r>
      <w:r w:rsidRPr="00085A1F">
        <w:rPr>
          <w:rFonts w:asciiTheme="minorHAnsi" w:hAnsiTheme="minorHAnsi" w:cstheme="minorHAnsi"/>
          <w:i/>
        </w:rPr>
        <w:t>Risk and Protective Factors for Child Abuse and Neglect</w:t>
      </w:r>
      <w:r w:rsidRPr="00085A1F">
        <w:rPr>
          <w:rFonts w:asciiTheme="minorHAnsi" w:hAnsiTheme="minorHAnsi" w:cstheme="minorHAnsi"/>
        </w:rPr>
        <w:t>, CFCA Resource Sheet, March 2013</w:t>
      </w:r>
    </w:p>
  </w:endnote>
  <w:endnote w:id="13">
    <w:p w14:paraId="2679CC4D" w14:textId="4A452A20" w:rsidR="00B45723" w:rsidRPr="00085A1F" w:rsidRDefault="00B45723" w:rsidP="00E70363">
      <w:pPr>
        <w:pStyle w:val="EndnoteText"/>
        <w:spacing w:before="120" w:after="120"/>
        <w:rPr>
          <w:rFonts w:asciiTheme="minorHAnsi" w:hAnsiTheme="minorHAnsi" w:cstheme="minorHAnsi"/>
        </w:rPr>
      </w:pPr>
      <w:r w:rsidRPr="00085A1F">
        <w:rPr>
          <w:rStyle w:val="EndnoteReference"/>
          <w:rFonts w:asciiTheme="minorHAnsi" w:hAnsiTheme="minorHAnsi" w:cstheme="minorHAnsi"/>
        </w:rPr>
        <w:endnoteRef/>
      </w:r>
      <w:r w:rsidRPr="00085A1F">
        <w:rPr>
          <w:rFonts w:asciiTheme="minorHAnsi" w:hAnsiTheme="minorHAnsi" w:cstheme="minorHAnsi"/>
        </w:rPr>
        <w:t xml:space="preserve"> </w:t>
      </w:r>
      <w:r w:rsidRPr="00085A1F">
        <w:rPr>
          <w:rStyle w:val="BookTitle"/>
          <w:rFonts w:asciiTheme="minorHAnsi" w:hAnsiTheme="minorHAnsi" w:cstheme="minorHAnsi"/>
          <w:i w:val="0"/>
          <w:smallCaps w:val="0"/>
          <w:spacing w:val="0"/>
        </w:rPr>
        <w:t xml:space="preserve">Bromfield et al (2010) </w:t>
      </w:r>
      <w:r w:rsidRPr="00085A1F">
        <w:rPr>
          <w:rStyle w:val="BookTitle"/>
          <w:rFonts w:asciiTheme="minorHAnsi" w:hAnsiTheme="minorHAnsi" w:cstheme="minorHAnsi"/>
          <w:smallCaps w:val="0"/>
          <w:spacing w:val="0"/>
        </w:rPr>
        <w:t>Issues for the safety and wellbeing of children in families with multiple and complex problems: the co-occurrence of domestic violence, parental substance misuse, and mental health problems</w:t>
      </w:r>
      <w:r>
        <w:rPr>
          <w:rStyle w:val="BookTitle"/>
          <w:rFonts w:asciiTheme="minorHAnsi" w:hAnsiTheme="minorHAnsi" w:cstheme="minorHAnsi"/>
          <w:i w:val="0"/>
          <w:smallCaps w:val="0"/>
          <w:spacing w:val="0"/>
        </w:rPr>
        <w:t>,</w:t>
      </w:r>
      <w:r w:rsidRPr="00085A1F">
        <w:rPr>
          <w:rStyle w:val="BookTitle"/>
          <w:rFonts w:asciiTheme="minorHAnsi" w:hAnsiTheme="minorHAnsi" w:cstheme="minorHAnsi"/>
          <w:i w:val="0"/>
          <w:smallCaps w:val="0"/>
          <w:spacing w:val="0"/>
        </w:rPr>
        <w:t xml:space="preserve"> Melbourne</w:t>
      </w:r>
      <w:r w:rsidR="002C2E81">
        <w:rPr>
          <w:rStyle w:val="BookTitle"/>
          <w:rFonts w:asciiTheme="minorHAnsi" w:hAnsiTheme="minorHAnsi" w:cstheme="minorHAnsi"/>
          <w:i w:val="0"/>
          <w:smallCaps w:val="0"/>
          <w:spacing w:val="0"/>
        </w:rPr>
        <w:t>,</w:t>
      </w:r>
      <w:r w:rsidRPr="00085A1F">
        <w:rPr>
          <w:rStyle w:val="BookTitle"/>
          <w:rFonts w:asciiTheme="minorHAnsi" w:hAnsiTheme="minorHAnsi" w:cstheme="minorHAnsi"/>
          <w:i w:val="0"/>
          <w:smallCaps w:val="0"/>
          <w:spacing w:val="0"/>
        </w:rPr>
        <w:t xml:space="preserve"> </w:t>
      </w:r>
      <w:r w:rsidR="002C2E81">
        <w:rPr>
          <w:rStyle w:val="BookTitle"/>
          <w:rFonts w:asciiTheme="minorHAnsi" w:hAnsiTheme="minorHAnsi" w:cstheme="minorHAnsi"/>
          <w:i w:val="0"/>
          <w:smallCaps w:val="0"/>
          <w:spacing w:val="0"/>
        </w:rPr>
        <w:t xml:space="preserve">AIFS; and </w:t>
      </w:r>
      <w:r w:rsidRPr="00085A1F">
        <w:rPr>
          <w:rStyle w:val="BookTitle"/>
          <w:rFonts w:asciiTheme="minorHAnsi" w:hAnsiTheme="minorHAnsi" w:cstheme="minorHAnsi"/>
          <w:i w:val="0"/>
          <w:smallCaps w:val="0"/>
          <w:spacing w:val="0"/>
        </w:rPr>
        <w:t xml:space="preserve">AIFS and Sety, M (2011) </w:t>
      </w:r>
      <w:r w:rsidRPr="00085A1F">
        <w:rPr>
          <w:rStyle w:val="BookTitle"/>
          <w:rFonts w:asciiTheme="minorHAnsi" w:hAnsiTheme="minorHAnsi" w:cstheme="minorHAnsi"/>
          <w:smallCaps w:val="0"/>
          <w:spacing w:val="0"/>
        </w:rPr>
        <w:t>The impact of domestic violence on children: a literature review / report</w:t>
      </w:r>
      <w:r>
        <w:rPr>
          <w:rStyle w:val="BookTitle"/>
          <w:rFonts w:asciiTheme="minorHAnsi" w:hAnsiTheme="minorHAnsi" w:cstheme="minorHAnsi"/>
          <w:i w:val="0"/>
          <w:smallCaps w:val="0"/>
          <w:spacing w:val="0"/>
        </w:rPr>
        <w:t>,</w:t>
      </w:r>
      <w:r w:rsidRPr="00085A1F">
        <w:rPr>
          <w:rStyle w:val="BookTitle"/>
          <w:rFonts w:asciiTheme="minorHAnsi" w:hAnsiTheme="minorHAnsi" w:cstheme="minorHAnsi"/>
          <w:i w:val="0"/>
          <w:smallCaps w:val="0"/>
          <w:spacing w:val="0"/>
        </w:rPr>
        <w:t xml:space="preserve"> Sydney</w:t>
      </w:r>
      <w:r>
        <w:rPr>
          <w:rStyle w:val="BookTitle"/>
          <w:rFonts w:asciiTheme="minorHAnsi" w:hAnsiTheme="minorHAnsi" w:cstheme="minorHAnsi"/>
          <w:i w:val="0"/>
          <w:smallCaps w:val="0"/>
          <w:spacing w:val="0"/>
        </w:rPr>
        <w:t>,</w:t>
      </w:r>
      <w:r w:rsidRPr="00085A1F">
        <w:rPr>
          <w:rStyle w:val="BookTitle"/>
          <w:rFonts w:asciiTheme="minorHAnsi" w:hAnsiTheme="minorHAnsi" w:cstheme="minorHAnsi"/>
          <w:i w:val="0"/>
          <w:smallCaps w:val="0"/>
          <w:spacing w:val="0"/>
        </w:rPr>
        <w:t xml:space="preserve"> The Australian Domestic &amp; Family Violence Clearinghouse </w:t>
      </w:r>
    </w:p>
  </w:endnote>
  <w:endnote w:id="14">
    <w:p w14:paraId="299F7BB1" w14:textId="3828FC44" w:rsidR="00B45723" w:rsidRPr="00085A1F" w:rsidRDefault="00B45723" w:rsidP="00E70363">
      <w:pPr>
        <w:pStyle w:val="EndnoteText"/>
        <w:spacing w:before="120" w:after="120"/>
        <w:rPr>
          <w:rFonts w:asciiTheme="minorHAnsi" w:hAnsiTheme="minorHAnsi" w:cstheme="minorHAnsi"/>
        </w:rPr>
      </w:pPr>
      <w:r w:rsidRPr="00085A1F">
        <w:rPr>
          <w:rStyle w:val="EndnoteReference"/>
          <w:rFonts w:asciiTheme="minorHAnsi" w:hAnsiTheme="minorHAnsi" w:cstheme="minorHAnsi"/>
        </w:rPr>
        <w:endnoteRef/>
      </w:r>
      <w:r w:rsidRPr="00085A1F">
        <w:rPr>
          <w:rFonts w:asciiTheme="minorHAnsi" w:hAnsiTheme="minorHAnsi" w:cstheme="minorHAnsi"/>
        </w:rPr>
        <w:t xml:space="preserve"> </w:t>
      </w:r>
      <w:r w:rsidRPr="00085A1F">
        <w:rPr>
          <w:rStyle w:val="BookTitle"/>
          <w:rFonts w:asciiTheme="minorHAnsi" w:hAnsiTheme="minorHAnsi" w:cstheme="minorHAnsi"/>
          <w:i w:val="0"/>
          <w:smallCaps w:val="0"/>
          <w:spacing w:val="0"/>
        </w:rPr>
        <w:t>Cashmore</w:t>
      </w:r>
      <w:r>
        <w:rPr>
          <w:rStyle w:val="BookTitle"/>
          <w:rFonts w:asciiTheme="minorHAnsi" w:hAnsiTheme="minorHAnsi" w:cstheme="minorHAnsi"/>
          <w:i w:val="0"/>
          <w:smallCaps w:val="0"/>
          <w:spacing w:val="0"/>
        </w:rPr>
        <w:t>,</w:t>
      </w:r>
      <w:r w:rsidRPr="00085A1F">
        <w:rPr>
          <w:rStyle w:val="BookTitle"/>
          <w:rFonts w:asciiTheme="minorHAnsi" w:hAnsiTheme="minorHAnsi" w:cstheme="minorHAnsi"/>
          <w:i w:val="0"/>
          <w:smallCaps w:val="0"/>
          <w:spacing w:val="0"/>
        </w:rPr>
        <w:t xml:space="preserve"> J and Shackel</w:t>
      </w:r>
      <w:r>
        <w:rPr>
          <w:rStyle w:val="BookTitle"/>
          <w:rFonts w:asciiTheme="minorHAnsi" w:hAnsiTheme="minorHAnsi" w:cstheme="minorHAnsi"/>
          <w:i w:val="0"/>
          <w:smallCaps w:val="0"/>
          <w:spacing w:val="0"/>
        </w:rPr>
        <w:t>,</w:t>
      </w:r>
      <w:r w:rsidRPr="00085A1F">
        <w:rPr>
          <w:rStyle w:val="BookTitle"/>
          <w:rFonts w:asciiTheme="minorHAnsi" w:hAnsiTheme="minorHAnsi" w:cstheme="minorHAnsi"/>
          <w:i w:val="0"/>
          <w:smallCaps w:val="0"/>
          <w:spacing w:val="0"/>
        </w:rPr>
        <w:t xml:space="preserve"> R (2013) </w:t>
      </w:r>
      <w:r w:rsidRPr="00085A1F">
        <w:rPr>
          <w:rStyle w:val="BookTitle"/>
          <w:rFonts w:asciiTheme="minorHAnsi" w:hAnsiTheme="minorHAnsi" w:cstheme="minorHAnsi"/>
          <w:smallCaps w:val="0"/>
          <w:spacing w:val="0"/>
        </w:rPr>
        <w:t>The long-term effects of child sexual abuse</w:t>
      </w:r>
      <w:r w:rsidRPr="00085A1F">
        <w:rPr>
          <w:rStyle w:val="BookTitle"/>
          <w:rFonts w:asciiTheme="minorHAnsi" w:hAnsiTheme="minorHAnsi" w:cstheme="minorHAnsi"/>
          <w:i w:val="0"/>
          <w:smallCaps w:val="0"/>
          <w:spacing w:val="0"/>
        </w:rPr>
        <w:t xml:space="preserve">, CFCA accessed at: </w:t>
      </w:r>
      <w:hyperlink r:id="rId5" w:history="1">
        <w:r w:rsidRPr="00085A1F">
          <w:rPr>
            <w:rStyle w:val="Hyperlink"/>
            <w:rFonts w:asciiTheme="minorHAnsi" w:hAnsiTheme="minorHAnsi" w:cstheme="minorHAnsi"/>
            <w:spacing w:val="0"/>
            <w:sz w:val="20"/>
          </w:rPr>
          <w:t>https://aifs.gov.au/cfca/publications/long-term-effects-child-sexual-abuse</w:t>
        </w:r>
      </w:hyperlink>
      <w:r w:rsidRPr="00085A1F">
        <w:rPr>
          <w:rStyle w:val="BookTitle"/>
          <w:rFonts w:asciiTheme="minorHAnsi" w:hAnsiTheme="minorHAnsi" w:cstheme="minorHAnsi"/>
          <w:i w:val="0"/>
          <w:smallCaps w:val="0"/>
          <w:spacing w:val="0"/>
        </w:rPr>
        <w:t xml:space="preserve"> </w:t>
      </w:r>
    </w:p>
  </w:endnote>
  <w:endnote w:id="15">
    <w:p w14:paraId="66590758" w14:textId="3DC5B231" w:rsidR="00B45723" w:rsidRPr="00085A1F" w:rsidRDefault="00B45723" w:rsidP="00E70363">
      <w:pPr>
        <w:pStyle w:val="EndnoteText"/>
        <w:spacing w:before="120" w:after="120"/>
        <w:rPr>
          <w:rFonts w:asciiTheme="minorHAnsi" w:hAnsiTheme="minorHAnsi" w:cstheme="minorHAnsi"/>
          <w:i/>
        </w:rPr>
      </w:pPr>
      <w:r w:rsidRPr="00085A1F">
        <w:rPr>
          <w:rStyle w:val="EndnoteReference"/>
          <w:rFonts w:asciiTheme="minorHAnsi" w:hAnsiTheme="minorHAnsi" w:cstheme="minorHAnsi"/>
        </w:rPr>
        <w:endnoteRef/>
      </w:r>
      <w:r w:rsidRPr="00085A1F">
        <w:rPr>
          <w:rFonts w:asciiTheme="minorHAnsi" w:hAnsiTheme="minorHAnsi" w:cstheme="minorHAnsi"/>
        </w:rPr>
        <w:t xml:space="preserve"> </w:t>
      </w:r>
      <w:r w:rsidRPr="00085A1F">
        <w:rPr>
          <w:rStyle w:val="BookTitle"/>
          <w:rFonts w:asciiTheme="minorHAnsi" w:hAnsiTheme="minorHAnsi" w:cstheme="minorHAnsi"/>
          <w:i w:val="0"/>
          <w:smallCaps w:val="0"/>
          <w:spacing w:val="0"/>
        </w:rPr>
        <w:t>Cobb-Clark</w:t>
      </w:r>
      <w:r>
        <w:rPr>
          <w:rStyle w:val="BookTitle"/>
          <w:rFonts w:asciiTheme="minorHAnsi" w:hAnsiTheme="minorHAnsi" w:cstheme="minorHAnsi"/>
          <w:i w:val="0"/>
          <w:smallCaps w:val="0"/>
          <w:spacing w:val="0"/>
        </w:rPr>
        <w:t>,</w:t>
      </w:r>
      <w:r w:rsidRPr="00085A1F">
        <w:rPr>
          <w:rStyle w:val="BookTitle"/>
          <w:rFonts w:asciiTheme="minorHAnsi" w:hAnsiTheme="minorHAnsi" w:cstheme="minorHAnsi"/>
          <w:i w:val="0"/>
          <w:smallCaps w:val="0"/>
          <w:spacing w:val="0"/>
        </w:rPr>
        <w:t xml:space="preserve"> D and Zhu</w:t>
      </w:r>
      <w:r>
        <w:rPr>
          <w:rStyle w:val="BookTitle"/>
          <w:rFonts w:asciiTheme="minorHAnsi" w:hAnsiTheme="minorHAnsi" w:cstheme="minorHAnsi"/>
          <w:i w:val="0"/>
          <w:smallCaps w:val="0"/>
          <w:spacing w:val="0"/>
        </w:rPr>
        <w:t>,</w:t>
      </w:r>
      <w:r w:rsidRPr="00085A1F">
        <w:rPr>
          <w:rStyle w:val="BookTitle"/>
          <w:rFonts w:asciiTheme="minorHAnsi" w:hAnsiTheme="minorHAnsi" w:cstheme="minorHAnsi"/>
          <w:i w:val="0"/>
          <w:smallCaps w:val="0"/>
          <w:spacing w:val="0"/>
        </w:rPr>
        <w:t xml:space="preserve"> A (2017) Childhood homelessness and adult employment: the role of education, incarceration, and welfare receipt, </w:t>
      </w:r>
      <w:r w:rsidRPr="00085A1F">
        <w:rPr>
          <w:rStyle w:val="BookTitle"/>
          <w:rFonts w:asciiTheme="minorHAnsi" w:hAnsiTheme="minorHAnsi" w:cstheme="minorHAnsi"/>
          <w:smallCaps w:val="0"/>
          <w:spacing w:val="0"/>
        </w:rPr>
        <w:t xml:space="preserve">Journal of Population Economics </w:t>
      </w:r>
      <w:r w:rsidRPr="00085A1F">
        <w:rPr>
          <w:rStyle w:val="BookTitle"/>
          <w:rFonts w:asciiTheme="minorHAnsi" w:hAnsiTheme="minorHAnsi" w:cstheme="minorHAnsi"/>
          <w:i w:val="0"/>
          <w:smallCaps w:val="0"/>
          <w:spacing w:val="0"/>
        </w:rPr>
        <w:t>30 (3), 893-924</w:t>
      </w:r>
    </w:p>
  </w:endnote>
  <w:endnote w:id="16">
    <w:p w14:paraId="007BB734" w14:textId="4D25CFB0" w:rsidR="00B45723" w:rsidRPr="00085A1F" w:rsidRDefault="00B45723" w:rsidP="00E70363">
      <w:pPr>
        <w:pStyle w:val="EndnoteText"/>
        <w:spacing w:before="120" w:after="120"/>
        <w:rPr>
          <w:rFonts w:asciiTheme="minorHAnsi" w:hAnsiTheme="minorHAnsi" w:cstheme="minorHAnsi"/>
        </w:rPr>
      </w:pPr>
      <w:r w:rsidRPr="00085A1F">
        <w:rPr>
          <w:rStyle w:val="EndnoteReference"/>
          <w:rFonts w:asciiTheme="minorHAnsi" w:hAnsiTheme="minorHAnsi" w:cstheme="minorHAnsi"/>
        </w:rPr>
        <w:endnoteRef/>
      </w:r>
      <w:r w:rsidRPr="00085A1F">
        <w:rPr>
          <w:rFonts w:asciiTheme="minorHAnsi" w:hAnsiTheme="minorHAnsi" w:cstheme="minorHAnsi"/>
        </w:rPr>
        <w:t xml:space="preserve"> </w:t>
      </w:r>
      <w:r w:rsidRPr="00085A1F">
        <w:rPr>
          <w:rStyle w:val="BookTitle"/>
          <w:rFonts w:asciiTheme="minorHAnsi" w:hAnsiTheme="minorHAnsi" w:cstheme="minorHAnsi"/>
          <w:i w:val="0"/>
          <w:smallCaps w:val="0"/>
          <w:spacing w:val="0"/>
        </w:rPr>
        <w:t>McCain</w:t>
      </w:r>
      <w:r w:rsidR="002C2E81">
        <w:rPr>
          <w:rStyle w:val="BookTitle"/>
          <w:rFonts w:asciiTheme="minorHAnsi" w:hAnsiTheme="minorHAnsi" w:cstheme="minorHAnsi"/>
          <w:i w:val="0"/>
          <w:smallCaps w:val="0"/>
          <w:spacing w:val="0"/>
        </w:rPr>
        <w:t>,</w:t>
      </w:r>
      <w:r w:rsidRPr="00085A1F">
        <w:rPr>
          <w:rStyle w:val="BookTitle"/>
          <w:rFonts w:asciiTheme="minorHAnsi" w:hAnsiTheme="minorHAnsi" w:cstheme="minorHAnsi"/>
          <w:i w:val="0"/>
          <w:smallCaps w:val="0"/>
          <w:spacing w:val="0"/>
        </w:rPr>
        <w:t xml:space="preserve"> M</w:t>
      </w:r>
      <w:r w:rsidR="002C2E81">
        <w:rPr>
          <w:rStyle w:val="BookTitle"/>
          <w:rFonts w:asciiTheme="minorHAnsi" w:hAnsiTheme="minorHAnsi" w:cstheme="minorHAnsi"/>
          <w:i w:val="0"/>
          <w:smallCaps w:val="0"/>
          <w:spacing w:val="0"/>
        </w:rPr>
        <w:t>.</w:t>
      </w:r>
      <w:r w:rsidRPr="00085A1F">
        <w:rPr>
          <w:rStyle w:val="BookTitle"/>
          <w:rFonts w:asciiTheme="minorHAnsi" w:hAnsiTheme="minorHAnsi" w:cstheme="minorHAnsi"/>
          <w:i w:val="0"/>
          <w:smallCaps w:val="0"/>
          <w:spacing w:val="0"/>
        </w:rPr>
        <w:t xml:space="preserve"> Mustard</w:t>
      </w:r>
      <w:r w:rsidR="002C2E81">
        <w:rPr>
          <w:rStyle w:val="BookTitle"/>
          <w:rFonts w:asciiTheme="minorHAnsi" w:hAnsiTheme="minorHAnsi" w:cstheme="minorHAnsi"/>
          <w:i w:val="0"/>
          <w:smallCaps w:val="0"/>
          <w:spacing w:val="0"/>
        </w:rPr>
        <w:t>,</w:t>
      </w:r>
      <w:r w:rsidRPr="00085A1F">
        <w:rPr>
          <w:rStyle w:val="BookTitle"/>
          <w:rFonts w:asciiTheme="minorHAnsi" w:hAnsiTheme="minorHAnsi" w:cstheme="minorHAnsi"/>
          <w:i w:val="0"/>
          <w:smallCaps w:val="0"/>
          <w:spacing w:val="0"/>
        </w:rPr>
        <w:t xml:space="preserve"> F</w:t>
      </w:r>
      <w:r w:rsidR="002C2E81">
        <w:rPr>
          <w:rStyle w:val="BookTitle"/>
          <w:rFonts w:asciiTheme="minorHAnsi" w:hAnsiTheme="minorHAnsi" w:cstheme="minorHAnsi"/>
          <w:i w:val="0"/>
          <w:smallCaps w:val="0"/>
          <w:spacing w:val="0"/>
        </w:rPr>
        <w:t>.</w:t>
      </w:r>
      <w:r w:rsidRPr="00085A1F">
        <w:rPr>
          <w:rStyle w:val="BookTitle"/>
          <w:rFonts w:asciiTheme="minorHAnsi" w:hAnsiTheme="minorHAnsi" w:cstheme="minorHAnsi"/>
          <w:i w:val="0"/>
          <w:smallCaps w:val="0"/>
          <w:spacing w:val="0"/>
        </w:rPr>
        <w:t xml:space="preserve"> and Shankar</w:t>
      </w:r>
      <w:r w:rsidR="002C2E81">
        <w:rPr>
          <w:rStyle w:val="BookTitle"/>
          <w:rFonts w:asciiTheme="minorHAnsi" w:hAnsiTheme="minorHAnsi" w:cstheme="minorHAnsi"/>
          <w:i w:val="0"/>
          <w:smallCaps w:val="0"/>
          <w:spacing w:val="0"/>
        </w:rPr>
        <w:t>,</w:t>
      </w:r>
      <w:r w:rsidRPr="00085A1F">
        <w:rPr>
          <w:rStyle w:val="BookTitle"/>
          <w:rFonts w:asciiTheme="minorHAnsi" w:hAnsiTheme="minorHAnsi" w:cstheme="minorHAnsi"/>
          <w:i w:val="0"/>
          <w:smallCaps w:val="0"/>
          <w:spacing w:val="0"/>
        </w:rPr>
        <w:t xml:space="preserve"> S</w:t>
      </w:r>
      <w:r w:rsidR="002C2E81">
        <w:rPr>
          <w:rStyle w:val="BookTitle"/>
          <w:rFonts w:asciiTheme="minorHAnsi" w:hAnsiTheme="minorHAnsi" w:cstheme="minorHAnsi"/>
          <w:i w:val="0"/>
          <w:smallCaps w:val="0"/>
          <w:spacing w:val="0"/>
        </w:rPr>
        <w:t>.</w:t>
      </w:r>
      <w:r w:rsidRPr="00085A1F">
        <w:rPr>
          <w:rStyle w:val="BookTitle"/>
          <w:rFonts w:asciiTheme="minorHAnsi" w:hAnsiTheme="minorHAnsi" w:cstheme="minorHAnsi"/>
          <w:i w:val="0"/>
          <w:smallCaps w:val="0"/>
          <w:spacing w:val="0"/>
        </w:rPr>
        <w:t xml:space="preserve"> (2007) </w:t>
      </w:r>
      <w:r w:rsidRPr="00085A1F">
        <w:rPr>
          <w:rStyle w:val="BookTitle"/>
          <w:rFonts w:asciiTheme="minorHAnsi" w:hAnsiTheme="minorHAnsi" w:cstheme="minorHAnsi"/>
          <w:smallCaps w:val="0"/>
          <w:spacing w:val="0"/>
        </w:rPr>
        <w:t>Early years Study 2: Putting Science into Action</w:t>
      </w:r>
      <w:r w:rsidR="002C2E81">
        <w:rPr>
          <w:rStyle w:val="BookTitle"/>
          <w:rFonts w:asciiTheme="minorHAnsi" w:hAnsiTheme="minorHAnsi" w:cstheme="minorHAnsi"/>
          <w:smallCaps w:val="0"/>
          <w:spacing w:val="0"/>
        </w:rPr>
        <w:t>,</w:t>
      </w:r>
      <w:r w:rsidRPr="00085A1F">
        <w:rPr>
          <w:rStyle w:val="BookTitle"/>
          <w:rFonts w:asciiTheme="minorHAnsi" w:hAnsiTheme="minorHAnsi" w:cstheme="minorHAnsi"/>
          <w:i w:val="0"/>
          <w:smallCaps w:val="0"/>
          <w:spacing w:val="0"/>
        </w:rPr>
        <w:t xml:space="preserve"> Toronto, Council for Early Child Development</w:t>
      </w:r>
    </w:p>
  </w:endnote>
  <w:endnote w:id="17">
    <w:p w14:paraId="252FFF83" w14:textId="77777777" w:rsidR="00B45723" w:rsidRPr="00085A1F" w:rsidRDefault="00B45723" w:rsidP="00E70363">
      <w:pPr>
        <w:pStyle w:val="EndnoteText"/>
        <w:spacing w:before="120" w:after="120"/>
        <w:rPr>
          <w:rFonts w:asciiTheme="minorHAnsi" w:hAnsiTheme="minorHAnsi" w:cstheme="minorHAnsi"/>
        </w:rPr>
      </w:pPr>
      <w:r w:rsidRPr="00085A1F">
        <w:rPr>
          <w:rStyle w:val="EndnoteReference"/>
          <w:rFonts w:asciiTheme="minorHAnsi" w:hAnsiTheme="minorHAnsi" w:cstheme="minorHAnsi"/>
        </w:rPr>
        <w:endnoteRef/>
      </w:r>
      <w:r w:rsidRPr="00085A1F">
        <w:rPr>
          <w:rFonts w:asciiTheme="minorHAnsi" w:hAnsiTheme="minorHAnsi" w:cstheme="minorHAnsi"/>
        </w:rPr>
        <w:t xml:space="preserve">Commonwealth of Australia (2016) </w:t>
      </w:r>
      <w:r w:rsidRPr="00085A1F">
        <w:rPr>
          <w:rFonts w:asciiTheme="minorHAnsi" w:hAnsiTheme="minorHAnsi" w:cstheme="minorHAnsi"/>
          <w:i/>
        </w:rPr>
        <w:t>National Plan to Reduce Violence against Women and their Children: Third Action Plan 2016-2019: Women with disability</w:t>
      </w:r>
      <w:r w:rsidRPr="00085A1F">
        <w:rPr>
          <w:rFonts w:asciiTheme="minorHAnsi" w:hAnsiTheme="minorHAnsi" w:cstheme="minorHAnsi"/>
        </w:rPr>
        <w:t>,</w:t>
      </w:r>
      <w:r w:rsidRPr="00085A1F">
        <w:rPr>
          <w:rFonts w:asciiTheme="minorHAnsi" w:hAnsiTheme="minorHAnsi" w:cstheme="minorHAnsi"/>
          <w:i/>
        </w:rPr>
        <w:t xml:space="preserve"> </w:t>
      </w:r>
      <w:r w:rsidRPr="00085A1F">
        <w:rPr>
          <w:rFonts w:asciiTheme="minorHAnsi" w:hAnsiTheme="minorHAnsi" w:cstheme="minorHAnsi"/>
        </w:rPr>
        <w:t>Commonwealth of Australia accessed at: </w:t>
      </w:r>
      <w:hyperlink r:id="rId6" w:history="1">
        <w:r w:rsidRPr="00085A1F">
          <w:rPr>
            <w:rStyle w:val="Hyperlink"/>
            <w:rFonts w:asciiTheme="minorHAnsi" w:hAnsiTheme="minorHAnsi" w:cstheme="minorHAnsi"/>
            <w:sz w:val="20"/>
          </w:rPr>
          <w:t>https://www.dss.gov.au/sites/default/files/documents/10_2016/fact_sheet_on_how_the_third_action_plan_supports_women_with_disability.pdf</w:t>
        </w:r>
      </w:hyperlink>
    </w:p>
  </w:endnote>
  <w:endnote w:id="18">
    <w:p w14:paraId="3D6A1238" w14:textId="0031273E" w:rsidR="00B45723" w:rsidRPr="00085A1F" w:rsidRDefault="00B45723" w:rsidP="00E70363">
      <w:pPr>
        <w:pStyle w:val="EndnoteText"/>
        <w:spacing w:before="120" w:after="120"/>
        <w:rPr>
          <w:rFonts w:asciiTheme="minorHAnsi" w:hAnsiTheme="minorHAnsi" w:cstheme="minorHAnsi"/>
        </w:rPr>
      </w:pPr>
      <w:r w:rsidRPr="00085A1F">
        <w:rPr>
          <w:rStyle w:val="EndnoteReference"/>
          <w:rFonts w:asciiTheme="minorHAnsi" w:hAnsiTheme="minorHAnsi" w:cstheme="minorHAnsi"/>
        </w:rPr>
        <w:endnoteRef/>
      </w:r>
      <w:r w:rsidRPr="00085A1F">
        <w:rPr>
          <w:rFonts w:asciiTheme="minorHAnsi" w:hAnsiTheme="minorHAnsi" w:cstheme="minorHAnsi"/>
        </w:rPr>
        <w:t xml:space="preserve"> </w:t>
      </w:r>
      <w:r w:rsidRPr="00085A1F">
        <w:rPr>
          <w:rStyle w:val="BookTitle"/>
          <w:rFonts w:asciiTheme="minorHAnsi" w:hAnsiTheme="minorHAnsi" w:cstheme="minorHAnsi"/>
          <w:i w:val="0"/>
          <w:smallCaps w:val="0"/>
          <w:spacing w:val="0"/>
        </w:rPr>
        <w:t>Suhrcke</w:t>
      </w:r>
      <w:r w:rsidR="002C2E81">
        <w:rPr>
          <w:rStyle w:val="BookTitle"/>
          <w:rFonts w:asciiTheme="minorHAnsi" w:hAnsiTheme="minorHAnsi" w:cstheme="minorHAnsi"/>
          <w:i w:val="0"/>
          <w:smallCaps w:val="0"/>
          <w:spacing w:val="0"/>
        </w:rPr>
        <w:t>,</w:t>
      </w:r>
      <w:r w:rsidRPr="00085A1F">
        <w:rPr>
          <w:rStyle w:val="BookTitle"/>
          <w:rFonts w:asciiTheme="minorHAnsi" w:hAnsiTheme="minorHAnsi" w:cstheme="minorHAnsi"/>
          <w:i w:val="0"/>
          <w:smallCaps w:val="0"/>
          <w:spacing w:val="0"/>
        </w:rPr>
        <w:t xml:space="preserve"> M. and Nieves</w:t>
      </w:r>
      <w:r w:rsidR="002C2E81">
        <w:rPr>
          <w:rStyle w:val="BookTitle"/>
          <w:rFonts w:asciiTheme="minorHAnsi" w:hAnsiTheme="minorHAnsi" w:cstheme="minorHAnsi"/>
          <w:i w:val="0"/>
          <w:smallCaps w:val="0"/>
          <w:spacing w:val="0"/>
        </w:rPr>
        <w:t>,</w:t>
      </w:r>
      <w:r w:rsidRPr="00085A1F">
        <w:rPr>
          <w:rStyle w:val="BookTitle"/>
          <w:rFonts w:asciiTheme="minorHAnsi" w:hAnsiTheme="minorHAnsi" w:cstheme="minorHAnsi"/>
          <w:i w:val="0"/>
          <w:smallCaps w:val="0"/>
          <w:spacing w:val="0"/>
        </w:rPr>
        <w:t xml:space="preserve"> C. (2011) </w:t>
      </w:r>
      <w:r w:rsidRPr="00085A1F">
        <w:rPr>
          <w:rStyle w:val="BookTitle"/>
          <w:rFonts w:asciiTheme="minorHAnsi" w:hAnsiTheme="minorHAnsi" w:cstheme="minorHAnsi"/>
          <w:smallCaps w:val="0"/>
          <w:spacing w:val="0"/>
        </w:rPr>
        <w:t>The impact of health and health behaviours on educational outcomes in high-income countries: a review of the evidence</w:t>
      </w:r>
      <w:r w:rsidRPr="00085A1F">
        <w:rPr>
          <w:rStyle w:val="BookTitle"/>
          <w:rFonts w:asciiTheme="minorHAnsi" w:hAnsiTheme="minorHAnsi" w:cstheme="minorHAnsi"/>
          <w:i w:val="0"/>
          <w:smallCaps w:val="0"/>
          <w:spacing w:val="0"/>
        </w:rPr>
        <w:t xml:space="preserve"> accessed at: </w:t>
      </w:r>
      <w:hyperlink r:id="rId7" w:history="1">
        <w:r w:rsidRPr="00085A1F">
          <w:rPr>
            <w:rStyle w:val="Hyperlink"/>
            <w:rFonts w:asciiTheme="minorHAnsi" w:hAnsiTheme="minorHAnsi" w:cstheme="minorHAnsi"/>
            <w:spacing w:val="0"/>
            <w:sz w:val="20"/>
          </w:rPr>
          <w:t>http://www.euro.who.int/en/publications/abstracts/impact-of-health-and-health-behaviours-on-educational-outcomes-in-high-income-countries-the-a-review-of-the-evidence</w:t>
        </w:r>
      </w:hyperlink>
      <w:r w:rsidRPr="00085A1F">
        <w:rPr>
          <w:rStyle w:val="BookTitle"/>
          <w:rFonts w:asciiTheme="minorHAnsi" w:hAnsiTheme="minorHAnsi" w:cstheme="minorHAnsi"/>
          <w:i w:val="0"/>
          <w:smallCaps w:val="0"/>
          <w:spacing w:val="0"/>
        </w:rPr>
        <w:t xml:space="preserve"> </w:t>
      </w:r>
    </w:p>
  </w:endnote>
  <w:endnote w:id="19">
    <w:p w14:paraId="2949B437" w14:textId="3BC9C760" w:rsidR="00B45723" w:rsidRPr="00085A1F" w:rsidRDefault="00B45723" w:rsidP="00E70363">
      <w:pPr>
        <w:pStyle w:val="EndnoteText"/>
        <w:spacing w:before="120" w:after="120"/>
        <w:rPr>
          <w:rFonts w:asciiTheme="minorHAnsi" w:hAnsiTheme="minorHAnsi" w:cstheme="minorHAnsi"/>
        </w:rPr>
      </w:pPr>
      <w:r w:rsidRPr="00085A1F">
        <w:rPr>
          <w:rStyle w:val="EndnoteReference"/>
          <w:rFonts w:asciiTheme="minorHAnsi" w:hAnsiTheme="minorHAnsi" w:cstheme="minorHAnsi"/>
        </w:rPr>
        <w:endnoteRef/>
      </w:r>
      <w:r w:rsidRPr="00085A1F">
        <w:rPr>
          <w:rFonts w:asciiTheme="minorHAnsi" w:hAnsiTheme="minorHAnsi" w:cstheme="minorHAnsi"/>
        </w:rPr>
        <w:t xml:space="preserve"> </w:t>
      </w:r>
      <w:r w:rsidRPr="00085A1F">
        <w:rPr>
          <w:rStyle w:val="BookTitle"/>
          <w:rFonts w:asciiTheme="minorHAnsi" w:hAnsiTheme="minorHAnsi" w:cstheme="minorHAnsi"/>
          <w:i w:val="0"/>
          <w:smallCaps w:val="0"/>
          <w:spacing w:val="0"/>
        </w:rPr>
        <w:t>Evans</w:t>
      </w:r>
      <w:r w:rsidR="002C2E81">
        <w:rPr>
          <w:rStyle w:val="BookTitle"/>
          <w:rFonts w:asciiTheme="minorHAnsi" w:hAnsiTheme="minorHAnsi" w:cstheme="minorHAnsi"/>
          <w:i w:val="0"/>
          <w:smallCaps w:val="0"/>
          <w:spacing w:val="0"/>
        </w:rPr>
        <w:t>,</w:t>
      </w:r>
      <w:r w:rsidRPr="00085A1F">
        <w:rPr>
          <w:rStyle w:val="BookTitle"/>
          <w:rFonts w:asciiTheme="minorHAnsi" w:hAnsiTheme="minorHAnsi" w:cstheme="minorHAnsi"/>
          <w:i w:val="0"/>
          <w:smallCaps w:val="0"/>
          <w:spacing w:val="0"/>
        </w:rPr>
        <w:t xml:space="preserve"> G. and Kim</w:t>
      </w:r>
      <w:r w:rsidR="002C2E81">
        <w:rPr>
          <w:rStyle w:val="BookTitle"/>
          <w:rFonts w:asciiTheme="minorHAnsi" w:hAnsiTheme="minorHAnsi" w:cstheme="minorHAnsi"/>
          <w:i w:val="0"/>
          <w:smallCaps w:val="0"/>
          <w:spacing w:val="0"/>
        </w:rPr>
        <w:t>,</w:t>
      </w:r>
      <w:r w:rsidRPr="00085A1F">
        <w:rPr>
          <w:rStyle w:val="BookTitle"/>
          <w:rFonts w:asciiTheme="minorHAnsi" w:hAnsiTheme="minorHAnsi" w:cstheme="minorHAnsi"/>
          <w:i w:val="0"/>
          <w:smallCaps w:val="0"/>
          <w:spacing w:val="0"/>
        </w:rPr>
        <w:t xml:space="preserve"> P. (2013) Childhood Poverty, Chronic Stress, Self-regulation, and Coping, </w:t>
      </w:r>
      <w:r w:rsidRPr="00085A1F">
        <w:rPr>
          <w:rStyle w:val="BookTitle"/>
          <w:rFonts w:asciiTheme="minorHAnsi" w:hAnsiTheme="minorHAnsi" w:cstheme="minorHAnsi"/>
          <w:smallCaps w:val="0"/>
          <w:spacing w:val="0"/>
        </w:rPr>
        <w:t>Child Development Perspectives</w:t>
      </w:r>
      <w:r w:rsidRPr="00085A1F">
        <w:rPr>
          <w:rStyle w:val="BookTitle"/>
          <w:rFonts w:asciiTheme="minorHAnsi" w:hAnsiTheme="minorHAnsi" w:cstheme="minorHAnsi"/>
          <w:i w:val="0"/>
          <w:smallCaps w:val="0"/>
          <w:spacing w:val="0"/>
        </w:rPr>
        <w:t xml:space="preserve"> v.7 i1; McEwen</w:t>
      </w:r>
      <w:r w:rsidR="002C2E81">
        <w:rPr>
          <w:rStyle w:val="BookTitle"/>
          <w:rFonts w:asciiTheme="minorHAnsi" w:hAnsiTheme="minorHAnsi" w:cstheme="minorHAnsi"/>
          <w:i w:val="0"/>
          <w:smallCaps w:val="0"/>
          <w:spacing w:val="0"/>
        </w:rPr>
        <w:t>,</w:t>
      </w:r>
      <w:r w:rsidRPr="00085A1F">
        <w:rPr>
          <w:rStyle w:val="BookTitle"/>
          <w:rFonts w:asciiTheme="minorHAnsi" w:hAnsiTheme="minorHAnsi" w:cstheme="minorHAnsi"/>
          <w:i w:val="0"/>
          <w:smallCaps w:val="0"/>
          <w:spacing w:val="0"/>
        </w:rPr>
        <w:t xml:space="preserve"> BS. (2012) Brain on stress: how the social environment gets under the skin, </w:t>
      </w:r>
      <w:r w:rsidRPr="00085A1F">
        <w:rPr>
          <w:rStyle w:val="BookTitle"/>
          <w:rFonts w:asciiTheme="minorHAnsi" w:hAnsiTheme="minorHAnsi" w:cstheme="minorHAnsi"/>
          <w:smallCaps w:val="0"/>
          <w:spacing w:val="0"/>
        </w:rPr>
        <w:t>Proceedings of the National Academy of Science USA</w:t>
      </w:r>
      <w:r w:rsidRPr="00085A1F">
        <w:rPr>
          <w:rStyle w:val="BookTitle"/>
          <w:rFonts w:asciiTheme="minorHAnsi" w:hAnsiTheme="minorHAnsi" w:cstheme="minorHAnsi"/>
          <w:i w:val="0"/>
          <w:smallCaps w:val="0"/>
          <w:spacing w:val="0"/>
        </w:rPr>
        <w:t xml:space="preserve">; and Seeman et al (2010) Modeling multisystem biological risk in young adults: The Coronary Artery Risk Development in Young Adults Study, </w:t>
      </w:r>
      <w:r w:rsidRPr="00085A1F">
        <w:rPr>
          <w:rStyle w:val="BookTitle"/>
          <w:rFonts w:asciiTheme="minorHAnsi" w:hAnsiTheme="minorHAnsi" w:cstheme="minorHAnsi"/>
          <w:smallCaps w:val="0"/>
          <w:spacing w:val="0"/>
        </w:rPr>
        <w:t xml:space="preserve">American Journal of Human Biology, </w:t>
      </w:r>
      <w:r w:rsidRPr="002C2E81">
        <w:rPr>
          <w:rStyle w:val="BookTitle"/>
          <w:rFonts w:asciiTheme="minorHAnsi" w:hAnsiTheme="minorHAnsi" w:cstheme="minorHAnsi"/>
          <w:i w:val="0"/>
          <w:smallCaps w:val="0"/>
          <w:spacing w:val="0"/>
        </w:rPr>
        <w:t>22(4): 463-72</w:t>
      </w:r>
      <w:r w:rsidRPr="00085A1F">
        <w:rPr>
          <w:rStyle w:val="BookTitle"/>
          <w:rFonts w:asciiTheme="minorHAnsi" w:hAnsiTheme="minorHAnsi" w:cstheme="minorHAnsi"/>
          <w:i w:val="0"/>
          <w:smallCaps w:val="0"/>
          <w:spacing w:val="0"/>
        </w:rPr>
        <w:t xml:space="preserve"> </w:t>
      </w:r>
    </w:p>
  </w:endnote>
  <w:endnote w:id="20">
    <w:p w14:paraId="2D607979" w14:textId="30FC0C63" w:rsidR="00B45723" w:rsidRPr="00085A1F" w:rsidRDefault="00B45723" w:rsidP="006636D3">
      <w:pPr>
        <w:pStyle w:val="EndnoteText"/>
        <w:spacing w:before="120" w:after="120"/>
        <w:rPr>
          <w:rFonts w:asciiTheme="minorHAnsi" w:hAnsiTheme="minorHAnsi" w:cstheme="minorHAnsi"/>
        </w:rPr>
      </w:pPr>
      <w:r w:rsidRPr="00085A1F">
        <w:rPr>
          <w:rStyle w:val="EndnoteReference"/>
          <w:rFonts w:asciiTheme="minorHAnsi" w:hAnsiTheme="minorHAnsi" w:cstheme="minorHAnsi"/>
        </w:rPr>
        <w:endnoteRef/>
      </w:r>
      <w:r w:rsidRPr="00085A1F">
        <w:rPr>
          <w:rFonts w:asciiTheme="minorHAnsi" w:hAnsiTheme="minorHAnsi" w:cstheme="minorHAnsi"/>
        </w:rPr>
        <w:t xml:space="preserve"> ABS (2016)</w:t>
      </w:r>
      <w:r w:rsidRPr="00085A1F">
        <w:rPr>
          <w:rFonts w:asciiTheme="minorHAnsi" w:hAnsiTheme="minorHAnsi" w:cstheme="minorHAnsi"/>
          <w:i/>
        </w:rPr>
        <w:t xml:space="preserve"> Personal Safety Survey 2016</w:t>
      </w:r>
      <w:r w:rsidR="002C2E81">
        <w:rPr>
          <w:rFonts w:asciiTheme="minorHAnsi" w:hAnsiTheme="minorHAnsi" w:cstheme="minorHAnsi"/>
          <w:i/>
        </w:rPr>
        <w:t>,</w:t>
      </w:r>
      <w:r w:rsidRPr="00085A1F">
        <w:rPr>
          <w:rFonts w:asciiTheme="minorHAnsi" w:hAnsiTheme="minorHAnsi" w:cstheme="minorHAnsi"/>
        </w:rPr>
        <w:t xml:space="preserve"> Commonwealth of Australia accessed at:</w:t>
      </w:r>
      <w:r w:rsidRPr="00085A1F">
        <w:rPr>
          <w:rFonts w:asciiTheme="minorHAnsi" w:hAnsiTheme="minorHAnsi" w:cstheme="minorHAnsi"/>
          <w:i/>
        </w:rPr>
        <w:t xml:space="preserve"> </w:t>
      </w:r>
      <w:hyperlink r:id="rId8" w:history="1">
        <w:r w:rsidRPr="00085A1F">
          <w:rPr>
            <w:rStyle w:val="Hyperlink"/>
            <w:rFonts w:asciiTheme="minorHAnsi" w:hAnsiTheme="minorHAnsi" w:cstheme="minorHAnsi"/>
            <w:sz w:val="20"/>
          </w:rPr>
          <w:t>http://www.abs.gov.au/ausstats/abs@.nsf/mf/4906.0</w:t>
        </w:r>
      </w:hyperlink>
      <w:r w:rsidRPr="00085A1F">
        <w:rPr>
          <w:rFonts w:asciiTheme="minorHAnsi" w:hAnsiTheme="minorHAnsi" w:cstheme="minorHAnsi"/>
        </w:rPr>
        <w:t xml:space="preserve"> </w:t>
      </w:r>
    </w:p>
  </w:endnote>
  <w:endnote w:id="21">
    <w:p w14:paraId="7A213720" w14:textId="36C06FA2" w:rsidR="00B45723" w:rsidRPr="00085A1F" w:rsidRDefault="00B45723" w:rsidP="00557281">
      <w:pPr>
        <w:pStyle w:val="EndnoteText"/>
        <w:spacing w:before="120" w:after="120"/>
        <w:rPr>
          <w:rFonts w:asciiTheme="minorHAnsi" w:hAnsiTheme="minorHAnsi" w:cstheme="minorHAnsi"/>
          <w:smallCaps/>
        </w:rPr>
      </w:pPr>
      <w:r w:rsidRPr="00085A1F">
        <w:rPr>
          <w:rStyle w:val="EndnoteReference"/>
          <w:rFonts w:asciiTheme="minorHAnsi" w:hAnsiTheme="minorHAnsi" w:cstheme="minorHAnsi"/>
        </w:rPr>
        <w:endnoteRef/>
      </w:r>
      <w:r w:rsidRPr="00085A1F">
        <w:rPr>
          <w:rFonts w:asciiTheme="minorHAnsi" w:hAnsiTheme="minorHAnsi" w:cstheme="minorHAnsi"/>
        </w:rPr>
        <w:t xml:space="preserve"> Kaspiew et</w:t>
      </w:r>
      <w:r w:rsidR="002C2E81">
        <w:rPr>
          <w:rFonts w:asciiTheme="minorHAnsi" w:hAnsiTheme="minorHAnsi" w:cstheme="minorHAnsi"/>
        </w:rPr>
        <w:t xml:space="preserve"> al</w:t>
      </w:r>
      <w:r w:rsidRPr="00085A1F">
        <w:rPr>
          <w:rFonts w:asciiTheme="minorHAnsi" w:hAnsiTheme="minorHAnsi" w:cstheme="minorHAnsi"/>
        </w:rPr>
        <w:t xml:space="preserve"> (2011) The </w:t>
      </w:r>
      <w:r w:rsidRPr="00085A1F">
        <w:rPr>
          <w:rStyle w:val="BookTitle"/>
          <w:rFonts w:asciiTheme="minorHAnsi" w:hAnsiTheme="minorHAnsi" w:cstheme="minorHAnsi"/>
          <w:i w:val="0"/>
          <w:smallCaps w:val="0"/>
          <w:spacing w:val="0"/>
        </w:rPr>
        <w:t xml:space="preserve">AIFS Evaluation of the 2006 family law reforms, </w:t>
      </w:r>
      <w:r w:rsidRPr="00085A1F">
        <w:rPr>
          <w:rStyle w:val="BookTitle"/>
          <w:rFonts w:asciiTheme="minorHAnsi" w:hAnsiTheme="minorHAnsi" w:cstheme="minorHAnsi"/>
          <w:smallCaps w:val="0"/>
          <w:spacing w:val="0"/>
        </w:rPr>
        <w:t>Family Matters</w:t>
      </w:r>
      <w:r w:rsidRPr="00085A1F">
        <w:rPr>
          <w:rStyle w:val="BookTitle"/>
          <w:rFonts w:asciiTheme="minorHAnsi" w:hAnsiTheme="minorHAnsi" w:cstheme="minorHAnsi"/>
          <w:i w:val="0"/>
          <w:smallCaps w:val="0"/>
          <w:spacing w:val="0"/>
        </w:rPr>
        <w:t xml:space="preserve"> ed. 86</w:t>
      </w:r>
    </w:p>
  </w:endnote>
  <w:endnote w:id="22">
    <w:p w14:paraId="0630B89C" w14:textId="305763D4" w:rsidR="00B45723" w:rsidRPr="00085A1F" w:rsidRDefault="00B45723" w:rsidP="00557281">
      <w:pPr>
        <w:pStyle w:val="CommentText"/>
        <w:spacing w:after="120"/>
        <w:rPr>
          <w:rFonts w:asciiTheme="minorHAnsi" w:hAnsiTheme="minorHAnsi" w:cstheme="minorHAnsi"/>
        </w:rPr>
      </w:pPr>
      <w:r w:rsidRPr="00085A1F">
        <w:rPr>
          <w:rStyle w:val="EndnoteReference"/>
          <w:rFonts w:asciiTheme="minorHAnsi" w:hAnsiTheme="minorHAnsi" w:cstheme="minorHAnsi"/>
        </w:rPr>
        <w:endnoteRef/>
      </w:r>
      <w:r w:rsidRPr="00085A1F">
        <w:rPr>
          <w:rFonts w:asciiTheme="minorHAnsi" w:hAnsiTheme="minorHAnsi" w:cstheme="minorHAnsi"/>
        </w:rPr>
        <w:t xml:space="preserve"> </w:t>
      </w:r>
      <w:r w:rsidRPr="002C2E81">
        <w:rPr>
          <w:rFonts w:asciiTheme="minorHAnsi" w:hAnsiTheme="minorHAnsi" w:cstheme="minorHAnsi"/>
        </w:rPr>
        <w:t>O’Leary, P</w:t>
      </w:r>
      <w:r w:rsidR="002C2E81" w:rsidRPr="002C2E81">
        <w:rPr>
          <w:rFonts w:asciiTheme="minorHAnsi" w:hAnsiTheme="minorHAnsi" w:cstheme="minorHAnsi"/>
        </w:rPr>
        <w:t>.</w:t>
      </w:r>
      <w:r w:rsidR="00DA78B0">
        <w:rPr>
          <w:rFonts w:asciiTheme="minorHAnsi" w:hAnsiTheme="minorHAnsi" w:cstheme="minorHAnsi"/>
        </w:rPr>
        <w:t>,</w:t>
      </w:r>
      <w:r w:rsidR="002C2E81" w:rsidRPr="002C2E81">
        <w:rPr>
          <w:rFonts w:asciiTheme="minorHAnsi" w:hAnsiTheme="minorHAnsi" w:cstheme="minorHAnsi"/>
        </w:rPr>
        <w:t xml:space="preserve"> Koh, E.</w:t>
      </w:r>
      <w:r w:rsidR="00DA78B0">
        <w:rPr>
          <w:rFonts w:asciiTheme="minorHAnsi" w:hAnsiTheme="minorHAnsi" w:cstheme="minorHAnsi"/>
        </w:rPr>
        <w:t xml:space="preserve"> and</w:t>
      </w:r>
      <w:r w:rsidRPr="002C2E81">
        <w:rPr>
          <w:rFonts w:asciiTheme="minorHAnsi" w:hAnsiTheme="minorHAnsi" w:cstheme="minorHAnsi"/>
        </w:rPr>
        <w:t xml:space="preserve"> Dare, A</w:t>
      </w:r>
      <w:r w:rsidR="002C2E81" w:rsidRPr="002C2E81">
        <w:rPr>
          <w:rFonts w:asciiTheme="minorHAnsi" w:hAnsiTheme="minorHAnsi" w:cstheme="minorHAnsi"/>
        </w:rPr>
        <w:t>.</w:t>
      </w:r>
      <w:r w:rsidRPr="002C2E81">
        <w:rPr>
          <w:rFonts w:asciiTheme="minorHAnsi" w:hAnsiTheme="minorHAnsi" w:cstheme="minorHAnsi"/>
        </w:rPr>
        <w:t xml:space="preserve"> </w:t>
      </w:r>
      <w:r w:rsidR="002C2E81" w:rsidRPr="002C2E81">
        <w:rPr>
          <w:rFonts w:asciiTheme="minorHAnsi" w:hAnsiTheme="minorHAnsi" w:cstheme="minorHAnsi"/>
        </w:rPr>
        <w:t>(</w:t>
      </w:r>
      <w:r w:rsidRPr="002C2E81">
        <w:rPr>
          <w:rFonts w:asciiTheme="minorHAnsi" w:hAnsiTheme="minorHAnsi" w:cstheme="minorHAnsi"/>
        </w:rPr>
        <w:t>2017</w:t>
      </w:r>
      <w:r w:rsidR="002C2E81" w:rsidRPr="002C2E81">
        <w:rPr>
          <w:rFonts w:asciiTheme="minorHAnsi" w:hAnsiTheme="minorHAnsi" w:cstheme="minorHAnsi"/>
        </w:rPr>
        <w:t>)</w:t>
      </w:r>
      <w:r w:rsidRPr="00085A1F">
        <w:rPr>
          <w:rFonts w:asciiTheme="minorHAnsi" w:hAnsiTheme="minorHAnsi" w:cstheme="minorHAnsi"/>
          <w:i/>
        </w:rPr>
        <w:t xml:space="preserve">, Grooming and child sexual abuse in institutional contexts, </w:t>
      </w:r>
      <w:r w:rsidRPr="002C2E81">
        <w:rPr>
          <w:rFonts w:asciiTheme="minorHAnsi" w:hAnsiTheme="minorHAnsi" w:cstheme="minorHAnsi"/>
        </w:rPr>
        <w:t>Royal Commission into Institutional Responses to Child Sexual Abuse, Sydney</w:t>
      </w:r>
    </w:p>
  </w:endnote>
  <w:endnote w:id="23">
    <w:p w14:paraId="76C90754" w14:textId="5356762D" w:rsidR="00B45723" w:rsidRPr="00085A1F" w:rsidRDefault="00B45723" w:rsidP="00557281">
      <w:pPr>
        <w:pStyle w:val="EndnoteText"/>
        <w:spacing w:before="120" w:after="120"/>
        <w:rPr>
          <w:rFonts w:asciiTheme="minorHAnsi" w:hAnsiTheme="minorHAnsi" w:cstheme="minorHAnsi"/>
        </w:rPr>
      </w:pPr>
      <w:r w:rsidRPr="00085A1F">
        <w:rPr>
          <w:rStyle w:val="EndnoteReference"/>
          <w:rFonts w:asciiTheme="minorHAnsi" w:hAnsiTheme="minorHAnsi" w:cstheme="minorHAnsi"/>
        </w:rPr>
        <w:endnoteRef/>
      </w:r>
      <w:r w:rsidRPr="00085A1F">
        <w:rPr>
          <w:rFonts w:asciiTheme="minorHAnsi" w:hAnsiTheme="minorHAnsi" w:cstheme="minorHAnsi"/>
        </w:rPr>
        <w:t xml:space="preserve"> </w:t>
      </w:r>
      <w:r w:rsidRPr="00085A1F">
        <w:rPr>
          <w:rStyle w:val="BookTitle"/>
          <w:rFonts w:asciiTheme="minorHAnsi" w:hAnsiTheme="minorHAnsi" w:cstheme="minorHAnsi"/>
          <w:i w:val="0"/>
          <w:smallCaps w:val="0"/>
          <w:spacing w:val="0"/>
        </w:rPr>
        <w:t xml:space="preserve">Felitti et al; (1998) Relationship of child abuse and household dysfunction to many of the leading causes of death in adults. The Adverse Childhood Experiences (ACE) Study, </w:t>
      </w:r>
      <w:r w:rsidRPr="00085A1F">
        <w:rPr>
          <w:rStyle w:val="BookTitle"/>
          <w:rFonts w:asciiTheme="minorHAnsi" w:hAnsiTheme="minorHAnsi" w:cstheme="minorHAnsi"/>
          <w:smallCaps w:val="0"/>
          <w:spacing w:val="0"/>
        </w:rPr>
        <w:t>American Journal of Preventative Medicine</w:t>
      </w:r>
      <w:r w:rsidR="002C2E81">
        <w:rPr>
          <w:rStyle w:val="BookTitle"/>
          <w:rFonts w:asciiTheme="minorHAnsi" w:hAnsiTheme="minorHAnsi" w:cstheme="minorHAnsi"/>
          <w:smallCaps w:val="0"/>
          <w:spacing w:val="0"/>
        </w:rPr>
        <w:t>,</w:t>
      </w:r>
      <w:r w:rsidRPr="00085A1F">
        <w:rPr>
          <w:rStyle w:val="BookTitle"/>
          <w:rFonts w:asciiTheme="minorHAnsi" w:hAnsiTheme="minorHAnsi" w:cstheme="minorHAnsi"/>
          <w:i w:val="0"/>
          <w:smallCaps w:val="0"/>
          <w:spacing w:val="0"/>
        </w:rPr>
        <w:t xml:space="preserve"> 14(4): 245-58</w:t>
      </w:r>
    </w:p>
  </w:endnote>
  <w:endnote w:id="24">
    <w:p w14:paraId="6B52C9BD" w14:textId="5895E389" w:rsidR="00B45723" w:rsidRPr="00085A1F" w:rsidRDefault="00B45723" w:rsidP="006636D3">
      <w:pPr>
        <w:pStyle w:val="EndnoteText"/>
        <w:spacing w:before="120" w:after="120"/>
        <w:rPr>
          <w:rFonts w:asciiTheme="minorHAnsi" w:hAnsiTheme="minorHAnsi" w:cstheme="minorHAnsi"/>
        </w:rPr>
      </w:pPr>
      <w:r w:rsidRPr="00085A1F">
        <w:rPr>
          <w:rStyle w:val="EndnoteReference"/>
          <w:rFonts w:asciiTheme="minorHAnsi" w:hAnsiTheme="minorHAnsi" w:cstheme="minorHAnsi"/>
        </w:rPr>
        <w:endnoteRef/>
      </w:r>
      <w:r w:rsidRPr="00085A1F">
        <w:rPr>
          <w:rFonts w:asciiTheme="minorHAnsi" w:hAnsiTheme="minorHAnsi" w:cstheme="minorHAnsi"/>
        </w:rPr>
        <w:t xml:space="preserve"> Lonn</w:t>
      </w:r>
      <w:r w:rsidR="002C2E81">
        <w:rPr>
          <w:rFonts w:asciiTheme="minorHAnsi" w:hAnsiTheme="minorHAnsi" w:cstheme="minorHAnsi"/>
        </w:rPr>
        <w:t>,</w:t>
      </w:r>
      <w:r w:rsidRPr="00085A1F">
        <w:rPr>
          <w:rFonts w:asciiTheme="minorHAnsi" w:hAnsiTheme="minorHAnsi" w:cstheme="minorHAnsi"/>
        </w:rPr>
        <w:t xml:space="preserve"> M. and Dantzler, J</w:t>
      </w:r>
      <w:r w:rsidR="002C2E81">
        <w:rPr>
          <w:rFonts w:asciiTheme="minorHAnsi" w:hAnsiTheme="minorHAnsi" w:cstheme="minorHAnsi"/>
        </w:rPr>
        <w:t>.</w:t>
      </w:r>
      <w:r w:rsidRPr="00085A1F">
        <w:rPr>
          <w:rFonts w:asciiTheme="minorHAnsi" w:hAnsiTheme="minorHAnsi" w:cstheme="minorHAnsi"/>
        </w:rPr>
        <w:t xml:space="preserve"> (2017) A practical approach to Counseling Refugees: Applying Maslow’s Hierarchy of Needs, </w:t>
      </w:r>
      <w:r w:rsidRPr="00085A1F">
        <w:rPr>
          <w:rFonts w:asciiTheme="minorHAnsi" w:hAnsiTheme="minorHAnsi" w:cstheme="minorHAnsi"/>
          <w:i/>
        </w:rPr>
        <w:t>Journal of Counselor Practice</w:t>
      </w:r>
      <w:r w:rsidR="002C2E81">
        <w:rPr>
          <w:rFonts w:asciiTheme="minorHAnsi" w:hAnsiTheme="minorHAnsi" w:cstheme="minorHAnsi"/>
          <w:i/>
        </w:rPr>
        <w:t>,</w:t>
      </w:r>
      <w:r w:rsidRPr="00085A1F">
        <w:rPr>
          <w:rFonts w:asciiTheme="minorHAnsi" w:hAnsiTheme="minorHAnsi" w:cstheme="minorHAnsi"/>
        </w:rPr>
        <w:t xml:space="preserve"> Vol. 8 Issue 2, p61-83. 23p. </w:t>
      </w:r>
    </w:p>
  </w:endnote>
  <w:endnote w:id="25">
    <w:p w14:paraId="408B8486" w14:textId="2992FB2D" w:rsidR="00B45723" w:rsidRPr="00085A1F" w:rsidRDefault="00B45723" w:rsidP="008660A1">
      <w:pPr>
        <w:pStyle w:val="EndnoteText"/>
        <w:spacing w:before="120" w:after="120"/>
        <w:rPr>
          <w:rFonts w:asciiTheme="minorHAnsi" w:hAnsiTheme="minorHAnsi" w:cstheme="minorHAnsi"/>
          <w:i/>
        </w:rPr>
      </w:pPr>
      <w:r w:rsidRPr="00085A1F">
        <w:rPr>
          <w:rStyle w:val="EndnoteReference"/>
          <w:rFonts w:asciiTheme="minorHAnsi" w:hAnsiTheme="minorHAnsi" w:cstheme="minorHAnsi"/>
        </w:rPr>
        <w:endnoteRef/>
      </w:r>
      <w:r w:rsidRPr="00085A1F">
        <w:rPr>
          <w:rFonts w:asciiTheme="minorHAnsi" w:hAnsiTheme="minorHAnsi" w:cstheme="minorHAnsi"/>
        </w:rPr>
        <w:t xml:space="preserve"> </w:t>
      </w:r>
      <w:r w:rsidRPr="00085A1F">
        <w:rPr>
          <w:rStyle w:val="BookTitle"/>
          <w:rFonts w:asciiTheme="minorHAnsi" w:hAnsiTheme="minorHAnsi" w:cstheme="minorHAnsi"/>
          <w:i w:val="0"/>
          <w:smallCaps w:val="0"/>
          <w:spacing w:val="0"/>
        </w:rPr>
        <w:t xml:space="preserve">Centre on the Developing Child (2010) </w:t>
      </w:r>
      <w:r w:rsidRPr="00085A1F">
        <w:rPr>
          <w:rStyle w:val="BookTitle"/>
          <w:rFonts w:asciiTheme="minorHAnsi" w:hAnsiTheme="minorHAnsi" w:cstheme="minorHAnsi"/>
          <w:smallCaps w:val="0"/>
          <w:spacing w:val="0"/>
        </w:rPr>
        <w:t xml:space="preserve">The Foundations of Lifelong Health Are Built in Early Childhood </w:t>
      </w:r>
      <w:r w:rsidRPr="00085A1F">
        <w:rPr>
          <w:rStyle w:val="BookTitle"/>
          <w:rFonts w:asciiTheme="minorHAnsi" w:hAnsiTheme="minorHAnsi" w:cstheme="minorHAnsi"/>
          <w:i w:val="0"/>
          <w:smallCaps w:val="0"/>
          <w:spacing w:val="0"/>
        </w:rPr>
        <w:t xml:space="preserve">accessed from: </w:t>
      </w:r>
      <w:hyperlink r:id="rId9" w:history="1">
        <w:r w:rsidRPr="00085A1F">
          <w:rPr>
            <w:rStyle w:val="Hyperlink"/>
            <w:rFonts w:asciiTheme="minorHAnsi" w:hAnsiTheme="minorHAnsi" w:cstheme="minorHAnsi"/>
            <w:sz w:val="20"/>
          </w:rPr>
          <w:t>www.developingchild.harvard.edu</w:t>
        </w:r>
      </w:hyperlink>
      <w:r w:rsidRPr="00085A1F">
        <w:rPr>
          <w:rStyle w:val="BookTitle"/>
          <w:rFonts w:asciiTheme="minorHAnsi" w:hAnsiTheme="minorHAnsi" w:cstheme="minorHAnsi"/>
          <w:i w:val="0"/>
          <w:smallCaps w:val="0"/>
          <w:spacing w:val="0"/>
        </w:rPr>
        <w:t>; Shonkoff</w:t>
      </w:r>
      <w:r w:rsidR="002C2E81">
        <w:rPr>
          <w:rStyle w:val="BookTitle"/>
          <w:rFonts w:asciiTheme="minorHAnsi" w:hAnsiTheme="minorHAnsi" w:cstheme="minorHAnsi"/>
          <w:i w:val="0"/>
          <w:smallCaps w:val="0"/>
          <w:spacing w:val="0"/>
        </w:rPr>
        <w:t>,</w:t>
      </w:r>
      <w:r w:rsidRPr="00085A1F">
        <w:rPr>
          <w:rStyle w:val="BookTitle"/>
          <w:rFonts w:asciiTheme="minorHAnsi" w:hAnsiTheme="minorHAnsi" w:cstheme="minorHAnsi"/>
          <w:i w:val="0"/>
          <w:smallCaps w:val="0"/>
          <w:spacing w:val="0"/>
        </w:rPr>
        <w:t xml:space="preserve"> J. and Garner</w:t>
      </w:r>
      <w:r w:rsidR="002C2E81">
        <w:rPr>
          <w:rStyle w:val="BookTitle"/>
          <w:rFonts w:asciiTheme="minorHAnsi" w:hAnsiTheme="minorHAnsi" w:cstheme="minorHAnsi"/>
          <w:i w:val="0"/>
          <w:smallCaps w:val="0"/>
          <w:spacing w:val="0"/>
        </w:rPr>
        <w:t>,</w:t>
      </w:r>
      <w:r w:rsidRPr="00085A1F">
        <w:rPr>
          <w:rStyle w:val="BookTitle"/>
          <w:rFonts w:asciiTheme="minorHAnsi" w:hAnsiTheme="minorHAnsi" w:cstheme="minorHAnsi"/>
          <w:i w:val="0"/>
          <w:smallCaps w:val="0"/>
          <w:spacing w:val="0"/>
        </w:rPr>
        <w:t xml:space="preserve"> A. (2012) The Lifelong Effects of Early Childhood Adversity and Toxic Stress, </w:t>
      </w:r>
      <w:r w:rsidRPr="00085A1F">
        <w:rPr>
          <w:rStyle w:val="BookTitle"/>
          <w:rFonts w:asciiTheme="minorHAnsi" w:hAnsiTheme="minorHAnsi" w:cstheme="minorHAnsi"/>
          <w:smallCaps w:val="0"/>
          <w:spacing w:val="0"/>
        </w:rPr>
        <w:t xml:space="preserve">American Academy of Pediatrics, </w:t>
      </w:r>
      <w:r w:rsidRPr="00085A1F">
        <w:rPr>
          <w:rStyle w:val="BookTitle"/>
          <w:rFonts w:asciiTheme="minorHAnsi" w:hAnsiTheme="minorHAnsi" w:cstheme="minorHAnsi"/>
          <w:i w:val="0"/>
          <w:smallCaps w:val="0"/>
          <w:spacing w:val="0"/>
        </w:rPr>
        <w:t>v129 i1.</w:t>
      </w:r>
    </w:p>
  </w:endnote>
  <w:endnote w:id="26">
    <w:p w14:paraId="6BD19B91" w14:textId="5652E464" w:rsidR="00B45723" w:rsidRPr="00085A1F" w:rsidRDefault="00B45723" w:rsidP="003C3180">
      <w:pPr>
        <w:pStyle w:val="EndnoteText"/>
        <w:spacing w:before="120" w:after="120"/>
        <w:rPr>
          <w:rFonts w:asciiTheme="minorHAnsi" w:hAnsiTheme="minorHAnsi" w:cstheme="minorHAnsi"/>
        </w:rPr>
      </w:pPr>
      <w:r w:rsidRPr="00085A1F">
        <w:rPr>
          <w:rStyle w:val="EndnoteReference"/>
          <w:rFonts w:asciiTheme="minorHAnsi" w:hAnsiTheme="minorHAnsi" w:cstheme="minorHAnsi"/>
        </w:rPr>
        <w:endnoteRef/>
      </w:r>
      <w:r w:rsidRPr="00085A1F">
        <w:rPr>
          <w:rFonts w:asciiTheme="minorHAnsi" w:hAnsiTheme="minorHAnsi" w:cstheme="minorHAnsi"/>
        </w:rPr>
        <w:t xml:space="preserve"> McLachlan et al (2013) </w:t>
      </w:r>
      <w:r w:rsidRPr="00085A1F">
        <w:rPr>
          <w:rStyle w:val="BookTitle"/>
          <w:rFonts w:asciiTheme="minorHAnsi" w:hAnsiTheme="minorHAnsi" w:cstheme="minorHAnsi"/>
          <w:i w:val="0"/>
          <w:smallCaps w:val="0"/>
          <w:spacing w:val="0"/>
        </w:rPr>
        <w:t xml:space="preserve">Deep and Persistent Disadvantage in Australia, </w:t>
      </w:r>
      <w:r w:rsidRPr="00085A1F">
        <w:rPr>
          <w:rStyle w:val="BookTitle"/>
          <w:rFonts w:asciiTheme="minorHAnsi" w:hAnsiTheme="minorHAnsi" w:cstheme="minorHAnsi"/>
          <w:smallCaps w:val="0"/>
          <w:spacing w:val="0"/>
        </w:rPr>
        <w:t>Productivity Commission Staff Working Paper</w:t>
      </w:r>
      <w:r w:rsidRPr="00085A1F">
        <w:rPr>
          <w:rStyle w:val="BookTitle"/>
          <w:rFonts w:asciiTheme="minorHAnsi" w:hAnsiTheme="minorHAnsi" w:cstheme="minorHAnsi"/>
          <w:i w:val="0"/>
          <w:smallCaps w:val="0"/>
          <w:spacing w:val="0"/>
        </w:rPr>
        <w:t>, Melbourne, Commonwealth of Australia.</w:t>
      </w:r>
      <w:r w:rsidRPr="00085A1F">
        <w:rPr>
          <w:rStyle w:val="BookTitle"/>
          <w:rFonts w:asciiTheme="minorHAnsi" w:hAnsiTheme="minorHAnsi" w:cstheme="minorHAnsi"/>
          <w:spacing w:val="0"/>
        </w:rPr>
        <w:t xml:space="preserve"> </w:t>
      </w:r>
    </w:p>
  </w:endnote>
  <w:endnote w:id="27">
    <w:p w14:paraId="774E35FD" w14:textId="13F0CE50" w:rsidR="00B45723" w:rsidRPr="00085A1F" w:rsidRDefault="00B45723" w:rsidP="003C3180">
      <w:pPr>
        <w:pStyle w:val="EndnoteText"/>
        <w:spacing w:before="120" w:after="120"/>
        <w:rPr>
          <w:rFonts w:asciiTheme="minorHAnsi" w:hAnsiTheme="minorHAnsi" w:cstheme="minorHAnsi"/>
        </w:rPr>
      </w:pPr>
      <w:r w:rsidRPr="00085A1F">
        <w:rPr>
          <w:rStyle w:val="EndnoteReference"/>
          <w:rFonts w:asciiTheme="minorHAnsi" w:hAnsiTheme="minorHAnsi" w:cstheme="minorHAnsi"/>
        </w:rPr>
        <w:endnoteRef/>
      </w:r>
      <w:r w:rsidRPr="00085A1F">
        <w:rPr>
          <w:rFonts w:asciiTheme="minorHAnsi" w:hAnsiTheme="minorHAnsi" w:cstheme="minorHAnsi"/>
        </w:rPr>
        <w:t xml:space="preserve"> </w:t>
      </w:r>
      <w:r w:rsidRPr="00085A1F">
        <w:rPr>
          <w:rStyle w:val="BookTitle"/>
          <w:rFonts w:asciiTheme="minorHAnsi" w:hAnsiTheme="minorHAnsi" w:cstheme="minorHAnsi"/>
          <w:i w:val="0"/>
          <w:smallCaps w:val="0"/>
          <w:spacing w:val="0"/>
        </w:rPr>
        <w:t>Cuha et al (2006) Interpreting the Evidence on Life Cycle Skill Formation, Hanushek</w:t>
      </w:r>
      <w:r w:rsidR="00DA78B0">
        <w:rPr>
          <w:rStyle w:val="BookTitle"/>
          <w:rFonts w:asciiTheme="minorHAnsi" w:hAnsiTheme="minorHAnsi" w:cstheme="minorHAnsi"/>
          <w:i w:val="0"/>
          <w:smallCaps w:val="0"/>
          <w:spacing w:val="0"/>
        </w:rPr>
        <w:t>,</w:t>
      </w:r>
      <w:r w:rsidRPr="00085A1F">
        <w:rPr>
          <w:rStyle w:val="BookTitle"/>
          <w:rFonts w:asciiTheme="minorHAnsi" w:hAnsiTheme="minorHAnsi" w:cstheme="minorHAnsi"/>
          <w:i w:val="0"/>
          <w:smallCaps w:val="0"/>
          <w:spacing w:val="0"/>
        </w:rPr>
        <w:t xml:space="preserve"> E. and Welch</w:t>
      </w:r>
      <w:r w:rsidR="00DA78B0">
        <w:rPr>
          <w:rStyle w:val="BookTitle"/>
          <w:rFonts w:asciiTheme="minorHAnsi" w:hAnsiTheme="minorHAnsi" w:cstheme="minorHAnsi"/>
          <w:i w:val="0"/>
          <w:smallCaps w:val="0"/>
          <w:spacing w:val="0"/>
        </w:rPr>
        <w:t>,</w:t>
      </w:r>
      <w:r w:rsidRPr="00085A1F">
        <w:rPr>
          <w:rStyle w:val="BookTitle"/>
          <w:rFonts w:asciiTheme="minorHAnsi" w:hAnsiTheme="minorHAnsi" w:cstheme="minorHAnsi"/>
          <w:i w:val="0"/>
          <w:smallCaps w:val="0"/>
          <w:spacing w:val="0"/>
        </w:rPr>
        <w:t xml:space="preserve"> F. (Eds.) </w:t>
      </w:r>
      <w:r w:rsidRPr="00085A1F">
        <w:rPr>
          <w:rStyle w:val="BookTitle"/>
          <w:rFonts w:asciiTheme="minorHAnsi" w:hAnsiTheme="minorHAnsi" w:cstheme="minorHAnsi"/>
          <w:smallCaps w:val="0"/>
          <w:spacing w:val="0"/>
        </w:rPr>
        <w:t xml:space="preserve">Handbook of the Economics of Education </w:t>
      </w:r>
      <w:r w:rsidRPr="00085A1F">
        <w:rPr>
          <w:rStyle w:val="BookTitle"/>
          <w:rFonts w:asciiTheme="minorHAnsi" w:hAnsiTheme="minorHAnsi" w:cstheme="minorHAnsi"/>
          <w:i w:val="0"/>
          <w:smallCaps w:val="0"/>
          <w:spacing w:val="0"/>
        </w:rPr>
        <w:t>(Chapter 12), Science Direct; Field</w:t>
      </w:r>
      <w:r w:rsidR="00DA78B0">
        <w:rPr>
          <w:rStyle w:val="BookTitle"/>
          <w:rFonts w:asciiTheme="minorHAnsi" w:hAnsiTheme="minorHAnsi" w:cstheme="minorHAnsi"/>
          <w:i w:val="0"/>
          <w:smallCaps w:val="0"/>
          <w:spacing w:val="0"/>
        </w:rPr>
        <w:t>,</w:t>
      </w:r>
      <w:r w:rsidRPr="00085A1F">
        <w:rPr>
          <w:rStyle w:val="BookTitle"/>
          <w:rFonts w:asciiTheme="minorHAnsi" w:hAnsiTheme="minorHAnsi" w:cstheme="minorHAnsi"/>
          <w:i w:val="0"/>
          <w:smallCaps w:val="0"/>
          <w:spacing w:val="0"/>
        </w:rPr>
        <w:t xml:space="preserve"> F. (2010) </w:t>
      </w:r>
      <w:r w:rsidRPr="00085A1F">
        <w:rPr>
          <w:rStyle w:val="BookTitle"/>
          <w:rFonts w:asciiTheme="minorHAnsi" w:hAnsiTheme="minorHAnsi" w:cstheme="minorHAnsi"/>
          <w:smallCaps w:val="0"/>
          <w:spacing w:val="0"/>
        </w:rPr>
        <w:t>The Foundation Years: preventing poor children becoming poor adults</w:t>
      </w:r>
      <w:r w:rsidRPr="00085A1F">
        <w:rPr>
          <w:rStyle w:val="BookTitle"/>
          <w:rFonts w:asciiTheme="minorHAnsi" w:hAnsiTheme="minorHAnsi" w:cstheme="minorHAnsi"/>
          <w:i w:val="0"/>
          <w:smallCaps w:val="0"/>
          <w:spacing w:val="0"/>
        </w:rPr>
        <w:t>, United Kingdom, HM Government.</w:t>
      </w:r>
    </w:p>
  </w:endnote>
  <w:endnote w:id="28">
    <w:p w14:paraId="3887B51A" w14:textId="7728089C" w:rsidR="00B45723" w:rsidRPr="00085A1F" w:rsidRDefault="00B45723" w:rsidP="00BC5031">
      <w:pPr>
        <w:spacing w:after="120" w:line="240" w:lineRule="auto"/>
        <w:rPr>
          <w:rFonts w:asciiTheme="minorHAnsi" w:hAnsiTheme="minorHAnsi" w:cstheme="minorHAnsi"/>
          <w:smallCaps/>
          <w:sz w:val="20"/>
          <w:szCs w:val="20"/>
        </w:rPr>
      </w:pPr>
      <w:r w:rsidRPr="00085A1F">
        <w:rPr>
          <w:rStyle w:val="EndnoteReference"/>
          <w:rFonts w:asciiTheme="minorHAnsi" w:hAnsiTheme="minorHAnsi" w:cstheme="minorHAnsi"/>
          <w:sz w:val="20"/>
          <w:szCs w:val="20"/>
        </w:rPr>
        <w:endnoteRef/>
      </w:r>
      <w:r w:rsidRPr="00085A1F">
        <w:rPr>
          <w:rFonts w:asciiTheme="minorHAnsi" w:hAnsiTheme="minorHAnsi" w:cstheme="minorHAnsi"/>
          <w:sz w:val="20"/>
          <w:szCs w:val="20"/>
        </w:rPr>
        <w:t xml:space="preserve"> Walker</w:t>
      </w:r>
      <w:r w:rsidR="00DA78B0">
        <w:rPr>
          <w:rFonts w:asciiTheme="minorHAnsi" w:hAnsiTheme="minorHAnsi" w:cstheme="minorHAnsi"/>
          <w:sz w:val="20"/>
          <w:szCs w:val="20"/>
        </w:rPr>
        <w:t>,</w:t>
      </w:r>
      <w:r w:rsidRPr="00085A1F">
        <w:rPr>
          <w:rFonts w:asciiTheme="minorHAnsi" w:hAnsiTheme="minorHAnsi" w:cstheme="minorHAnsi"/>
          <w:sz w:val="20"/>
          <w:szCs w:val="20"/>
        </w:rPr>
        <w:t xml:space="preserve"> R. and Shepherd</w:t>
      </w:r>
      <w:r w:rsidR="00DA78B0">
        <w:rPr>
          <w:rFonts w:asciiTheme="minorHAnsi" w:hAnsiTheme="minorHAnsi" w:cstheme="minorHAnsi"/>
          <w:sz w:val="20"/>
          <w:szCs w:val="20"/>
        </w:rPr>
        <w:t>,</w:t>
      </w:r>
      <w:r w:rsidRPr="00085A1F">
        <w:rPr>
          <w:rFonts w:asciiTheme="minorHAnsi" w:hAnsiTheme="minorHAnsi" w:cstheme="minorHAnsi"/>
          <w:sz w:val="20"/>
          <w:szCs w:val="20"/>
        </w:rPr>
        <w:t xml:space="preserve"> C. (2008) </w:t>
      </w:r>
      <w:r w:rsidRPr="00085A1F">
        <w:rPr>
          <w:rStyle w:val="BookTitle"/>
          <w:rFonts w:asciiTheme="minorHAnsi" w:hAnsiTheme="minorHAnsi" w:cstheme="minorHAnsi"/>
          <w:i w:val="0"/>
          <w:smallCaps w:val="0"/>
          <w:spacing w:val="0"/>
          <w:sz w:val="20"/>
          <w:szCs w:val="20"/>
        </w:rPr>
        <w:t xml:space="preserve">Strengthening Aboriginal family functioning: What works and why?, </w:t>
      </w:r>
      <w:r w:rsidRPr="00085A1F">
        <w:rPr>
          <w:rStyle w:val="BookTitle"/>
          <w:rFonts w:asciiTheme="minorHAnsi" w:hAnsiTheme="minorHAnsi" w:cstheme="minorHAnsi"/>
          <w:smallCaps w:val="0"/>
          <w:spacing w:val="0"/>
          <w:sz w:val="20"/>
          <w:szCs w:val="20"/>
        </w:rPr>
        <w:t>AFRC Briefing No. 7</w:t>
      </w:r>
      <w:r w:rsidRPr="00085A1F">
        <w:rPr>
          <w:rStyle w:val="BookTitle"/>
          <w:rFonts w:asciiTheme="minorHAnsi" w:hAnsiTheme="minorHAnsi" w:cstheme="minorHAnsi"/>
          <w:i w:val="0"/>
          <w:smallCaps w:val="0"/>
          <w:spacing w:val="0"/>
          <w:sz w:val="20"/>
          <w:szCs w:val="20"/>
        </w:rPr>
        <w:t xml:space="preserve">, AIFS accessed from </w:t>
      </w:r>
      <w:hyperlink r:id="rId10" w:history="1">
        <w:r w:rsidRPr="00085A1F">
          <w:rPr>
            <w:rStyle w:val="Hyperlink"/>
            <w:rFonts w:asciiTheme="minorHAnsi" w:hAnsiTheme="minorHAnsi" w:cstheme="minorHAnsi"/>
            <w:spacing w:val="0"/>
            <w:sz w:val="20"/>
            <w:szCs w:val="20"/>
          </w:rPr>
          <w:t>https://aifs.gov.au/cfca/publications/strengthening-aboriginal-family-functioning-what-works-and</w:t>
        </w:r>
      </w:hyperlink>
      <w:r w:rsidRPr="00085A1F">
        <w:rPr>
          <w:rStyle w:val="BookTitle"/>
          <w:rFonts w:asciiTheme="minorHAnsi" w:hAnsiTheme="minorHAnsi" w:cstheme="minorHAnsi"/>
          <w:i w:val="0"/>
          <w:smallCaps w:val="0"/>
          <w:spacing w:val="0"/>
          <w:sz w:val="20"/>
          <w:szCs w:val="20"/>
        </w:rPr>
        <w:t xml:space="preserve"> </w:t>
      </w:r>
    </w:p>
  </w:endnote>
  <w:endnote w:id="29">
    <w:p w14:paraId="5EB56A33" w14:textId="65659417" w:rsidR="00B45723" w:rsidRPr="00085A1F" w:rsidRDefault="00B45723" w:rsidP="00BC5031">
      <w:pPr>
        <w:pStyle w:val="EndnoteText"/>
        <w:spacing w:before="120" w:after="120"/>
        <w:rPr>
          <w:rFonts w:asciiTheme="minorHAnsi" w:hAnsiTheme="minorHAnsi" w:cstheme="minorHAnsi"/>
        </w:rPr>
      </w:pPr>
      <w:r w:rsidRPr="00085A1F">
        <w:rPr>
          <w:rStyle w:val="EndnoteReference"/>
          <w:rFonts w:asciiTheme="minorHAnsi" w:hAnsiTheme="minorHAnsi" w:cstheme="minorHAnsi"/>
        </w:rPr>
        <w:endnoteRef/>
      </w:r>
      <w:r w:rsidRPr="00085A1F">
        <w:rPr>
          <w:rFonts w:asciiTheme="minorHAnsi" w:hAnsiTheme="minorHAnsi" w:cstheme="minorHAnsi"/>
        </w:rPr>
        <w:t xml:space="preserve"> </w:t>
      </w:r>
      <w:r w:rsidRPr="00085A1F">
        <w:rPr>
          <w:rStyle w:val="BookTitle"/>
          <w:rFonts w:asciiTheme="minorHAnsi" w:hAnsiTheme="minorHAnsi" w:cstheme="minorHAnsi"/>
          <w:i w:val="0"/>
          <w:smallCaps w:val="0"/>
          <w:spacing w:val="0"/>
        </w:rPr>
        <w:t>Paterson</w:t>
      </w:r>
      <w:r w:rsidR="00DA78B0">
        <w:rPr>
          <w:rStyle w:val="BookTitle"/>
          <w:rFonts w:asciiTheme="minorHAnsi" w:hAnsiTheme="minorHAnsi" w:cstheme="minorHAnsi"/>
          <w:i w:val="0"/>
          <w:smallCaps w:val="0"/>
          <w:spacing w:val="0"/>
        </w:rPr>
        <w:t>,</w:t>
      </w:r>
      <w:r w:rsidRPr="00085A1F">
        <w:rPr>
          <w:rStyle w:val="BookTitle"/>
          <w:rFonts w:asciiTheme="minorHAnsi" w:hAnsiTheme="minorHAnsi" w:cstheme="minorHAnsi"/>
          <w:i w:val="0"/>
          <w:smallCaps w:val="0"/>
          <w:spacing w:val="0"/>
        </w:rPr>
        <w:t xml:space="preserve"> C. (2011) </w:t>
      </w:r>
      <w:r w:rsidRPr="00085A1F">
        <w:rPr>
          <w:rStyle w:val="BookTitle"/>
          <w:rFonts w:asciiTheme="minorHAnsi" w:hAnsiTheme="minorHAnsi" w:cstheme="minorHAnsi"/>
          <w:smallCaps w:val="0"/>
          <w:spacing w:val="0"/>
        </w:rPr>
        <w:t>Parenting matters: early years and social mobility</w:t>
      </w:r>
      <w:r w:rsidRPr="00085A1F">
        <w:rPr>
          <w:rStyle w:val="BookTitle"/>
          <w:rFonts w:asciiTheme="minorHAnsi" w:hAnsiTheme="minorHAnsi" w:cstheme="minorHAnsi"/>
          <w:i w:val="0"/>
          <w:smallCaps w:val="0"/>
          <w:spacing w:val="0"/>
        </w:rPr>
        <w:t>, CentreForum</w:t>
      </w:r>
    </w:p>
  </w:endnote>
  <w:endnote w:id="30">
    <w:p w14:paraId="51304183" w14:textId="470CB0B9" w:rsidR="00B45723" w:rsidRPr="00085A1F" w:rsidRDefault="00B45723" w:rsidP="00BC5031">
      <w:pPr>
        <w:pStyle w:val="EndnoteText"/>
        <w:spacing w:before="120" w:after="120"/>
        <w:rPr>
          <w:rFonts w:asciiTheme="minorHAnsi" w:hAnsiTheme="minorHAnsi" w:cstheme="minorHAnsi"/>
        </w:rPr>
      </w:pPr>
      <w:r w:rsidRPr="00085A1F">
        <w:rPr>
          <w:rStyle w:val="EndnoteReference"/>
          <w:rFonts w:asciiTheme="minorHAnsi" w:hAnsiTheme="minorHAnsi" w:cstheme="minorHAnsi"/>
        </w:rPr>
        <w:endnoteRef/>
      </w:r>
      <w:r w:rsidRPr="00085A1F">
        <w:rPr>
          <w:rFonts w:asciiTheme="minorHAnsi" w:hAnsiTheme="minorHAnsi" w:cstheme="minorHAnsi"/>
        </w:rPr>
        <w:t xml:space="preserve"> </w:t>
      </w:r>
      <w:r w:rsidRPr="00085A1F">
        <w:rPr>
          <w:rStyle w:val="BookTitle"/>
          <w:rFonts w:asciiTheme="minorHAnsi" w:hAnsiTheme="minorHAnsi" w:cstheme="minorHAnsi"/>
          <w:i w:val="0"/>
          <w:smallCaps w:val="0"/>
          <w:spacing w:val="0"/>
        </w:rPr>
        <w:t xml:space="preserve">Ministerial Council for Education, Early </w:t>
      </w:r>
      <w:r w:rsidR="00DA78B0">
        <w:rPr>
          <w:rStyle w:val="BookTitle"/>
          <w:rFonts w:asciiTheme="minorHAnsi" w:hAnsiTheme="minorHAnsi" w:cstheme="minorHAnsi"/>
          <w:i w:val="0"/>
          <w:smallCaps w:val="0"/>
          <w:spacing w:val="0"/>
        </w:rPr>
        <w:t>C</w:t>
      </w:r>
      <w:r w:rsidRPr="00085A1F">
        <w:rPr>
          <w:rStyle w:val="BookTitle"/>
          <w:rFonts w:asciiTheme="minorHAnsi" w:hAnsiTheme="minorHAnsi" w:cstheme="minorHAnsi"/>
          <w:i w:val="0"/>
          <w:smallCaps w:val="0"/>
          <w:spacing w:val="0"/>
        </w:rPr>
        <w:t xml:space="preserve">hildhood Development and Youth Affairs (2010) </w:t>
      </w:r>
      <w:r w:rsidRPr="00085A1F">
        <w:rPr>
          <w:rStyle w:val="BookTitle"/>
          <w:rFonts w:asciiTheme="minorHAnsi" w:hAnsiTheme="minorHAnsi" w:cstheme="minorHAnsi"/>
          <w:smallCaps w:val="0"/>
          <w:spacing w:val="0"/>
        </w:rPr>
        <w:t xml:space="preserve">Engaging Families in the Early Childhood Development Story, </w:t>
      </w:r>
      <w:r w:rsidRPr="00085A1F">
        <w:rPr>
          <w:rStyle w:val="BookTitle"/>
          <w:rFonts w:asciiTheme="minorHAnsi" w:hAnsiTheme="minorHAnsi" w:cstheme="minorHAnsi"/>
          <w:i w:val="0"/>
          <w:smallCaps w:val="0"/>
          <w:spacing w:val="0"/>
        </w:rPr>
        <w:t>South Australia, Department of Education and Children’s Services.</w:t>
      </w:r>
    </w:p>
  </w:endnote>
  <w:endnote w:id="31">
    <w:p w14:paraId="2AD78379" w14:textId="0052445F" w:rsidR="00B45723" w:rsidRPr="00085A1F" w:rsidRDefault="00B45723" w:rsidP="00BC5031">
      <w:pPr>
        <w:pStyle w:val="EndnoteText"/>
        <w:spacing w:before="120" w:after="120"/>
        <w:rPr>
          <w:rFonts w:asciiTheme="minorHAnsi" w:hAnsiTheme="minorHAnsi" w:cstheme="minorHAnsi"/>
        </w:rPr>
      </w:pPr>
      <w:r w:rsidRPr="00085A1F">
        <w:rPr>
          <w:rStyle w:val="EndnoteReference"/>
          <w:rFonts w:asciiTheme="minorHAnsi" w:hAnsiTheme="minorHAnsi" w:cstheme="minorHAnsi"/>
        </w:rPr>
        <w:endnoteRef/>
      </w:r>
      <w:r w:rsidRPr="00085A1F">
        <w:rPr>
          <w:rFonts w:asciiTheme="minorHAnsi" w:hAnsiTheme="minorHAnsi" w:cstheme="minorHAnsi"/>
        </w:rPr>
        <w:t xml:space="preserve"> Cobb-Clark</w:t>
      </w:r>
      <w:r w:rsidR="00DA78B0">
        <w:rPr>
          <w:rFonts w:asciiTheme="minorHAnsi" w:hAnsiTheme="minorHAnsi" w:cstheme="minorHAnsi"/>
        </w:rPr>
        <w:t xml:space="preserve">, </w:t>
      </w:r>
      <w:r w:rsidRPr="00085A1F">
        <w:rPr>
          <w:rFonts w:asciiTheme="minorHAnsi" w:hAnsiTheme="minorHAnsi" w:cstheme="minorHAnsi"/>
        </w:rPr>
        <w:t>D., Salamanca</w:t>
      </w:r>
      <w:r w:rsidR="00DA78B0">
        <w:rPr>
          <w:rFonts w:asciiTheme="minorHAnsi" w:hAnsiTheme="minorHAnsi" w:cstheme="minorHAnsi"/>
        </w:rPr>
        <w:t>,</w:t>
      </w:r>
      <w:r w:rsidRPr="00085A1F">
        <w:rPr>
          <w:rFonts w:asciiTheme="minorHAnsi" w:hAnsiTheme="minorHAnsi" w:cstheme="minorHAnsi"/>
        </w:rPr>
        <w:t xml:space="preserve"> N. and Zhu</w:t>
      </w:r>
      <w:r w:rsidR="00DA78B0">
        <w:rPr>
          <w:rFonts w:asciiTheme="minorHAnsi" w:hAnsiTheme="minorHAnsi" w:cstheme="minorHAnsi"/>
        </w:rPr>
        <w:t>,</w:t>
      </w:r>
      <w:r w:rsidRPr="00085A1F">
        <w:rPr>
          <w:rFonts w:asciiTheme="minorHAnsi" w:hAnsiTheme="minorHAnsi" w:cstheme="minorHAnsi"/>
        </w:rPr>
        <w:t xml:space="preserve"> A. (2016) Parenting Style as an Investment in Human Development, </w:t>
      </w:r>
      <w:r w:rsidRPr="00085A1F">
        <w:rPr>
          <w:rFonts w:asciiTheme="minorHAnsi" w:hAnsiTheme="minorHAnsi" w:cstheme="minorHAnsi"/>
          <w:i/>
        </w:rPr>
        <w:t xml:space="preserve">Conference of the European Association of Labour Economics, </w:t>
      </w:r>
      <w:r w:rsidRPr="00085A1F">
        <w:rPr>
          <w:rFonts w:asciiTheme="minorHAnsi" w:hAnsiTheme="minorHAnsi" w:cstheme="minorHAnsi"/>
        </w:rPr>
        <w:t>Belgium</w:t>
      </w:r>
      <w:r w:rsidRPr="00085A1F">
        <w:rPr>
          <w:rFonts w:asciiTheme="minorHAnsi" w:hAnsiTheme="minorHAnsi" w:cstheme="minorHAnsi"/>
          <w:i/>
        </w:rPr>
        <w:t xml:space="preserve"> </w:t>
      </w:r>
      <w:r w:rsidRPr="00085A1F">
        <w:rPr>
          <w:rFonts w:asciiTheme="minorHAnsi" w:hAnsiTheme="minorHAnsi" w:cstheme="minorHAnsi"/>
        </w:rPr>
        <w:t>15</w:t>
      </w:r>
      <w:r w:rsidRPr="00085A1F">
        <w:rPr>
          <w:rFonts w:asciiTheme="minorHAnsi" w:hAnsiTheme="minorHAnsi" w:cstheme="minorHAnsi"/>
        </w:rPr>
        <w:noBreakHyphen/>
        <w:t>17 September</w:t>
      </w:r>
    </w:p>
  </w:endnote>
  <w:endnote w:id="32">
    <w:p w14:paraId="7ACA2AD6" w14:textId="4F7EE5B4" w:rsidR="00B45723" w:rsidRPr="00085A1F" w:rsidRDefault="00B45723" w:rsidP="00BC5031">
      <w:pPr>
        <w:pStyle w:val="EndnoteText"/>
        <w:spacing w:before="120" w:after="120"/>
        <w:rPr>
          <w:rFonts w:asciiTheme="minorHAnsi" w:hAnsiTheme="minorHAnsi" w:cstheme="minorHAnsi"/>
        </w:rPr>
      </w:pPr>
      <w:r w:rsidRPr="00085A1F">
        <w:rPr>
          <w:rStyle w:val="EndnoteReference"/>
          <w:rFonts w:asciiTheme="minorHAnsi" w:hAnsiTheme="minorHAnsi" w:cstheme="minorHAnsi"/>
        </w:rPr>
        <w:endnoteRef/>
      </w:r>
      <w:r w:rsidRPr="00085A1F">
        <w:rPr>
          <w:rFonts w:asciiTheme="minorHAnsi" w:hAnsiTheme="minorHAnsi" w:cstheme="minorHAnsi"/>
        </w:rPr>
        <w:t xml:space="preserve"> </w:t>
      </w:r>
      <w:r w:rsidRPr="00085A1F">
        <w:rPr>
          <w:rStyle w:val="BookTitle"/>
          <w:rFonts w:asciiTheme="minorHAnsi" w:hAnsiTheme="minorHAnsi" w:cstheme="minorHAnsi"/>
          <w:i w:val="0"/>
          <w:smallCaps w:val="0"/>
          <w:spacing w:val="0"/>
        </w:rPr>
        <w:t xml:space="preserve">Wise et al (2005) </w:t>
      </w:r>
      <w:r w:rsidRPr="00085A1F">
        <w:rPr>
          <w:rStyle w:val="BookTitle"/>
          <w:rFonts w:asciiTheme="minorHAnsi" w:hAnsiTheme="minorHAnsi" w:cstheme="minorHAnsi"/>
          <w:smallCaps w:val="0"/>
          <w:spacing w:val="0"/>
        </w:rPr>
        <w:t>The efficacy of early childhood interventions</w:t>
      </w:r>
      <w:r w:rsidRPr="00085A1F">
        <w:rPr>
          <w:rStyle w:val="BookTitle"/>
          <w:rFonts w:asciiTheme="minorHAnsi" w:hAnsiTheme="minorHAnsi" w:cstheme="minorHAnsi"/>
          <w:i w:val="0"/>
          <w:smallCaps w:val="0"/>
          <w:spacing w:val="0"/>
        </w:rPr>
        <w:t xml:space="preserve">, Melbourne, AIFS; and </w:t>
      </w:r>
      <w:r w:rsidR="00DA78B0">
        <w:rPr>
          <w:rFonts w:asciiTheme="minorHAnsi" w:hAnsiTheme="minorHAnsi" w:cstheme="minorHAnsi"/>
        </w:rPr>
        <w:t>Shonkoff, J.P.</w:t>
      </w:r>
      <w:r w:rsidRPr="00085A1F">
        <w:rPr>
          <w:rFonts w:asciiTheme="minorHAnsi" w:hAnsiTheme="minorHAnsi" w:cstheme="minorHAnsi"/>
        </w:rPr>
        <w:t xml:space="preserve"> </w:t>
      </w:r>
      <w:r w:rsidR="00DA78B0">
        <w:rPr>
          <w:rFonts w:asciiTheme="minorHAnsi" w:hAnsiTheme="minorHAnsi" w:cstheme="minorHAnsi"/>
        </w:rPr>
        <w:t>and</w:t>
      </w:r>
      <w:r w:rsidRPr="00085A1F">
        <w:rPr>
          <w:rFonts w:asciiTheme="minorHAnsi" w:hAnsiTheme="minorHAnsi" w:cstheme="minorHAnsi"/>
        </w:rPr>
        <w:t xml:space="preserve"> Phillips, D.A. (eds) (2000), </w:t>
      </w:r>
      <w:r w:rsidRPr="00DA78B0">
        <w:rPr>
          <w:rFonts w:asciiTheme="minorHAnsi" w:hAnsiTheme="minorHAnsi" w:cstheme="minorHAnsi"/>
          <w:i/>
        </w:rPr>
        <w:t>From neurons to neighbourhoods: The science o</w:t>
      </w:r>
      <w:r w:rsidR="00DA78B0" w:rsidRPr="00DA78B0">
        <w:rPr>
          <w:rFonts w:asciiTheme="minorHAnsi" w:hAnsiTheme="minorHAnsi" w:cstheme="minorHAnsi"/>
          <w:i/>
        </w:rPr>
        <w:t>f early childhood development</w:t>
      </w:r>
      <w:r w:rsidRPr="00085A1F">
        <w:rPr>
          <w:rFonts w:asciiTheme="minorHAnsi" w:hAnsiTheme="minorHAnsi" w:cstheme="minorHAnsi"/>
        </w:rPr>
        <w:t>, Committee on Integrating the Science of Early Childhood Development, National Research Council and Institute of Medicine, National Academy Press, Washington DC, USA.</w:t>
      </w:r>
    </w:p>
  </w:endnote>
  <w:endnote w:id="33">
    <w:p w14:paraId="2DF7175B" w14:textId="6071ABF3" w:rsidR="00B45723" w:rsidRPr="00085A1F" w:rsidRDefault="00B45723" w:rsidP="00085A1F">
      <w:pPr>
        <w:pStyle w:val="FootnoteText"/>
        <w:spacing w:before="120" w:after="120"/>
        <w:rPr>
          <w:rFonts w:asciiTheme="minorHAnsi" w:hAnsiTheme="minorHAnsi" w:cstheme="minorHAnsi"/>
        </w:rPr>
      </w:pPr>
      <w:r w:rsidRPr="00085A1F">
        <w:rPr>
          <w:rStyle w:val="EndnoteReference"/>
          <w:rFonts w:asciiTheme="minorHAnsi" w:hAnsiTheme="minorHAnsi" w:cstheme="minorHAnsi"/>
        </w:rPr>
        <w:endnoteRef/>
      </w:r>
      <w:r w:rsidRPr="00085A1F">
        <w:rPr>
          <w:rFonts w:asciiTheme="minorHAnsi" w:hAnsiTheme="minorHAnsi" w:cstheme="minorHAnsi"/>
        </w:rPr>
        <w:t xml:space="preserve"> </w:t>
      </w:r>
      <w:r w:rsidRPr="00301C0C">
        <w:rPr>
          <w:rFonts w:asciiTheme="minorHAnsi" w:hAnsiTheme="minorHAnsi" w:cstheme="minorHAnsi"/>
        </w:rPr>
        <w:t xml:space="preserve">Higgins, D.J. (2015) A public health approach to enhancing safe and supportive family environments for children, </w:t>
      </w:r>
      <w:r w:rsidRPr="00301C0C">
        <w:rPr>
          <w:rFonts w:asciiTheme="minorHAnsi" w:hAnsiTheme="minorHAnsi" w:cstheme="minorHAnsi"/>
          <w:i/>
        </w:rPr>
        <w:t>Family Matters No. 96</w:t>
      </w:r>
      <w:r w:rsidRPr="00301C0C">
        <w:rPr>
          <w:rFonts w:asciiTheme="minorHAnsi" w:hAnsiTheme="minorHAnsi" w:cstheme="minorHAnsi"/>
        </w:rPr>
        <w:t>, Australian Institute of Family Studies.</w:t>
      </w:r>
    </w:p>
  </w:endnote>
  <w:endnote w:id="34">
    <w:p w14:paraId="4AB4CA7A" w14:textId="7AF1F335" w:rsidR="00B45723" w:rsidRPr="00085A1F" w:rsidRDefault="00B45723" w:rsidP="00085A1F">
      <w:pPr>
        <w:pStyle w:val="EndnoteText"/>
        <w:spacing w:before="120" w:after="120"/>
        <w:rPr>
          <w:rFonts w:asciiTheme="minorHAnsi" w:hAnsiTheme="minorHAnsi" w:cstheme="minorHAnsi"/>
        </w:rPr>
      </w:pPr>
      <w:r w:rsidRPr="00085A1F">
        <w:rPr>
          <w:rStyle w:val="EndnoteReference"/>
          <w:rFonts w:asciiTheme="minorHAnsi" w:hAnsiTheme="minorHAnsi" w:cstheme="minorHAnsi"/>
        </w:rPr>
        <w:endnoteRef/>
      </w:r>
      <w:r w:rsidRPr="00085A1F">
        <w:rPr>
          <w:rFonts w:asciiTheme="minorHAnsi" w:hAnsiTheme="minorHAnsi" w:cstheme="minorHAnsi"/>
        </w:rPr>
        <w:t xml:space="preserve"> Barnett</w:t>
      </w:r>
      <w:r w:rsidR="00DA78B0">
        <w:rPr>
          <w:rFonts w:asciiTheme="minorHAnsi" w:hAnsiTheme="minorHAnsi" w:cstheme="minorHAnsi"/>
        </w:rPr>
        <w:t>,</w:t>
      </w:r>
      <w:r w:rsidRPr="00085A1F">
        <w:rPr>
          <w:rFonts w:asciiTheme="minorHAnsi" w:hAnsiTheme="minorHAnsi" w:cstheme="minorHAnsi"/>
        </w:rPr>
        <w:t xml:space="preserve"> W. (2006) </w:t>
      </w:r>
      <w:r w:rsidRPr="00085A1F">
        <w:rPr>
          <w:rFonts w:asciiTheme="minorHAnsi" w:hAnsiTheme="minorHAnsi" w:cstheme="minorHAnsi"/>
          <w:i/>
        </w:rPr>
        <w:t>Services for young children and families: an integrated approach</w:t>
      </w:r>
      <w:r w:rsidRPr="00085A1F">
        <w:rPr>
          <w:rFonts w:asciiTheme="minorHAnsi" w:hAnsiTheme="minorHAnsi" w:cstheme="minorHAnsi"/>
        </w:rPr>
        <w:t xml:space="preserve"> accessed from: </w:t>
      </w:r>
      <w:hyperlink r:id="rId11" w:history="1">
        <w:r w:rsidRPr="00085A1F">
          <w:rPr>
            <w:rStyle w:val="Hyperlink"/>
            <w:rFonts w:asciiTheme="minorHAnsi" w:eastAsiaTheme="minorHAnsi" w:hAnsiTheme="minorHAnsi" w:cstheme="minorHAnsi"/>
            <w:spacing w:val="0"/>
            <w:sz w:val="20"/>
            <w:lang w:eastAsia="en-US"/>
          </w:rPr>
          <w:t>https://www.rch.org.au/uploadedFiles/Main/Content/ccch/PB4_Children-family_services.pdf</w:t>
        </w:r>
      </w:hyperlink>
      <w:r w:rsidRPr="00085A1F">
        <w:rPr>
          <w:rFonts w:asciiTheme="minorHAnsi" w:eastAsiaTheme="minorHAnsi" w:hAnsiTheme="minorHAnsi" w:cstheme="minorHAnsi"/>
          <w:color w:val="000000"/>
          <w:spacing w:val="0"/>
          <w:lang w:eastAsia="en-US"/>
        </w:rPr>
        <w:t xml:space="preserve"> </w:t>
      </w:r>
    </w:p>
  </w:endnote>
  <w:endnote w:id="35">
    <w:p w14:paraId="56F61634" w14:textId="27EA1DA1" w:rsidR="00B45723" w:rsidRPr="00085A1F" w:rsidRDefault="00B45723" w:rsidP="00085A1F">
      <w:pPr>
        <w:pStyle w:val="EndnoteText"/>
        <w:spacing w:before="120" w:after="120"/>
        <w:rPr>
          <w:rFonts w:asciiTheme="minorHAnsi" w:hAnsiTheme="minorHAnsi" w:cstheme="minorHAnsi"/>
        </w:rPr>
      </w:pPr>
      <w:r w:rsidRPr="00085A1F">
        <w:rPr>
          <w:rStyle w:val="EndnoteReference"/>
          <w:rFonts w:asciiTheme="minorHAnsi" w:hAnsiTheme="minorHAnsi" w:cstheme="minorHAnsi"/>
        </w:rPr>
        <w:endnoteRef/>
      </w:r>
      <w:r w:rsidRPr="00085A1F">
        <w:rPr>
          <w:rFonts w:asciiTheme="minorHAnsi" w:hAnsiTheme="minorHAnsi" w:cstheme="minorHAnsi"/>
        </w:rPr>
        <w:t xml:space="preserve"> Fox et al (2015) </w:t>
      </w:r>
      <w:r w:rsidRPr="00085A1F">
        <w:rPr>
          <w:rStyle w:val="BookTitle"/>
          <w:rFonts w:asciiTheme="minorHAnsi" w:hAnsiTheme="minorHAnsi" w:cstheme="minorHAnsi"/>
          <w:smallCaps w:val="0"/>
          <w:spacing w:val="0"/>
        </w:rPr>
        <w:t>Better Systems, better chances: A review of research and practice for prevention and early intervention</w:t>
      </w:r>
      <w:r w:rsidRPr="00301C0C">
        <w:rPr>
          <w:rStyle w:val="BookTitle"/>
          <w:rFonts w:asciiTheme="minorHAnsi" w:hAnsiTheme="minorHAnsi" w:cstheme="minorHAnsi"/>
          <w:i w:val="0"/>
          <w:smallCaps w:val="0"/>
          <w:spacing w:val="0"/>
        </w:rPr>
        <w:t xml:space="preserve">, ARACY </w:t>
      </w:r>
    </w:p>
  </w:endnote>
  <w:endnote w:id="36">
    <w:p w14:paraId="5F086DE7" w14:textId="5BE83D84" w:rsidR="00B45723" w:rsidRPr="00085A1F" w:rsidRDefault="00B45723" w:rsidP="00085A1F">
      <w:pPr>
        <w:pStyle w:val="EndnoteText"/>
        <w:spacing w:before="120" w:after="120"/>
        <w:rPr>
          <w:rFonts w:asciiTheme="minorHAnsi" w:hAnsiTheme="minorHAnsi" w:cstheme="minorHAnsi"/>
        </w:rPr>
      </w:pPr>
      <w:r w:rsidRPr="00085A1F">
        <w:rPr>
          <w:rStyle w:val="EndnoteReference"/>
          <w:rFonts w:asciiTheme="minorHAnsi" w:hAnsiTheme="minorHAnsi" w:cstheme="minorHAnsi"/>
        </w:rPr>
        <w:endnoteRef/>
      </w:r>
      <w:r w:rsidRPr="00085A1F">
        <w:rPr>
          <w:rFonts w:asciiTheme="minorHAnsi" w:hAnsiTheme="minorHAnsi" w:cstheme="minorHAnsi"/>
        </w:rPr>
        <w:t xml:space="preserve"> Cortis</w:t>
      </w:r>
      <w:r w:rsidR="00DA78B0">
        <w:rPr>
          <w:rFonts w:asciiTheme="minorHAnsi" w:hAnsiTheme="minorHAnsi" w:cstheme="minorHAnsi"/>
        </w:rPr>
        <w:t>,</w:t>
      </w:r>
      <w:r w:rsidRPr="00085A1F">
        <w:rPr>
          <w:rFonts w:asciiTheme="minorHAnsi" w:hAnsiTheme="minorHAnsi" w:cstheme="minorHAnsi"/>
        </w:rPr>
        <w:t xml:space="preserve"> N.</w:t>
      </w:r>
      <w:r w:rsidR="00DA78B0">
        <w:rPr>
          <w:rFonts w:asciiTheme="minorHAnsi" w:hAnsiTheme="minorHAnsi" w:cstheme="minorHAnsi"/>
        </w:rPr>
        <w:t>,</w:t>
      </w:r>
      <w:r w:rsidRPr="00085A1F">
        <w:rPr>
          <w:rFonts w:asciiTheme="minorHAnsi" w:hAnsiTheme="minorHAnsi" w:cstheme="minorHAnsi"/>
        </w:rPr>
        <w:t xml:space="preserve"> Katz</w:t>
      </w:r>
      <w:r w:rsidR="00DA78B0">
        <w:rPr>
          <w:rFonts w:asciiTheme="minorHAnsi" w:hAnsiTheme="minorHAnsi" w:cstheme="minorHAnsi"/>
        </w:rPr>
        <w:t>,</w:t>
      </w:r>
      <w:r w:rsidRPr="00085A1F">
        <w:rPr>
          <w:rFonts w:asciiTheme="minorHAnsi" w:hAnsiTheme="minorHAnsi" w:cstheme="minorHAnsi"/>
        </w:rPr>
        <w:t xml:space="preserve"> I. </w:t>
      </w:r>
      <w:r w:rsidR="00DA78B0">
        <w:rPr>
          <w:rFonts w:asciiTheme="minorHAnsi" w:hAnsiTheme="minorHAnsi" w:cstheme="minorHAnsi"/>
        </w:rPr>
        <w:t xml:space="preserve">and </w:t>
      </w:r>
      <w:r w:rsidRPr="00085A1F">
        <w:rPr>
          <w:rFonts w:asciiTheme="minorHAnsi" w:hAnsiTheme="minorHAnsi" w:cstheme="minorHAnsi"/>
        </w:rPr>
        <w:t xml:space="preserve">Patulny R. (2009) Engaging hard-to-reach families and children, </w:t>
      </w:r>
      <w:r w:rsidRPr="00085A1F">
        <w:rPr>
          <w:rStyle w:val="BookTitle"/>
          <w:rFonts w:asciiTheme="minorHAnsi" w:hAnsiTheme="minorHAnsi" w:cstheme="minorHAnsi"/>
          <w:smallCaps w:val="0"/>
          <w:spacing w:val="0"/>
        </w:rPr>
        <w:t xml:space="preserve">FaHCSIA Occasional Paper </w:t>
      </w:r>
      <w:r w:rsidRPr="00301C0C">
        <w:rPr>
          <w:rStyle w:val="BookTitle"/>
          <w:rFonts w:asciiTheme="minorHAnsi" w:hAnsiTheme="minorHAnsi" w:cstheme="minorHAnsi"/>
          <w:i w:val="0"/>
          <w:smallCaps w:val="0"/>
          <w:spacing w:val="0"/>
        </w:rPr>
        <w:t>No. 26</w:t>
      </w:r>
    </w:p>
  </w:endnote>
  <w:endnote w:id="37">
    <w:p w14:paraId="5DC273DD" w14:textId="27A6EEE5" w:rsidR="00B45723" w:rsidRPr="00085A1F" w:rsidRDefault="00B45723" w:rsidP="00085A1F">
      <w:pPr>
        <w:pStyle w:val="EndnoteText"/>
        <w:spacing w:before="120" w:after="120"/>
        <w:rPr>
          <w:rFonts w:asciiTheme="minorHAnsi" w:hAnsiTheme="minorHAnsi" w:cstheme="minorHAnsi"/>
        </w:rPr>
      </w:pPr>
      <w:r w:rsidRPr="00085A1F">
        <w:rPr>
          <w:rStyle w:val="EndnoteReference"/>
          <w:rFonts w:asciiTheme="minorHAnsi" w:hAnsiTheme="minorHAnsi" w:cstheme="minorHAnsi"/>
        </w:rPr>
        <w:endnoteRef/>
      </w:r>
      <w:r w:rsidRPr="00085A1F">
        <w:rPr>
          <w:rFonts w:asciiTheme="minorHAnsi" w:hAnsiTheme="minorHAnsi" w:cstheme="minorHAnsi"/>
        </w:rPr>
        <w:t xml:space="preserve"> </w:t>
      </w:r>
      <w:r w:rsidRPr="00301C0C">
        <w:rPr>
          <w:rStyle w:val="BookTitle"/>
          <w:rFonts w:asciiTheme="minorHAnsi" w:hAnsiTheme="minorHAnsi" w:cstheme="minorHAnsi"/>
          <w:i w:val="0"/>
          <w:smallCaps w:val="0"/>
          <w:spacing w:val="0"/>
        </w:rPr>
        <w:t xml:space="preserve">Australian Health Minister’s Advisory Council (2015) </w:t>
      </w:r>
      <w:r w:rsidRPr="00085A1F">
        <w:rPr>
          <w:rStyle w:val="BookTitle"/>
          <w:rFonts w:asciiTheme="minorHAnsi" w:hAnsiTheme="minorHAnsi" w:cstheme="minorHAnsi"/>
          <w:smallCaps w:val="0"/>
          <w:spacing w:val="0"/>
        </w:rPr>
        <w:t>Healthy, Safe and Thriving: National Strategic Framework for Child and Youth Health</w:t>
      </w:r>
      <w:r w:rsidRPr="00301C0C">
        <w:rPr>
          <w:rStyle w:val="BookTitle"/>
          <w:rFonts w:asciiTheme="minorHAnsi" w:hAnsiTheme="minorHAnsi" w:cstheme="minorHAnsi"/>
          <w:i w:val="0"/>
          <w:smallCaps w:val="0"/>
          <w:spacing w:val="0"/>
        </w:rPr>
        <w:t>, COAG Health Council</w:t>
      </w:r>
    </w:p>
  </w:endnote>
  <w:endnote w:id="38">
    <w:p w14:paraId="5AB274D7" w14:textId="2A8D9CC1" w:rsidR="00B45723" w:rsidRPr="00085A1F" w:rsidRDefault="00B45723" w:rsidP="00085A1F">
      <w:pPr>
        <w:pStyle w:val="EndnoteText"/>
        <w:spacing w:before="120" w:after="120"/>
        <w:rPr>
          <w:rFonts w:asciiTheme="minorHAnsi" w:hAnsiTheme="minorHAnsi" w:cstheme="minorHAnsi"/>
        </w:rPr>
      </w:pPr>
      <w:r w:rsidRPr="00085A1F">
        <w:rPr>
          <w:rStyle w:val="EndnoteReference"/>
          <w:rFonts w:asciiTheme="minorHAnsi" w:hAnsiTheme="minorHAnsi" w:cstheme="minorHAnsi"/>
        </w:rPr>
        <w:endnoteRef/>
      </w:r>
      <w:r w:rsidRPr="00085A1F">
        <w:rPr>
          <w:rFonts w:asciiTheme="minorHAnsi" w:hAnsiTheme="minorHAnsi" w:cstheme="minorHAnsi"/>
        </w:rPr>
        <w:t xml:space="preserve"> Fox et al (2015) </w:t>
      </w:r>
      <w:r w:rsidRPr="00085A1F">
        <w:rPr>
          <w:rStyle w:val="BookTitle"/>
          <w:rFonts w:asciiTheme="minorHAnsi" w:hAnsiTheme="minorHAnsi" w:cstheme="minorHAnsi"/>
          <w:smallCaps w:val="0"/>
          <w:spacing w:val="0"/>
        </w:rPr>
        <w:t>Better Systems, better chances: A review of research and practice for prevention and early intervention</w:t>
      </w:r>
      <w:r w:rsidRPr="00085A1F">
        <w:rPr>
          <w:rStyle w:val="BookTitle"/>
          <w:rFonts w:asciiTheme="minorHAnsi" w:hAnsiTheme="minorHAnsi" w:cstheme="minorHAnsi"/>
          <w:i w:val="0"/>
          <w:smallCaps w:val="0"/>
          <w:spacing w:val="0"/>
        </w:rPr>
        <w:t>, ARACY</w:t>
      </w:r>
    </w:p>
  </w:endnote>
  <w:endnote w:id="39">
    <w:p w14:paraId="2D08FD41" w14:textId="1DF2A658" w:rsidR="00B45723" w:rsidRPr="00085A1F" w:rsidRDefault="00B45723" w:rsidP="00085A1F">
      <w:pPr>
        <w:pStyle w:val="EndnoteText"/>
        <w:spacing w:before="120" w:after="120"/>
        <w:rPr>
          <w:rFonts w:asciiTheme="minorHAnsi" w:hAnsiTheme="minorHAnsi" w:cstheme="minorHAnsi"/>
        </w:rPr>
      </w:pPr>
      <w:r w:rsidRPr="00085A1F">
        <w:rPr>
          <w:rStyle w:val="EndnoteReference"/>
          <w:rFonts w:asciiTheme="minorHAnsi" w:hAnsiTheme="minorHAnsi" w:cstheme="minorHAnsi"/>
        </w:rPr>
        <w:endnoteRef/>
      </w:r>
      <w:r w:rsidRPr="00085A1F">
        <w:rPr>
          <w:rFonts w:asciiTheme="minorHAnsi" w:hAnsiTheme="minorHAnsi" w:cstheme="minorHAnsi"/>
        </w:rPr>
        <w:t xml:space="preserve"> ABS (2016) </w:t>
      </w:r>
      <w:r w:rsidRPr="00085A1F">
        <w:rPr>
          <w:rFonts w:asciiTheme="minorHAnsi" w:hAnsiTheme="minorHAnsi" w:cstheme="minorHAnsi"/>
          <w:i/>
        </w:rPr>
        <w:t>Census of Population and Housing: Socio-Economic Indexes for Areas (SEIFA), Australia 2016</w:t>
      </w:r>
      <w:r w:rsidRPr="00085A1F">
        <w:rPr>
          <w:rFonts w:asciiTheme="minorHAnsi" w:hAnsiTheme="minorHAnsi" w:cstheme="minorHAnsi"/>
        </w:rPr>
        <w:t xml:space="preserve"> accessed from: </w:t>
      </w:r>
      <w:hyperlink r:id="rId12" w:history="1">
        <w:r w:rsidRPr="00085A1F">
          <w:rPr>
            <w:rStyle w:val="Hyperlink"/>
            <w:rFonts w:asciiTheme="minorHAnsi" w:hAnsiTheme="minorHAnsi" w:cstheme="minorHAnsi"/>
            <w:sz w:val="20"/>
          </w:rPr>
          <w:t>http://www.abs.gov.au/ausstats/abs@.nsf/Lookup/by%20Subject/2033.0.55.001~2016~Media%20Release~Census%20shows%20our%20most%20advantaged%20&amp;%20disadvantaged%20areas%20(Media%20Release)~25</w:t>
        </w:r>
      </w:hyperlink>
      <w:r w:rsidRPr="00085A1F">
        <w:rPr>
          <w:rFonts w:asciiTheme="minorHAnsi" w:hAnsiTheme="minorHAnsi" w:cstheme="minorHAnsi"/>
        </w:rPr>
        <w:t xml:space="preserve"> </w:t>
      </w:r>
    </w:p>
  </w:endnote>
  <w:endnote w:id="40">
    <w:p w14:paraId="6F3D91E4" w14:textId="3C6F0329" w:rsidR="00B45723" w:rsidRPr="00085A1F" w:rsidRDefault="00B45723" w:rsidP="00085A1F">
      <w:pPr>
        <w:spacing w:after="120" w:line="240" w:lineRule="auto"/>
        <w:rPr>
          <w:rFonts w:asciiTheme="minorHAnsi" w:hAnsiTheme="minorHAnsi" w:cstheme="minorHAnsi"/>
          <w:spacing w:val="0"/>
        </w:rPr>
      </w:pPr>
      <w:r w:rsidRPr="00085A1F">
        <w:rPr>
          <w:rStyle w:val="EndnoteReference"/>
          <w:rFonts w:asciiTheme="minorHAnsi" w:hAnsiTheme="minorHAnsi" w:cstheme="minorHAnsi"/>
          <w:sz w:val="20"/>
          <w:szCs w:val="20"/>
        </w:rPr>
        <w:endnoteRef/>
      </w:r>
      <w:r w:rsidRPr="00085A1F">
        <w:rPr>
          <w:rFonts w:asciiTheme="minorHAnsi" w:hAnsiTheme="minorHAnsi" w:cstheme="minorHAnsi"/>
          <w:sz w:val="20"/>
          <w:szCs w:val="20"/>
        </w:rPr>
        <w:t xml:space="preserve"> Smerdon</w:t>
      </w:r>
      <w:r w:rsidR="00DA78B0">
        <w:rPr>
          <w:rFonts w:asciiTheme="minorHAnsi" w:hAnsiTheme="minorHAnsi" w:cstheme="minorHAnsi"/>
          <w:sz w:val="20"/>
          <w:szCs w:val="20"/>
        </w:rPr>
        <w:t>,</w:t>
      </w:r>
      <w:r w:rsidRPr="00085A1F">
        <w:rPr>
          <w:rFonts w:asciiTheme="minorHAnsi" w:hAnsiTheme="minorHAnsi" w:cstheme="minorHAnsi"/>
          <w:sz w:val="20"/>
          <w:szCs w:val="20"/>
        </w:rPr>
        <w:t xml:space="preserve"> X. (2015) </w:t>
      </w:r>
      <w:r w:rsidRPr="00085A1F">
        <w:rPr>
          <w:rFonts w:asciiTheme="minorHAnsi" w:hAnsiTheme="minorHAnsi" w:cstheme="minorHAnsi"/>
          <w:i/>
          <w:sz w:val="20"/>
          <w:szCs w:val="20"/>
        </w:rPr>
        <w:t>Collective Impacts $1m Search finds Burnie</w:t>
      </w:r>
      <w:r w:rsidRPr="00085A1F">
        <w:rPr>
          <w:rFonts w:asciiTheme="minorHAnsi" w:hAnsiTheme="minorHAnsi" w:cstheme="minorHAnsi"/>
          <w:sz w:val="20"/>
          <w:szCs w:val="20"/>
        </w:rPr>
        <w:t xml:space="preserve"> accessed from: </w:t>
      </w:r>
      <w:r w:rsidRPr="00085A1F">
        <w:rPr>
          <w:rFonts w:asciiTheme="minorHAnsi" w:hAnsiTheme="minorHAnsi" w:cstheme="minorHAnsi"/>
          <w:color w:val="0000FF"/>
          <w:spacing w:val="0"/>
          <w:sz w:val="20"/>
          <w:szCs w:val="20"/>
          <w:u w:val="single"/>
        </w:rPr>
        <w:t>https://probonoaustralia.com.au/news/2015/03/collective-impacts-1m-search-finds-burnie/</w:t>
      </w:r>
    </w:p>
  </w:endnote>
  <w:endnote w:id="41">
    <w:p w14:paraId="7B0AA039" w14:textId="3ECD87B7" w:rsidR="00B45723" w:rsidRPr="00085A1F" w:rsidRDefault="00B45723" w:rsidP="00085A1F">
      <w:pPr>
        <w:pStyle w:val="EndnoteText"/>
        <w:spacing w:before="120" w:after="120"/>
        <w:rPr>
          <w:rFonts w:asciiTheme="minorHAnsi" w:hAnsiTheme="minorHAnsi" w:cstheme="minorHAnsi"/>
        </w:rPr>
      </w:pPr>
      <w:r w:rsidRPr="00085A1F">
        <w:rPr>
          <w:rStyle w:val="EndnoteReference"/>
          <w:rFonts w:asciiTheme="minorHAnsi" w:hAnsiTheme="minorHAnsi" w:cstheme="minorHAnsi"/>
        </w:rPr>
        <w:endnoteRef/>
      </w:r>
      <w:r w:rsidRPr="00085A1F">
        <w:rPr>
          <w:rFonts w:asciiTheme="minorHAnsi" w:hAnsiTheme="minorHAnsi" w:cstheme="minorHAnsi"/>
        </w:rPr>
        <w:t xml:space="preserve"> FRSA (2012) </w:t>
      </w:r>
      <w:r w:rsidRPr="00085A1F">
        <w:rPr>
          <w:rFonts w:asciiTheme="minorHAnsi" w:hAnsiTheme="minorHAnsi" w:cstheme="minorHAnsi"/>
          <w:i/>
        </w:rPr>
        <w:t>Vulnerable and Disadvantaged Client Strategy Report 2012</w:t>
      </w:r>
      <w:r w:rsidR="00DA78B0">
        <w:rPr>
          <w:rFonts w:asciiTheme="minorHAnsi" w:hAnsiTheme="minorHAnsi" w:cstheme="minorHAnsi"/>
          <w:i/>
        </w:rPr>
        <w:t>,</w:t>
      </w:r>
      <w:r w:rsidRPr="00085A1F">
        <w:rPr>
          <w:rFonts w:asciiTheme="minorHAnsi" w:hAnsiTheme="minorHAnsi" w:cstheme="minorHAnsi"/>
        </w:rPr>
        <w:t xml:space="preserve"> Canberra</w:t>
      </w:r>
      <w:r w:rsidR="00DA78B0">
        <w:rPr>
          <w:rFonts w:asciiTheme="minorHAnsi" w:hAnsiTheme="minorHAnsi" w:cstheme="minorHAnsi"/>
        </w:rPr>
        <w:t>,</w:t>
      </w:r>
      <w:r w:rsidRPr="00085A1F">
        <w:rPr>
          <w:rFonts w:asciiTheme="minorHAnsi" w:hAnsiTheme="minorHAnsi" w:cstheme="minorHAnsi"/>
        </w:rPr>
        <w:t xml:space="preserve"> FRSA</w:t>
      </w:r>
    </w:p>
  </w:endnote>
  <w:endnote w:id="42">
    <w:p w14:paraId="2E72F863" w14:textId="21A772F9" w:rsidR="00B45723" w:rsidRPr="00085A1F" w:rsidRDefault="00B45723" w:rsidP="00085A1F">
      <w:pPr>
        <w:pStyle w:val="EndnoteText"/>
        <w:spacing w:before="120" w:after="120"/>
        <w:rPr>
          <w:rFonts w:asciiTheme="minorHAnsi" w:hAnsiTheme="minorHAnsi" w:cstheme="minorHAnsi"/>
        </w:rPr>
      </w:pPr>
      <w:r w:rsidRPr="00085A1F">
        <w:rPr>
          <w:rStyle w:val="EndnoteReference"/>
          <w:rFonts w:asciiTheme="minorHAnsi" w:hAnsiTheme="minorHAnsi" w:cstheme="minorHAnsi"/>
        </w:rPr>
        <w:endnoteRef/>
      </w:r>
      <w:r w:rsidRPr="00085A1F">
        <w:rPr>
          <w:rFonts w:asciiTheme="minorHAnsi" w:hAnsiTheme="minorHAnsi" w:cstheme="minorHAnsi"/>
        </w:rPr>
        <w:t xml:space="preserve"> Pawson</w:t>
      </w:r>
      <w:r w:rsidR="00DA78B0">
        <w:rPr>
          <w:rFonts w:asciiTheme="minorHAnsi" w:hAnsiTheme="minorHAnsi" w:cstheme="minorHAnsi"/>
        </w:rPr>
        <w:t>,</w:t>
      </w:r>
      <w:r w:rsidRPr="00085A1F">
        <w:rPr>
          <w:rFonts w:asciiTheme="minorHAnsi" w:hAnsiTheme="minorHAnsi" w:cstheme="minorHAnsi"/>
        </w:rPr>
        <w:t xml:space="preserve"> H., Davison</w:t>
      </w:r>
      <w:r w:rsidR="00DA78B0">
        <w:rPr>
          <w:rFonts w:asciiTheme="minorHAnsi" w:hAnsiTheme="minorHAnsi" w:cstheme="minorHAnsi"/>
        </w:rPr>
        <w:t>,</w:t>
      </w:r>
      <w:r w:rsidRPr="00085A1F">
        <w:rPr>
          <w:rFonts w:asciiTheme="minorHAnsi" w:hAnsiTheme="minorHAnsi" w:cstheme="minorHAnsi"/>
        </w:rPr>
        <w:t xml:space="preserve"> G. and Wiesal</w:t>
      </w:r>
      <w:r w:rsidR="00DA78B0">
        <w:rPr>
          <w:rFonts w:asciiTheme="minorHAnsi" w:hAnsiTheme="minorHAnsi" w:cstheme="minorHAnsi"/>
        </w:rPr>
        <w:t>,</w:t>
      </w:r>
      <w:r w:rsidRPr="00085A1F">
        <w:rPr>
          <w:rFonts w:asciiTheme="minorHAnsi" w:hAnsiTheme="minorHAnsi" w:cstheme="minorHAnsi"/>
        </w:rPr>
        <w:t xml:space="preserve"> I (2012) </w:t>
      </w:r>
      <w:r w:rsidR="00DA78B0" w:rsidRPr="00085A1F">
        <w:rPr>
          <w:rFonts w:asciiTheme="minorHAnsi" w:hAnsiTheme="minorHAnsi" w:cstheme="minorHAnsi"/>
          <w:i/>
        </w:rPr>
        <w:t>Addressing</w:t>
      </w:r>
      <w:r w:rsidRPr="00085A1F">
        <w:rPr>
          <w:rFonts w:asciiTheme="minorHAnsi" w:hAnsiTheme="minorHAnsi" w:cstheme="minorHAnsi"/>
          <w:i/>
        </w:rPr>
        <w:t xml:space="preserve"> concentrations of disadvantage: policy, practice and literature review,</w:t>
      </w:r>
      <w:r w:rsidRPr="00085A1F">
        <w:rPr>
          <w:rFonts w:asciiTheme="minorHAnsi" w:hAnsiTheme="minorHAnsi" w:cstheme="minorHAnsi"/>
        </w:rPr>
        <w:t xml:space="preserve"> Melbourne, AHURI</w:t>
      </w:r>
    </w:p>
  </w:endnote>
  <w:endnote w:id="43">
    <w:p w14:paraId="60264261" w14:textId="645ABB82" w:rsidR="00B45723" w:rsidRPr="00085A1F" w:rsidRDefault="00B45723" w:rsidP="00085A1F">
      <w:pPr>
        <w:pStyle w:val="EndnoteText"/>
        <w:spacing w:before="120" w:after="120"/>
        <w:rPr>
          <w:rFonts w:asciiTheme="minorHAnsi" w:hAnsiTheme="minorHAnsi" w:cstheme="minorHAnsi"/>
        </w:rPr>
      </w:pPr>
      <w:r w:rsidRPr="00085A1F">
        <w:rPr>
          <w:rStyle w:val="EndnoteReference"/>
          <w:rFonts w:asciiTheme="minorHAnsi" w:hAnsiTheme="minorHAnsi" w:cstheme="minorHAnsi"/>
        </w:rPr>
        <w:endnoteRef/>
      </w:r>
      <w:r w:rsidRPr="00085A1F">
        <w:rPr>
          <w:rFonts w:asciiTheme="minorHAnsi" w:hAnsiTheme="minorHAnsi" w:cstheme="minorHAnsi"/>
        </w:rPr>
        <w:t xml:space="preserve"> Byron</w:t>
      </w:r>
      <w:r w:rsidR="00DA78B0">
        <w:rPr>
          <w:rFonts w:asciiTheme="minorHAnsi" w:hAnsiTheme="minorHAnsi" w:cstheme="minorHAnsi"/>
        </w:rPr>
        <w:t>,</w:t>
      </w:r>
      <w:r w:rsidRPr="00085A1F">
        <w:rPr>
          <w:rFonts w:asciiTheme="minorHAnsi" w:hAnsiTheme="minorHAnsi" w:cstheme="minorHAnsi"/>
        </w:rPr>
        <w:t xml:space="preserve"> I</w:t>
      </w:r>
      <w:r w:rsidR="00DA78B0">
        <w:rPr>
          <w:rFonts w:asciiTheme="minorHAnsi" w:hAnsiTheme="minorHAnsi" w:cstheme="minorHAnsi"/>
        </w:rPr>
        <w:t>.</w:t>
      </w:r>
      <w:r w:rsidRPr="00085A1F">
        <w:rPr>
          <w:rFonts w:asciiTheme="minorHAnsi" w:hAnsiTheme="minorHAnsi" w:cstheme="minorHAnsi"/>
        </w:rPr>
        <w:t xml:space="preserve"> (2010) Place-based approaches to addressing disadvantage, </w:t>
      </w:r>
      <w:r w:rsidRPr="00085A1F">
        <w:rPr>
          <w:rFonts w:asciiTheme="minorHAnsi" w:hAnsiTheme="minorHAnsi" w:cstheme="minorHAnsi"/>
          <w:i/>
        </w:rPr>
        <w:t xml:space="preserve">Family Matters </w:t>
      </w:r>
      <w:r w:rsidRPr="00085A1F">
        <w:rPr>
          <w:rFonts w:asciiTheme="minorHAnsi" w:hAnsiTheme="minorHAnsi" w:cstheme="minorHAnsi"/>
        </w:rPr>
        <w:t>no. 84</w:t>
      </w:r>
    </w:p>
  </w:endnote>
  <w:endnote w:id="44">
    <w:p w14:paraId="4448994A" w14:textId="1B41C23E" w:rsidR="00B45723" w:rsidRDefault="00B45723" w:rsidP="00B45723">
      <w:r>
        <w:rPr>
          <w:rStyle w:val="EndnoteReference"/>
        </w:rPr>
        <w:endnoteRef/>
      </w:r>
      <w:r>
        <w:t xml:space="preserve"> </w:t>
      </w:r>
      <w:r w:rsidRPr="00B45723">
        <w:rPr>
          <w:rFonts w:asciiTheme="minorHAnsi" w:hAnsiTheme="minorHAnsi" w:cstheme="minorHAnsi"/>
          <w:sz w:val="20"/>
          <w:szCs w:val="20"/>
        </w:rPr>
        <w:t xml:space="preserve">Ware, </w:t>
      </w:r>
      <w:r w:rsidR="00DA78B0">
        <w:rPr>
          <w:rFonts w:asciiTheme="minorHAnsi" w:hAnsiTheme="minorHAnsi" w:cstheme="minorHAnsi"/>
          <w:sz w:val="20"/>
          <w:szCs w:val="20"/>
        </w:rPr>
        <w:t xml:space="preserve">V.A., </w:t>
      </w:r>
      <w:r w:rsidRPr="00B45723">
        <w:rPr>
          <w:rFonts w:asciiTheme="minorHAnsi" w:hAnsiTheme="minorHAnsi" w:cstheme="minorHAnsi"/>
          <w:sz w:val="20"/>
          <w:szCs w:val="20"/>
        </w:rPr>
        <w:t>Gronda</w:t>
      </w:r>
      <w:r w:rsidR="00DA78B0">
        <w:rPr>
          <w:rFonts w:asciiTheme="minorHAnsi" w:hAnsiTheme="minorHAnsi" w:cstheme="minorHAnsi"/>
          <w:sz w:val="20"/>
          <w:szCs w:val="20"/>
        </w:rPr>
        <w:t>,</w:t>
      </w:r>
      <w:r w:rsidRPr="00B45723">
        <w:rPr>
          <w:rFonts w:asciiTheme="minorHAnsi" w:hAnsiTheme="minorHAnsi" w:cstheme="minorHAnsi"/>
          <w:sz w:val="20"/>
          <w:szCs w:val="20"/>
        </w:rPr>
        <w:t xml:space="preserve"> </w:t>
      </w:r>
      <w:r w:rsidR="00DA78B0">
        <w:rPr>
          <w:rFonts w:asciiTheme="minorHAnsi" w:hAnsiTheme="minorHAnsi" w:cstheme="minorHAnsi"/>
          <w:sz w:val="20"/>
          <w:szCs w:val="20"/>
        </w:rPr>
        <w:t>H. and</w:t>
      </w:r>
      <w:r w:rsidRPr="00B45723">
        <w:rPr>
          <w:rFonts w:asciiTheme="minorHAnsi" w:hAnsiTheme="minorHAnsi" w:cstheme="minorHAnsi"/>
          <w:sz w:val="20"/>
          <w:szCs w:val="20"/>
        </w:rPr>
        <w:t xml:space="preserve"> Vitis</w:t>
      </w:r>
      <w:r w:rsidR="00DA78B0">
        <w:rPr>
          <w:rFonts w:asciiTheme="minorHAnsi" w:hAnsiTheme="minorHAnsi" w:cstheme="minorHAnsi"/>
          <w:sz w:val="20"/>
          <w:szCs w:val="20"/>
        </w:rPr>
        <w:t>, L.</w:t>
      </w:r>
      <w:r w:rsidRPr="00B45723">
        <w:rPr>
          <w:rFonts w:asciiTheme="minorHAnsi" w:hAnsiTheme="minorHAnsi" w:cstheme="minorHAnsi"/>
          <w:sz w:val="20"/>
          <w:szCs w:val="20"/>
        </w:rPr>
        <w:t xml:space="preserve"> (2010), </w:t>
      </w:r>
      <w:r w:rsidRPr="00B45723">
        <w:rPr>
          <w:rFonts w:asciiTheme="minorHAnsi" w:hAnsiTheme="minorHAnsi" w:cstheme="minorHAnsi"/>
          <w:i/>
          <w:sz w:val="20"/>
          <w:szCs w:val="20"/>
        </w:rPr>
        <w:t>Addressing locational disadvantage effectively</w:t>
      </w:r>
      <w:r w:rsidRPr="00B45723">
        <w:rPr>
          <w:rFonts w:asciiTheme="minorHAnsi" w:hAnsiTheme="minorHAnsi" w:cstheme="minorHAnsi"/>
          <w:sz w:val="20"/>
          <w:szCs w:val="20"/>
        </w:rPr>
        <w:t xml:space="preserve">, AHURI; and Byron I (2010) Place-based approaches to addressing disadvantage </w:t>
      </w:r>
      <w:r w:rsidRPr="00B45723">
        <w:rPr>
          <w:rFonts w:asciiTheme="minorHAnsi" w:hAnsiTheme="minorHAnsi" w:cstheme="minorHAnsi"/>
          <w:i/>
          <w:sz w:val="20"/>
          <w:szCs w:val="20"/>
        </w:rPr>
        <w:t>Family Matters</w:t>
      </w:r>
      <w:r w:rsidRPr="00B45723">
        <w:rPr>
          <w:rFonts w:asciiTheme="minorHAnsi" w:hAnsiTheme="minorHAnsi" w:cstheme="minorHAnsi"/>
          <w:sz w:val="20"/>
          <w:szCs w:val="20"/>
        </w:rPr>
        <w:t xml:space="preserve"> </w:t>
      </w:r>
      <w:r>
        <w:rPr>
          <w:rFonts w:asciiTheme="minorHAnsi" w:hAnsiTheme="minorHAnsi" w:cstheme="minorHAnsi"/>
        </w:rPr>
        <w:t>n</w:t>
      </w:r>
      <w:r w:rsidRPr="00B45723">
        <w:rPr>
          <w:rFonts w:asciiTheme="minorHAnsi" w:hAnsiTheme="minorHAnsi" w:cstheme="minorHAnsi"/>
          <w:sz w:val="20"/>
          <w:szCs w:val="20"/>
        </w:rPr>
        <w:t>o 84.</w:t>
      </w:r>
    </w:p>
  </w:endnote>
  <w:endnote w:id="45">
    <w:p w14:paraId="4C7ADB06" w14:textId="7C56EB59" w:rsidR="00B45723" w:rsidRPr="00085A1F" w:rsidRDefault="00B45723" w:rsidP="00085A1F">
      <w:pPr>
        <w:pStyle w:val="EndnoteText"/>
        <w:spacing w:before="120" w:after="120"/>
        <w:rPr>
          <w:rFonts w:asciiTheme="minorHAnsi" w:hAnsiTheme="minorHAnsi" w:cstheme="minorHAnsi"/>
        </w:rPr>
      </w:pPr>
      <w:r w:rsidRPr="00085A1F">
        <w:rPr>
          <w:rStyle w:val="EndnoteReference"/>
          <w:rFonts w:asciiTheme="minorHAnsi" w:hAnsiTheme="minorHAnsi" w:cstheme="minorHAnsi"/>
        </w:rPr>
        <w:endnoteRef/>
      </w:r>
      <w:r w:rsidRPr="00085A1F">
        <w:rPr>
          <w:rFonts w:asciiTheme="minorHAnsi" w:hAnsiTheme="minorHAnsi" w:cstheme="minorHAnsi"/>
        </w:rPr>
        <w:t xml:space="preserve"> Department of Social Services (2014) </w:t>
      </w:r>
      <w:r w:rsidRPr="00085A1F">
        <w:rPr>
          <w:rFonts w:asciiTheme="minorHAnsi" w:hAnsiTheme="minorHAnsi" w:cstheme="minorHAnsi"/>
          <w:i/>
        </w:rPr>
        <w:t xml:space="preserve">The DSS Data Exchange Framework: A new approach for streamlined programme performance reporting, </w:t>
      </w:r>
      <w:r w:rsidRPr="00085A1F">
        <w:rPr>
          <w:rFonts w:asciiTheme="minorHAnsi" w:hAnsiTheme="minorHAnsi" w:cstheme="minorHAnsi"/>
        </w:rPr>
        <w:t>Commonwealth of Australia</w:t>
      </w:r>
    </w:p>
  </w:endnote>
  <w:endnote w:id="46">
    <w:p w14:paraId="768203EE" w14:textId="0FA49143" w:rsidR="00B45723" w:rsidRPr="00085A1F" w:rsidRDefault="00B45723" w:rsidP="00085A1F">
      <w:pPr>
        <w:pStyle w:val="EndnoteText"/>
        <w:spacing w:before="120" w:after="120"/>
        <w:rPr>
          <w:rFonts w:asciiTheme="minorHAnsi" w:hAnsiTheme="minorHAnsi" w:cstheme="minorHAnsi"/>
        </w:rPr>
      </w:pPr>
      <w:r w:rsidRPr="00085A1F">
        <w:rPr>
          <w:rStyle w:val="EndnoteReference"/>
          <w:rFonts w:asciiTheme="minorHAnsi" w:hAnsiTheme="minorHAnsi" w:cstheme="minorHAnsi"/>
        </w:rPr>
        <w:endnoteRef/>
      </w:r>
      <w:r w:rsidRPr="00085A1F">
        <w:rPr>
          <w:rFonts w:asciiTheme="minorHAnsi" w:hAnsiTheme="minorHAnsi" w:cstheme="minorHAnsi"/>
        </w:rPr>
        <w:t xml:space="preserve"> Families Australia (2018) DEX Survey</w:t>
      </w:r>
    </w:p>
  </w:endnote>
  <w:endnote w:id="47">
    <w:p w14:paraId="4243363C" w14:textId="21CA2DD8" w:rsidR="00B45723" w:rsidRPr="00085A1F" w:rsidRDefault="00B45723" w:rsidP="00085A1F">
      <w:pPr>
        <w:pStyle w:val="EndnoteText"/>
        <w:spacing w:before="120" w:after="120"/>
        <w:rPr>
          <w:rFonts w:asciiTheme="minorHAnsi" w:hAnsiTheme="minorHAnsi" w:cstheme="minorHAnsi"/>
        </w:rPr>
      </w:pPr>
      <w:r w:rsidRPr="00085A1F">
        <w:rPr>
          <w:rStyle w:val="EndnoteReference"/>
          <w:rFonts w:asciiTheme="minorHAnsi" w:hAnsiTheme="minorHAnsi" w:cstheme="minorHAnsi"/>
        </w:rPr>
        <w:endnoteRef/>
      </w:r>
      <w:r w:rsidRPr="00085A1F">
        <w:rPr>
          <w:rFonts w:asciiTheme="minorHAnsi" w:hAnsiTheme="minorHAnsi" w:cstheme="minorHAnsi"/>
        </w:rPr>
        <w:t xml:space="preserve"> Fox et al (2015) </w:t>
      </w:r>
      <w:r w:rsidRPr="00301C0C">
        <w:rPr>
          <w:rStyle w:val="BookTitle"/>
          <w:rFonts w:asciiTheme="minorHAnsi" w:hAnsiTheme="minorHAnsi" w:cstheme="minorHAnsi"/>
          <w:smallCaps w:val="0"/>
          <w:spacing w:val="0"/>
        </w:rPr>
        <w:t>Better Systems, better chances: A review of research and practice for prevention and early intervention</w:t>
      </w:r>
      <w:r w:rsidRPr="00301C0C">
        <w:rPr>
          <w:rStyle w:val="BookTitle"/>
          <w:rFonts w:asciiTheme="minorHAnsi" w:hAnsiTheme="minorHAnsi" w:cstheme="minorHAnsi"/>
          <w:i w:val="0"/>
          <w:smallCaps w:val="0"/>
          <w:spacing w:val="0"/>
        </w:rPr>
        <w:t xml:space="preserve">, ARACY </w:t>
      </w:r>
    </w:p>
  </w:endnote>
  <w:endnote w:id="48">
    <w:p w14:paraId="5151F5C5" w14:textId="5AB14C57" w:rsidR="00B45723" w:rsidRPr="00085A1F" w:rsidRDefault="00B45723" w:rsidP="00085A1F">
      <w:pPr>
        <w:pStyle w:val="EndnoteText"/>
        <w:spacing w:before="120" w:after="120"/>
        <w:rPr>
          <w:rFonts w:asciiTheme="minorHAnsi" w:hAnsiTheme="minorHAnsi" w:cstheme="minorHAnsi"/>
        </w:rPr>
      </w:pPr>
      <w:r w:rsidRPr="00085A1F">
        <w:rPr>
          <w:rStyle w:val="EndnoteReference"/>
          <w:rFonts w:asciiTheme="minorHAnsi" w:hAnsiTheme="minorHAnsi" w:cstheme="minorHAnsi"/>
        </w:rPr>
        <w:endnoteRef/>
      </w:r>
      <w:r w:rsidRPr="00085A1F">
        <w:rPr>
          <w:rFonts w:asciiTheme="minorHAnsi" w:hAnsiTheme="minorHAnsi" w:cstheme="minorHAnsi"/>
        </w:rPr>
        <w:t xml:space="preserve"> Heckman</w:t>
      </w:r>
      <w:r w:rsidR="00AB3755">
        <w:rPr>
          <w:rFonts w:asciiTheme="minorHAnsi" w:hAnsiTheme="minorHAnsi" w:cstheme="minorHAnsi"/>
        </w:rPr>
        <w:t>,</w:t>
      </w:r>
      <w:r w:rsidRPr="00085A1F">
        <w:rPr>
          <w:rFonts w:asciiTheme="minorHAnsi" w:hAnsiTheme="minorHAnsi" w:cstheme="minorHAnsi"/>
        </w:rPr>
        <w:t xml:space="preserve"> J (2008) Schools, skills and synapses</w:t>
      </w:r>
      <w:r w:rsidRPr="00085A1F">
        <w:rPr>
          <w:rFonts w:asciiTheme="minorHAnsi" w:hAnsiTheme="minorHAnsi" w:cstheme="minorHAnsi"/>
          <w:i/>
        </w:rPr>
        <w:t>, Economic Inquiry</w:t>
      </w:r>
      <w:r w:rsidRPr="00085A1F">
        <w:rPr>
          <w:rFonts w:asciiTheme="minorHAnsi" w:hAnsiTheme="minorHAnsi" w:cstheme="minorHAnsi"/>
        </w:rPr>
        <w:t xml:space="preserve"> v46 i3</w:t>
      </w:r>
    </w:p>
  </w:endnote>
  <w:endnote w:id="49">
    <w:p w14:paraId="18FCD12E" w14:textId="598AB1C1" w:rsidR="00B45723" w:rsidRPr="00085A1F" w:rsidRDefault="00B45723" w:rsidP="00085A1F">
      <w:pPr>
        <w:pStyle w:val="EndnoteText"/>
        <w:spacing w:before="120" w:after="120"/>
        <w:rPr>
          <w:rFonts w:asciiTheme="minorHAnsi" w:hAnsiTheme="minorHAnsi" w:cstheme="minorHAnsi"/>
        </w:rPr>
      </w:pPr>
      <w:r w:rsidRPr="00085A1F">
        <w:rPr>
          <w:rStyle w:val="EndnoteReference"/>
          <w:rFonts w:asciiTheme="minorHAnsi" w:hAnsiTheme="minorHAnsi" w:cstheme="minorHAnsi"/>
        </w:rPr>
        <w:endnoteRef/>
      </w:r>
      <w:r w:rsidRPr="00085A1F">
        <w:rPr>
          <w:rFonts w:asciiTheme="minorHAnsi" w:hAnsiTheme="minorHAnsi" w:cstheme="minorHAnsi"/>
        </w:rPr>
        <w:t xml:space="preserve"> </w:t>
      </w:r>
      <w:r w:rsidRPr="00085A1F">
        <w:rPr>
          <w:rStyle w:val="BookTitle"/>
          <w:rFonts w:asciiTheme="minorHAnsi" w:hAnsiTheme="minorHAnsi" w:cstheme="minorHAnsi"/>
          <w:i w:val="0"/>
          <w:smallCaps w:val="0"/>
          <w:spacing w:val="0"/>
        </w:rPr>
        <w:t>Kilburn</w:t>
      </w:r>
      <w:r w:rsidR="00AB3755">
        <w:rPr>
          <w:rStyle w:val="BookTitle"/>
          <w:rFonts w:asciiTheme="minorHAnsi" w:hAnsiTheme="minorHAnsi" w:cstheme="minorHAnsi"/>
          <w:i w:val="0"/>
          <w:smallCaps w:val="0"/>
          <w:spacing w:val="0"/>
        </w:rPr>
        <w:t>,</w:t>
      </w:r>
      <w:r w:rsidRPr="00085A1F">
        <w:rPr>
          <w:rStyle w:val="BookTitle"/>
          <w:rFonts w:asciiTheme="minorHAnsi" w:hAnsiTheme="minorHAnsi" w:cstheme="minorHAnsi"/>
          <w:i w:val="0"/>
          <w:smallCaps w:val="0"/>
          <w:spacing w:val="0"/>
        </w:rPr>
        <w:t xml:space="preserve"> R. and Karoly</w:t>
      </w:r>
      <w:r w:rsidR="00AB3755">
        <w:rPr>
          <w:rStyle w:val="BookTitle"/>
          <w:rFonts w:asciiTheme="minorHAnsi" w:hAnsiTheme="minorHAnsi" w:cstheme="minorHAnsi"/>
          <w:i w:val="0"/>
          <w:smallCaps w:val="0"/>
          <w:spacing w:val="0"/>
        </w:rPr>
        <w:t>,</w:t>
      </w:r>
      <w:r w:rsidRPr="00085A1F">
        <w:rPr>
          <w:rStyle w:val="BookTitle"/>
          <w:rFonts w:asciiTheme="minorHAnsi" w:hAnsiTheme="minorHAnsi" w:cstheme="minorHAnsi"/>
          <w:i w:val="0"/>
          <w:smallCaps w:val="0"/>
          <w:spacing w:val="0"/>
        </w:rPr>
        <w:t xml:space="preserve"> L. (2008) </w:t>
      </w:r>
      <w:r w:rsidRPr="00085A1F">
        <w:rPr>
          <w:rStyle w:val="BookTitle"/>
          <w:rFonts w:asciiTheme="minorHAnsi" w:hAnsiTheme="minorHAnsi" w:cstheme="minorHAnsi"/>
          <w:smallCaps w:val="0"/>
          <w:spacing w:val="0"/>
        </w:rPr>
        <w:t xml:space="preserve">The Economics of Early Childhood Policy: What the Dismal Science Has to Say About Investing in Children, </w:t>
      </w:r>
      <w:r w:rsidRPr="00085A1F">
        <w:rPr>
          <w:rStyle w:val="BookTitle"/>
          <w:rFonts w:asciiTheme="minorHAnsi" w:hAnsiTheme="minorHAnsi" w:cstheme="minorHAnsi"/>
          <w:i w:val="0"/>
          <w:smallCaps w:val="0"/>
          <w:spacing w:val="0"/>
        </w:rPr>
        <w:t>Santa Monica, RAND Corporation</w:t>
      </w:r>
    </w:p>
  </w:endnote>
  <w:endnote w:id="50">
    <w:p w14:paraId="66DAB05D" w14:textId="2030B7A2" w:rsidR="00B45723" w:rsidRDefault="00B45723">
      <w:pPr>
        <w:pStyle w:val="EndnoteText"/>
      </w:pPr>
      <w:r>
        <w:rPr>
          <w:rStyle w:val="EndnoteReference"/>
        </w:rPr>
        <w:endnoteRef/>
      </w:r>
      <w:r>
        <w:t xml:space="preserve"> </w:t>
      </w:r>
      <w:r w:rsidRPr="00085A1F">
        <w:rPr>
          <w:rStyle w:val="BookTitle"/>
          <w:rFonts w:eastAsiaTheme="majorEastAsia"/>
          <w:i w:val="0"/>
          <w:iCs w:val="0"/>
          <w:smallCaps w:val="0"/>
        </w:rPr>
        <w:t xml:space="preserve">AIFS (2018) </w:t>
      </w:r>
      <w:r w:rsidRPr="00085A1F">
        <w:rPr>
          <w:rStyle w:val="BookTitle"/>
          <w:rFonts w:eastAsiaTheme="majorEastAsia"/>
          <w:smallCaps w:val="0"/>
        </w:rPr>
        <w:t>Initial findings from the FaRS/SFVS survey</w:t>
      </w:r>
      <w:r>
        <w:rPr>
          <w:rStyle w:val="BookTitle"/>
          <w:rFonts w:eastAsiaTheme="majorEastAsia"/>
          <w:smallCaps w:val="0"/>
        </w:rPr>
        <w:t xml:space="preserve">, </w:t>
      </w:r>
      <w:r w:rsidRPr="00085A1F">
        <w:rPr>
          <w:rStyle w:val="BookTitle"/>
          <w:rFonts w:eastAsiaTheme="majorEastAsia"/>
          <w:i w:val="0"/>
          <w:smallCaps w:val="0"/>
        </w:rPr>
        <w:t>AIFS</w:t>
      </w:r>
    </w:p>
  </w:endnote>
  <w:endnote w:id="51">
    <w:p w14:paraId="22E4322F" w14:textId="7E12E65E" w:rsidR="00B45723" w:rsidRPr="00085A1F" w:rsidRDefault="00B45723" w:rsidP="00085A1F">
      <w:pPr>
        <w:pStyle w:val="EndnoteText"/>
        <w:spacing w:before="120" w:after="120"/>
        <w:rPr>
          <w:rFonts w:asciiTheme="minorHAnsi" w:hAnsiTheme="minorHAnsi" w:cstheme="minorHAnsi"/>
        </w:rPr>
      </w:pPr>
      <w:r w:rsidRPr="00085A1F">
        <w:rPr>
          <w:rStyle w:val="EndnoteReference"/>
          <w:rFonts w:asciiTheme="minorHAnsi" w:hAnsiTheme="minorHAnsi" w:cstheme="minorHAnsi"/>
        </w:rPr>
        <w:endnoteRef/>
      </w:r>
      <w:r w:rsidRPr="00085A1F">
        <w:rPr>
          <w:rFonts w:asciiTheme="minorHAnsi" w:hAnsiTheme="minorHAnsi" w:cstheme="minorHAnsi"/>
        </w:rPr>
        <w:t xml:space="preserve">New South Wales Family and Community Services (2018) </w:t>
      </w:r>
      <w:r w:rsidRPr="00085A1F">
        <w:rPr>
          <w:rFonts w:asciiTheme="minorHAnsi" w:hAnsiTheme="minorHAnsi" w:cstheme="minorHAnsi"/>
          <w:i/>
        </w:rPr>
        <w:t>Targeted Earlier Intervention program reform</w:t>
      </w:r>
      <w:r w:rsidR="00AB3755">
        <w:rPr>
          <w:rFonts w:asciiTheme="minorHAnsi" w:hAnsiTheme="minorHAnsi" w:cstheme="minorHAnsi"/>
          <w:i/>
        </w:rPr>
        <w:t> </w:t>
      </w:r>
      <w:r w:rsidRPr="00085A1F">
        <w:rPr>
          <w:rFonts w:asciiTheme="minorHAnsi" w:hAnsiTheme="minorHAnsi" w:cstheme="minorHAnsi"/>
          <w:i/>
        </w:rPr>
        <w:t xml:space="preserve">(TEI) </w:t>
      </w:r>
      <w:r w:rsidRPr="00085A1F">
        <w:rPr>
          <w:rFonts w:asciiTheme="minorHAnsi" w:hAnsiTheme="minorHAnsi" w:cstheme="minorHAnsi"/>
        </w:rPr>
        <w:t xml:space="preserve">accessed from: </w:t>
      </w:r>
      <w:hyperlink r:id="rId13" w:history="1">
        <w:r w:rsidRPr="00085A1F">
          <w:rPr>
            <w:rStyle w:val="Hyperlink"/>
            <w:rFonts w:asciiTheme="minorHAnsi" w:hAnsiTheme="minorHAnsi" w:cstheme="minorHAnsi"/>
            <w:sz w:val="20"/>
          </w:rPr>
          <w:t>https://www.facs.nsw.gov.au/about/reforms/children-families/TEI</w:t>
        </w:r>
      </w:hyperlink>
      <w:r w:rsidRPr="00085A1F">
        <w:rPr>
          <w:rFonts w:asciiTheme="minorHAnsi" w:hAnsiTheme="minorHAnsi" w:cstheme="minorHAnsi"/>
        </w:rPr>
        <w:t xml:space="preserve"> </w:t>
      </w:r>
    </w:p>
  </w:endnote>
  <w:endnote w:id="52">
    <w:p w14:paraId="1F504B3B" w14:textId="092826DF" w:rsidR="00B45723" w:rsidRPr="00085A1F" w:rsidRDefault="00B45723" w:rsidP="00085A1F">
      <w:pPr>
        <w:pStyle w:val="EndnoteText"/>
        <w:spacing w:before="120" w:after="120"/>
        <w:rPr>
          <w:rFonts w:asciiTheme="minorHAnsi" w:hAnsiTheme="minorHAnsi" w:cstheme="minorHAnsi"/>
        </w:rPr>
      </w:pPr>
      <w:r w:rsidRPr="00085A1F">
        <w:rPr>
          <w:rStyle w:val="EndnoteReference"/>
          <w:rFonts w:asciiTheme="minorHAnsi" w:hAnsiTheme="minorHAnsi" w:cstheme="minorHAnsi"/>
        </w:rPr>
        <w:endnoteRef/>
      </w:r>
      <w:r w:rsidRPr="00085A1F">
        <w:rPr>
          <w:rFonts w:asciiTheme="minorHAnsi" w:hAnsiTheme="minorHAnsi" w:cstheme="minorHAnsi"/>
        </w:rPr>
        <w:t xml:space="preserve"> Western Australia Department of Child Protection and Family Services (2016) </w:t>
      </w:r>
      <w:r w:rsidRPr="00085A1F">
        <w:rPr>
          <w:rFonts w:asciiTheme="minorHAnsi" w:hAnsiTheme="minorHAnsi" w:cstheme="minorHAnsi"/>
          <w:i/>
        </w:rPr>
        <w:t>Earlier Intervention and Family Support Strategy</w:t>
      </w:r>
      <w:r w:rsidRPr="00085A1F">
        <w:rPr>
          <w:rFonts w:asciiTheme="minorHAnsi" w:hAnsiTheme="minorHAnsi" w:cstheme="minorHAnsi"/>
        </w:rPr>
        <w:t xml:space="preserve"> accessed from: </w:t>
      </w:r>
      <w:hyperlink r:id="rId14" w:history="1">
        <w:r w:rsidRPr="00085A1F">
          <w:rPr>
            <w:rStyle w:val="Hyperlink"/>
            <w:rFonts w:asciiTheme="minorHAnsi" w:hAnsiTheme="minorHAnsi" w:cstheme="minorHAnsi"/>
            <w:sz w:val="20"/>
          </w:rPr>
          <w:t>https://www.dcp.wa.gov.au/Resources/Documents/Earlier%20Intervention%20and%20Family%20Support%20Strategy%20-%20Discussion%20Paper.pdf</w:t>
        </w:r>
      </w:hyperlink>
      <w:r w:rsidRPr="00085A1F">
        <w:rPr>
          <w:rFonts w:asciiTheme="minorHAnsi" w:hAnsiTheme="minorHAnsi" w:cstheme="minorHAnsi"/>
        </w:rPr>
        <w:t xml:space="preserve"> </w:t>
      </w:r>
    </w:p>
  </w:endnote>
  <w:endnote w:id="53">
    <w:p w14:paraId="65062721" w14:textId="51D58918" w:rsidR="00B45723" w:rsidRPr="00085A1F" w:rsidRDefault="00B45723" w:rsidP="00085A1F">
      <w:pPr>
        <w:pStyle w:val="EndnoteText"/>
        <w:spacing w:before="120" w:after="120"/>
        <w:rPr>
          <w:rFonts w:asciiTheme="minorHAnsi" w:hAnsiTheme="minorHAnsi" w:cstheme="minorHAnsi"/>
        </w:rPr>
      </w:pPr>
      <w:r w:rsidRPr="00085A1F">
        <w:rPr>
          <w:rStyle w:val="EndnoteReference"/>
          <w:rFonts w:asciiTheme="minorHAnsi" w:hAnsiTheme="minorHAnsi" w:cstheme="minorHAnsi"/>
        </w:rPr>
        <w:endnoteRef/>
      </w:r>
      <w:r w:rsidRPr="00085A1F">
        <w:rPr>
          <w:rFonts w:asciiTheme="minorHAnsi" w:hAnsiTheme="minorHAnsi" w:cstheme="minorHAnsi"/>
        </w:rPr>
        <w:t xml:space="preserve"> Clarkson</w:t>
      </w:r>
      <w:r w:rsidR="00AB3755">
        <w:rPr>
          <w:rFonts w:asciiTheme="minorHAnsi" w:hAnsiTheme="minorHAnsi" w:cstheme="minorHAnsi"/>
        </w:rPr>
        <w:t>,</w:t>
      </w:r>
      <w:r w:rsidRPr="00085A1F">
        <w:rPr>
          <w:rFonts w:asciiTheme="minorHAnsi" w:hAnsiTheme="minorHAnsi" w:cstheme="minorHAnsi"/>
        </w:rPr>
        <w:t xml:space="preserve"> M. (2015) </w:t>
      </w:r>
      <w:r w:rsidRPr="00085A1F">
        <w:rPr>
          <w:rFonts w:asciiTheme="minorHAnsi" w:hAnsiTheme="minorHAnsi" w:cstheme="minorHAnsi"/>
          <w:i/>
        </w:rPr>
        <w:t>Commission on the Future Delivery of Public Services,</w:t>
      </w:r>
      <w:r w:rsidRPr="00085A1F">
        <w:rPr>
          <w:rFonts w:asciiTheme="minorHAnsi" w:hAnsiTheme="minorHAnsi" w:cstheme="minorHAnsi"/>
        </w:rPr>
        <w:t xml:space="preserve"> Scotland, Crown Publishing</w:t>
      </w:r>
    </w:p>
  </w:endnote>
  <w:endnote w:id="54">
    <w:p w14:paraId="3E346090" w14:textId="77777777" w:rsidR="00B45723" w:rsidRPr="00085A1F" w:rsidRDefault="00B45723" w:rsidP="002D29E6">
      <w:pPr>
        <w:pStyle w:val="EndnoteText"/>
        <w:spacing w:before="120" w:after="120"/>
        <w:rPr>
          <w:rFonts w:asciiTheme="minorHAnsi" w:hAnsiTheme="minorHAnsi" w:cstheme="minorHAnsi"/>
        </w:rPr>
      </w:pPr>
      <w:r w:rsidRPr="00085A1F">
        <w:rPr>
          <w:rStyle w:val="EndnoteReference"/>
          <w:rFonts w:asciiTheme="minorHAnsi" w:hAnsiTheme="minorHAnsi" w:cstheme="minorHAnsi"/>
        </w:rPr>
        <w:endnoteRef/>
      </w:r>
      <w:r w:rsidRPr="00085A1F">
        <w:rPr>
          <w:rFonts w:asciiTheme="minorHAnsi" w:hAnsiTheme="minorHAnsi" w:cstheme="minorHAnsi"/>
        </w:rPr>
        <w:t xml:space="preserve"> </w:t>
      </w:r>
      <w:r w:rsidRPr="00301C0C">
        <w:rPr>
          <w:rFonts w:asciiTheme="minorHAnsi" w:hAnsiTheme="minorHAnsi" w:cstheme="minorHAnsi"/>
        </w:rPr>
        <w:t xml:space="preserve">Department of Health (2016) </w:t>
      </w:r>
      <w:r w:rsidRPr="00301C0C">
        <w:rPr>
          <w:rFonts w:asciiTheme="minorHAnsi" w:hAnsiTheme="minorHAnsi" w:cstheme="minorHAnsi"/>
          <w:i/>
        </w:rPr>
        <w:t xml:space="preserve">National Framework for Health Services for Aboriginal and Torres Strait Islander Children and Families, </w:t>
      </w:r>
      <w:r w:rsidRPr="00301C0C">
        <w:rPr>
          <w:rFonts w:asciiTheme="minorHAnsi" w:hAnsiTheme="minorHAnsi" w:cstheme="minorHAnsi"/>
        </w:rPr>
        <w:t>COAG Health Council</w:t>
      </w:r>
    </w:p>
  </w:endnote>
  <w:endnote w:id="55">
    <w:p w14:paraId="7A694335" w14:textId="41AA5D86" w:rsidR="00B45723" w:rsidRPr="00085A1F" w:rsidRDefault="00B45723" w:rsidP="002D29E6">
      <w:pPr>
        <w:pStyle w:val="EndnoteText"/>
        <w:spacing w:before="120" w:after="120"/>
        <w:rPr>
          <w:rFonts w:asciiTheme="minorHAnsi" w:hAnsiTheme="minorHAnsi" w:cstheme="minorHAnsi"/>
        </w:rPr>
      </w:pPr>
      <w:r w:rsidRPr="00085A1F">
        <w:rPr>
          <w:rStyle w:val="EndnoteReference"/>
          <w:rFonts w:asciiTheme="minorHAnsi" w:hAnsiTheme="minorHAnsi" w:cstheme="minorHAnsi"/>
        </w:rPr>
        <w:endnoteRef/>
      </w:r>
      <w:r w:rsidRPr="00085A1F">
        <w:rPr>
          <w:rFonts w:asciiTheme="minorHAnsi" w:hAnsiTheme="minorHAnsi" w:cstheme="minorHAnsi"/>
        </w:rPr>
        <w:t xml:space="preserve"> AbSec (2016) </w:t>
      </w:r>
      <w:r w:rsidRPr="00085A1F">
        <w:rPr>
          <w:rFonts w:asciiTheme="minorHAnsi" w:hAnsiTheme="minorHAnsi" w:cstheme="minorHAnsi"/>
          <w:i/>
        </w:rPr>
        <w:t>Supporting Aboriginal People with Disability</w:t>
      </w:r>
      <w:r w:rsidRPr="00085A1F">
        <w:rPr>
          <w:rFonts w:asciiTheme="minorHAnsi" w:hAnsiTheme="minorHAnsi" w:cstheme="minorHAnsi"/>
        </w:rPr>
        <w:t xml:space="preserve"> accessed from</w:t>
      </w:r>
      <w:r w:rsidR="00AB3755">
        <w:rPr>
          <w:rFonts w:asciiTheme="minorHAnsi" w:hAnsiTheme="minorHAnsi" w:cstheme="minorHAnsi"/>
        </w:rPr>
        <w:t>:</w:t>
      </w:r>
      <w:r w:rsidRPr="00085A1F">
        <w:rPr>
          <w:rFonts w:asciiTheme="minorHAnsi" w:hAnsiTheme="minorHAnsi" w:cstheme="minorHAnsi"/>
        </w:rPr>
        <w:t xml:space="preserve"> </w:t>
      </w:r>
      <w:hyperlink r:id="rId15" w:history="1">
        <w:r w:rsidRPr="00085A1F">
          <w:rPr>
            <w:rStyle w:val="Hyperlink"/>
            <w:rFonts w:asciiTheme="minorHAnsi" w:hAnsiTheme="minorHAnsi" w:cstheme="minorHAnsi"/>
            <w:sz w:val="20"/>
          </w:rPr>
          <w:t>https://www.absec.org.au/supporting-aboriginal-people-with-disability.html</w:t>
        </w:r>
      </w:hyperlink>
      <w:r w:rsidRPr="00085A1F">
        <w:rPr>
          <w:rFonts w:asciiTheme="minorHAnsi" w:hAnsiTheme="minorHAnsi" w:cstheme="minorHAnsi"/>
        </w:rPr>
        <w:t xml:space="preserve">; and ABS (2015) </w:t>
      </w:r>
      <w:r w:rsidRPr="00085A1F">
        <w:rPr>
          <w:rFonts w:asciiTheme="minorHAnsi" w:hAnsiTheme="minorHAnsi" w:cstheme="minorHAnsi"/>
          <w:i/>
        </w:rPr>
        <w:t>Disability, Ageing and Carers, Australia: Summary of Findings, 2015</w:t>
      </w:r>
      <w:r w:rsidRPr="00085A1F">
        <w:rPr>
          <w:rFonts w:asciiTheme="minorHAnsi" w:hAnsiTheme="minorHAnsi" w:cstheme="minorHAnsi"/>
        </w:rPr>
        <w:t xml:space="preserve"> accessed from: </w:t>
      </w:r>
      <w:hyperlink r:id="rId16" w:history="1">
        <w:r w:rsidRPr="00085A1F">
          <w:rPr>
            <w:rStyle w:val="Hyperlink"/>
            <w:rFonts w:asciiTheme="minorHAnsi" w:hAnsiTheme="minorHAnsi" w:cstheme="minorHAnsi"/>
            <w:sz w:val="20"/>
          </w:rPr>
          <w:t>http://www.abs.gov.au/AUSSTATS/abs@.nsf/Lookup/4430.0Main+Features802015?OpenDocument</w:t>
        </w:r>
      </w:hyperlink>
      <w:r w:rsidRPr="00085A1F">
        <w:rPr>
          <w:rFonts w:asciiTheme="minorHAnsi" w:hAnsiTheme="minorHAnsi" w:cstheme="minorHAnsi"/>
        </w:rPr>
        <w:t xml:space="preserve"> </w:t>
      </w:r>
    </w:p>
  </w:endnote>
  <w:endnote w:id="56">
    <w:p w14:paraId="193658A2" w14:textId="29AF954C" w:rsidR="00B45723" w:rsidRPr="00085A1F" w:rsidRDefault="00B45723" w:rsidP="00085A1F">
      <w:pPr>
        <w:pStyle w:val="EndnoteText"/>
        <w:spacing w:before="120" w:after="120"/>
        <w:rPr>
          <w:rFonts w:asciiTheme="minorHAnsi" w:hAnsiTheme="minorHAnsi" w:cstheme="minorHAnsi"/>
        </w:rPr>
      </w:pPr>
      <w:r w:rsidRPr="00085A1F">
        <w:rPr>
          <w:rStyle w:val="EndnoteReference"/>
          <w:rFonts w:asciiTheme="minorHAnsi" w:hAnsiTheme="minorHAnsi" w:cstheme="minorHAnsi"/>
        </w:rPr>
        <w:endnoteRef/>
      </w:r>
      <w:r w:rsidRPr="00085A1F">
        <w:rPr>
          <w:rFonts w:asciiTheme="minorHAnsi" w:hAnsiTheme="minorHAnsi" w:cstheme="minorHAnsi"/>
        </w:rPr>
        <w:t xml:space="preserve"> Australian Government (2015) </w:t>
      </w:r>
      <w:r w:rsidRPr="00085A1F">
        <w:rPr>
          <w:rFonts w:asciiTheme="minorHAnsi" w:hAnsiTheme="minorHAnsi" w:cstheme="minorHAnsi"/>
          <w:i/>
        </w:rPr>
        <w:t>Response to the Senate Community Affairs References Committee Report: Impact on service quality, efficiency and sustainability of recent Commonwealth community service tendering process by the Department of Social Services</w:t>
      </w:r>
      <w:r w:rsidR="00AB3755">
        <w:rPr>
          <w:rFonts w:asciiTheme="minorHAnsi" w:hAnsiTheme="minorHAnsi" w:cstheme="minorHAnsi"/>
          <w:i/>
        </w:rPr>
        <w:t>,</w:t>
      </w:r>
      <w:r w:rsidRPr="00085A1F">
        <w:rPr>
          <w:rFonts w:asciiTheme="minorHAnsi" w:hAnsiTheme="minorHAnsi" w:cstheme="minorHAnsi"/>
        </w:rPr>
        <w:t xml:space="preserve"> Commonwealth of Australia</w:t>
      </w:r>
    </w:p>
  </w:endnote>
  <w:endnote w:id="57">
    <w:p w14:paraId="5CBBC84F" w14:textId="1D83B759" w:rsidR="00B45723" w:rsidRPr="00085A1F" w:rsidRDefault="00B45723" w:rsidP="00085A1F">
      <w:pPr>
        <w:pStyle w:val="EndnoteText"/>
        <w:spacing w:before="120" w:after="120"/>
        <w:rPr>
          <w:rFonts w:asciiTheme="minorHAnsi" w:hAnsiTheme="minorHAnsi" w:cstheme="minorHAnsi"/>
        </w:rPr>
      </w:pPr>
      <w:r w:rsidRPr="00085A1F">
        <w:rPr>
          <w:rStyle w:val="EndnoteReference"/>
          <w:rFonts w:asciiTheme="minorHAnsi" w:hAnsiTheme="minorHAnsi" w:cstheme="minorHAnsi"/>
        </w:rPr>
        <w:endnoteRef/>
      </w:r>
      <w:r w:rsidRPr="00085A1F">
        <w:rPr>
          <w:rFonts w:asciiTheme="minorHAnsi" w:hAnsiTheme="minorHAnsi" w:cstheme="minorHAnsi"/>
        </w:rPr>
        <w:t xml:space="preserve"> Royal Commission into the Protection and Detention of Children in the Northern Territory (2017) </w:t>
      </w:r>
      <w:r w:rsidRPr="00085A1F">
        <w:rPr>
          <w:rFonts w:asciiTheme="minorHAnsi" w:hAnsiTheme="minorHAnsi" w:cstheme="minorHAnsi"/>
          <w:i/>
        </w:rPr>
        <w:t xml:space="preserve">Report of the Royal Commission into the Protection and Detention of Children in the Northern Territory, </w:t>
      </w:r>
      <w:r w:rsidRPr="00085A1F">
        <w:rPr>
          <w:rFonts w:asciiTheme="minorHAnsi" w:hAnsiTheme="minorHAnsi" w:cstheme="minorHAnsi"/>
        </w:rPr>
        <w:t>Commonwealth of Australia</w:t>
      </w:r>
    </w:p>
  </w:endnote>
  <w:endnote w:id="58">
    <w:p w14:paraId="2FB2D87D" w14:textId="129D7E17" w:rsidR="00B45723" w:rsidRPr="00085A1F" w:rsidRDefault="00B45723" w:rsidP="00085A1F">
      <w:pPr>
        <w:pStyle w:val="EndnoteText"/>
        <w:spacing w:before="120" w:after="120"/>
        <w:rPr>
          <w:rFonts w:asciiTheme="minorHAnsi" w:hAnsiTheme="minorHAnsi" w:cstheme="minorHAnsi"/>
        </w:rPr>
      </w:pPr>
      <w:r w:rsidRPr="00085A1F">
        <w:rPr>
          <w:rStyle w:val="EndnoteReference"/>
          <w:rFonts w:asciiTheme="minorHAnsi" w:hAnsiTheme="minorHAnsi" w:cstheme="minorHAnsi"/>
        </w:rPr>
        <w:endnoteRef/>
      </w:r>
      <w:r w:rsidRPr="00085A1F">
        <w:rPr>
          <w:rFonts w:asciiTheme="minorHAnsi" w:hAnsiTheme="minorHAnsi" w:cstheme="minorHAnsi"/>
        </w:rPr>
        <w:t xml:space="preserve"> Productivity Commission (2017) </w:t>
      </w:r>
      <w:r w:rsidRPr="00085A1F">
        <w:rPr>
          <w:rFonts w:asciiTheme="minorHAnsi" w:hAnsiTheme="minorHAnsi" w:cstheme="minorHAnsi"/>
          <w:i/>
        </w:rPr>
        <w:t>Introducing Competition and Informed User Choice into Human Services: Reforms to Human Services</w:t>
      </w:r>
      <w:r w:rsidRPr="00085A1F">
        <w:rPr>
          <w:rFonts w:asciiTheme="minorHAnsi" w:hAnsiTheme="minorHAnsi" w:cstheme="minorHAnsi"/>
        </w:rPr>
        <w:t>, Commonwealth of Australia</w:t>
      </w:r>
    </w:p>
    <w:p w14:paraId="7B280E98" w14:textId="77777777" w:rsidR="00B45723" w:rsidRPr="00085A1F" w:rsidRDefault="00B45723" w:rsidP="0072459B">
      <w:pPr>
        <w:pStyle w:val="EndnoteText"/>
        <w:rPr>
          <w:rFonts w:asciiTheme="minorHAnsi" w:hAnsiTheme="minorHAnsi" w:cstheme="minorHAnsi"/>
        </w:rPr>
      </w:pPr>
    </w:p>
    <w:p w14:paraId="4AC4DF98" w14:textId="77777777" w:rsidR="00B45723" w:rsidRDefault="00B45723" w:rsidP="0072459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gotham_book">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844914"/>
      <w:docPartObj>
        <w:docPartGallery w:val="Page Numbers (Bottom of Page)"/>
        <w:docPartUnique/>
      </w:docPartObj>
    </w:sdtPr>
    <w:sdtEndPr>
      <w:rPr>
        <w:noProof/>
      </w:rPr>
    </w:sdtEndPr>
    <w:sdtContent>
      <w:p w14:paraId="070FDEA5" w14:textId="5F91B222" w:rsidR="00B45723" w:rsidRDefault="00B45723" w:rsidP="00D86E50">
        <w:pPr>
          <w:pStyle w:val="Footer"/>
          <w:jc w:val="center"/>
        </w:pPr>
        <w:r>
          <w:fldChar w:fldCharType="begin"/>
        </w:r>
        <w:r>
          <w:instrText xml:space="preserve"> PAGE   \* MERGEFORMAT </w:instrText>
        </w:r>
        <w:r>
          <w:fldChar w:fldCharType="separate"/>
        </w:r>
        <w:r w:rsidR="00BD6D81">
          <w:rPr>
            <w:noProof/>
          </w:rPr>
          <w:t>21</w:t>
        </w:r>
        <w:r>
          <w:rPr>
            <w:noProof/>
          </w:rPr>
          <w:fldChar w:fldCharType="end"/>
        </w:r>
      </w:p>
    </w:sdtContent>
  </w:sdt>
  <w:p w14:paraId="06DD1F7C" w14:textId="77777777" w:rsidR="00B45723" w:rsidRDefault="00B457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6835" w14:textId="77777777" w:rsidR="00B45723" w:rsidRDefault="00B45723" w:rsidP="00B10EB1">
    <w:pPr>
      <w:pStyle w:val="Footer"/>
      <w:ind w:left="-1417"/>
    </w:pPr>
    <w:r>
      <w:rPr>
        <w:noProof/>
      </w:rPr>
      <w:drawing>
        <wp:inline distT="0" distB="0" distL="0" distR="0" wp14:anchorId="12B5F922" wp14:editId="6A234253">
          <wp:extent cx="7519594" cy="6264812"/>
          <wp:effectExtent l="0" t="0" r="5715" b="3175"/>
          <wp:docPr id="1" name="Picture 1" descr="illustrations of a family and children playing with tree in background"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19594" cy="626481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1268F" w14:textId="1B731D3A" w:rsidR="00B45723" w:rsidRDefault="00086D5D" w:rsidP="00D86E50">
    <w:pPr>
      <w:pStyle w:val="Footer"/>
      <w:tabs>
        <w:tab w:val="clear" w:pos="4513"/>
        <w:tab w:val="clear" w:pos="9026"/>
        <w:tab w:val="left" w:pos="3040"/>
      </w:tabs>
      <w:jc w:val="center"/>
    </w:pPr>
    <w:sdt>
      <w:sdtPr>
        <w:id w:val="-1346711306"/>
        <w:docPartObj>
          <w:docPartGallery w:val="Page Numbers (Bottom of Page)"/>
          <w:docPartUnique/>
        </w:docPartObj>
      </w:sdtPr>
      <w:sdtEndPr>
        <w:rPr>
          <w:noProof/>
        </w:rPr>
      </w:sdtEndPr>
      <w:sdtContent>
        <w:r w:rsidR="00B45723">
          <w:fldChar w:fldCharType="begin"/>
        </w:r>
        <w:r w:rsidR="00B45723">
          <w:instrText xml:space="preserve"> PAGE   \* MERGEFORMAT </w:instrText>
        </w:r>
        <w:r w:rsidR="00B45723">
          <w:fldChar w:fldCharType="separate"/>
        </w:r>
        <w:r w:rsidR="00BD6D81">
          <w:rPr>
            <w:noProof/>
          </w:rPr>
          <w:t>2</w:t>
        </w:r>
        <w:r w:rsidR="00B45723">
          <w:rPr>
            <w:noProof/>
          </w:rPr>
          <w:fldChar w:fldCharType="end"/>
        </w:r>
      </w:sdtContent>
    </w:sdt>
  </w:p>
  <w:p w14:paraId="4F21127E" w14:textId="77777777" w:rsidR="00B45723" w:rsidRDefault="00B45723" w:rsidP="00B10EB1">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652D8" w14:textId="77777777" w:rsidR="00086D5D" w:rsidRDefault="00086D5D" w:rsidP="008F3023">
      <w:pPr>
        <w:spacing w:before="0" w:after="0" w:line="240" w:lineRule="auto"/>
      </w:pPr>
      <w:r>
        <w:separator/>
      </w:r>
    </w:p>
  </w:footnote>
  <w:footnote w:type="continuationSeparator" w:id="0">
    <w:p w14:paraId="408E242F" w14:textId="77777777" w:rsidR="00086D5D" w:rsidRDefault="00086D5D" w:rsidP="008F3023">
      <w:pPr>
        <w:spacing w:before="0" w:after="0" w:line="240" w:lineRule="auto"/>
      </w:pPr>
      <w:r>
        <w:continuationSeparator/>
      </w:r>
    </w:p>
  </w:footnote>
  <w:footnote w:id="1">
    <w:p w14:paraId="4A84D504" w14:textId="75F6BAB0" w:rsidR="00B45723" w:rsidRDefault="00B45723" w:rsidP="000309B2">
      <w:pPr>
        <w:pStyle w:val="FootnoteText"/>
      </w:pPr>
      <w:r>
        <w:rPr>
          <w:rStyle w:val="FootnoteReference"/>
        </w:rPr>
        <w:footnoteRef/>
      </w:r>
      <w:r>
        <w:t xml:space="preserve"> Adult Specialist Support Services and Reconnect are not in-scope given their focus on adults and youth homelessness.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74E9F" w14:textId="73258882" w:rsidR="00B45723" w:rsidRDefault="00B457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93058" w14:textId="01F2DB57" w:rsidR="00B45723" w:rsidRDefault="00B457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C6348" w14:textId="5F73A8F4" w:rsidR="00B45723" w:rsidRDefault="00B45723" w:rsidP="00F30908">
    <w:pPr>
      <w:ind w:left="-964"/>
    </w:pPr>
    <w:r>
      <w:rPr>
        <w:noProof/>
      </w:rPr>
      <w:drawing>
        <wp:inline distT="0" distB="0" distL="0" distR="0" wp14:anchorId="1738AFA0" wp14:editId="74B65A60">
          <wp:extent cx="3236400" cy="936000"/>
          <wp:effectExtent l="0" t="0" r="2540" b="0"/>
          <wp:docPr id="6" name="Picture 6"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A389B" w14:textId="7ED187EB" w:rsidR="00B45723" w:rsidRDefault="00B4572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D56F8" w14:textId="475847BE" w:rsidR="00B45723" w:rsidRPr="0084227C" w:rsidRDefault="00B45723" w:rsidP="0084227C"/>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24DFB" w14:textId="5CD552AC" w:rsidR="00B45723" w:rsidRDefault="00B45723" w:rsidP="00F30908">
    <w:pPr>
      <w:ind w:left="-96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546"/>
    <w:multiLevelType w:val="multilevel"/>
    <w:tmpl w:val="8C1A24EA"/>
    <w:lvl w:ilvl="0">
      <w:start w:val="1"/>
      <w:numFmt w:val="decimal"/>
      <w:lvlText w:val="%1."/>
      <w:lvlJc w:val="left"/>
      <w:pPr>
        <w:ind w:left="567" w:hanging="567"/>
      </w:pPr>
    </w:lvl>
    <w:lvl w:ilvl="1">
      <w:start w:val="1"/>
      <w:numFmt w:val="bullet"/>
      <w:lvlText w:val=""/>
      <w:lvlJc w:val="left"/>
      <w:pPr>
        <w:ind w:left="1134" w:hanging="567"/>
      </w:pPr>
      <w:rPr>
        <w:rFonts w:ascii="Symbol" w:hAnsi="Symbol" w:hint="default"/>
      </w:rPr>
    </w:lvl>
    <w:lvl w:ilvl="2">
      <w:start w:val="1"/>
      <w:numFmt w:val="lowerRoman"/>
      <w:lvlText w:val="%3)"/>
      <w:lvlJc w:val="left"/>
      <w:pPr>
        <w:ind w:left="1701" w:hanging="567"/>
      </w:pPr>
      <w:rPr>
        <w:rFonts w:ascii="Calibri" w:hAnsi="Calibri" w:cs="Times New Roman" w:hint="default"/>
        <w:b w:val="0"/>
        <w:i w:val="0"/>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050FC6"/>
    <w:multiLevelType w:val="hybridMultilevel"/>
    <w:tmpl w:val="A1FA7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4D3C4F"/>
    <w:multiLevelType w:val="hybridMultilevel"/>
    <w:tmpl w:val="61985E3E"/>
    <w:lvl w:ilvl="0" w:tplc="8740317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776F28"/>
    <w:multiLevelType w:val="hybridMultilevel"/>
    <w:tmpl w:val="09205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19175F"/>
    <w:multiLevelType w:val="hybridMultilevel"/>
    <w:tmpl w:val="7F2AC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B550CB"/>
    <w:multiLevelType w:val="hybridMultilevel"/>
    <w:tmpl w:val="99BA1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4270D4"/>
    <w:multiLevelType w:val="hybridMultilevel"/>
    <w:tmpl w:val="A5229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757479"/>
    <w:multiLevelType w:val="hybridMultilevel"/>
    <w:tmpl w:val="14AED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735B0F"/>
    <w:multiLevelType w:val="hybridMultilevel"/>
    <w:tmpl w:val="2B68AD82"/>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0" w15:restartNumberingAfterBreak="0">
    <w:nsid w:val="19C01076"/>
    <w:multiLevelType w:val="hybridMultilevel"/>
    <w:tmpl w:val="638ECAB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2C786C"/>
    <w:multiLevelType w:val="hybridMultilevel"/>
    <w:tmpl w:val="0D003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020554"/>
    <w:multiLevelType w:val="hybridMultilevel"/>
    <w:tmpl w:val="F092A82C"/>
    <w:lvl w:ilvl="0" w:tplc="0C090001">
      <w:start w:val="1"/>
      <w:numFmt w:val="bullet"/>
      <w:lvlText w:val=""/>
      <w:lvlJc w:val="left"/>
      <w:pPr>
        <w:tabs>
          <w:tab w:val="num" w:pos="1080"/>
        </w:tabs>
        <w:ind w:left="1080" w:hanging="360"/>
      </w:pPr>
      <w:rPr>
        <w:rFonts w:ascii="Symbol" w:hAnsi="Symbol" w:hint="default"/>
      </w:rPr>
    </w:lvl>
    <w:lvl w:ilvl="1" w:tplc="0C090003">
      <w:start w:val="1"/>
      <w:numFmt w:val="decimal"/>
      <w:lvlText w:val="%2."/>
      <w:lvlJc w:val="left"/>
      <w:pPr>
        <w:tabs>
          <w:tab w:val="num" w:pos="1800"/>
        </w:tabs>
        <w:ind w:left="1800" w:hanging="360"/>
      </w:pPr>
      <w:rPr>
        <w:rFonts w:cs="Times New Roman"/>
      </w:rPr>
    </w:lvl>
    <w:lvl w:ilvl="2" w:tplc="0C090005">
      <w:start w:val="1"/>
      <w:numFmt w:val="decimal"/>
      <w:lvlText w:val="%3."/>
      <w:lvlJc w:val="left"/>
      <w:pPr>
        <w:tabs>
          <w:tab w:val="num" w:pos="2520"/>
        </w:tabs>
        <w:ind w:left="2520" w:hanging="360"/>
      </w:pPr>
      <w:rPr>
        <w:rFonts w:cs="Times New Roman"/>
      </w:rPr>
    </w:lvl>
    <w:lvl w:ilvl="3" w:tplc="0C090001">
      <w:start w:val="1"/>
      <w:numFmt w:val="decimal"/>
      <w:lvlText w:val="%4."/>
      <w:lvlJc w:val="left"/>
      <w:pPr>
        <w:tabs>
          <w:tab w:val="num" w:pos="3240"/>
        </w:tabs>
        <w:ind w:left="3240" w:hanging="360"/>
      </w:pPr>
      <w:rPr>
        <w:rFonts w:cs="Times New Roman"/>
      </w:rPr>
    </w:lvl>
    <w:lvl w:ilvl="4" w:tplc="0C090003">
      <w:start w:val="1"/>
      <w:numFmt w:val="decimal"/>
      <w:lvlText w:val="%5."/>
      <w:lvlJc w:val="left"/>
      <w:pPr>
        <w:tabs>
          <w:tab w:val="num" w:pos="3960"/>
        </w:tabs>
        <w:ind w:left="3960" w:hanging="360"/>
      </w:pPr>
      <w:rPr>
        <w:rFonts w:cs="Times New Roman"/>
      </w:rPr>
    </w:lvl>
    <w:lvl w:ilvl="5" w:tplc="0C090005">
      <w:start w:val="1"/>
      <w:numFmt w:val="decimal"/>
      <w:lvlText w:val="%6."/>
      <w:lvlJc w:val="left"/>
      <w:pPr>
        <w:tabs>
          <w:tab w:val="num" w:pos="4680"/>
        </w:tabs>
        <w:ind w:left="4680" w:hanging="360"/>
      </w:pPr>
      <w:rPr>
        <w:rFonts w:cs="Times New Roman"/>
      </w:rPr>
    </w:lvl>
    <w:lvl w:ilvl="6" w:tplc="0C090001">
      <w:start w:val="1"/>
      <w:numFmt w:val="decimal"/>
      <w:lvlText w:val="%7."/>
      <w:lvlJc w:val="left"/>
      <w:pPr>
        <w:tabs>
          <w:tab w:val="num" w:pos="5400"/>
        </w:tabs>
        <w:ind w:left="5400" w:hanging="360"/>
      </w:pPr>
      <w:rPr>
        <w:rFonts w:cs="Times New Roman"/>
      </w:rPr>
    </w:lvl>
    <w:lvl w:ilvl="7" w:tplc="0C090003">
      <w:start w:val="1"/>
      <w:numFmt w:val="decimal"/>
      <w:lvlText w:val="%8."/>
      <w:lvlJc w:val="left"/>
      <w:pPr>
        <w:tabs>
          <w:tab w:val="num" w:pos="6120"/>
        </w:tabs>
        <w:ind w:left="6120" w:hanging="360"/>
      </w:pPr>
      <w:rPr>
        <w:rFonts w:cs="Times New Roman"/>
      </w:rPr>
    </w:lvl>
    <w:lvl w:ilvl="8" w:tplc="0C090005">
      <w:start w:val="1"/>
      <w:numFmt w:val="decimal"/>
      <w:lvlText w:val="%9."/>
      <w:lvlJc w:val="left"/>
      <w:pPr>
        <w:tabs>
          <w:tab w:val="num" w:pos="6840"/>
        </w:tabs>
        <w:ind w:left="6840" w:hanging="360"/>
      </w:pPr>
      <w:rPr>
        <w:rFonts w:cs="Times New Roman"/>
      </w:rPr>
    </w:lvl>
  </w:abstractNum>
  <w:abstractNum w:abstractNumId="13" w15:restartNumberingAfterBreak="0">
    <w:nsid w:val="28FC004D"/>
    <w:multiLevelType w:val="hybridMultilevel"/>
    <w:tmpl w:val="6A1E7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6123B4"/>
    <w:multiLevelType w:val="hybridMultilevel"/>
    <w:tmpl w:val="CDC6B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B24DE8"/>
    <w:multiLevelType w:val="hybridMultilevel"/>
    <w:tmpl w:val="2700B2B4"/>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6" w15:restartNumberingAfterBreak="0">
    <w:nsid w:val="35744FA4"/>
    <w:multiLevelType w:val="hybridMultilevel"/>
    <w:tmpl w:val="1652A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AD4327"/>
    <w:multiLevelType w:val="hybridMultilevel"/>
    <w:tmpl w:val="CA9A18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05E06C0"/>
    <w:multiLevelType w:val="hybridMultilevel"/>
    <w:tmpl w:val="6CCA0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FA7FF1"/>
    <w:multiLevelType w:val="hybridMultilevel"/>
    <w:tmpl w:val="26342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4D4066"/>
    <w:multiLevelType w:val="hybridMultilevel"/>
    <w:tmpl w:val="8E222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446163"/>
    <w:multiLevelType w:val="hybridMultilevel"/>
    <w:tmpl w:val="97C87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7072E5"/>
    <w:multiLevelType w:val="hybridMultilevel"/>
    <w:tmpl w:val="2E7CD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236AB7"/>
    <w:multiLevelType w:val="hybridMultilevel"/>
    <w:tmpl w:val="53707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3E5421"/>
    <w:multiLevelType w:val="hybridMultilevel"/>
    <w:tmpl w:val="65F4E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F013C9"/>
    <w:multiLevelType w:val="hybridMultilevel"/>
    <w:tmpl w:val="8736A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007E48"/>
    <w:multiLevelType w:val="hybridMultilevel"/>
    <w:tmpl w:val="D27A1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074E24"/>
    <w:multiLevelType w:val="hybridMultilevel"/>
    <w:tmpl w:val="23062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7A0A07"/>
    <w:multiLevelType w:val="hybridMultilevel"/>
    <w:tmpl w:val="DFD22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AE510C"/>
    <w:multiLevelType w:val="hybridMultilevel"/>
    <w:tmpl w:val="FC086B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6E6C7FAA"/>
    <w:multiLevelType w:val="hybridMultilevel"/>
    <w:tmpl w:val="F3F80F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02F7C64"/>
    <w:multiLevelType w:val="hybridMultilevel"/>
    <w:tmpl w:val="ACE67D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4AD634F"/>
    <w:multiLevelType w:val="hybridMultilevel"/>
    <w:tmpl w:val="360EF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0F4D2D"/>
    <w:multiLevelType w:val="hybridMultilevel"/>
    <w:tmpl w:val="1742B56C"/>
    <w:lvl w:ilvl="0" w:tplc="97C4A14E">
      <w:start w:val="1"/>
      <w:numFmt w:val="bullet"/>
      <w:lvlText w:val=""/>
      <w:lvlJc w:val="left"/>
      <w:pPr>
        <w:ind w:left="568" w:hanging="284"/>
      </w:pPr>
      <w:rPr>
        <w:rFonts w:ascii="Symbol" w:hAnsi="Symbol" w:hint="default"/>
        <w:color w:val="auto"/>
      </w:rPr>
    </w:lvl>
    <w:lvl w:ilvl="1" w:tplc="0C090001">
      <w:start w:val="1"/>
      <w:numFmt w:val="bullet"/>
      <w:lvlText w:val=""/>
      <w:lvlJc w:val="left"/>
      <w:pPr>
        <w:ind w:left="1724" w:hanging="360"/>
      </w:pPr>
      <w:rPr>
        <w:rFonts w:ascii="Symbol" w:hAnsi="Symbol"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Times New Roman"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Times New Roman" w:hint="default"/>
      </w:rPr>
    </w:lvl>
    <w:lvl w:ilvl="8" w:tplc="04090005">
      <w:start w:val="1"/>
      <w:numFmt w:val="bullet"/>
      <w:lvlText w:val=""/>
      <w:lvlJc w:val="left"/>
      <w:pPr>
        <w:ind w:left="6764" w:hanging="360"/>
      </w:pPr>
      <w:rPr>
        <w:rFonts w:ascii="Wingdings" w:hAnsi="Wingdings" w:hint="default"/>
      </w:rPr>
    </w:lvl>
  </w:abstractNum>
  <w:num w:numId="1">
    <w:abstractNumId w:val="7"/>
  </w:num>
  <w:num w:numId="2">
    <w:abstractNumId w:val="8"/>
  </w:num>
  <w:num w:numId="3">
    <w:abstractNumId w:val="9"/>
  </w:num>
  <w:num w:numId="4">
    <w:abstractNumId w:val="4"/>
  </w:num>
  <w:num w:numId="5">
    <w:abstractNumId w:val="30"/>
  </w:num>
  <w:num w:numId="6">
    <w:abstractNumId w:val="13"/>
  </w:num>
  <w:num w:numId="7">
    <w:abstractNumId w:val="24"/>
  </w:num>
  <w:num w:numId="8">
    <w:abstractNumId w:val="20"/>
  </w:num>
  <w:num w:numId="9">
    <w:abstractNumId w:val="1"/>
  </w:num>
  <w:num w:numId="1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26"/>
  </w:num>
  <w:num w:numId="13">
    <w:abstractNumId w:val="31"/>
  </w:num>
  <w:num w:numId="14">
    <w:abstractNumId w:val="17"/>
  </w:num>
  <w:num w:numId="15">
    <w:abstractNumId w:val="23"/>
  </w:num>
  <w:num w:numId="16">
    <w:abstractNumId w:val="14"/>
  </w:num>
  <w:num w:numId="17">
    <w:abstractNumId w:val="11"/>
  </w:num>
  <w:num w:numId="18">
    <w:abstractNumId w:val="21"/>
  </w:num>
  <w:num w:numId="19">
    <w:abstractNumId w:val="6"/>
  </w:num>
  <w:num w:numId="20">
    <w:abstractNumId w:val="19"/>
  </w:num>
  <w:num w:numId="21">
    <w:abstractNumId w:val="16"/>
  </w:num>
  <w:num w:numId="22">
    <w:abstractNumId w:val="32"/>
  </w:num>
  <w:num w:numId="23">
    <w:abstractNumId w:val="28"/>
  </w:num>
  <w:num w:numId="24">
    <w:abstractNumId w:val="5"/>
  </w:num>
  <w:num w:numId="25">
    <w:abstractNumId w:val="25"/>
  </w:num>
  <w:num w:numId="26">
    <w:abstractNumId w:val="3"/>
  </w:num>
  <w:num w:numId="27">
    <w:abstractNumId w:val="27"/>
  </w:num>
  <w:num w:numId="28">
    <w:abstractNumId w:val="29"/>
  </w:num>
  <w:num w:numId="29">
    <w:abstractNumId w:val="2"/>
  </w:num>
  <w:num w:numId="30">
    <w:abstractNumId w:val="18"/>
  </w:num>
  <w:num w:numId="31">
    <w:abstractNumId w:val="22"/>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E3E"/>
    <w:rsid w:val="00001B97"/>
    <w:rsid w:val="000022AC"/>
    <w:rsid w:val="000039B7"/>
    <w:rsid w:val="00005368"/>
    <w:rsid w:val="000060C7"/>
    <w:rsid w:val="000140B8"/>
    <w:rsid w:val="000148C5"/>
    <w:rsid w:val="000309B2"/>
    <w:rsid w:val="00034E03"/>
    <w:rsid w:val="000368E1"/>
    <w:rsid w:val="0003698E"/>
    <w:rsid w:val="00044C42"/>
    <w:rsid w:val="0005262D"/>
    <w:rsid w:val="000632D3"/>
    <w:rsid w:val="000648FC"/>
    <w:rsid w:val="00081610"/>
    <w:rsid w:val="00085A1F"/>
    <w:rsid w:val="00086D5D"/>
    <w:rsid w:val="0008759F"/>
    <w:rsid w:val="0009103A"/>
    <w:rsid w:val="00094B27"/>
    <w:rsid w:val="000A0FE2"/>
    <w:rsid w:val="000B27BE"/>
    <w:rsid w:val="000B2F69"/>
    <w:rsid w:val="000B3D85"/>
    <w:rsid w:val="000C6AEE"/>
    <w:rsid w:val="000D07EC"/>
    <w:rsid w:val="000D7C62"/>
    <w:rsid w:val="000E1DE2"/>
    <w:rsid w:val="000F1711"/>
    <w:rsid w:val="000F245D"/>
    <w:rsid w:val="000F2C4C"/>
    <w:rsid w:val="000F75FC"/>
    <w:rsid w:val="00103E0C"/>
    <w:rsid w:val="00114ADD"/>
    <w:rsid w:val="001150AC"/>
    <w:rsid w:val="00116688"/>
    <w:rsid w:val="00121AA3"/>
    <w:rsid w:val="00131F68"/>
    <w:rsid w:val="001409A5"/>
    <w:rsid w:val="00141093"/>
    <w:rsid w:val="00144D10"/>
    <w:rsid w:val="00150605"/>
    <w:rsid w:val="001510D7"/>
    <w:rsid w:val="00151308"/>
    <w:rsid w:val="00152642"/>
    <w:rsid w:val="00156263"/>
    <w:rsid w:val="00160855"/>
    <w:rsid w:val="00171846"/>
    <w:rsid w:val="001747F3"/>
    <w:rsid w:val="00183417"/>
    <w:rsid w:val="00196E05"/>
    <w:rsid w:val="001A3B43"/>
    <w:rsid w:val="001A7461"/>
    <w:rsid w:val="001D35A8"/>
    <w:rsid w:val="001D675A"/>
    <w:rsid w:val="001E630D"/>
    <w:rsid w:val="001E64DE"/>
    <w:rsid w:val="001F0EDB"/>
    <w:rsid w:val="001F1743"/>
    <w:rsid w:val="001F2068"/>
    <w:rsid w:val="001F7BDA"/>
    <w:rsid w:val="00200E09"/>
    <w:rsid w:val="0020322F"/>
    <w:rsid w:val="00204638"/>
    <w:rsid w:val="00221F31"/>
    <w:rsid w:val="00223ECD"/>
    <w:rsid w:val="00231F4C"/>
    <w:rsid w:val="00232220"/>
    <w:rsid w:val="002346B5"/>
    <w:rsid w:val="00245F80"/>
    <w:rsid w:val="002466C7"/>
    <w:rsid w:val="00247201"/>
    <w:rsid w:val="00247ACF"/>
    <w:rsid w:val="002516AD"/>
    <w:rsid w:val="00275FBF"/>
    <w:rsid w:val="00281DFB"/>
    <w:rsid w:val="00282DFF"/>
    <w:rsid w:val="00286A53"/>
    <w:rsid w:val="00290C93"/>
    <w:rsid w:val="00292A05"/>
    <w:rsid w:val="002B3CC6"/>
    <w:rsid w:val="002B4923"/>
    <w:rsid w:val="002C2E81"/>
    <w:rsid w:val="002D29E6"/>
    <w:rsid w:val="002D3573"/>
    <w:rsid w:val="002D3C4E"/>
    <w:rsid w:val="002E07C3"/>
    <w:rsid w:val="002E4000"/>
    <w:rsid w:val="002F12DB"/>
    <w:rsid w:val="002F5EF0"/>
    <w:rsid w:val="00301C0C"/>
    <w:rsid w:val="00311FC7"/>
    <w:rsid w:val="00316AC1"/>
    <w:rsid w:val="00321AE9"/>
    <w:rsid w:val="00325817"/>
    <w:rsid w:val="00335A14"/>
    <w:rsid w:val="00337926"/>
    <w:rsid w:val="00350C16"/>
    <w:rsid w:val="003516B7"/>
    <w:rsid w:val="0038044C"/>
    <w:rsid w:val="0038400C"/>
    <w:rsid w:val="00387879"/>
    <w:rsid w:val="003A6297"/>
    <w:rsid w:val="003B0D19"/>
    <w:rsid w:val="003B2BB8"/>
    <w:rsid w:val="003C2A8D"/>
    <w:rsid w:val="003C3180"/>
    <w:rsid w:val="003D34FF"/>
    <w:rsid w:val="003E1F4C"/>
    <w:rsid w:val="003E2B62"/>
    <w:rsid w:val="003E5C03"/>
    <w:rsid w:val="003F0B7F"/>
    <w:rsid w:val="0040046A"/>
    <w:rsid w:val="004009CF"/>
    <w:rsid w:val="0040203D"/>
    <w:rsid w:val="00402CBE"/>
    <w:rsid w:val="00403055"/>
    <w:rsid w:val="00405BAC"/>
    <w:rsid w:val="004157A2"/>
    <w:rsid w:val="00416FB7"/>
    <w:rsid w:val="004233C0"/>
    <w:rsid w:val="004243F2"/>
    <w:rsid w:val="0042576E"/>
    <w:rsid w:val="00435B0E"/>
    <w:rsid w:val="00440CB8"/>
    <w:rsid w:val="00452B43"/>
    <w:rsid w:val="00470A6D"/>
    <w:rsid w:val="00471456"/>
    <w:rsid w:val="004856C5"/>
    <w:rsid w:val="004A7291"/>
    <w:rsid w:val="004B54CA"/>
    <w:rsid w:val="004C5373"/>
    <w:rsid w:val="004E5CBF"/>
    <w:rsid w:val="004F77F4"/>
    <w:rsid w:val="0050220D"/>
    <w:rsid w:val="00504388"/>
    <w:rsid w:val="005048C8"/>
    <w:rsid w:val="0051057C"/>
    <w:rsid w:val="005163A1"/>
    <w:rsid w:val="00517AE4"/>
    <w:rsid w:val="005312DA"/>
    <w:rsid w:val="0053603E"/>
    <w:rsid w:val="005468F4"/>
    <w:rsid w:val="00546E41"/>
    <w:rsid w:val="0054713E"/>
    <w:rsid w:val="005543A8"/>
    <w:rsid w:val="00557281"/>
    <w:rsid w:val="00562ECA"/>
    <w:rsid w:val="00567053"/>
    <w:rsid w:val="00567995"/>
    <w:rsid w:val="00572534"/>
    <w:rsid w:val="00584FC1"/>
    <w:rsid w:val="00586246"/>
    <w:rsid w:val="005877DC"/>
    <w:rsid w:val="0059446B"/>
    <w:rsid w:val="005A6932"/>
    <w:rsid w:val="005C0C4D"/>
    <w:rsid w:val="005C3AA9"/>
    <w:rsid w:val="005C473A"/>
    <w:rsid w:val="005C58DA"/>
    <w:rsid w:val="005C69D1"/>
    <w:rsid w:val="005D594C"/>
    <w:rsid w:val="005E3363"/>
    <w:rsid w:val="005F14F4"/>
    <w:rsid w:val="005F1958"/>
    <w:rsid w:val="005F621C"/>
    <w:rsid w:val="00605122"/>
    <w:rsid w:val="0060584D"/>
    <w:rsid w:val="00613FF5"/>
    <w:rsid w:val="00616BF8"/>
    <w:rsid w:val="00617759"/>
    <w:rsid w:val="00647829"/>
    <w:rsid w:val="006636D3"/>
    <w:rsid w:val="0066767B"/>
    <w:rsid w:val="006747EC"/>
    <w:rsid w:val="00685597"/>
    <w:rsid w:val="006953BD"/>
    <w:rsid w:val="006973B3"/>
    <w:rsid w:val="006A0E74"/>
    <w:rsid w:val="006A4CE7"/>
    <w:rsid w:val="006A55FF"/>
    <w:rsid w:val="006B6C0D"/>
    <w:rsid w:val="006C49B9"/>
    <w:rsid w:val="006C65C7"/>
    <w:rsid w:val="006C683C"/>
    <w:rsid w:val="006D2DA3"/>
    <w:rsid w:val="006D4AD4"/>
    <w:rsid w:val="006E1FE3"/>
    <w:rsid w:val="007065F3"/>
    <w:rsid w:val="00715B8B"/>
    <w:rsid w:val="0072459B"/>
    <w:rsid w:val="0073320E"/>
    <w:rsid w:val="00734961"/>
    <w:rsid w:val="00763EAC"/>
    <w:rsid w:val="007670BD"/>
    <w:rsid w:val="00771AB8"/>
    <w:rsid w:val="00785261"/>
    <w:rsid w:val="00786C2D"/>
    <w:rsid w:val="00792A8B"/>
    <w:rsid w:val="007A475E"/>
    <w:rsid w:val="007A5198"/>
    <w:rsid w:val="007B0256"/>
    <w:rsid w:val="007B037B"/>
    <w:rsid w:val="007B10B9"/>
    <w:rsid w:val="007B52DA"/>
    <w:rsid w:val="007C3BEB"/>
    <w:rsid w:val="007E4787"/>
    <w:rsid w:val="007E4F0B"/>
    <w:rsid w:val="007E6C67"/>
    <w:rsid w:val="007F2003"/>
    <w:rsid w:val="007F68D2"/>
    <w:rsid w:val="00821D0D"/>
    <w:rsid w:val="00822800"/>
    <w:rsid w:val="008236D2"/>
    <w:rsid w:val="0082663A"/>
    <w:rsid w:val="0084227C"/>
    <w:rsid w:val="0084488E"/>
    <w:rsid w:val="00846A32"/>
    <w:rsid w:val="00852350"/>
    <w:rsid w:val="00852794"/>
    <w:rsid w:val="008565DF"/>
    <w:rsid w:val="0085710F"/>
    <w:rsid w:val="00864439"/>
    <w:rsid w:val="008660A1"/>
    <w:rsid w:val="0087367F"/>
    <w:rsid w:val="00876CA6"/>
    <w:rsid w:val="00877018"/>
    <w:rsid w:val="008861AE"/>
    <w:rsid w:val="008916D6"/>
    <w:rsid w:val="008925B9"/>
    <w:rsid w:val="00892BE8"/>
    <w:rsid w:val="008B1C96"/>
    <w:rsid w:val="008D11CA"/>
    <w:rsid w:val="008D12BF"/>
    <w:rsid w:val="008D1FB0"/>
    <w:rsid w:val="008D79A0"/>
    <w:rsid w:val="008E3C87"/>
    <w:rsid w:val="008E4D5C"/>
    <w:rsid w:val="008E630D"/>
    <w:rsid w:val="008F16D2"/>
    <w:rsid w:val="008F3023"/>
    <w:rsid w:val="009016EB"/>
    <w:rsid w:val="00921F5B"/>
    <w:rsid w:val="009225F0"/>
    <w:rsid w:val="00923EC8"/>
    <w:rsid w:val="009256F8"/>
    <w:rsid w:val="00932101"/>
    <w:rsid w:val="00945255"/>
    <w:rsid w:val="0094563F"/>
    <w:rsid w:val="00953BEF"/>
    <w:rsid w:val="00964ADE"/>
    <w:rsid w:val="009675C6"/>
    <w:rsid w:val="009762F4"/>
    <w:rsid w:val="009B7F5B"/>
    <w:rsid w:val="009C01A5"/>
    <w:rsid w:val="009D3CCB"/>
    <w:rsid w:val="009D4931"/>
    <w:rsid w:val="009D6A99"/>
    <w:rsid w:val="009E26A5"/>
    <w:rsid w:val="009F2978"/>
    <w:rsid w:val="00A13549"/>
    <w:rsid w:val="00A15C1D"/>
    <w:rsid w:val="00A17A97"/>
    <w:rsid w:val="00A2366B"/>
    <w:rsid w:val="00A25B07"/>
    <w:rsid w:val="00A41020"/>
    <w:rsid w:val="00A43DDF"/>
    <w:rsid w:val="00A43E66"/>
    <w:rsid w:val="00A4462B"/>
    <w:rsid w:val="00A44B70"/>
    <w:rsid w:val="00A44FC6"/>
    <w:rsid w:val="00A45143"/>
    <w:rsid w:val="00A50E97"/>
    <w:rsid w:val="00A65C91"/>
    <w:rsid w:val="00A70E8D"/>
    <w:rsid w:val="00A73915"/>
    <w:rsid w:val="00A74769"/>
    <w:rsid w:val="00A952EF"/>
    <w:rsid w:val="00A95E2E"/>
    <w:rsid w:val="00AA7226"/>
    <w:rsid w:val="00AA7647"/>
    <w:rsid w:val="00AB1CFC"/>
    <w:rsid w:val="00AB3755"/>
    <w:rsid w:val="00AB7BB3"/>
    <w:rsid w:val="00AD1CBC"/>
    <w:rsid w:val="00AE2066"/>
    <w:rsid w:val="00AE3DC6"/>
    <w:rsid w:val="00AE7113"/>
    <w:rsid w:val="00AF6D6E"/>
    <w:rsid w:val="00B02F93"/>
    <w:rsid w:val="00B0390F"/>
    <w:rsid w:val="00B04F2C"/>
    <w:rsid w:val="00B10EB1"/>
    <w:rsid w:val="00B20113"/>
    <w:rsid w:val="00B25125"/>
    <w:rsid w:val="00B25BF6"/>
    <w:rsid w:val="00B35BFF"/>
    <w:rsid w:val="00B45723"/>
    <w:rsid w:val="00B537E6"/>
    <w:rsid w:val="00B54A56"/>
    <w:rsid w:val="00B57DE9"/>
    <w:rsid w:val="00B64A72"/>
    <w:rsid w:val="00B81C7D"/>
    <w:rsid w:val="00B83DEF"/>
    <w:rsid w:val="00B877E2"/>
    <w:rsid w:val="00B87C53"/>
    <w:rsid w:val="00B91C55"/>
    <w:rsid w:val="00B96B11"/>
    <w:rsid w:val="00BA2DB9"/>
    <w:rsid w:val="00BA40B6"/>
    <w:rsid w:val="00BA7AA6"/>
    <w:rsid w:val="00BB01B5"/>
    <w:rsid w:val="00BB03A8"/>
    <w:rsid w:val="00BB0BF6"/>
    <w:rsid w:val="00BC24E9"/>
    <w:rsid w:val="00BC5031"/>
    <w:rsid w:val="00BC7297"/>
    <w:rsid w:val="00BC7697"/>
    <w:rsid w:val="00BD6D81"/>
    <w:rsid w:val="00BE409A"/>
    <w:rsid w:val="00BE591B"/>
    <w:rsid w:val="00BE6555"/>
    <w:rsid w:val="00BE7148"/>
    <w:rsid w:val="00BF2323"/>
    <w:rsid w:val="00BF4FC4"/>
    <w:rsid w:val="00BF62E4"/>
    <w:rsid w:val="00C027B8"/>
    <w:rsid w:val="00C11925"/>
    <w:rsid w:val="00C1747B"/>
    <w:rsid w:val="00C330A7"/>
    <w:rsid w:val="00C4015A"/>
    <w:rsid w:val="00C57001"/>
    <w:rsid w:val="00C57C5B"/>
    <w:rsid w:val="00C602BE"/>
    <w:rsid w:val="00C6050E"/>
    <w:rsid w:val="00C61F9F"/>
    <w:rsid w:val="00C643D9"/>
    <w:rsid w:val="00C67B98"/>
    <w:rsid w:val="00C73D3A"/>
    <w:rsid w:val="00C76296"/>
    <w:rsid w:val="00C7666D"/>
    <w:rsid w:val="00C8142E"/>
    <w:rsid w:val="00C9501B"/>
    <w:rsid w:val="00CA2B03"/>
    <w:rsid w:val="00CA5D88"/>
    <w:rsid w:val="00CB3EC0"/>
    <w:rsid w:val="00CB45F0"/>
    <w:rsid w:val="00CB4CA5"/>
    <w:rsid w:val="00CC033F"/>
    <w:rsid w:val="00CD6339"/>
    <w:rsid w:val="00CE1CB4"/>
    <w:rsid w:val="00CE548B"/>
    <w:rsid w:val="00CE59CB"/>
    <w:rsid w:val="00CE769D"/>
    <w:rsid w:val="00D022AE"/>
    <w:rsid w:val="00D07E99"/>
    <w:rsid w:val="00D1076D"/>
    <w:rsid w:val="00D131A1"/>
    <w:rsid w:val="00D22A8A"/>
    <w:rsid w:val="00D375E5"/>
    <w:rsid w:val="00D42996"/>
    <w:rsid w:val="00D43E30"/>
    <w:rsid w:val="00D50900"/>
    <w:rsid w:val="00D70498"/>
    <w:rsid w:val="00D71C54"/>
    <w:rsid w:val="00D83129"/>
    <w:rsid w:val="00D86E50"/>
    <w:rsid w:val="00D90D3C"/>
    <w:rsid w:val="00D9126A"/>
    <w:rsid w:val="00D92980"/>
    <w:rsid w:val="00DA1D63"/>
    <w:rsid w:val="00DA3474"/>
    <w:rsid w:val="00DA615D"/>
    <w:rsid w:val="00DA78B0"/>
    <w:rsid w:val="00DB7E64"/>
    <w:rsid w:val="00DC1752"/>
    <w:rsid w:val="00DC18EB"/>
    <w:rsid w:val="00DC2C7D"/>
    <w:rsid w:val="00DC5484"/>
    <w:rsid w:val="00DE757D"/>
    <w:rsid w:val="00E04EAF"/>
    <w:rsid w:val="00E11708"/>
    <w:rsid w:val="00E11D44"/>
    <w:rsid w:val="00E2652E"/>
    <w:rsid w:val="00E33B1C"/>
    <w:rsid w:val="00E44AD7"/>
    <w:rsid w:val="00E47DAE"/>
    <w:rsid w:val="00E52E07"/>
    <w:rsid w:val="00E538CE"/>
    <w:rsid w:val="00E63F8E"/>
    <w:rsid w:val="00E70363"/>
    <w:rsid w:val="00E708BB"/>
    <w:rsid w:val="00E73B92"/>
    <w:rsid w:val="00E7585F"/>
    <w:rsid w:val="00E87A1D"/>
    <w:rsid w:val="00E90E3E"/>
    <w:rsid w:val="00E9597C"/>
    <w:rsid w:val="00EA6273"/>
    <w:rsid w:val="00EA66F0"/>
    <w:rsid w:val="00EA72C9"/>
    <w:rsid w:val="00EB058C"/>
    <w:rsid w:val="00EB10B6"/>
    <w:rsid w:val="00EC1582"/>
    <w:rsid w:val="00EC5623"/>
    <w:rsid w:val="00EC7872"/>
    <w:rsid w:val="00EC7EA9"/>
    <w:rsid w:val="00ED1E03"/>
    <w:rsid w:val="00EE3834"/>
    <w:rsid w:val="00EE7633"/>
    <w:rsid w:val="00F13047"/>
    <w:rsid w:val="00F172D2"/>
    <w:rsid w:val="00F177E4"/>
    <w:rsid w:val="00F17B7B"/>
    <w:rsid w:val="00F30780"/>
    <w:rsid w:val="00F30908"/>
    <w:rsid w:val="00F36702"/>
    <w:rsid w:val="00F3674E"/>
    <w:rsid w:val="00F54AA5"/>
    <w:rsid w:val="00F666A9"/>
    <w:rsid w:val="00F67DCC"/>
    <w:rsid w:val="00F72D8E"/>
    <w:rsid w:val="00F80B94"/>
    <w:rsid w:val="00F84061"/>
    <w:rsid w:val="00F85669"/>
    <w:rsid w:val="00F876BB"/>
    <w:rsid w:val="00F925F4"/>
    <w:rsid w:val="00F93D65"/>
    <w:rsid w:val="00F952EB"/>
    <w:rsid w:val="00FA14A6"/>
    <w:rsid w:val="00FB3C02"/>
    <w:rsid w:val="00FB5E8F"/>
    <w:rsid w:val="00FC143A"/>
    <w:rsid w:val="00FD1CD8"/>
    <w:rsid w:val="00FD6EE8"/>
    <w:rsid w:val="00FE4072"/>
    <w:rsid w:val="00FE50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9743D"/>
  <w15:docId w15:val="{4A736EFB-D610-4E3F-B579-06BEDB71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3A8"/>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0A0FE2"/>
    <w:pPr>
      <w:spacing w:before="360" w:after="120" w:line="240" w:lineRule="auto"/>
      <w:contextualSpacing/>
      <w:outlineLvl w:val="0"/>
    </w:pPr>
    <w:rPr>
      <w:rFonts w:ascii="Georgia" w:eastAsiaTheme="majorEastAsia" w:hAnsi="Georgia" w:cstheme="majorBidi"/>
      <w:bCs/>
      <w:color w:val="500778"/>
      <w:sz w:val="36"/>
      <w:szCs w:val="28"/>
    </w:rPr>
  </w:style>
  <w:style w:type="paragraph" w:styleId="Heading2">
    <w:name w:val="heading 2"/>
    <w:basedOn w:val="Normal"/>
    <w:next w:val="Normal"/>
    <w:link w:val="Heading2Char"/>
    <w:uiPriority w:val="2"/>
    <w:unhideWhenUsed/>
    <w:qFormat/>
    <w:rsid w:val="000A0FE2"/>
    <w:pPr>
      <w:spacing w:before="240" w:after="120" w:line="240" w:lineRule="auto"/>
      <w:outlineLvl w:val="1"/>
    </w:pPr>
    <w:rPr>
      <w:rFonts w:ascii="Georgia" w:eastAsiaTheme="majorEastAsia" w:hAnsi="Georgia" w:cstheme="majorBidi"/>
      <w:bCs/>
      <w:color w:val="500778"/>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A0FE2"/>
    <w:rPr>
      <w:rFonts w:ascii="Georgia" w:eastAsiaTheme="majorEastAsia" w:hAnsi="Georgia" w:cstheme="majorBidi"/>
      <w:bCs/>
      <w:color w:val="500778"/>
      <w:spacing w:val="4"/>
      <w:sz w:val="36"/>
      <w:szCs w:val="28"/>
      <w:lang w:eastAsia="en-AU"/>
    </w:rPr>
  </w:style>
  <w:style w:type="character" w:customStyle="1" w:styleId="Heading2Char">
    <w:name w:val="Heading 2 Char"/>
    <w:basedOn w:val="DefaultParagraphFont"/>
    <w:link w:val="Heading2"/>
    <w:uiPriority w:val="2"/>
    <w:rsid w:val="000A0FE2"/>
    <w:rPr>
      <w:rFonts w:ascii="Georgia" w:eastAsiaTheme="majorEastAsia" w:hAnsi="Georgia" w:cstheme="majorBidi"/>
      <w:bCs/>
      <w:color w:val="500778"/>
      <w:spacing w:val="4"/>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0A0FE2"/>
    <w:pPr>
      <w:spacing w:before="1440" w:line="240" w:lineRule="auto"/>
      <w:contextualSpacing/>
    </w:pPr>
    <w:rPr>
      <w:rFonts w:ascii="Georgia" w:eastAsiaTheme="majorEastAsia" w:hAnsi="Georgia" w:cstheme="majorBidi"/>
      <w:color w:val="500778"/>
      <w:spacing w:val="5"/>
      <w:sz w:val="66"/>
      <w:szCs w:val="52"/>
    </w:rPr>
  </w:style>
  <w:style w:type="character" w:customStyle="1" w:styleId="TitleChar">
    <w:name w:val="Title Char"/>
    <w:basedOn w:val="DefaultParagraphFont"/>
    <w:link w:val="Title"/>
    <w:uiPriority w:val="10"/>
    <w:rsid w:val="000A0FE2"/>
    <w:rPr>
      <w:rFonts w:ascii="Georgia" w:eastAsiaTheme="majorEastAsia" w:hAnsi="Georgia" w:cstheme="majorBidi"/>
      <w:color w:val="500778"/>
      <w:spacing w:val="5"/>
      <w:sz w:val="66"/>
      <w:szCs w:val="52"/>
      <w:lang w:eastAsia="en-AU"/>
    </w:rPr>
  </w:style>
  <w:style w:type="paragraph" w:styleId="Subtitle">
    <w:name w:val="Subtitle"/>
    <w:basedOn w:val="Normal"/>
    <w:next w:val="Normal"/>
    <w:link w:val="SubtitleChar"/>
    <w:uiPriority w:val="99"/>
    <w:qFormat/>
    <w:rsid w:val="005877DC"/>
    <w:pPr>
      <w:spacing w:before="240"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99"/>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Recommendation,L,CAB - List Bullet,List Bullet Cab,List Paragraph1,List Paragraph11,Bullet point,List Paragraph Number,List Paragraph2,Bullet Point,Bullet points,Content descriptions,Bullet Points,AR bullet 1,#List Paragraph,CV text,列出段落"/>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0A0FE2"/>
    <w:pPr>
      <w:spacing w:before="4000"/>
    </w:pPr>
    <w:rPr>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A0FE2"/>
    <w:pPr>
      <w:pBdr>
        <w:bottom w:val="single" w:sz="18" w:space="1" w:color="500778"/>
      </w:pBdr>
      <w:tabs>
        <w:tab w:val="center" w:pos="4513"/>
        <w:tab w:val="right" w:pos="9026"/>
      </w:tabs>
      <w:spacing w:before="600" w:after="720" w:line="240" w:lineRule="auto"/>
    </w:pPr>
    <w:rPr>
      <w:rFonts w:ascii="Georgia" w:hAnsi="Georgia"/>
      <w:color w:val="500778"/>
    </w:rPr>
  </w:style>
  <w:style w:type="character" w:customStyle="1" w:styleId="HeaderChar">
    <w:name w:val="Header Char"/>
    <w:basedOn w:val="DefaultParagraphFont"/>
    <w:link w:val="Header"/>
    <w:uiPriority w:val="99"/>
    <w:rsid w:val="000A0FE2"/>
    <w:rPr>
      <w:rFonts w:ascii="Georgia" w:eastAsia="Times New Roman" w:hAnsi="Georgia" w:cs="Times New Roman"/>
      <w:color w:val="500778"/>
      <w:spacing w:val="4"/>
      <w:sz w:val="24"/>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5F621C"/>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0A0FE2"/>
    <w:pPr>
      <w:spacing w:before="120" w:after="120" w:line="240" w:lineRule="auto"/>
      <w:ind w:left="397"/>
      <w:contextualSpacing/>
    </w:pPr>
    <w:rPr>
      <w:rFonts w:ascii="Georgia" w:eastAsia="Times New Roman" w:hAnsi="Georgia" w:cs="Arial"/>
      <w:bCs/>
      <w:iCs/>
      <w:color w:val="500778"/>
      <w:sz w:val="24"/>
      <w:szCs w:val="28"/>
      <w:lang w:eastAsia="en-AU"/>
    </w:rPr>
  </w:style>
  <w:style w:type="character" w:customStyle="1" w:styleId="PullouttextChar">
    <w:name w:val="Pullout text Char"/>
    <w:basedOn w:val="Heading2Char"/>
    <w:link w:val="Pullouttext"/>
    <w:uiPriority w:val="3"/>
    <w:rsid w:val="000A0FE2"/>
    <w:rPr>
      <w:rFonts w:ascii="Georgia" w:eastAsia="Times New Roman" w:hAnsi="Georgia" w:cs="Arial"/>
      <w:bCs/>
      <w:iCs/>
      <w:color w:val="500778"/>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4157A2"/>
    <w:pPr>
      <w:tabs>
        <w:tab w:val="right" w:leader="dot" w:pos="9344"/>
      </w:tabs>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044C42"/>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EF0F3"/>
      </w:tcPr>
    </w:tblStylePr>
  </w:style>
  <w:style w:type="table" w:customStyle="1" w:styleId="DSSTableStyleB">
    <w:name w:val="DSS Table Style B"/>
    <w:basedOn w:val="TableNormal"/>
    <w:uiPriority w:val="99"/>
    <w:rsid w:val="000A0FE2"/>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F9B5C4"/>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paragraph" w:styleId="CommentText">
    <w:name w:val="annotation text"/>
    <w:basedOn w:val="Normal"/>
    <w:link w:val="CommentTextChar"/>
    <w:uiPriority w:val="99"/>
    <w:unhideWhenUsed/>
    <w:rsid w:val="00504388"/>
    <w:pPr>
      <w:spacing w:line="240" w:lineRule="auto"/>
    </w:pPr>
    <w:rPr>
      <w:sz w:val="20"/>
      <w:szCs w:val="20"/>
    </w:rPr>
  </w:style>
  <w:style w:type="character" w:customStyle="1" w:styleId="CommentTextChar">
    <w:name w:val="Comment Text Char"/>
    <w:basedOn w:val="DefaultParagraphFont"/>
    <w:link w:val="CommentText"/>
    <w:uiPriority w:val="99"/>
    <w:rsid w:val="00504388"/>
    <w:rPr>
      <w:rFonts w:ascii="Arial" w:eastAsia="Times New Roman" w:hAnsi="Arial" w:cs="Times New Roman"/>
      <w:spacing w:val="4"/>
      <w:sz w:val="20"/>
      <w:szCs w:val="20"/>
      <w:lang w:eastAsia="en-AU"/>
    </w:rPr>
  </w:style>
  <w:style w:type="character" w:styleId="CommentReference">
    <w:name w:val="annotation reference"/>
    <w:basedOn w:val="DefaultParagraphFont"/>
    <w:uiPriority w:val="99"/>
    <w:unhideWhenUsed/>
    <w:rsid w:val="00504388"/>
    <w:rPr>
      <w:sz w:val="16"/>
      <w:szCs w:val="16"/>
    </w:rPr>
  </w:style>
  <w:style w:type="paragraph" w:styleId="EndnoteText">
    <w:name w:val="endnote text"/>
    <w:basedOn w:val="Normal"/>
    <w:link w:val="EndnoteTextChar"/>
    <w:uiPriority w:val="99"/>
    <w:semiHidden/>
    <w:unhideWhenUsed/>
    <w:rsid w:val="00F172D2"/>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172D2"/>
    <w:rPr>
      <w:rFonts w:ascii="Arial" w:eastAsia="Times New Roman" w:hAnsi="Arial" w:cs="Times New Roman"/>
      <w:spacing w:val="4"/>
      <w:sz w:val="20"/>
      <w:szCs w:val="20"/>
      <w:lang w:eastAsia="en-AU"/>
    </w:rPr>
  </w:style>
  <w:style w:type="character" w:styleId="EndnoteReference">
    <w:name w:val="endnote reference"/>
    <w:basedOn w:val="DefaultParagraphFont"/>
    <w:uiPriority w:val="99"/>
    <w:semiHidden/>
    <w:unhideWhenUsed/>
    <w:rsid w:val="00F172D2"/>
    <w:rPr>
      <w:vertAlign w:val="superscript"/>
    </w:rPr>
  </w:style>
  <w:style w:type="paragraph" w:styleId="CommentSubject">
    <w:name w:val="annotation subject"/>
    <w:basedOn w:val="CommentText"/>
    <w:next w:val="CommentText"/>
    <w:link w:val="CommentSubjectChar"/>
    <w:uiPriority w:val="99"/>
    <w:semiHidden/>
    <w:unhideWhenUsed/>
    <w:rsid w:val="00C67B98"/>
    <w:rPr>
      <w:b/>
      <w:bCs/>
    </w:rPr>
  </w:style>
  <w:style w:type="character" w:customStyle="1" w:styleId="CommentSubjectChar">
    <w:name w:val="Comment Subject Char"/>
    <w:basedOn w:val="CommentTextChar"/>
    <w:link w:val="CommentSubject"/>
    <w:uiPriority w:val="99"/>
    <w:semiHidden/>
    <w:rsid w:val="00C67B98"/>
    <w:rPr>
      <w:rFonts w:ascii="Arial" w:eastAsia="Times New Roman" w:hAnsi="Arial" w:cs="Times New Roman"/>
      <w:b/>
      <w:bCs/>
      <w:spacing w:val="4"/>
      <w:sz w:val="20"/>
      <w:szCs w:val="20"/>
      <w:lang w:eastAsia="en-AU"/>
    </w:rPr>
  </w:style>
  <w:style w:type="paragraph" w:styleId="Revision">
    <w:name w:val="Revision"/>
    <w:hidden/>
    <w:uiPriority w:val="99"/>
    <w:semiHidden/>
    <w:rsid w:val="00C67B98"/>
    <w:pPr>
      <w:spacing w:after="0" w:line="240" w:lineRule="auto"/>
    </w:pPr>
    <w:rPr>
      <w:rFonts w:ascii="Arial" w:eastAsia="Times New Roman" w:hAnsi="Arial" w:cs="Times New Roman"/>
      <w:spacing w:val="4"/>
      <w:sz w:val="24"/>
      <w:szCs w:val="24"/>
      <w:lang w:eastAsia="en-AU"/>
    </w:rPr>
  </w:style>
  <w:style w:type="paragraph" w:styleId="FootnoteText">
    <w:name w:val="footnote text"/>
    <w:basedOn w:val="Normal"/>
    <w:link w:val="FootnoteTextChar"/>
    <w:uiPriority w:val="99"/>
    <w:unhideWhenUsed/>
    <w:rsid w:val="00F876BB"/>
    <w:pPr>
      <w:spacing w:before="0" w:after="0" w:line="240" w:lineRule="auto"/>
    </w:pPr>
    <w:rPr>
      <w:sz w:val="20"/>
      <w:szCs w:val="20"/>
    </w:rPr>
  </w:style>
  <w:style w:type="character" w:customStyle="1" w:styleId="FootnoteTextChar">
    <w:name w:val="Footnote Text Char"/>
    <w:basedOn w:val="DefaultParagraphFont"/>
    <w:link w:val="FootnoteText"/>
    <w:uiPriority w:val="99"/>
    <w:rsid w:val="00F876BB"/>
    <w:rPr>
      <w:rFonts w:ascii="Arial" w:eastAsia="Times New Roman" w:hAnsi="Arial" w:cs="Times New Roman"/>
      <w:spacing w:val="4"/>
      <w:sz w:val="20"/>
      <w:szCs w:val="20"/>
      <w:lang w:eastAsia="en-AU"/>
    </w:rPr>
  </w:style>
  <w:style w:type="character" w:styleId="FootnoteReference">
    <w:name w:val="footnote reference"/>
    <w:basedOn w:val="DefaultParagraphFont"/>
    <w:uiPriority w:val="99"/>
    <w:unhideWhenUsed/>
    <w:rsid w:val="00F876BB"/>
    <w:rPr>
      <w:vertAlign w:val="superscript"/>
    </w:rPr>
  </w:style>
  <w:style w:type="character" w:customStyle="1" w:styleId="BasicParagraphChar">
    <w:name w:val="[Basic Paragraph] Char"/>
    <w:basedOn w:val="DefaultParagraphFont"/>
    <w:link w:val="BasicParagraph"/>
    <w:uiPriority w:val="99"/>
    <w:locked/>
    <w:rsid w:val="00152642"/>
    <w:rPr>
      <w:rFonts w:ascii="Minion Pro" w:eastAsia="Times New Roman" w:hAnsi="Minion Pro" w:cs="Minion Pro"/>
      <w:color w:val="000000"/>
      <w:sz w:val="24"/>
      <w:szCs w:val="24"/>
      <w:lang w:val="en-GB"/>
    </w:rPr>
  </w:style>
  <w:style w:type="paragraph" w:customStyle="1" w:styleId="BasicParagraph">
    <w:name w:val="[Basic Paragraph]"/>
    <w:basedOn w:val="Normal"/>
    <w:link w:val="BasicParagraphChar"/>
    <w:uiPriority w:val="99"/>
    <w:rsid w:val="00152642"/>
    <w:pPr>
      <w:autoSpaceDE w:val="0"/>
      <w:autoSpaceDN w:val="0"/>
      <w:adjustRightInd w:val="0"/>
      <w:spacing w:before="0" w:after="0" w:line="288" w:lineRule="auto"/>
    </w:pPr>
    <w:rPr>
      <w:rFonts w:ascii="Minion Pro" w:hAnsi="Minion Pro" w:cs="Minion Pro"/>
      <w:color w:val="000000"/>
      <w:spacing w:val="0"/>
      <w:lang w:val="en-GB" w:eastAsia="en-US"/>
    </w:rPr>
  </w:style>
  <w:style w:type="character" w:styleId="BookTitle">
    <w:name w:val="Book Title"/>
    <w:uiPriority w:val="33"/>
    <w:qFormat/>
    <w:rsid w:val="00734961"/>
    <w:rPr>
      <w:i/>
      <w:iCs/>
      <w:smallCaps/>
      <w:spacing w:val="5"/>
    </w:rPr>
  </w:style>
  <w:style w:type="character" w:customStyle="1" w:styleId="ListParagraphChar">
    <w:name w:val="List Paragraph Char"/>
    <w:aliases w:val="Recommendation Char,L Char,CAB - List Bullet Char,List Bullet Cab Char,List Paragraph1 Char,List Paragraph11 Char,Bullet point Char,List Paragraph Number Char,List Paragraph2 Char,Bullet Point Char,Bullet points Char,AR bullet 1 Char"/>
    <w:basedOn w:val="DefaultParagraphFont"/>
    <w:link w:val="ListParagraph"/>
    <w:uiPriority w:val="34"/>
    <w:qFormat/>
    <w:rsid w:val="00171846"/>
    <w:rPr>
      <w:rFonts w:ascii="Arial" w:eastAsia="Times New Roman" w:hAnsi="Arial" w:cs="Times New Roman"/>
      <w:spacing w:val="4"/>
      <w:sz w:val="24"/>
      <w:szCs w:val="24"/>
      <w:lang w:eastAsia="en-AU"/>
    </w:rPr>
  </w:style>
  <w:style w:type="paragraph" w:customStyle="1" w:styleId="Default">
    <w:name w:val="Default"/>
    <w:rsid w:val="0042576E"/>
    <w:pPr>
      <w:autoSpaceDE w:val="0"/>
      <w:autoSpaceDN w:val="0"/>
      <w:adjustRightInd w:val="0"/>
      <w:spacing w:after="0" w:line="240" w:lineRule="auto"/>
    </w:pPr>
    <w:rPr>
      <w:rFonts w:ascii="Arial" w:hAnsi="Arial" w:cs="Arial"/>
      <w:color w:val="000000"/>
      <w:sz w:val="24"/>
      <w:szCs w:val="24"/>
    </w:rPr>
  </w:style>
  <w:style w:type="character" w:customStyle="1" w:styleId="valuetext1">
    <w:name w:val="valuetext1"/>
    <w:basedOn w:val="DefaultParagraphFont"/>
    <w:rsid w:val="00470A6D"/>
    <w:rPr>
      <w:color w:val="0000CD"/>
    </w:rPr>
  </w:style>
  <w:style w:type="character" w:customStyle="1" w:styleId="standard-view-style">
    <w:name w:val="standard-view-style"/>
    <w:basedOn w:val="DefaultParagraphFont"/>
    <w:rsid w:val="00A73915"/>
  </w:style>
  <w:style w:type="character" w:styleId="FollowedHyperlink">
    <w:name w:val="FollowedHyperlink"/>
    <w:basedOn w:val="DefaultParagraphFont"/>
    <w:uiPriority w:val="99"/>
    <w:semiHidden/>
    <w:unhideWhenUsed/>
    <w:rsid w:val="00C6050E"/>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0783">
      <w:bodyDiv w:val="1"/>
      <w:marLeft w:val="0"/>
      <w:marRight w:val="0"/>
      <w:marTop w:val="0"/>
      <w:marBottom w:val="0"/>
      <w:divBdr>
        <w:top w:val="none" w:sz="0" w:space="0" w:color="auto"/>
        <w:left w:val="none" w:sz="0" w:space="0" w:color="auto"/>
        <w:bottom w:val="none" w:sz="0" w:space="0" w:color="auto"/>
        <w:right w:val="none" w:sz="0" w:space="0" w:color="auto"/>
      </w:divBdr>
    </w:div>
    <w:div w:id="70585845">
      <w:bodyDiv w:val="1"/>
      <w:marLeft w:val="0"/>
      <w:marRight w:val="0"/>
      <w:marTop w:val="0"/>
      <w:marBottom w:val="0"/>
      <w:divBdr>
        <w:top w:val="none" w:sz="0" w:space="0" w:color="auto"/>
        <w:left w:val="none" w:sz="0" w:space="0" w:color="auto"/>
        <w:bottom w:val="none" w:sz="0" w:space="0" w:color="auto"/>
        <w:right w:val="none" w:sz="0" w:space="0" w:color="auto"/>
      </w:divBdr>
      <w:divsChild>
        <w:div w:id="775099170">
          <w:marLeft w:val="0"/>
          <w:marRight w:val="0"/>
          <w:marTop w:val="0"/>
          <w:marBottom w:val="0"/>
          <w:divBdr>
            <w:top w:val="none" w:sz="0" w:space="0" w:color="auto"/>
            <w:left w:val="none" w:sz="0" w:space="0" w:color="auto"/>
            <w:bottom w:val="none" w:sz="0" w:space="0" w:color="auto"/>
            <w:right w:val="none" w:sz="0" w:space="0" w:color="auto"/>
          </w:divBdr>
          <w:divsChild>
            <w:div w:id="920992123">
              <w:marLeft w:val="0"/>
              <w:marRight w:val="0"/>
              <w:marTop w:val="0"/>
              <w:marBottom w:val="0"/>
              <w:divBdr>
                <w:top w:val="none" w:sz="0" w:space="0" w:color="auto"/>
                <w:left w:val="none" w:sz="0" w:space="0" w:color="auto"/>
                <w:bottom w:val="none" w:sz="0" w:space="0" w:color="auto"/>
                <w:right w:val="none" w:sz="0" w:space="0" w:color="auto"/>
              </w:divBdr>
              <w:divsChild>
                <w:div w:id="41231387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78601379">
      <w:bodyDiv w:val="1"/>
      <w:marLeft w:val="0"/>
      <w:marRight w:val="0"/>
      <w:marTop w:val="0"/>
      <w:marBottom w:val="0"/>
      <w:divBdr>
        <w:top w:val="none" w:sz="0" w:space="0" w:color="auto"/>
        <w:left w:val="none" w:sz="0" w:space="0" w:color="auto"/>
        <w:bottom w:val="none" w:sz="0" w:space="0" w:color="auto"/>
        <w:right w:val="none" w:sz="0" w:space="0" w:color="auto"/>
      </w:divBdr>
    </w:div>
    <w:div w:id="82919181">
      <w:bodyDiv w:val="1"/>
      <w:marLeft w:val="0"/>
      <w:marRight w:val="0"/>
      <w:marTop w:val="0"/>
      <w:marBottom w:val="0"/>
      <w:divBdr>
        <w:top w:val="none" w:sz="0" w:space="0" w:color="auto"/>
        <w:left w:val="none" w:sz="0" w:space="0" w:color="auto"/>
        <w:bottom w:val="none" w:sz="0" w:space="0" w:color="auto"/>
        <w:right w:val="none" w:sz="0" w:space="0" w:color="auto"/>
      </w:divBdr>
    </w:div>
    <w:div w:id="127091304">
      <w:bodyDiv w:val="1"/>
      <w:marLeft w:val="0"/>
      <w:marRight w:val="0"/>
      <w:marTop w:val="0"/>
      <w:marBottom w:val="0"/>
      <w:divBdr>
        <w:top w:val="none" w:sz="0" w:space="0" w:color="auto"/>
        <w:left w:val="none" w:sz="0" w:space="0" w:color="auto"/>
        <w:bottom w:val="none" w:sz="0" w:space="0" w:color="auto"/>
        <w:right w:val="none" w:sz="0" w:space="0" w:color="auto"/>
      </w:divBdr>
    </w:div>
    <w:div w:id="154801289">
      <w:bodyDiv w:val="1"/>
      <w:marLeft w:val="0"/>
      <w:marRight w:val="0"/>
      <w:marTop w:val="0"/>
      <w:marBottom w:val="0"/>
      <w:divBdr>
        <w:top w:val="none" w:sz="0" w:space="0" w:color="auto"/>
        <w:left w:val="none" w:sz="0" w:space="0" w:color="auto"/>
        <w:bottom w:val="none" w:sz="0" w:space="0" w:color="auto"/>
        <w:right w:val="none" w:sz="0" w:space="0" w:color="auto"/>
      </w:divBdr>
    </w:div>
    <w:div w:id="170069124">
      <w:bodyDiv w:val="1"/>
      <w:marLeft w:val="0"/>
      <w:marRight w:val="0"/>
      <w:marTop w:val="0"/>
      <w:marBottom w:val="0"/>
      <w:divBdr>
        <w:top w:val="none" w:sz="0" w:space="0" w:color="auto"/>
        <w:left w:val="none" w:sz="0" w:space="0" w:color="auto"/>
        <w:bottom w:val="none" w:sz="0" w:space="0" w:color="auto"/>
        <w:right w:val="none" w:sz="0" w:space="0" w:color="auto"/>
      </w:divBdr>
    </w:div>
    <w:div w:id="256796841">
      <w:bodyDiv w:val="1"/>
      <w:marLeft w:val="0"/>
      <w:marRight w:val="0"/>
      <w:marTop w:val="0"/>
      <w:marBottom w:val="0"/>
      <w:divBdr>
        <w:top w:val="none" w:sz="0" w:space="0" w:color="auto"/>
        <w:left w:val="none" w:sz="0" w:space="0" w:color="auto"/>
        <w:bottom w:val="none" w:sz="0" w:space="0" w:color="auto"/>
        <w:right w:val="none" w:sz="0" w:space="0" w:color="auto"/>
      </w:divBdr>
    </w:div>
    <w:div w:id="392696969">
      <w:bodyDiv w:val="1"/>
      <w:marLeft w:val="0"/>
      <w:marRight w:val="0"/>
      <w:marTop w:val="0"/>
      <w:marBottom w:val="0"/>
      <w:divBdr>
        <w:top w:val="none" w:sz="0" w:space="0" w:color="auto"/>
        <w:left w:val="none" w:sz="0" w:space="0" w:color="auto"/>
        <w:bottom w:val="none" w:sz="0" w:space="0" w:color="auto"/>
        <w:right w:val="none" w:sz="0" w:space="0" w:color="auto"/>
      </w:divBdr>
    </w:div>
    <w:div w:id="400907308">
      <w:bodyDiv w:val="1"/>
      <w:marLeft w:val="0"/>
      <w:marRight w:val="0"/>
      <w:marTop w:val="0"/>
      <w:marBottom w:val="0"/>
      <w:divBdr>
        <w:top w:val="none" w:sz="0" w:space="0" w:color="auto"/>
        <w:left w:val="none" w:sz="0" w:space="0" w:color="auto"/>
        <w:bottom w:val="none" w:sz="0" w:space="0" w:color="auto"/>
        <w:right w:val="none" w:sz="0" w:space="0" w:color="auto"/>
      </w:divBdr>
      <w:divsChild>
        <w:div w:id="11341952">
          <w:marLeft w:val="0"/>
          <w:marRight w:val="0"/>
          <w:marTop w:val="0"/>
          <w:marBottom w:val="0"/>
          <w:divBdr>
            <w:top w:val="none" w:sz="0" w:space="0" w:color="auto"/>
            <w:left w:val="none" w:sz="0" w:space="0" w:color="auto"/>
            <w:bottom w:val="none" w:sz="0" w:space="0" w:color="auto"/>
            <w:right w:val="none" w:sz="0" w:space="0" w:color="auto"/>
          </w:divBdr>
          <w:divsChild>
            <w:div w:id="1782141718">
              <w:marLeft w:val="0"/>
              <w:marRight w:val="0"/>
              <w:marTop w:val="0"/>
              <w:marBottom w:val="0"/>
              <w:divBdr>
                <w:top w:val="none" w:sz="0" w:space="0" w:color="auto"/>
                <w:left w:val="none" w:sz="0" w:space="0" w:color="auto"/>
                <w:bottom w:val="none" w:sz="0" w:space="0" w:color="auto"/>
                <w:right w:val="none" w:sz="0" w:space="0" w:color="auto"/>
              </w:divBdr>
              <w:divsChild>
                <w:div w:id="1644306277">
                  <w:marLeft w:val="0"/>
                  <w:marRight w:val="0"/>
                  <w:marTop w:val="100"/>
                  <w:marBottom w:val="100"/>
                  <w:divBdr>
                    <w:top w:val="none" w:sz="0" w:space="0" w:color="auto"/>
                    <w:left w:val="none" w:sz="0" w:space="0" w:color="auto"/>
                    <w:bottom w:val="none" w:sz="0" w:space="0" w:color="auto"/>
                    <w:right w:val="none" w:sz="0" w:space="0" w:color="auto"/>
                  </w:divBdr>
                  <w:divsChild>
                    <w:div w:id="1054040040">
                      <w:marLeft w:val="0"/>
                      <w:marRight w:val="0"/>
                      <w:marTop w:val="0"/>
                      <w:marBottom w:val="0"/>
                      <w:divBdr>
                        <w:top w:val="none" w:sz="0" w:space="0" w:color="auto"/>
                        <w:left w:val="none" w:sz="0" w:space="0" w:color="auto"/>
                        <w:bottom w:val="none" w:sz="0" w:space="0" w:color="auto"/>
                        <w:right w:val="none" w:sz="0" w:space="0" w:color="auto"/>
                      </w:divBdr>
                      <w:divsChild>
                        <w:div w:id="550117787">
                          <w:marLeft w:val="0"/>
                          <w:marRight w:val="0"/>
                          <w:marTop w:val="0"/>
                          <w:marBottom w:val="0"/>
                          <w:divBdr>
                            <w:top w:val="none" w:sz="0" w:space="0" w:color="auto"/>
                            <w:left w:val="none" w:sz="0" w:space="0" w:color="auto"/>
                            <w:bottom w:val="none" w:sz="0" w:space="0" w:color="auto"/>
                            <w:right w:val="none" w:sz="0" w:space="0" w:color="auto"/>
                          </w:divBdr>
                          <w:divsChild>
                            <w:div w:id="931166674">
                              <w:marLeft w:val="0"/>
                              <w:marRight w:val="0"/>
                              <w:marTop w:val="0"/>
                              <w:marBottom w:val="0"/>
                              <w:divBdr>
                                <w:top w:val="none" w:sz="0" w:space="0" w:color="auto"/>
                                <w:left w:val="none" w:sz="0" w:space="0" w:color="auto"/>
                                <w:bottom w:val="none" w:sz="0" w:space="0" w:color="auto"/>
                                <w:right w:val="none" w:sz="0" w:space="0" w:color="auto"/>
                              </w:divBdr>
                              <w:divsChild>
                                <w:div w:id="1119953984">
                                  <w:marLeft w:val="0"/>
                                  <w:marRight w:val="0"/>
                                  <w:marTop w:val="120"/>
                                  <w:marBottom w:val="0"/>
                                  <w:divBdr>
                                    <w:top w:val="none" w:sz="0" w:space="0" w:color="auto"/>
                                    <w:left w:val="none" w:sz="0" w:space="0" w:color="auto"/>
                                    <w:bottom w:val="none" w:sz="0" w:space="0" w:color="auto"/>
                                    <w:right w:val="none" w:sz="0" w:space="0" w:color="auto"/>
                                  </w:divBdr>
                                  <w:divsChild>
                                    <w:div w:id="200195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834059">
      <w:bodyDiv w:val="1"/>
      <w:marLeft w:val="0"/>
      <w:marRight w:val="0"/>
      <w:marTop w:val="0"/>
      <w:marBottom w:val="0"/>
      <w:divBdr>
        <w:top w:val="none" w:sz="0" w:space="0" w:color="auto"/>
        <w:left w:val="none" w:sz="0" w:space="0" w:color="auto"/>
        <w:bottom w:val="none" w:sz="0" w:space="0" w:color="auto"/>
        <w:right w:val="none" w:sz="0" w:space="0" w:color="auto"/>
      </w:divBdr>
      <w:divsChild>
        <w:div w:id="239949684">
          <w:marLeft w:val="0"/>
          <w:marRight w:val="0"/>
          <w:marTop w:val="86"/>
          <w:marBottom w:val="86"/>
          <w:divBdr>
            <w:top w:val="none" w:sz="0" w:space="0" w:color="auto"/>
            <w:left w:val="none" w:sz="0" w:space="0" w:color="auto"/>
            <w:bottom w:val="none" w:sz="0" w:space="0" w:color="auto"/>
            <w:right w:val="none" w:sz="0" w:space="0" w:color="auto"/>
          </w:divBdr>
        </w:div>
        <w:div w:id="1076173450">
          <w:marLeft w:val="0"/>
          <w:marRight w:val="0"/>
          <w:marTop w:val="86"/>
          <w:marBottom w:val="86"/>
          <w:divBdr>
            <w:top w:val="none" w:sz="0" w:space="0" w:color="auto"/>
            <w:left w:val="none" w:sz="0" w:space="0" w:color="auto"/>
            <w:bottom w:val="none" w:sz="0" w:space="0" w:color="auto"/>
            <w:right w:val="none" w:sz="0" w:space="0" w:color="auto"/>
          </w:divBdr>
        </w:div>
      </w:divsChild>
    </w:div>
    <w:div w:id="441651503">
      <w:bodyDiv w:val="1"/>
      <w:marLeft w:val="0"/>
      <w:marRight w:val="0"/>
      <w:marTop w:val="0"/>
      <w:marBottom w:val="0"/>
      <w:divBdr>
        <w:top w:val="none" w:sz="0" w:space="0" w:color="auto"/>
        <w:left w:val="none" w:sz="0" w:space="0" w:color="auto"/>
        <w:bottom w:val="none" w:sz="0" w:space="0" w:color="auto"/>
        <w:right w:val="none" w:sz="0" w:space="0" w:color="auto"/>
      </w:divBdr>
    </w:div>
    <w:div w:id="461850638">
      <w:bodyDiv w:val="1"/>
      <w:marLeft w:val="0"/>
      <w:marRight w:val="0"/>
      <w:marTop w:val="0"/>
      <w:marBottom w:val="0"/>
      <w:divBdr>
        <w:top w:val="none" w:sz="0" w:space="0" w:color="auto"/>
        <w:left w:val="none" w:sz="0" w:space="0" w:color="auto"/>
        <w:bottom w:val="none" w:sz="0" w:space="0" w:color="auto"/>
        <w:right w:val="none" w:sz="0" w:space="0" w:color="auto"/>
      </w:divBdr>
    </w:div>
    <w:div w:id="489910915">
      <w:bodyDiv w:val="1"/>
      <w:marLeft w:val="0"/>
      <w:marRight w:val="0"/>
      <w:marTop w:val="0"/>
      <w:marBottom w:val="0"/>
      <w:divBdr>
        <w:top w:val="none" w:sz="0" w:space="0" w:color="auto"/>
        <w:left w:val="none" w:sz="0" w:space="0" w:color="auto"/>
        <w:bottom w:val="none" w:sz="0" w:space="0" w:color="auto"/>
        <w:right w:val="none" w:sz="0" w:space="0" w:color="auto"/>
      </w:divBdr>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14154745">
      <w:bodyDiv w:val="1"/>
      <w:marLeft w:val="0"/>
      <w:marRight w:val="0"/>
      <w:marTop w:val="0"/>
      <w:marBottom w:val="0"/>
      <w:divBdr>
        <w:top w:val="none" w:sz="0" w:space="0" w:color="auto"/>
        <w:left w:val="none" w:sz="0" w:space="0" w:color="auto"/>
        <w:bottom w:val="none" w:sz="0" w:space="0" w:color="auto"/>
        <w:right w:val="none" w:sz="0" w:space="0" w:color="auto"/>
      </w:divBdr>
    </w:div>
    <w:div w:id="533814138">
      <w:bodyDiv w:val="1"/>
      <w:marLeft w:val="0"/>
      <w:marRight w:val="0"/>
      <w:marTop w:val="0"/>
      <w:marBottom w:val="0"/>
      <w:divBdr>
        <w:top w:val="none" w:sz="0" w:space="0" w:color="auto"/>
        <w:left w:val="none" w:sz="0" w:space="0" w:color="auto"/>
        <w:bottom w:val="none" w:sz="0" w:space="0" w:color="auto"/>
        <w:right w:val="none" w:sz="0" w:space="0" w:color="auto"/>
      </w:divBdr>
    </w:div>
    <w:div w:id="650409437">
      <w:bodyDiv w:val="1"/>
      <w:marLeft w:val="0"/>
      <w:marRight w:val="0"/>
      <w:marTop w:val="0"/>
      <w:marBottom w:val="0"/>
      <w:divBdr>
        <w:top w:val="none" w:sz="0" w:space="0" w:color="auto"/>
        <w:left w:val="none" w:sz="0" w:space="0" w:color="auto"/>
        <w:bottom w:val="none" w:sz="0" w:space="0" w:color="auto"/>
        <w:right w:val="none" w:sz="0" w:space="0" w:color="auto"/>
      </w:divBdr>
    </w:div>
    <w:div w:id="668485577">
      <w:bodyDiv w:val="1"/>
      <w:marLeft w:val="0"/>
      <w:marRight w:val="0"/>
      <w:marTop w:val="0"/>
      <w:marBottom w:val="0"/>
      <w:divBdr>
        <w:top w:val="none" w:sz="0" w:space="0" w:color="auto"/>
        <w:left w:val="none" w:sz="0" w:space="0" w:color="auto"/>
        <w:bottom w:val="none" w:sz="0" w:space="0" w:color="auto"/>
        <w:right w:val="none" w:sz="0" w:space="0" w:color="auto"/>
      </w:divBdr>
    </w:div>
    <w:div w:id="699403963">
      <w:bodyDiv w:val="1"/>
      <w:marLeft w:val="0"/>
      <w:marRight w:val="0"/>
      <w:marTop w:val="0"/>
      <w:marBottom w:val="0"/>
      <w:divBdr>
        <w:top w:val="none" w:sz="0" w:space="0" w:color="auto"/>
        <w:left w:val="none" w:sz="0" w:space="0" w:color="auto"/>
        <w:bottom w:val="none" w:sz="0" w:space="0" w:color="auto"/>
        <w:right w:val="none" w:sz="0" w:space="0" w:color="auto"/>
      </w:divBdr>
    </w:div>
    <w:div w:id="731537966">
      <w:bodyDiv w:val="1"/>
      <w:marLeft w:val="0"/>
      <w:marRight w:val="0"/>
      <w:marTop w:val="0"/>
      <w:marBottom w:val="0"/>
      <w:divBdr>
        <w:top w:val="none" w:sz="0" w:space="0" w:color="auto"/>
        <w:left w:val="none" w:sz="0" w:space="0" w:color="auto"/>
        <w:bottom w:val="none" w:sz="0" w:space="0" w:color="auto"/>
        <w:right w:val="none" w:sz="0" w:space="0" w:color="auto"/>
      </w:divBdr>
    </w:div>
    <w:div w:id="765615629">
      <w:bodyDiv w:val="1"/>
      <w:marLeft w:val="0"/>
      <w:marRight w:val="0"/>
      <w:marTop w:val="0"/>
      <w:marBottom w:val="0"/>
      <w:divBdr>
        <w:top w:val="none" w:sz="0" w:space="0" w:color="auto"/>
        <w:left w:val="none" w:sz="0" w:space="0" w:color="auto"/>
        <w:bottom w:val="none" w:sz="0" w:space="0" w:color="auto"/>
        <w:right w:val="none" w:sz="0" w:space="0" w:color="auto"/>
      </w:divBdr>
      <w:divsChild>
        <w:div w:id="435634582">
          <w:marLeft w:val="0"/>
          <w:marRight w:val="0"/>
          <w:marTop w:val="0"/>
          <w:marBottom w:val="0"/>
          <w:divBdr>
            <w:top w:val="none" w:sz="0" w:space="0" w:color="auto"/>
            <w:left w:val="none" w:sz="0" w:space="0" w:color="auto"/>
            <w:bottom w:val="none" w:sz="0" w:space="0" w:color="auto"/>
            <w:right w:val="none" w:sz="0" w:space="0" w:color="auto"/>
          </w:divBdr>
          <w:divsChild>
            <w:div w:id="129828648">
              <w:marLeft w:val="0"/>
              <w:marRight w:val="0"/>
              <w:marTop w:val="0"/>
              <w:marBottom w:val="0"/>
              <w:divBdr>
                <w:top w:val="none" w:sz="0" w:space="0" w:color="auto"/>
                <w:left w:val="none" w:sz="0" w:space="0" w:color="auto"/>
                <w:bottom w:val="none" w:sz="0" w:space="0" w:color="auto"/>
                <w:right w:val="none" w:sz="0" w:space="0" w:color="auto"/>
              </w:divBdr>
              <w:divsChild>
                <w:div w:id="169904369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841815561">
      <w:bodyDiv w:val="1"/>
      <w:marLeft w:val="0"/>
      <w:marRight w:val="0"/>
      <w:marTop w:val="0"/>
      <w:marBottom w:val="0"/>
      <w:divBdr>
        <w:top w:val="none" w:sz="0" w:space="0" w:color="auto"/>
        <w:left w:val="none" w:sz="0" w:space="0" w:color="auto"/>
        <w:bottom w:val="none" w:sz="0" w:space="0" w:color="auto"/>
        <w:right w:val="none" w:sz="0" w:space="0" w:color="auto"/>
      </w:divBdr>
    </w:div>
    <w:div w:id="850726732">
      <w:bodyDiv w:val="1"/>
      <w:marLeft w:val="0"/>
      <w:marRight w:val="0"/>
      <w:marTop w:val="0"/>
      <w:marBottom w:val="0"/>
      <w:divBdr>
        <w:top w:val="none" w:sz="0" w:space="0" w:color="auto"/>
        <w:left w:val="none" w:sz="0" w:space="0" w:color="auto"/>
        <w:bottom w:val="none" w:sz="0" w:space="0" w:color="auto"/>
        <w:right w:val="none" w:sz="0" w:space="0" w:color="auto"/>
      </w:divBdr>
      <w:divsChild>
        <w:div w:id="1483931786">
          <w:marLeft w:val="0"/>
          <w:marRight w:val="0"/>
          <w:marTop w:val="0"/>
          <w:marBottom w:val="0"/>
          <w:divBdr>
            <w:top w:val="none" w:sz="0" w:space="0" w:color="auto"/>
            <w:left w:val="none" w:sz="0" w:space="0" w:color="auto"/>
            <w:bottom w:val="none" w:sz="0" w:space="0" w:color="auto"/>
            <w:right w:val="none" w:sz="0" w:space="0" w:color="auto"/>
          </w:divBdr>
          <w:divsChild>
            <w:div w:id="1781955091">
              <w:marLeft w:val="0"/>
              <w:marRight w:val="0"/>
              <w:marTop w:val="0"/>
              <w:marBottom w:val="0"/>
              <w:divBdr>
                <w:top w:val="none" w:sz="0" w:space="0" w:color="auto"/>
                <w:left w:val="none" w:sz="0" w:space="0" w:color="auto"/>
                <w:bottom w:val="none" w:sz="0" w:space="0" w:color="auto"/>
                <w:right w:val="none" w:sz="0" w:space="0" w:color="auto"/>
              </w:divBdr>
              <w:divsChild>
                <w:div w:id="55975501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868908411">
      <w:bodyDiv w:val="1"/>
      <w:marLeft w:val="0"/>
      <w:marRight w:val="0"/>
      <w:marTop w:val="0"/>
      <w:marBottom w:val="0"/>
      <w:divBdr>
        <w:top w:val="none" w:sz="0" w:space="0" w:color="auto"/>
        <w:left w:val="none" w:sz="0" w:space="0" w:color="auto"/>
        <w:bottom w:val="none" w:sz="0" w:space="0" w:color="auto"/>
        <w:right w:val="none" w:sz="0" w:space="0" w:color="auto"/>
      </w:divBdr>
    </w:div>
    <w:div w:id="936716472">
      <w:bodyDiv w:val="1"/>
      <w:marLeft w:val="0"/>
      <w:marRight w:val="0"/>
      <w:marTop w:val="0"/>
      <w:marBottom w:val="0"/>
      <w:divBdr>
        <w:top w:val="none" w:sz="0" w:space="0" w:color="auto"/>
        <w:left w:val="none" w:sz="0" w:space="0" w:color="auto"/>
        <w:bottom w:val="none" w:sz="0" w:space="0" w:color="auto"/>
        <w:right w:val="none" w:sz="0" w:space="0" w:color="auto"/>
      </w:divBdr>
    </w:div>
    <w:div w:id="966080268">
      <w:bodyDiv w:val="1"/>
      <w:marLeft w:val="0"/>
      <w:marRight w:val="0"/>
      <w:marTop w:val="0"/>
      <w:marBottom w:val="0"/>
      <w:divBdr>
        <w:top w:val="none" w:sz="0" w:space="0" w:color="auto"/>
        <w:left w:val="none" w:sz="0" w:space="0" w:color="auto"/>
        <w:bottom w:val="none" w:sz="0" w:space="0" w:color="auto"/>
        <w:right w:val="none" w:sz="0" w:space="0" w:color="auto"/>
      </w:divBdr>
    </w:div>
    <w:div w:id="992178407">
      <w:bodyDiv w:val="1"/>
      <w:marLeft w:val="0"/>
      <w:marRight w:val="0"/>
      <w:marTop w:val="0"/>
      <w:marBottom w:val="0"/>
      <w:divBdr>
        <w:top w:val="none" w:sz="0" w:space="0" w:color="auto"/>
        <w:left w:val="none" w:sz="0" w:space="0" w:color="auto"/>
        <w:bottom w:val="none" w:sz="0" w:space="0" w:color="auto"/>
        <w:right w:val="none" w:sz="0" w:space="0" w:color="auto"/>
      </w:divBdr>
    </w:div>
    <w:div w:id="1051460370">
      <w:bodyDiv w:val="1"/>
      <w:marLeft w:val="0"/>
      <w:marRight w:val="0"/>
      <w:marTop w:val="0"/>
      <w:marBottom w:val="0"/>
      <w:divBdr>
        <w:top w:val="none" w:sz="0" w:space="0" w:color="auto"/>
        <w:left w:val="none" w:sz="0" w:space="0" w:color="auto"/>
        <w:bottom w:val="none" w:sz="0" w:space="0" w:color="auto"/>
        <w:right w:val="none" w:sz="0" w:space="0" w:color="auto"/>
      </w:divBdr>
    </w:div>
    <w:div w:id="1056316335">
      <w:bodyDiv w:val="1"/>
      <w:marLeft w:val="0"/>
      <w:marRight w:val="0"/>
      <w:marTop w:val="0"/>
      <w:marBottom w:val="0"/>
      <w:divBdr>
        <w:top w:val="none" w:sz="0" w:space="0" w:color="auto"/>
        <w:left w:val="none" w:sz="0" w:space="0" w:color="auto"/>
        <w:bottom w:val="none" w:sz="0" w:space="0" w:color="auto"/>
        <w:right w:val="none" w:sz="0" w:space="0" w:color="auto"/>
      </w:divBdr>
      <w:divsChild>
        <w:div w:id="2058814909">
          <w:marLeft w:val="360"/>
          <w:marRight w:val="0"/>
          <w:marTop w:val="0"/>
          <w:marBottom w:val="0"/>
          <w:divBdr>
            <w:top w:val="none" w:sz="0" w:space="0" w:color="auto"/>
            <w:left w:val="none" w:sz="0" w:space="0" w:color="auto"/>
            <w:bottom w:val="none" w:sz="0" w:space="0" w:color="auto"/>
            <w:right w:val="none" w:sz="0" w:space="0" w:color="auto"/>
          </w:divBdr>
        </w:div>
      </w:divsChild>
    </w:div>
    <w:div w:id="1074933851">
      <w:bodyDiv w:val="1"/>
      <w:marLeft w:val="0"/>
      <w:marRight w:val="0"/>
      <w:marTop w:val="0"/>
      <w:marBottom w:val="0"/>
      <w:divBdr>
        <w:top w:val="none" w:sz="0" w:space="0" w:color="auto"/>
        <w:left w:val="none" w:sz="0" w:space="0" w:color="auto"/>
        <w:bottom w:val="none" w:sz="0" w:space="0" w:color="auto"/>
        <w:right w:val="none" w:sz="0" w:space="0" w:color="auto"/>
      </w:divBdr>
    </w:div>
    <w:div w:id="1089086375">
      <w:bodyDiv w:val="1"/>
      <w:marLeft w:val="0"/>
      <w:marRight w:val="0"/>
      <w:marTop w:val="0"/>
      <w:marBottom w:val="0"/>
      <w:divBdr>
        <w:top w:val="none" w:sz="0" w:space="0" w:color="auto"/>
        <w:left w:val="none" w:sz="0" w:space="0" w:color="auto"/>
        <w:bottom w:val="none" w:sz="0" w:space="0" w:color="auto"/>
        <w:right w:val="none" w:sz="0" w:space="0" w:color="auto"/>
      </w:divBdr>
    </w:div>
    <w:div w:id="1107195472">
      <w:bodyDiv w:val="1"/>
      <w:marLeft w:val="0"/>
      <w:marRight w:val="0"/>
      <w:marTop w:val="0"/>
      <w:marBottom w:val="0"/>
      <w:divBdr>
        <w:top w:val="none" w:sz="0" w:space="0" w:color="auto"/>
        <w:left w:val="none" w:sz="0" w:space="0" w:color="auto"/>
        <w:bottom w:val="none" w:sz="0" w:space="0" w:color="auto"/>
        <w:right w:val="none" w:sz="0" w:space="0" w:color="auto"/>
      </w:divBdr>
    </w:div>
    <w:div w:id="1115515753">
      <w:bodyDiv w:val="1"/>
      <w:marLeft w:val="0"/>
      <w:marRight w:val="0"/>
      <w:marTop w:val="0"/>
      <w:marBottom w:val="0"/>
      <w:divBdr>
        <w:top w:val="none" w:sz="0" w:space="0" w:color="auto"/>
        <w:left w:val="none" w:sz="0" w:space="0" w:color="auto"/>
        <w:bottom w:val="none" w:sz="0" w:space="0" w:color="auto"/>
        <w:right w:val="none" w:sz="0" w:space="0" w:color="auto"/>
      </w:divBdr>
    </w:div>
    <w:div w:id="1124732240">
      <w:bodyDiv w:val="1"/>
      <w:marLeft w:val="0"/>
      <w:marRight w:val="0"/>
      <w:marTop w:val="0"/>
      <w:marBottom w:val="0"/>
      <w:divBdr>
        <w:top w:val="none" w:sz="0" w:space="0" w:color="auto"/>
        <w:left w:val="none" w:sz="0" w:space="0" w:color="auto"/>
        <w:bottom w:val="none" w:sz="0" w:space="0" w:color="auto"/>
        <w:right w:val="none" w:sz="0" w:space="0" w:color="auto"/>
      </w:divBdr>
    </w:div>
    <w:div w:id="1156844276">
      <w:bodyDiv w:val="1"/>
      <w:marLeft w:val="0"/>
      <w:marRight w:val="0"/>
      <w:marTop w:val="0"/>
      <w:marBottom w:val="0"/>
      <w:divBdr>
        <w:top w:val="none" w:sz="0" w:space="0" w:color="auto"/>
        <w:left w:val="none" w:sz="0" w:space="0" w:color="auto"/>
        <w:bottom w:val="none" w:sz="0" w:space="0" w:color="auto"/>
        <w:right w:val="none" w:sz="0" w:space="0" w:color="auto"/>
      </w:divBdr>
    </w:div>
    <w:div w:id="1227952834">
      <w:bodyDiv w:val="1"/>
      <w:marLeft w:val="0"/>
      <w:marRight w:val="0"/>
      <w:marTop w:val="0"/>
      <w:marBottom w:val="0"/>
      <w:divBdr>
        <w:top w:val="none" w:sz="0" w:space="0" w:color="auto"/>
        <w:left w:val="none" w:sz="0" w:space="0" w:color="auto"/>
        <w:bottom w:val="none" w:sz="0" w:space="0" w:color="auto"/>
        <w:right w:val="none" w:sz="0" w:space="0" w:color="auto"/>
      </w:divBdr>
    </w:div>
    <w:div w:id="1244953466">
      <w:bodyDiv w:val="1"/>
      <w:marLeft w:val="0"/>
      <w:marRight w:val="0"/>
      <w:marTop w:val="0"/>
      <w:marBottom w:val="0"/>
      <w:divBdr>
        <w:top w:val="none" w:sz="0" w:space="0" w:color="auto"/>
        <w:left w:val="none" w:sz="0" w:space="0" w:color="auto"/>
        <w:bottom w:val="none" w:sz="0" w:space="0" w:color="auto"/>
        <w:right w:val="none" w:sz="0" w:space="0" w:color="auto"/>
      </w:divBdr>
      <w:divsChild>
        <w:div w:id="1052268465">
          <w:marLeft w:val="0"/>
          <w:marRight w:val="0"/>
          <w:marTop w:val="0"/>
          <w:marBottom w:val="0"/>
          <w:divBdr>
            <w:top w:val="none" w:sz="0" w:space="0" w:color="auto"/>
            <w:left w:val="none" w:sz="0" w:space="0" w:color="auto"/>
            <w:bottom w:val="none" w:sz="0" w:space="0" w:color="auto"/>
            <w:right w:val="none" w:sz="0" w:space="0" w:color="auto"/>
          </w:divBdr>
          <w:divsChild>
            <w:div w:id="239339295">
              <w:marLeft w:val="0"/>
              <w:marRight w:val="0"/>
              <w:marTop w:val="0"/>
              <w:marBottom w:val="0"/>
              <w:divBdr>
                <w:top w:val="none" w:sz="0" w:space="0" w:color="auto"/>
                <w:left w:val="none" w:sz="0" w:space="0" w:color="auto"/>
                <w:bottom w:val="none" w:sz="0" w:space="0" w:color="auto"/>
                <w:right w:val="none" w:sz="0" w:space="0" w:color="auto"/>
              </w:divBdr>
              <w:divsChild>
                <w:div w:id="141072996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253777426">
      <w:bodyDiv w:val="1"/>
      <w:marLeft w:val="0"/>
      <w:marRight w:val="0"/>
      <w:marTop w:val="0"/>
      <w:marBottom w:val="0"/>
      <w:divBdr>
        <w:top w:val="none" w:sz="0" w:space="0" w:color="auto"/>
        <w:left w:val="none" w:sz="0" w:space="0" w:color="auto"/>
        <w:bottom w:val="none" w:sz="0" w:space="0" w:color="auto"/>
        <w:right w:val="none" w:sz="0" w:space="0" w:color="auto"/>
      </w:divBdr>
    </w:div>
    <w:div w:id="1317957626">
      <w:bodyDiv w:val="1"/>
      <w:marLeft w:val="0"/>
      <w:marRight w:val="0"/>
      <w:marTop w:val="0"/>
      <w:marBottom w:val="0"/>
      <w:divBdr>
        <w:top w:val="none" w:sz="0" w:space="0" w:color="auto"/>
        <w:left w:val="none" w:sz="0" w:space="0" w:color="auto"/>
        <w:bottom w:val="none" w:sz="0" w:space="0" w:color="auto"/>
        <w:right w:val="none" w:sz="0" w:space="0" w:color="auto"/>
      </w:divBdr>
    </w:div>
    <w:div w:id="1332442576">
      <w:bodyDiv w:val="1"/>
      <w:marLeft w:val="0"/>
      <w:marRight w:val="0"/>
      <w:marTop w:val="0"/>
      <w:marBottom w:val="0"/>
      <w:divBdr>
        <w:top w:val="none" w:sz="0" w:space="0" w:color="auto"/>
        <w:left w:val="none" w:sz="0" w:space="0" w:color="auto"/>
        <w:bottom w:val="none" w:sz="0" w:space="0" w:color="auto"/>
        <w:right w:val="none" w:sz="0" w:space="0" w:color="auto"/>
      </w:divBdr>
      <w:divsChild>
        <w:div w:id="1170368388">
          <w:marLeft w:val="0"/>
          <w:marRight w:val="0"/>
          <w:marTop w:val="0"/>
          <w:marBottom w:val="0"/>
          <w:divBdr>
            <w:top w:val="none" w:sz="0" w:space="0" w:color="auto"/>
            <w:left w:val="none" w:sz="0" w:space="0" w:color="auto"/>
            <w:bottom w:val="none" w:sz="0" w:space="0" w:color="auto"/>
            <w:right w:val="none" w:sz="0" w:space="0" w:color="auto"/>
          </w:divBdr>
          <w:divsChild>
            <w:div w:id="460274340">
              <w:marLeft w:val="0"/>
              <w:marRight w:val="0"/>
              <w:marTop w:val="0"/>
              <w:marBottom w:val="0"/>
              <w:divBdr>
                <w:top w:val="none" w:sz="0" w:space="0" w:color="auto"/>
                <w:left w:val="none" w:sz="0" w:space="0" w:color="auto"/>
                <w:bottom w:val="none" w:sz="0" w:space="0" w:color="auto"/>
                <w:right w:val="none" w:sz="0" w:space="0" w:color="auto"/>
              </w:divBdr>
              <w:divsChild>
                <w:div w:id="355737956">
                  <w:marLeft w:val="0"/>
                  <w:marRight w:val="0"/>
                  <w:marTop w:val="0"/>
                  <w:marBottom w:val="0"/>
                  <w:divBdr>
                    <w:top w:val="none" w:sz="0" w:space="0" w:color="auto"/>
                    <w:left w:val="none" w:sz="0" w:space="0" w:color="auto"/>
                    <w:bottom w:val="none" w:sz="0" w:space="0" w:color="auto"/>
                    <w:right w:val="none" w:sz="0" w:space="0" w:color="auto"/>
                  </w:divBdr>
                  <w:divsChild>
                    <w:div w:id="2081563544">
                      <w:marLeft w:val="150"/>
                      <w:marRight w:val="150"/>
                      <w:marTop w:val="0"/>
                      <w:marBottom w:val="0"/>
                      <w:divBdr>
                        <w:top w:val="none" w:sz="0" w:space="0" w:color="auto"/>
                        <w:left w:val="none" w:sz="0" w:space="0" w:color="auto"/>
                        <w:bottom w:val="none" w:sz="0" w:space="0" w:color="auto"/>
                        <w:right w:val="none" w:sz="0" w:space="0" w:color="auto"/>
                      </w:divBdr>
                      <w:divsChild>
                        <w:div w:id="203101879">
                          <w:marLeft w:val="0"/>
                          <w:marRight w:val="0"/>
                          <w:marTop w:val="0"/>
                          <w:marBottom w:val="0"/>
                          <w:divBdr>
                            <w:top w:val="none" w:sz="0" w:space="0" w:color="auto"/>
                            <w:left w:val="none" w:sz="0" w:space="0" w:color="auto"/>
                            <w:bottom w:val="none" w:sz="0" w:space="0" w:color="auto"/>
                            <w:right w:val="none" w:sz="0" w:space="0" w:color="auto"/>
                          </w:divBdr>
                          <w:divsChild>
                            <w:div w:id="1375154647">
                              <w:marLeft w:val="0"/>
                              <w:marRight w:val="0"/>
                              <w:marTop w:val="0"/>
                              <w:marBottom w:val="0"/>
                              <w:divBdr>
                                <w:top w:val="none" w:sz="0" w:space="0" w:color="auto"/>
                                <w:left w:val="none" w:sz="0" w:space="0" w:color="auto"/>
                                <w:bottom w:val="none" w:sz="0" w:space="0" w:color="auto"/>
                                <w:right w:val="none" w:sz="0" w:space="0" w:color="auto"/>
                              </w:divBdr>
                              <w:divsChild>
                                <w:div w:id="1717120579">
                                  <w:marLeft w:val="0"/>
                                  <w:marRight w:val="0"/>
                                  <w:marTop w:val="0"/>
                                  <w:marBottom w:val="0"/>
                                  <w:divBdr>
                                    <w:top w:val="none" w:sz="0" w:space="0" w:color="auto"/>
                                    <w:left w:val="none" w:sz="0" w:space="0" w:color="auto"/>
                                    <w:bottom w:val="none" w:sz="0" w:space="0" w:color="auto"/>
                                    <w:right w:val="none" w:sz="0" w:space="0" w:color="auto"/>
                                  </w:divBdr>
                                  <w:divsChild>
                                    <w:div w:id="569269197">
                                      <w:marLeft w:val="0"/>
                                      <w:marRight w:val="0"/>
                                      <w:marTop w:val="0"/>
                                      <w:marBottom w:val="0"/>
                                      <w:divBdr>
                                        <w:top w:val="none" w:sz="0" w:space="0" w:color="auto"/>
                                        <w:left w:val="none" w:sz="0" w:space="0" w:color="auto"/>
                                        <w:bottom w:val="none" w:sz="0" w:space="0" w:color="auto"/>
                                        <w:right w:val="none" w:sz="0" w:space="0" w:color="auto"/>
                                      </w:divBdr>
                                      <w:divsChild>
                                        <w:div w:id="713773199">
                                          <w:marLeft w:val="0"/>
                                          <w:marRight w:val="0"/>
                                          <w:marTop w:val="0"/>
                                          <w:marBottom w:val="0"/>
                                          <w:divBdr>
                                            <w:top w:val="none" w:sz="0" w:space="0" w:color="auto"/>
                                            <w:left w:val="none" w:sz="0" w:space="0" w:color="auto"/>
                                            <w:bottom w:val="none" w:sz="0" w:space="0" w:color="auto"/>
                                            <w:right w:val="none" w:sz="0" w:space="0" w:color="auto"/>
                                          </w:divBdr>
                                          <w:divsChild>
                                            <w:div w:id="1351569101">
                                              <w:marLeft w:val="0"/>
                                              <w:marRight w:val="0"/>
                                              <w:marTop w:val="0"/>
                                              <w:marBottom w:val="0"/>
                                              <w:divBdr>
                                                <w:top w:val="none" w:sz="0" w:space="0" w:color="auto"/>
                                                <w:left w:val="none" w:sz="0" w:space="0" w:color="auto"/>
                                                <w:bottom w:val="none" w:sz="0" w:space="0" w:color="auto"/>
                                                <w:right w:val="none" w:sz="0" w:space="0" w:color="auto"/>
                                              </w:divBdr>
                                              <w:divsChild>
                                                <w:div w:id="213124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145720">
      <w:bodyDiv w:val="1"/>
      <w:marLeft w:val="0"/>
      <w:marRight w:val="0"/>
      <w:marTop w:val="0"/>
      <w:marBottom w:val="0"/>
      <w:divBdr>
        <w:top w:val="none" w:sz="0" w:space="0" w:color="auto"/>
        <w:left w:val="none" w:sz="0" w:space="0" w:color="auto"/>
        <w:bottom w:val="none" w:sz="0" w:space="0" w:color="auto"/>
        <w:right w:val="none" w:sz="0" w:space="0" w:color="auto"/>
      </w:divBdr>
    </w:div>
    <w:div w:id="1354528601">
      <w:bodyDiv w:val="1"/>
      <w:marLeft w:val="0"/>
      <w:marRight w:val="0"/>
      <w:marTop w:val="0"/>
      <w:marBottom w:val="0"/>
      <w:divBdr>
        <w:top w:val="none" w:sz="0" w:space="0" w:color="auto"/>
        <w:left w:val="none" w:sz="0" w:space="0" w:color="auto"/>
        <w:bottom w:val="none" w:sz="0" w:space="0" w:color="auto"/>
        <w:right w:val="none" w:sz="0" w:space="0" w:color="auto"/>
      </w:divBdr>
      <w:divsChild>
        <w:div w:id="1648391005">
          <w:marLeft w:val="0"/>
          <w:marRight w:val="0"/>
          <w:marTop w:val="0"/>
          <w:marBottom w:val="0"/>
          <w:divBdr>
            <w:top w:val="none" w:sz="0" w:space="0" w:color="auto"/>
            <w:left w:val="none" w:sz="0" w:space="0" w:color="auto"/>
            <w:bottom w:val="none" w:sz="0" w:space="0" w:color="auto"/>
            <w:right w:val="none" w:sz="0" w:space="0" w:color="auto"/>
          </w:divBdr>
        </w:div>
      </w:divsChild>
    </w:div>
    <w:div w:id="1376125581">
      <w:bodyDiv w:val="1"/>
      <w:marLeft w:val="0"/>
      <w:marRight w:val="0"/>
      <w:marTop w:val="0"/>
      <w:marBottom w:val="0"/>
      <w:divBdr>
        <w:top w:val="none" w:sz="0" w:space="0" w:color="auto"/>
        <w:left w:val="none" w:sz="0" w:space="0" w:color="auto"/>
        <w:bottom w:val="none" w:sz="0" w:space="0" w:color="auto"/>
        <w:right w:val="none" w:sz="0" w:space="0" w:color="auto"/>
      </w:divBdr>
    </w:div>
    <w:div w:id="1429885587">
      <w:bodyDiv w:val="1"/>
      <w:marLeft w:val="0"/>
      <w:marRight w:val="0"/>
      <w:marTop w:val="0"/>
      <w:marBottom w:val="0"/>
      <w:divBdr>
        <w:top w:val="none" w:sz="0" w:space="0" w:color="auto"/>
        <w:left w:val="none" w:sz="0" w:space="0" w:color="auto"/>
        <w:bottom w:val="none" w:sz="0" w:space="0" w:color="auto"/>
        <w:right w:val="none" w:sz="0" w:space="0" w:color="auto"/>
      </w:divBdr>
    </w:div>
    <w:div w:id="1480197046">
      <w:bodyDiv w:val="1"/>
      <w:marLeft w:val="0"/>
      <w:marRight w:val="0"/>
      <w:marTop w:val="0"/>
      <w:marBottom w:val="0"/>
      <w:divBdr>
        <w:top w:val="none" w:sz="0" w:space="0" w:color="auto"/>
        <w:left w:val="none" w:sz="0" w:space="0" w:color="auto"/>
        <w:bottom w:val="none" w:sz="0" w:space="0" w:color="auto"/>
        <w:right w:val="none" w:sz="0" w:space="0" w:color="auto"/>
      </w:divBdr>
    </w:div>
    <w:div w:id="1484198524">
      <w:bodyDiv w:val="1"/>
      <w:marLeft w:val="0"/>
      <w:marRight w:val="0"/>
      <w:marTop w:val="0"/>
      <w:marBottom w:val="0"/>
      <w:divBdr>
        <w:top w:val="none" w:sz="0" w:space="0" w:color="auto"/>
        <w:left w:val="none" w:sz="0" w:space="0" w:color="auto"/>
        <w:bottom w:val="none" w:sz="0" w:space="0" w:color="auto"/>
        <w:right w:val="none" w:sz="0" w:space="0" w:color="auto"/>
      </w:divBdr>
    </w:div>
    <w:div w:id="1538003772">
      <w:bodyDiv w:val="1"/>
      <w:marLeft w:val="0"/>
      <w:marRight w:val="0"/>
      <w:marTop w:val="0"/>
      <w:marBottom w:val="0"/>
      <w:divBdr>
        <w:top w:val="none" w:sz="0" w:space="0" w:color="auto"/>
        <w:left w:val="none" w:sz="0" w:space="0" w:color="auto"/>
        <w:bottom w:val="none" w:sz="0" w:space="0" w:color="auto"/>
        <w:right w:val="none" w:sz="0" w:space="0" w:color="auto"/>
      </w:divBdr>
    </w:div>
    <w:div w:id="1610308445">
      <w:bodyDiv w:val="1"/>
      <w:marLeft w:val="0"/>
      <w:marRight w:val="0"/>
      <w:marTop w:val="0"/>
      <w:marBottom w:val="0"/>
      <w:divBdr>
        <w:top w:val="none" w:sz="0" w:space="0" w:color="auto"/>
        <w:left w:val="none" w:sz="0" w:space="0" w:color="auto"/>
        <w:bottom w:val="none" w:sz="0" w:space="0" w:color="auto"/>
        <w:right w:val="none" w:sz="0" w:space="0" w:color="auto"/>
      </w:divBdr>
    </w:div>
    <w:div w:id="1616909120">
      <w:bodyDiv w:val="1"/>
      <w:marLeft w:val="0"/>
      <w:marRight w:val="0"/>
      <w:marTop w:val="0"/>
      <w:marBottom w:val="0"/>
      <w:divBdr>
        <w:top w:val="none" w:sz="0" w:space="0" w:color="auto"/>
        <w:left w:val="none" w:sz="0" w:space="0" w:color="auto"/>
        <w:bottom w:val="none" w:sz="0" w:space="0" w:color="auto"/>
        <w:right w:val="none" w:sz="0" w:space="0" w:color="auto"/>
      </w:divBdr>
    </w:div>
    <w:div w:id="1630553757">
      <w:bodyDiv w:val="1"/>
      <w:marLeft w:val="0"/>
      <w:marRight w:val="0"/>
      <w:marTop w:val="0"/>
      <w:marBottom w:val="0"/>
      <w:divBdr>
        <w:top w:val="none" w:sz="0" w:space="0" w:color="auto"/>
        <w:left w:val="none" w:sz="0" w:space="0" w:color="auto"/>
        <w:bottom w:val="none" w:sz="0" w:space="0" w:color="auto"/>
        <w:right w:val="none" w:sz="0" w:space="0" w:color="auto"/>
      </w:divBdr>
    </w:div>
    <w:div w:id="1631933120">
      <w:bodyDiv w:val="1"/>
      <w:marLeft w:val="0"/>
      <w:marRight w:val="0"/>
      <w:marTop w:val="0"/>
      <w:marBottom w:val="0"/>
      <w:divBdr>
        <w:top w:val="none" w:sz="0" w:space="0" w:color="auto"/>
        <w:left w:val="none" w:sz="0" w:space="0" w:color="auto"/>
        <w:bottom w:val="none" w:sz="0" w:space="0" w:color="auto"/>
        <w:right w:val="none" w:sz="0" w:space="0" w:color="auto"/>
      </w:divBdr>
      <w:divsChild>
        <w:div w:id="73280991">
          <w:marLeft w:val="274"/>
          <w:marRight w:val="0"/>
          <w:marTop w:val="0"/>
          <w:marBottom w:val="85"/>
          <w:divBdr>
            <w:top w:val="none" w:sz="0" w:space="0" w:color="auto"/>
            <w:left w:val="none" w:sz="0" w:space="0" w:color="auto"/>
            <w:bottom w:val="none" w:sz="0" w:space="0" w:color="auto"/>
            <w:right w:val="none" w:sz="0" w:space="0" w:color="auto"/>
          </w:divBdr>
        </w:div>
        <w:div w:id="623343734">
          <w:marLeft w:val="274"/>
          <w:marRight w:val="0"/>
          <w:marTop w:val="0"/>
          <w:marBottom w:val="85"/>
          <w:divBdr>
            <w:top w:val="none" w:sz="0" w:space="0" w:color="auto"/>
            <w:left w:val="none" w:sz="0" w:space="0" w:color="auto"/>
            <w:bottom w:val="none" w:sz="0" w:space="0" w:color="auto"/>
            <w:right w:val="none" w:sz="0" w:space="0" w:color="auto"/>
          </w:divBdr>
        </w:div>
        <w:div w:id="979072447">
          <w:marLeft w:val="274"/>
          <w:marRight w:val="0"/>
          <w:marTop w:val="0"/>
          <w:marBottom w:val="85"/>
          <w:divBdr>
            <w:top w:val="none" w:sz="0" w:space="0" w:color="auto"/>
            <w:left w:val="none" w:sz="0" w:space="0" w:color="auto"/>
            <w:bottom w:val="none" w:sz="0" w:space="0" w:color="auto"/>
            <w:right w:val="none" w:sz="0" w:space="0" w:color="auto"/>
          </w:divBdr>
        </w:div>
        <w:div w:id="1242326720">
          <w:marLeft w:val="274"/>
          <w:marRight w:val="0"/>
          <w:marTop w:val="86"/>
          <w:marBottom w:val="85"/>
          <w:divBdr>
            <w:top w:val="none" w:sz="0" w:space="0" w:color="auto"/>
            <w:left w:val="none" w:sz="0" w:space="0" w:color="auto"/>
            <w:bottom w:val="none" w:sz="0" w:space="0" w:color="auto"/>
            <w:right w:val="none" w:sz="0" w:space="0" w:color="auto"/>
          </w:divBdr>
        </w:div>
        <w:div w:id="1452629950">
          <w:marLeft w:val="274"/>
          <w:marRight w:val="0"/>
          <w:marTop w:val="0"/>
          <w:marBottom w:val="85"/>
          <w:divBdr>
            <w:top w:val="none" w:sz="0" w:space="0" w:color="auto"/>
            <w:left w:val="none" w:sz="0" w:space="0" w:color="auto"/>
            <w:bottom w:val="none" w:sz="0" w:space="0" w:color="auto"/>
            <w:right w:val="none" w:sz="0" w:space="0" w:color="auto"/>
          </w:divBdr>
        </w:div>
      </w:divsChild>
    </w:div>
    <w:div w:id="1808930322">
      <w:bodyDiv w:val="1"/>
      <w:marLeft w:val="0"/>
      <w:marRight w:val="0"/>
      <w:marTop w:val="0"/>
      <w:marBottom w:val="0"/>
      <w:divBdr>
        <w:top w:val="none" w:sz="0" w:space="0" w:color="auto"/>
        <w:left w:val="none" w:sz="0" w:space="0" w:color="auto"/>
        <w:bottom w:val="none" w:sz="0" w:space="0" w:color="auto"/>
        <w:right w:val="none" w:sz="0" w:space="0" w:color="auto"/>
      </w:divBdr>
    </w:div>
    <w:div w:id="1882593624">
      <w:bodyDiv w:val="1"/>
      <w:marLeft w:val="0"/>
      <w:marRight w:val="0"/>
      <w:marTop w:val="0"/>
      <w:marBottom w:val="0"/>
      <w:divBdr>
        <w:top w:val="none" w:sz="0" w:space="0" w:color="auto"/>
        <w:left w:val="none" w:sz="0" w:space="0" w:color="auto"/>
        <w:bottom w:val="none" w:sz="0" w:space="0" w:color="auto"/>
        <w:right w:val="none" w:sz="0" w:space="0" w:color="auto"/>
      </w:divBdr>
    </w:div>
    <w:div w:id="1883135135">
      <w:bodyDiv w:val="1"/>
      <w:marLeft w:val="0"/>
      <w:marRight w:val="0"/>
      <w:marTop w:val="0"/>
      <w:marBottom w:val="0"/>
      <w:divBdr>
        <w:top w:val="none" w:sz="0" w:space="0" w:color="auto"/>
        <w:left w:val="none" w:sz="0" w:space="0" w:color="auto"/>
        <w:bottom w:val="none" w:sz="0" w:space="0" w:color="auto"/>
        <w:right w:val="none" w:sz="0" w:space="0" w:color="auto"/>
      </w:divBdr>
    </w:div>
    <w:div w:id="1890191571">
      <w:bodyDiv w:val="1"/>
      <w:marLeft w:val="0"/>
      <w:marRight w:val="0"/>
      <w:marTop w:val="0"/>
      <w:marBottom w:val="0"/>
      <w:divBdr>
        <w:top w:val="none" w:sz="0" w:space="0" w:color="auto"/>
        <w:left w:val="none" w:sz="0" w:space="0" w:color="auto"/>
        <w:bottom w:val="none" w:sz="0" w:space="0" w:color="auto"/>
        <w:right w:val="none" w:sz="0" w:space="0" w:color="auto"/>
      </w:divBdr>
    </w:div>
    <w:div w:id="1943536536">
      <w:bodyDiv w:val="1"/>
      <w:marLeft w:val="0"/>
      <w:marRight w:val="0"/>
      <w:marTop w:val="0"/>
      <w:marBottom w:val="0"/>
      <w:divBdr>
        <w:top w:val="none" w:sz="0" w:space="0" w:color="auto"/>
        <w:left w:val="none" w:sz="0" w:space="0" w:color="auto"/>
        <w:bottom w:val="none" w:sz="0" w:space="0" w:color="auto"/>
        <w:right w:val="none" w:sz="0" w:space="0" w:color="auto"/>
      </w:divBdr>
    </w:div>
    <w:div w:id="1945068887">
      <w:bodyDiv w:val="1"/>
      <w:marLeft w:val="0"/>
      <w:marRight w:val="0"/>
      <w:marTop w:val="0"/>
      <w:marBottom w:val="0"/>
      <w:divBdr>
        <w:top w:val="none" w:sz="0" w:space="0" w:color="auto"/>
        <w:left w:val="none" w:sz="0" w:space="0" w:color="auto"/>
        <w:bottom w:val="none" w:sz="0" w:space="0" w:color="auto"/>
        <w:right w:val="none" w:sz="0" w:space="0" w:color="auto"/>
      </w:divBdr>
    </w:div>
    <w:div w:id="2029327495">
      <w:bodyDiv w:val="1"/>
      <w:marLeft w:val="0"/>
      <w:marRight w:val="0"/>
      <w:marTop w:val="0"/>
      <w:marBottom w:val="0"/>
      <w:divBdr>
        <w:top w:val="none" w:sz="0" w:space="0" w:color="auto"/>
        <w:left w:val="none" w:sz="0" w:space="0" w:color="auto"/>
        <w:bottom w:val="none" w:sz="0" w:space="0" w:color="auto"/>
        <w:right w:val="none" w:sz="0" w:space="0" w:color="auto"/>
      </w:divBdr>
      <w:divsChild>
        <w:div w:id="296423584">
          <w:marLeft w:val="0"/>
          <w:marRight w:val="0"/>
          <w:marTop w:val="120"/>
          <w:marBottom w:val="120"/>
          <w:divBdr>
            <w:top w:val="none" w:sz="0" w:space="0" w:color="auto"/>
            <w:left w:val="none" w:sz="0" w:space="0" w:color="auto"/>
            <w:bottom w:val="none" w:sz="0" w:space="0" w:color="auto"/>
            <w:right w:val="none" w:sz="0" w:space="0" w:color="auto"/>
          </w:divBdr>
        </w:div>
        <w:div w:id="1054741171">
          <w:marLeft w:val="0"/>
          <w:marRight w:val="0"/>
          <w:marTop w:val="120"/>
          <w:marBottom w:val="120"/>
          <w:divBdr>
            <w:top w:val="none" w:sz="0" w:space="0" w:color="auto"/>
            <w:left w:val="none" w:sz="0" w:space="0" w:color="auto"/>
            <w:bottom w:val="none" w:sz="0" w:space="0" w:color="auto"/>
            <w:right w:val="none" w:sz="0" w:space="0" w:color="auto"/>
          </w:divBdr>
        </w:div>
        <w:div w:id="2084063742">
          <w:marLeft w:val="0"/>
          <w:marRight w:val="0"/>
          <w:marTop w:val="120"/>
          <w:marBottom w:val="120"/>
          <w:divBdr>
            <w:top w:val="none" w:sz="0" w:space="0" w:color="auto"/>
            <w:left w:val="none" w:sz="0" w:space="0" w:color="auto"/>
            <w:bottom w:val="none" w:sz="0" w:space="0" w:color="auto"/>
            <w:right w:val="none" w:sz="0" w:space="0" w:color="auto"/>
          </w:divBdr>
        </w:div>
      </w:divsChild>
    </w:div>
    <w:div w:id="2099010820">
      <w:bodyDiv w:val="1"/>
      <w:marLeft w:val="0"/>
      <w:marRight w:val="0"/>
      <w:marTop w:val="0"/>
      <w:marBottom w:val="0"/>
      <w:divBdr>
        <w:top w:val="none" w:sz="0" w:space="0" w:color="auto"/>
        <w:left w:val="none" w:sz="0" w:space="0" w:color="auto"/>
        <w:bottom w:val="none" w:sz="0" w:space="0" w:color="auto"/>
        <w:right w:val="none" w:sz="0" w:space="0" w:color="auto"/>
      </w:divBdr>
    </w:div>
    <w:div w:id="2102021031">
      <w:bodyDiv w:val="1"/>
      <w:marLeft w:val="0"/>
      <w:marRight w:val="0"/>
      <w:marTop w:val="0"/>
      <w:marBottom w:val="0"/>
      <w:divBdr>
        <w:top w:val="none" w:sz="0" w:space="0" w:color="auto"/>
        <w:left w:val="none" w:sz="0" w:space="0" w:color="auto"/>
        <w:bottom w:val="none" w:sz="0" w:space="0" w:color="auto"/>
        <w:right w:val="none" w:sz="0" w:space="0" w:color="auto"/>
      </w:divBdr>
    </w:div>
    <w:div w:id="2118745245">
      <w:bodyDiv w:val="1"/>
      <w:marLeft w:val="0"/>
      <w:marRight w:val="0"/>
      <w:marTop w:val="0"/>
      <w:marBottom w:val="0"/>
      <w:divBdr>
        <w:top w:val="none" w:sz="0" w:space="0" w:color="auto"/>
        <w:left w:val="none" w:sz="0" w:space="0" w:color="auto"/>
        <w:bottom w:val="none" w:sz="0" w:space="0" w:color="auto"/>
        <w:right w:val="none" w:sz="0" w:space="0" w:color="auto"/>
      </w:divBdr>
    </w:div>
    <w:div w:id="2129280417">
      <w:bodyDiv w:val="1"/>
      <w:marLeft w:val="0"/>
      <w:marRight w:val="0"/>
      <w:marTop w:val="0"/>
      <w:marBottom w:val="0"/>
      <w:divBdr>
        <w:top w:val="none" w:sz="0" w:space="0" w:color="auto"/>
        <w:left w:val="none" w:sz="0" w:space="0" w:color="auto"/>
        <w:bottom w:val="none" w:sz="0" w:space="0" w:color="auto"/>
        <w:right w:val="none" w:sz="0" w:space="0" w:color="auto"/>
      </w:divBdr>
      <w:divsChild>
        <w:div w:id="367418364">
          <w:marLeft w:val="0"/>
          <w:marRight w:val="0"/>
          <w:marTop w:val="0"/>
          <w:marBottom w:val="0"/>
          <w:divBdr>
            <w:top w:val="none" w:sz="0" w:space="0" w:color="auto"/>
            <w:left w:val="none" w:sz="0" w:space="0" w:color="auto"/>
            <w:bottom w:val="none" w:sz="0" w:space="0" w:color="auto"/>
            <w:right w:val="none" w:sz="0" w:space="0" w:color="auto"/>
          </w:divBdr>
          <w:divsChild>
            <w:div w:id="935940379">
              <w:marLeft w:val="0"/>
              <w:marRight w:val="0"/>
              <w:marTop w:val="0"/>
              <w:marBottom w:val="0"/>
              <w:divBdr>
                <w:top w:val="none" w:sz="0" w:space="0" w:color="auto"/>
                <w:left w:val="none" w:sz="0" w:space="0" w:color="auto"/>
                <w:bottom w:val="none" w:sz="0" w:space="0" w:color="auto"/>
                <w:right w:val="none" w:sz="0" w:space="0" w:color="auto"/>
              </w:divBdr>
              <w:divsChild>
                <w:div w:id="50182495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cid:image001.png@01D40231.D44D8450" TargetMode="External"/><Relationship Id="rId26" Type="http://schemas.openxmlformats.org/officeDocument/2006/relationships/hyperlink" Target="http://nationalcongress.com.au/about-us/redfern-statement/" TargetMode="External"/><Relationship Id="rId3" Type="http://schemas.openxmlformats.org/officeDocument/2006/relationships/styles" Target="styles.xml"/><Relationship Id="rId21" Type="http://schemas.openxmlformats.org/officeDocument/2006/relationships/hyperlink" Target="https://closingthegap.pmc.gov.au/"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hyperlink" Target="https://www.dss.gov.au/sites/default/files/documents/05_2012/national_disability_strategy_2010_2020.pdf"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cid:image002.png@01D3FCAE.82BD9D10" TargetMode="External"/><Relationship Id="rId20" Type="http://schemas.openxmlformats.org/officeDocument/2006/relationships/image" Target="media/image7.png"/><Relationship Id="rId29" Type="http://schemas.openxmlformats.org/officeDocument/2006/relationships/hyperlink" Target="https://www.childabuseroyalcommission.gov.au/final-re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dss.gov.au/women/programs-services/reducing-violence/the-national-plan-to-reduce-violence-against-women-and-their-children-2010-2022" TargetMode="Externa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dss.gov.au/our-responsibilities/families-and-children/publications-articles/protecting-children-is-everyones-business" TargetMode="External"/><Relationship Id="rId28" Type="http://schemas.openxmlformats.org/officeDocument/2006/relationships/hyperlink" Target="https://childdetentionnt.royalcommission.gov.au/Pages/default.aspx"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jpg"/><Relationship Id="rId31" Type="http://schemas.openxmlformats.org/officeDocument/2006/relationships/hyperlink" Target="https://www.communitybusinesspartnership.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cid:image001.png@01D3FCB5.1A3EA6B0" TargetMode="External"/><Relationship Id="rId22" Type="http://schemas.openxmlformats.org/officeDocument/2006/relationships/hyperlink" Target="https://closingthegaprefresh.pmc.gov.au/" TargetMode="External"/><Relationship Id="rId27" Type="http://schemas.openxmlformats.org/officeDocument/2006/relationships/hyperlink" Target="https://www.pmc.gov.au/indigenous-affairs/economic-development/overview-indigenous-grants-policy" TargetMode="External"/><Relationship Id="rId30" Type="http://schemas.openxmlformats.org/officeDocument/2006/relationships/hyperlink" Target="https://www.pc.gov.au/inquiries/completed/human-services/reforms/report" TargetMode="External"/><Relationship Id="rId35" Type="http://schemas.openxmlformats.org/officeDocument/2006/relationships/footer" Target="footer3.xml"/></Relationships>
</file>

<file path=word/_rels/endnotes.xml.rels><?xml version="1.0" encoding="UTF-8" standalone="yes"?>
<Relationships xmlns="http://schemas.openxmlformats.org/package/2006/relationships"><Relationship Id="rId8" Type="http://schemas.openxmlformats.org/officeDocument/2006/relationships/hyperlink" Target="http://www.abs.gov.au/ausstats/abs@.nsf/mf/4906.0" TargetMode="External"/><Relationship Id="rId13" Type="http://schemas.openxmlformats.org/officeDocument/2006/relationships/hyperlink" Target="https://www.facs.nsw.gov.au/about/reforms/children-families/TEI" TargetMode="External"/><Relationship Id="rId3" Type="http://schemas.openxmlformats.org/officeDocument/2006/relationships/hyperlink" Target="https://www.dss.gov.au/sites/default/files/documents/10_2016/fact_sheet_on_how_the_third_action_plan_supports_women_with_disability.pdf" TargetMode="External"/><Relationship Id="rId7" Type="http://schemas.openxmlformats.org/officeDocument/2006/relationships/hyperlink" Target="http://www.euro.who.int/en/publications/abstracts/impact-of-health-and-health-behaviours-on-educational-outcomes-in-high-income-countries-the-a-review-of-the-evidence" TargetMode="External"/><Relationship Id="rId12" Type="http://schemas.openxmlformats.org/officeDocument/2006/relationships/hyperlink" Target="http://www.abs.gov.au/ausstats/abs@.nsf/Lookup/by%20Subject/2033.0.55.001~2016~Media%20Release~Census%20shows%20our%20most%20advantaged%20&amp;%20disadvantaged%20areas%20(Media%20Release)~25" TargetMode="External"/><Relationship Id="rId2" Type="http://schemas.openxmlformats.org/officeDocument/2006/relationships/hyperlink" Target="http://www.abs.gov.au/AUSSTATS/abs@.nsf/Lookup/4102.0Main+Features30Jun+2012" TargetMode="External"/><Relationship Id="rId16" Type="http://schemas.openxmlformats.org/officeDocument/2006/relationships/hyperlink" Target="http://www.abs.gov.au/AUSSTATS/abs@.nsf/Lookup/4430.0Main+Features802015?OpenDocument" TargetMode="External"/><Relationship Id="rId1" Type="http://schemas.openxmlformats.org/officeDocument/2006/relationships/hyperlink" Target="http://www.aedc.gov.au/parents/findings-from-the-aedc" TargetMode="External"/><Relationship Id="rId6" Type="http://schemas.openxmlformats.org/officeDocument/2006/relationships/hyperlink" Target="https://www.dss.gov.au/sites/default/files/documents/10_2016/fact_sheet_on_how_the_third_action_plan_supports_women_with_disability.pdf" TargetMode="External"/><Relationship Id="rId11" Type="http://schemas.openxmlformats.org/officeDocument/2006/relationships/hyperlink" Target="https://www.rch.org.au/uploadedFiles/Main/Content/ccch/PB4_Children-family_services.pdf" TargetMode="External"/><Relationship Id="rId5" Type="http://schemas.openxmlformats.org/officeDocument/2006/relationships/hyperlink" Target="https://aifs.gov.au/cfca/publications/long-term-effects-child-sexual-abuse" TargetMode="External"/><Relationship Id="rId15" Type="http://schemas.openxmlformats.org/officeDocument/2006/relationships/hyperlink" Target="https://www.absec.org.au/supporting-aboriginal-people-with-disability.html" TargetMode="External"/><Relationship Id="rId10" Type="http://schemas.openxmlformats.org/officeDocument/2006/relationships/hyperlink" Target="https://aifs.gov.au/cfca/publications/strengthening-aboriginal-family-functioning-what-works-and" TargetMode="External"/><Relationship Id="rId4" Type="http://schemas.openxmlformats.org/officeDocument/2006/relationships/hyperlink" Target="https://aifs.gov.au/cfca/publications/strengthening-aboriginal-family-functioning-what-works-and" TargetMode="External"/><Relationship Id="rId9" Type="http://schemas.openxmlformats.org/officeDocument/2006/relationships/hyperlink" Target="http://www.developingchild.harvard.edu/" TargetMode="External"/><Relationship Id="rId14" Type="http://schemas.openxmlformats.org/officeDocument/2006/relationships/hyperlink" Target="https://www.dcp.wa.gov.au/Resources/Documents/Earlier%20Intervention%20and%20Family%20Support%20Strategy%20-%20Discussion%20Paper.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DSS%20Templates\DSS%20Short%20Report%20Template%20Purple.dotx" TargetMode="External"/></Relationships>
</file>

<file path=word/theme/theme1.xml><?xml version="1.0" encoding="utf-8"?>
<a:theme xmlns:a="http://schemas.openxmlformats.org/drawingml/2006/main" name="DSS Blu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39478-938C-431A-86B8-B52CBE893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Short Report Template Purple</Template>
  <TotalTime>579</TotalTime>
  <Pages>1</Pages>
  <Words>9135</Words>
  <Characters>52074</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Insert title here</vt:lpstr>
    </vt:vector>
  </TitlesOfParts>
  <Company>Department of Social Services</Company>
  <LinksUpToDate>false</LinksUpToDate>
  <CharactersWithSpaces>61087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dc:title>
  <dc:subject/>
  <dc:creator>HUTCHISON, Kyra</dc:creator>
  <cp:keywords/>
  <dc:description/>
  <cp:lastModifiedBy>BLUNCK, Tracey</cp:lastModifiedBy>
  <cp:revision>43</cp:revision>
  <cp:lastPrinted>2018-06-20T00:11:00Z</cp:lastPrinted>
  <dcterms:created xsi:type="dcterms:W3CDTF">2018-06-04T22:40:00Z</dcterms:created>
  <dcterms:modified xsi:type="dcterms:W3CDTF">2018-06-20T00:12:00Z</dcterms:modified>
</cp:coreProperties>
</file>