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5DCE" w14:textId="77777777" w:rsidR="00C57001" w:rsidRPr="00FC143A" w:rsidRDefault="00DE4C82" w:rsidP="00F30908">
      <w:pPr>
        <w:pStyle w:val="Title"/>
        <w:ind w:left="-709"/>
        <w:rPr>
          <w:i/>
          <w:iCs/>
          <w:smallCaps/>
          <w:spacing w:val="0"/>
        </w:rPr>
      </w:pPr>
      <w:r>
        <w:rPr>
          <w:spacing w:val="0"/>
        </w:rPr>
        <w:t>Stronger Outcomes for Families</w:t>
      </w:r>
    </w:p>
    <w:p w14:paraId="7E53A50A" w14:textId="4F0F669D" w:rsidR="0054713E" w:rsidRPr="00FE4A3A" w:rsidRDefault="00DE4C82" w:rsidP="0054713E">
      <w:pPr>
        <w:pStyle w:val="Subtitle"/>
        <w:ind w:hanging="709"/>
      </w:pPr>
      <w:r>
        <w:t xml:space="preserve">Discussion Paper </w:t>
      </w:r>
      <w:r w:rsidR="0042130C">
        <w:t>June</w:t>
      </w:r>
      <w:r>
        <w:t xml:space="preserve"> 2018</w:t>
      </w:r>
    </w:p>
    <w:p w14:paraId="69EF5E7A" w14:textId="7D7401D6" w:rsidR="0094563F" w:rsidRDefault="0094563F" w:rsidP="0054713E">
      <w:pPr>
        <w:pStyle w:val="Smalltext"/>
        <w:ind w:left="-709"/>
      </w:pPr>
      <w:r>
        <w:t xml:space="preserve">DSS </w:t>
      </w:r>
      <w:r w:rsidR="005972C1">
        <w:t>D18/513986</w:t>
      </w:r>
    </w:p>
    <w:p w14:paraId="1F085340" w14:textId="77777777" w:rsidR="0094563F" w:rsidRDefault="0094563F" w:rsidP="004F77F4">
      <w:pPr>
        <w:spacing w:before="800"/>
        <w:ind w:left="-709"/>
        <w:rPr>
          <w:i/>
          <w:iCs/>
          <w:smallCaps/>
        </w:rPr>
        <w:sectPr w:rsidR="0094563F" w:rsidSect="00A11125">
          <w:headerReference w:type="even" r:id="rId8"/>
          <w:headerReference w:type="default"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2D169CC8" w14:textId="77777777" w:rsidR="00A200C0" w:rsidRDefault="00A200C0" w:rsidP="00201DE9">
      <w:pPr>
        <w:pStyle w:val="Heading1"/>
      </w:pPr>
    </w:p>
    <w:p w14:paraId="37E4AC4F" w14:textId="77777777" w:rsidR="00A200C0" w:rsidRDefault="00A200C0" w:rsidP="00201DE9">
      <w:pPr>
        <w:pStyle w:val="Heading1"/>
      </w:pPr>
    </w:p>
    <w:p w14:paraId="235C24F2" w14:textId="640BE889" w:rsidR="00201DE9" w:rsidRDefault="00201DE9" w:rsidP="00201DE9">
      <w:pPr>
        <w:pStyle w:val="Heading1"/>
      </w:pPr>
      <w:r>
        <w:lastRenderedPageBreak/>
        <w:t>How to read this discussion paper</w:t>
      </w:r>
    </w:p>
    <w:p w14:paraId="21021A87" w14:textId="227625B7" w:rsidR="00201DE9" w:rsidRDefault="00201DE9" w:rsidP="00201DE9">
      <w:r>
        <w:t xml:space="preserve">This discussion paper is designed to be read in conjunction with the </w:t>
      </w:r>
      <w:r w:rsidR="00402071">
        <w:t>Stronger </w:t>
      </w:r>
      <w:r w:rsidR="005B1406">
        <w:t xml:space="preserve">Outcomes for Families </w:t>
      </w:r>
      <w:r>
        <w:t xml:space="preserve">background paper. The background paper provides information, evidence and data relating to outcomes for Australian families and children, the </w:t>
      </w:r>
      <w:r w:rsidR="005B1406">
        <w:t xml:space="preserve">Families and Children (FaC) </w:t>
      </w:r>
      <w:r>
        <w:t>Activity and previous engagement processes.</w:t>
      </w:r>
    </w:p>
    <w:p w14:paraId="68C072E0" w14:textId="2B508BB3" w:rsidR="00201DE9" w:rsidRDefault="00201DE9" w:rsidP="00201DE9">
      <w:r>
        <w:t>The discussion paper provides an overview of key principles, poses a series of questions and provides some ideas for feedback. Please feel free to add additional ideas</w:t>
      </w:r>
      <w:r w:rsidR="005B1406">
        <w:t>, or provide broader feedback,</w:t>
      </w:r>
      <w:r>
        <w:t xml:space="preserve"> in your response. </w:t>
      </w:r>
    </w:p>
    <w:p w14:paraId="1D6E8B6E" w14:textId="1B4930B3" w:rsidR="00337926" w:rsidRDefault="00DE4C82" w:rsidP="00337926">
      <w:pPr>
        <w:pStyle w:val="Heading1"/>
      </w:pPr>
      <w:r>
        <w:t>Purpose</w:t>
      </w:r>
    </w:p>
    <w:p w14:paraId="0BBB2D7F" w14:textId="7AE8C905" w:rsidR="005B1406" w:rsidRDefault="005B1406" w:rsidP="00DE4C82">
      <w:r>
        <w:t>Under the FaC Activity, t</w:t>
      </w:r>
      <w:r w:rsidR="00DE4C82">
        <w:t>he Department of Social Services (DSS) invests approximately $</w:t>
      </w:r>
      <w:r>
        <w:t xml:space="preserve">217 </w:t>
      </w:r>
      <w:r w:rsidR="00DE4C82">
        <w:t>million annually in the</w:t>
      </w:r>
      <w:r>
        <w:t xml:space="preserve"> following programs, which are in-scope for this discussion paper:</w:t>
      </w:r>
    </w:p>
    <w:p w14:paraId="7D4081DB" w14:textId="77777777" w:rsidR="005B1406" w:rsidRDefault="005B1406" w:rsidP="005B1406">
      <w:pPr>
        <w:pStyle w:val="ListParagraph"/>
        <w:numPr>
          <w:ilvl w:val="0"/>
          <w:numId w:val="17"/>
        </w:numPr>
      </w:pPr>
      <w:r>
        <w:t xml:space="preserve">Communities for Children Facilitating Partners </w:t>
      </w:r>
    </w:p>
    <w:p w14:paraId="2EC2BC66" w14:textId="77777777" w:rsidR="005B1406" w:rsidRDefault="005B1406" w:rsidP="005B1406">
      <w:pPr>
        <w:pStyle w:val="ListParagraph"/>
        <w:numPr>
          <w:ilvl w:val="0"/>
          <w:numId w:val="17"/>
        </w:numPr>
      </w:pPr>
      <w:r>
        <w:t xml:space="preserve">Family and Relationship Services </w:t>
      </w:r>
    </w:p>
    <w:p w14:paraId="7FC2690C" w14:textId="77777777" w:rsidR="005B1406" w:rsidRDefault="005B1406" w:rsidP="005B1406">
      <w:pPr>
        <w:pStyle w:val="ListParagraph"/>
        <w:numPr>
          <w:ilvl w:val="0"/>
          <w:numId w:val="17"/>
        </w:numPr>
      </w:pPr>
      <w:r>
        <w:t xml:space="preserve">Children and Parenting Support </w:t>
      </w:r>
    </w:p>
    <w:p w14:paraId="6044E2F3" w14:textId="77777777" w:rsidR="005B1406" w:rsidRDefault="005B1406" w:rsidP="005B1406">
      <w:pPr>
        <w:pStyle w:val="ListParagraph"/>
        <w:numPr>
          <w:ilvl w:val="0"/>
          <w:numId w:val="17"/>
        </w:numPr>
      </w:pPr>
      <w:r>
        <w:t>Intensive Family Support Service, and</w:t>
      </w:r>
    </w:p>
    <w:p w14:paraId="4DC36C34" w14:textId="7CD06C61" w:rsidR="005B1406" w:rsidRDefault="005B1406" w:rsidP="005B1406">
      <w:pPr>
        <w:pStyle w:val="ListParagraph"/>
        <w:numPr>
          <w:ilvl w:val="0"/>
          <w:numId w:val="17"/>
        </w:numPr>
      </w:pPr>
      <w:proofErr w:type="gramStart"/>
      <w:r>
        <w:t>the</w:t>
      </w:r>
      <w:proofErr w:type="gramEnd"/>
      <w:r>
        <w:t xml:space="preserve"> Home Interaction Program for Parents and Youngsters</w:t>
      </w:r>
      <w:r w:rsidR="00A200C0">
        <w:t>.</w:t>
      </w:r>
      <w:r>
        <w:rPr>
          <w:rStyle w:val="FootnoteReference"/>
        </w:rPr>
        <w:footnoteReference w:id="1"/>
      </w:r>
    </w:p>
    <w:p w14:paraId="4FAD034B" w14:textId="77777777" w:rsidR="0038633B" w:rsidRDefault="005B1406" w:rsidP="00DE4C82">
      <w:r>
        <w:t xml:space="preserve">These programs </w:t>
      </w:r>
      <w:r w:rsidR="00DE4C82">
        <w:t>deliver a range of early intervention and prevention services to improve child, youth, adult and family wellbeing, increase economic engagement and support more cohesive communities.</w:t>
      </w:r>
      <w:r>
        <w:t xml:space="preserve"> Examples of these services include counselling, supported playgroups, </w:t>
      </w:r>
      <w:r w:rsidR="00E72A84">
        <w:t xml:space="preserve">relationship education, </w:t>
      </w:r>
      <w:r w:rsidR="00BF0801">
        <w:t xml:space="preserve">parenting programs, peer support groups, school readiness programs, home visiting, child and youth focus groups, dispute resolution and outreach.  </w:t>
      </w:r>
    </w:p>
    <w:p w14:paraId="0D5AF6F3" w14:textId="77777777" w:rsidR="00E92C6F" w:rsidRDefault="007B3409" w:rsidP="00E92C6F">
      <w:r>
        <w:t xml:space="preserve">The majority of </w:t>
      </w:r>
      <w:r w:rsidR="00DE4C82">
        <w:t xml:space="preserve">grant agreements </w:t>
      </w:r>
      <w:r w:rsidR="007A0277">
        <w:t xml:space="preserve">for these programs </w:t>
      </w:r>
      <w:r w:rsidR="00DE4C82">
        <w:t>expire on 30 June 2020</w:t>
      </w:r>
      <w:r w:rsidR="007A0277">
        <w:t xml:space="preserve">. </w:t>
      </w:r>
      <w:r w:rsidR="00DE4C82">
        <w:t xml:space="preserve">It is therefore timely for us to </w:t>
      </w:r>
      <w:r w:rsidR="00E9515C">
        <w:t xml:space="preserve">discuss how we can continue to work together to </w:t>
      </w:r>
      <w:r w:rsidR="00553574">
        <w:t xml:space="preserve">ensure our programs continue to achieve </w:t>
      </w:r>
      <w:r w:rsidR="00E9515C">
        <w:t xml:space="preserve">positive </w:t>
      </w:r>
      <w:r w:rsidR="00553574">
        <w:t>outcomes</w:t>
      </w:r>
      <w:r>
        <w:t xml:space="preserve"> </w:t>
      </w:r>
      <w:r w:rsidR="00E9515C">
        <w:t>for families and children across Australia.</w:t>
      </w:r>
      <w:r w:rsidR="009D05F9">
        <w:t xml:space="preserve"> </w:t>
      </w:r>
      <w:r w:rsidR="00201DE9">
        <w:t xml:space="preserve">This is not about reducing our investment in families but rather talking with the sector, academia and families to ensure that our investment is as effective as possible. </w:t>
      </w:r>
    </w:p>
    <w:p w14:paraId="7925BA65" w14:textId="72BE65F9" w:rsidR="00E92C6F" w:rsidRDefault="009D05F9" w:rsidP="00E92C6F">
      <w:r>
        <w:t>We are committed to making sure that family services are designed in collaboration with service providers, academics</w:t>
      </w:r>
      <w:r w:rsidR="001B54C1">
        <w:t>, state and territory governments,</w:t>
      </w:r>
      <w:r>
        <w:t xml:space="preserve"> and families and </w:t>
      </w:r>
      <w:proofErr w:type="gramStart"/>
      <w:r>
        <w:t>children</w:t>
      </w:r>
      <w:proofErr w:type="gramEnd"/>
      <w:r>
        <w:t>.</w:t>
      </w:r>
      <w:r w:rsidR="00E92C6F">
        <w:t xml:space="preserve"> DSS wants to be clear that the ideas proposed in this discussion paper are ideas to test only and do not represent DSS’ final policy position. This process is the beginning of our engagement. We anticipate continuing discussions over the coming years. </w:t>
      </w:r>
    </w:p>
    <w:p w14:paraId="42DD88F2" w14:textId="77777777" w:rsidR="00E9515C" w:rsidRDefault="00E9515C" w:rsidP="00E9515C">
      <w:pPr>
        <w:pStyle w:val="Heading1"/>
      </w:pPr>
      <w:r>
        <w:t>The Engagement Process</w:t>
      </w:r>
    </w:p>
    <w:p w14:paraId="47DB93C4" w14:textId="26B88D31" w:rsidR="00DE4C82" w:rsidRDefault="00E9515C" w:rsidP="00DE4C82">
      <w:r>
        <w:t xml:space="preserve">This discussion paper will be available to view and respond to on the DSS Engage website from </w:t>
      </w:r>
      <w:r w:rsidR="0025283B">
        <w:t xml:space="preserve">5 </w:t>
      </w:r>
      <w:r w:rsidR="0091511A">
        <w:t>Ju</w:t>
      </w:r>
      <w:r w:rsidR="0025283B">
        <w:t>ly</w:t>
      </w:r>
      <w:r w:rsidR="0091511A">
        <w:t xml:space="preserve"> </w:t>
      </w:r>
      <w:r>
        <w:t xml:space="preserve">2018 to </w:t>
      </w:r>
      <w:r w:rsidR="0044563A">
        <w:t>15</w:t>
      </w:r>
      <w:r>
        <w:t xml:space="preserve"> </w:t>
      </w:r>
      <w:bookmarkStart w:id="0" w:name="_GoBack"/>
      <w:r w:rsidR="000B6E67">
        <w:t>August</w:t>
      </w:r>
      <w:bookmarkEnd w:id="0"/>
      <w:r w:rsidR="000B6E67">
        <w:t xml:space="preserve"> </w:t>
      </w:r>
      <w:r>
        <w:t xml:space="preserve">2018. Text boxes will be available for your input in the relevant section of the discussion paper. </w:t>
      </w:r>
    </w:p>
    <w:p w14:paraId="0CD6BE93" w14:textId="37A10A4C" w:rsidR="00E9515C" w:rsidRDefault="00E9515C" w:rsidP="00E9515C">
      <w:pPr>
        <w:pStyle w:val="Heading1"/>
      </w:pPr>
      <w:r>
        <w:lastRenderedPageBreak/>
        <w:t>Context</w:t>
      </w:r>
    </w:p>
    <w:p w14:paraId="6D2E05C3" w14:textId="02E433DC" w:rsidR="00E92C6F" w:rsidRDefault="007A0277" w:rsidP="003F7AE3">
      <w:r>
        <w:t>Families are a vital component of Australian society and we all have a responsibility to support them. An investment into families and children is an investment into well</w:t>
      </w:r>
      <w:r>
        <w:noBreakHyphen/>
        <w:t>functioning productive members of society. Si</w:t>
      </w:r>
      <w:r w:rsidR="00A200C0">
        <w:t>xty per cent of Australia’s six </w:t>
      </w:r>
      <w:r>
        <w:t xml:space="preserve">million families have children. These children are our future teachers, tradespeople, police officers, leaders and parents. The skills and behaviours that families teach children stay with them throughout their lives and are often taught to their own children. </w:t>
      </w:r>
      <w:r w:rsidR="00101307">
        <w:rPr>
          <w:noProof/>
        </w:rPr>
        <w:drawing>
          <wp:inline distT="0" distB="0" distL="0" distR="0" wp14:anchorId="7DB6B623" wp14:editId="1AEADA43">
            <wp:extent cx="5939790" cy="4616693"/>
            <wp:effectExtent l="0" t="0" r="3810" b="0"/>
            <wp:docPr id="18" name="Picture 18" descr="There are 6 million Australian Families.&#10;60% have children.&#10;Less children are developmentally vulnerable (decrease of 1.6% since 2012).&#10;Significant gains have been made in children's language skills (vulnerability has decreased from 6.8% in 2012 to 6.5% in 2015).&#10;Children's Communication skills and general knowledge has improved (decreased vulnerability from 9% in 2012 to 8.5% in 2015).&#10;" title="Australian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B5.1A3EA6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51093" cy="4625478"/>
                    </a:xfrm>
                    <a:prstGeom prst="rect">
                      <a:avLst/>
                    </a:prstGeom>
                    <a:noFill/>
                    <a:ln>
                      <a:noFill/>
                    </a:ln>
                  </pic:spPr>
                </pic:pic>
              </a:graphicData>
            </a:graphic>
          </wp:inline>
        </w:drawing>
      </w:r>
    </w:p>
    <w:p w14:paraId="156A309D" w14:textId="73AACA8E" w:rsidR="00E92C6F" w:rsidRDefault="00E92C6F" w:rsidP="00E92C6F">
      <w:r>
        <w:t xml:space="preserve">Improving outcomes for families and children has been a focus for government for many years, and we are making progress. </w:t>
      </w:r>
      <w:r w:rsidR="00AF2F43">
        <w:t>For example,</w:t>
      </w:r>
      <w:r>
        <w:t xml:space="preserve"> Australian children have made some significant gains in key early childhood development outcomes. </w:t>
      </w:r>
      <w:r w:rsidRPr="00FB2E0C">
        <w:t>However</w:t>
      </w:r>
      <w:r>
        <w:t xml:space="preserve">, these improvements have not been realised equally among all Australian families and children. </w:t>
      </w:r>
    </w:p>
    <w:p w14:paraId="25D7A737" w14:textId="2C7320B7" w:rsidR="00E92C6F" w:rsidRDefault="00E92C6F" w:rsidP="00E92C6F">
      <w:r>
        <w:t xml:space="preserve">Aboriginal and Torres Strait Islander families and children, in particular, continue to experience poorer outcomes due to factors associated with colonisation and past child removal policies as well as socio-economic disadvantage. </w:t>
      </w:r>
    </w:p>
    <w:p w14:paraId="2D82B4B6" w14:textId="3EF848C3" w:rsidR="006D7C95" w:rsidRDefault="00101307" w:rsidP="00AF2F43">
      <w:r>
        <w:rPr>
          <w:noProof/>
        </w:rPr>
        <w:lastRenderedPageBreak/>
        <w:drawing>
          <wp:inline distT="0" distB="0" distL="0" distR="0" wp14:anchorId="76F7973B" wp14:editId="6F0EB5F2">
            <wp:extent cx="6414282" cy="2941504"/>
            <wp:effectExtent l="0" t="0" r="5715" b="0"/>
            <wp:docPr id="20" name="Picture 20" descr="60,300 women who experienced violence by a current partner and 92,200 from a previous partner since the age of 15 reported children hearing or seeing violence,&#10;&#10;Aboriginal and Torres Strait Islander women are 32 times more likely to be hospitalised due to family violence related assaults,&#10;&#10;47,900 children live in out of home care, with Aboriginal and Torres Strait Islander children seven times more likely to be in out of home care,&#10;&#10;One in 32 children received child protective services,&#10;&#10;One in 466 young people are under youth justice supervision, with Aboriginal and Torres Strait Islander youths 24 times more likely to be in juvenile detention,&#10;&#10;One in five children are developmentally vulnerable, with Aboriginal and Torres Strait Islander children four times more likely to be developmentally vulnerable in language and cognitive skills and twice as likely to be developmentally vulnerable in health and wellbeing, and social competence, communication and emotional maturity.&#10;" title="Outcomes experienced by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16.7033F6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432797" cy="2949995"/>
                    </a:xfrm>
                    <a:prstGeom prst="rect">
                      <a:avLst/>
                    </a:prstGeom>
                    <a:noFill/>
                    <a:ln>
                      <a:noFill/>
                    </a:ln>
                  </pic:spPr>
                </pic:pic>
              </a:graphicData>
            </a:graphic>
          </wp:inline>
        </w:drawing>
      </w:r>
    </w:p>
    <w:p w14:paraId="563722C2" w14:textId="3753E1CD" w:rsidR="00917A0D" w:rsidRDefault="00917A0D" w:rsidP="00E9515C">
      <w:r>
        <w:t>By working together we can improve these outcomes. A number of strategies, reviews and policies have stressed the need for coordinated and collective effort. A</w:t>
      </w:r>
      <w:r w:rsidR="00645CE8">
        <w:t> </w:t>
      </w:r>
      <w:r>
        <w:t xml:space="preserve">timeline of key policy decisions and reviews impacting the FaC Activity is outlined below. </w:t>
      </w:r>
    </w:p>
    <w:p w14:paraId="3CB10735" w14:textId="16A8B398" w:rsidR="00F10791" w:rsidRDefault="00101307" w:rsidP="00E9515C">
      <w:r>
        <w:rPr>
          <w:noProof/>
        </w:rPr>
        <w:drawing>
          <wp:inline distT="0" distB="0" distL="0" distR="0" wp14:anchorId="0DFD5EF6" wp14:editId="30006FA7">
            <wp:extent cx="5939790" cy="1862971"/>
            <wp:effectExtent l="0" t="0" r="3810" b="4445"/>
            <wp:docPr id="21" name="Picture 21" descr="2008 Closing the Gap&#10;2009 National Framework for Protecting Australia's Children&#10;2010 National Plan to Reduce Violence against Women and their Children&#10;2010 National Disability Strategy&#10;2014 A New Way of Working with Grants&#10;2016 Redfern Statement&#10;2017 Royal Commissionin into the Protection and Detention of Children in the Northern Territory&#10;2018 Productivity Commission into Human Services&#10;2018 Indigenous Grants Policy" title="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CB0.F0DC28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39790" cy="1862971"/>
                    </a:xfrm>
                    <a:prstGeom prst="rect">
                      <a:avLst/>
                    </a:prstGeom>
                    <a:noFill/>
                    <a:ln>
                      <a:noFill/>
                    </a:ln>
                  </pic:spPr>
                </pic:pic>
              </a:graphicData>
            </a:graphic>
          </wp:inline>
        </w:drawing>
      </w:r>
    </w:p>
    <w:p w14:paraId="744621EE" w14:textId="77777777" w:rsidR="00402071" w:rsidRDefault="00402071">
      <w:pPr>
        <w:spacing w:before="0" w:after="200" w:line="276" w:lineRule="auto"/>
        <w:rPr>
          <w:rFonts w:ascii="Georgia" w:eastAsiaTheme="majorEastAsia" w:hAnsi="Georgia" w:cstheme="majorBidi"/>
          <w:bCs/>
          <w:color w:val="500778"/>
          <w:sz w:val="36"/>
          <w:szCs w:val="28"/>
        </w:rPr>
      </w:pPr>
      <w:r>
        <w:br w:type="page"/>
      </w:r>
    </w:p>
    <w:p w14:paraId="1C3D6171" w14:textId="0A40D55E" w:rsidR="00FC39C5" w:rsidRDefault="00FC39C5" w:rsidP="006D7C95">
      <w:pPr>
        <w:pStyle w:val="Heading1"/>
      </w:pPr>
      <w:r>
        <w:lastRenderedPageBreak/>
        <w:t>Principles</w:t>
      </w:r>
    </w:p>
    <w:p w14:paraId="273D00E6" w14:textId="3DB13413" w:rsidR="00201DE9" w:rsidRDefault="00231210" w:rsidP="00201DE9">
      <w:r>
        <w:t>DSS</w:t>
      </w:r>
      <w:r w:rsidR="00FC39C5">
        <w:t xml:space="preserve"> proposes the following principles underpin the future design of programs for families and children across Australia. </w:t>
      </w:r>
      <w:r w:rsidR="00201DE9">
        <w:t>The proposed principles would guide and shape future decisions relating to family programs and services.</w:t>
      </w:r>
      <w:r w:rsidR="00402071">
        <w:t xml:space="preserve"> Detailed information about the principles can be found in the background paper.</w:t>
      </w:r>
      <w:r w:rsidR="00201DE9">
        <w:t xml:space="preserve"> </w:t>
      </w:r>
    </w:p>
    <w:p w14:paraId="2CFB4CA9" w14:textId="0E507DF5" w:rsidR="00917A0D" w:rsidRDefault="00101307" w:rsidP="00917A0D">
      <w:pPr>
        <w:pStyle w:val="Heading1"/>
      </w:pPr>
      <w:r>
        <w:rPr>
          <w:noProof/>
        </w:rPr>
        <w:drawing>
          <wp:inline distT="0" distB="0" distL="0" distR="0" wp14:anchorId="2C9E9686" wp14:editId="217CB849">
            <wp:extent cx="5939790" cy="4098616"/>
            <wp:effectExtent l="0" t="0" r="3810" b="0"/>
            <wp:docPr id="22" name="Picture 22" descr="Outcomes Focussed&#10;We will clearly define and aritculate measurable and achievable outcomes.&#10;We will understand what is possible within our limited funding and seek to do it well.&#10;We will use funding mechanisms that are sustainable and help us achieve outcomes for families and children.&#10;&#10;Targeted Service Delivery&#10;We will target our investments in high need, high cost children, families and communities where there is the potential for a greater return on investment.&#10;We will ensure our programs and services are tailored to priority needs.&#10;&#10;Data and Evidence Driven&#10;We will ensure service design and delivery is informed by quality data and evidence about 'what works'.&#10;We will consider evidence informed, best practice, promising and emerging practice.&#10;We will regularly collect and anlyse data and evidence to inform policy, make decisions on strategy and investment, and guide practive and innovation.&#10;&#10;Early Intervention and Prevention&#10;We will fund programs and services that act early to support families and children with a specific focus on preventing harm or problems from escalating (especially breaking trajectories toward out of home care).&#10;Our programs and services will seek to identify and respond to key risk factors (such as child abuse and neglect, domestic violence, homelessness) and strengthen protective factors in families and children (such as resilience).&#10;&#10;Collaborative&#10;We will use a 'system approach' and ensure service providers actively connect with other organisations and local communities to provide joined up services for children and families, providing a holistic support system.&#10;We will encourage the establishment of partnerships, collaborative networks, and community coalitions.&#10;We will work collaboratively with other government agencies to join up efforts and reduce duplication. " title="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FCAE.82BD9D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39790" cy="4098616"/>
                    </a:xfrm>
                    <a:prstGeom prst="rect">
                      <a:avLst/>
                    </a:prstGeom>
                    <a:noFill/>
                    <a:ln>
                      <a:noFill/>
                    </a:ln>
                  </pic:spPr>
                </pic:pic>
              </a:graphicData>
            </a:graphic>
          </wp:inline>
        </w:drawing>
      </w:r>
      <w:r w:rsidR="00ED05B2">
        <w:t xml:space="preserve">Principle 1: </w:t>
      </w:r>
      <w:r w:rsidR="00CB53A4">
        <w:t>Outcomes</w:t>
      </w:r>
      <w:r w:rsidR="00F7261B">
        <w:t xml:space="preserve"> Focussed</w:t>
      </w:r>
    </w:p>
    <w:p w14:paraId="5DB06A28" w14:textId="2B163BA1" w:rsidR="005239E1" w:rsidRDefault="00F87CEC" w:rsidP="00A200C0">
      <w:r>
        <w:t>Following a</w:t>
      </w:r>
      <w:r w:rsidR="00402071">
        <w:t>n evidence</w:t>
      </w:r>
      <w:r>
        <w:t xml:space="preserve"> review, DSS has identified three </w:t>
      </w:r>
      <w:r w:rsidR="00402071">
        <w:t xml:space="preserve">overarching long-term </w:t>
      </w:r>
      <w:r>
        <w:t xml:space="preserve">outcomes </w:t>
      </w:r>
      <w:r w:rsidR="00402071">
        <w:t>that are</w:t>
      </w:r>
      <w:r>
        <w:t xml:space="preserve"> vital for all </w:t>
      </w:r>
      <w:r w:rsidR="00477CBE">
        <w:t xml:space="preserve">families and </w:t>
      </w:r>
      <w:r>
        <w:t xml:space="preserve">children. </w:t>
      </w:r>
      <w:r w:rsidR="00ED05B2">
        <w:t xml:space="preserve">We recognise that these are not the only important outcomes for families and children. </w:t>
      </w:r>
      <w:r>
        <w:t xml:space="preserve">We </w:t>
      </w:r>
      <w:r w:rsidR="00ED05B2">
        <w:t xml:space="preserve">also </w:t>
      </w:r>
      <w:r>
        <w:t xml:space="preserve">recognise that </w:t>
      </w:r>
      <w:r w:rsidR="00402071">
        <w:t xml:space="preserve">achieving </w:t>
      </w:r>
      <w:r>
        <w:t>these outcomes require</w:t>
      </w:r>
      <w:r w:rsidR="00402071">
        <w:t>s</w:t>
      </w:r>
      <w:r>
        <w:t xml:space="preserve"> collaboration and coordinated effort across sectors, government</w:t>
      </w:r>
      <w:r w:rsidR="00231210">
        <w:t>s</w:t>
      </w:r>
      <w:r>
        <w:t xml:space="preserve"> and communities. No one person or group is</w:t>
      </w:r>
      <w:r w:rsidR="00402071">
        <w:t>, or can be,</w:t>
      </w:r>
      <w:r>
        <w:t xml:space="preserve"> responsible for these outcomes, rather we all contribute to their achievement.</w:t>
      </w:r>
    </w:p>
    <w:p w14:paraId="3FB8B946" w14:textId="2BB84914" w:rsidR="00917A0D" w:rsidRDefault="00F87CEC" w:rsidP="005B1406">
      <w:pPr>
        <w:spacing w:before="0" w:after="200" w:line="276" w:lineRule="auto"/>
      </w:pPr>
      <w:r>
        <w:t>The three outcomes proposed are:</w:t>
      </w:r>
    </w:p>
    <w:p w14:paraId="73CF88E8" w14:textId="38CD6D0E" w:rsidR="00765DEE" w:rsidRDefault="00765DEE" w:rsidP="00A200C0">
      <w:pPr>
        <w:pStyle w:val="ListParagraph"/>
        <w:numPr>
          <w:ilvl w:val="0"/>
          <w:numId w:val="29"/>
        </w:numPr>
      </w:pPr>
      <w:r w:rsidRPr="00A200C0">
        <w:rPr>
          <w:b/>
        </w:rPr>
        <w:t>Families and children are safe and well</w:t>
      </w:r>
      <w:r w:rsidRPr="00A200C0">
        <w:t>:</w:t>
      </w:r>
      <w:r>
        <w:t xml:space="preserve"> </w:t>
      </w:r>
      <w:r w:rsidR="00441F38">
        <w:t>f</w:t>
      </w:r>
      <w:r>
        <w:t>amilies, children and young people have their needs met and a positive, safe and nurturing environment,</w:t>
      </w:r>
    </w:p>
    <w:p w14:paraId="05A9DBC8" w14:textId="75C0D971" w:rsidR="00765DEE" w:rsidRDefault="00765DEE" w:rsidP="00A200C0">
      <w:pPr>
        <w:pStyle w:val="ListParagraph"/>
        <w:numPr>
          <w:ilvl w:val="0"/>
          <w:numId w:val="29"/>
        </w:numPr>
      </w:pPr>
      <w:r w:rsidRPr="00A200C0">
        <w:rPr>
          <w:b/>
        </w:rPr>
        <w:t>Families and children are strong and resilient</w:t>
      </w:r>
      <w:r w:rsidRPr="00A200C0">
        <w:t>:</w:t>
      </w:r>
      <w:r>
        <w:t xml:space="preserve"> </w:t>
      </w:r>
      <w:r w:rsidR="00441F38">
        <w:t>f</w:t>
      </w:r>
      <w:r>
        <w:t>amilies, children and young people have the ability to develop and maintain good relationships,</w:t>
      </w:r>
      <w:r w:rsidR="00441F38">
        <w:t xml:space="preserve"> and</w:t>
      </w:r>
    </w:p>
    <w:p w14:paraId="35CF3551" w14:textId="61A88919" w:rsidR="00765DEE" w:rsidRDefault="00044109" w:rsidP="00A200C0">
      <w:pPr>
        <w:pStyle w:val="ListParagraph"/>
        <w:numPr>
          <w:ilvl w:val="0"/>
          <w:numId w:val="29"/>
        </w:numPr>
      </w:pPr>
      <w:r w:rsidRPr="00A200C0">
        <w:rPr>
          <w:b/>
        </w:rPr>
        <w:t>Children are ready to learn</w:t>
      </w:r>
      <w:r w:rsidRPr="00A200C0">
        <w:t>:</w:t>
      </w:r>
      <w:r>
        <w:t xml:space="preserve"> </w:t>
      </w:r>
      <w:r w:rsidR="00441F38">
        <w:t>families, c</w:t>
      </w:r>
      <w:r>
        <w:t>hildren and young people have the capability to learn and be school ready.</w:t>
      </w:r>
    </w:p>
    <w:p w14:paraId="22DD421C" w14:textId="560F21AA" w:rsidR="00101307" w:rsidRDefault="007158AC" w:rsidP="00A11125">
      <w:pPr>
        <w:pStyle w:val="Pullouttext"/>
        <w:jc w:val="center"/>
      </w:pPr>
      <w:r>
        <w:rPr>
          <w:noProof/>
        </w:rPr>
        <w:lastRenderedPageBreak/>
        <w:drawing>
          <wp:inline distT="0" distB="0" distL="0" distR="0" wp14:anchorId="5F4DE0F1" wp14:editId="3B0F9D3F">
            <wp:extent cx="5237018" cy="3604193"/>
            <wp:effectExtent l="0" t="0" r="1905" b="0"/>
            <wp:docPr id="2" name="Picture 2" descr="Venn diagram of the three outcomes proposed.&#10;" title="Outcom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31.D44D84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60001" cy="3620010"/>
                    </a:xfrm>
                    <a:prstGeom prst="rect">
                      <a:avLst/>
                    </a:prstGeom>
                    <a:noFill/>
                    <a:ln>
                      <a:noFill/>
                    </a:ln>
                  </pic:spPr>
                </pic:pic>
              </a:graphicData>
            </a:graphic>
          </wp:inline>
        </w:drawing>
      </w:r>
    </w:p>
    <w:tbl>
      <w:tblPr>
        <w:tblStyle w:val="TableGrid"/>
        <w:tblW w:w="0" w:type="auto"/>
        <w:tblBorders>
          <w:top w:val="thinThickSmallGap" w:sz="24" w:space="0" w:color="500778" w:themeColor="accent1"/>
          <w:left w:val="none" w:sz="0" w:space="0" w:color="auto"/>
          <w:bottom w:val="thinThick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Outcomes "/>
        <w:tblDescription w:val="Do these three outcomes encompass the most important outcomes for families and children that you see? Why/Why not?&#10;Do the outcomes in your service or organisation align to the ones proposed?&#10;How long would it take for you to adjust your services to achieve these outcomes?"/>
      </w:tblPr>
      <w:tblGrid>
        <w:gridCol w:w="9344"/>
      </w:tblGrid>
      <w:tr w:rsidR="00A11125" w14:paraId="3EF21CF3" w14:textId="77777777" w:rsidTr="00A11125">
        <w:tc>
          <w:tcPr>
            <w:tcW w:w="9344" w:type="dxa"/>
          </w:tcPr>
          <w:p w14:paraId="0C3432BB" w14:textId="77777777" w:rsidR="00A11125" w:rsidRPr="004F0B7D" w:rsidRDefault="00A11125" w:rsidP="004F0B7D">
            <w:pPr>
              <w:pStyle w:val="Pullouttext"/>
              <w:ind w:left="0"/>
              <w:contextualSpacing w:val="0"/>
              <w:rPr>
                <w:rFonts w:ascii="Arial" w:hAnsi="Arial" w:cs="Times New Roman"/>
                <w:bCs w:val="0"/>
                <w:i/>
                <w:color w:val="500778" w:themeColor="accent1"/>
                <w:spacing w:val="4"/>
                <w:szCs w:val="24"/>
              </w:rPr>
            </w:pPr>
            <w:r w:rsidRPr="004F0B7D">
              <w:rPr>
                <w:rFonts w:ascii="Arial" w:hAnsi="Arial" w:cs="Times New Roman"/>
                <w:bCs w:val="0"/>
                <w:i/>
                <w:color w:val="500778" w:themeColor="accent1"/>
                <w:spacing w:val="4"/>
                <w:szCs w:val="24"/>
              </w:rPr>
              <w:t>Do these three outcomes encompass the most important outcomes for families and children that you see? Why/Why not?</w:t>
            </w:r>
          </w:p>
          <w:p w14:paraId="05D07197" w14:textId="77777777" w:rsidR="00A11125" w:rsidRPr="004F0B7D" w:rsidRDefault="00A11125" w:rsidP="004F0B7D">
            <w:pPr>
              <w:pStyle w:val="Pullouttext"/>
              <w:ind w:left="0"/>
              <w:contextualSpacing w:val="0"/>
              <w:rPr>
                <w:rFonts w:ascii="Arial" w:hAnsi="Arial" w:cs="Times New Roman"/>
                <w:bCs w:val="0"/>
                <w:i/>
                <w:color w:val="500778" w:themeColor="accent1"/>
                <w:spacing w:val="4"/>
                <w:szCs w:val="24"/>
              </w:rPr>
            </w:pPr>
            <w:r w:rsidRPr="004F0B7D">
              <w:rPr>
                <w:rFonts w:ascii="Arial" w:hAnsi="Arial" w:cs="Times New Roman"/>
                <w:bCs w:val="0"/>
                <w:i/>
                <w:color w:val="500778" w:themeColor="accent1"/>
                <w:spacing w:val="4"/>
                <w:szCs w:val="24"/>
              </w:rPr>
              <w:t>Do the outcomes in your service or organisation align to the ones proposed?</w:t>
            </w:r>
          </w:p>
          <w:p w14:paraId="4F59B142" w14:textId="386CC550" w:rsidR="00A11125" w:rsidRPr="00A11125" w:rsidRDefault="00A11125" w:rsidP="004F0B7D">
            <w:pPr>
              <w:pStyle w:val="Pullouttext"/>
              <w:ind w:left="0"/>
              <w:contextualSpacing w:val="0"/>
              <w:rPr>
                <w:rFonts w:eastAsiaTheme="majorEastAsia"/>
                <w:i/>
              </w:rPr>
            </w:pPr>
            <w:r w:rsidRPr="004F0B7D">
              <w:rPr>
                <w:rFonts w:ascii="Arial" w:hAnsi="Arial" w:cs="Times New Roman"/>
                <w:bCs w:val="0"/>
                <w:i/>
                <w:color w:val="500778" w:themeColor="accent1"/>
                <w:spacing w:val="4"/>
                <w:szCs w:val="24"/>
              </w:rPr>
              <w:t>How long would it take for you to adjust your services to achieve these outcomes?</w:t>
            </w:r>
          </w:p>
        </w:tc>
      </w:tr>
    </w:tbl>
    <w:p w14:paraId="67B5E2F9" w14:textId="28B6234D" w:rsidR="00CB53A4" w:rsidRPr="00BD0A09" w:rsidRDefault="00BD0A09" w:rsidP="00917A0D">
      <w:pPr>
        <w:pStyle w:val="Heading1"/>
        <w:rPr>
          <w:rStyle w:val="Heading2Char"/>
        </w:rPr>
      </w:pPr>
      <w:r w:rsidRPr="00BD0A09">
        <w:rPr>
          <w:rStyle w:val="Heading2Char"/>
        </w:rPr>
        <w:t xml:space="preserve">Funding </w:t>
      </w:r>
    </w:p>
    <w:p w14:paraId="30FE828E" w14:textId="7F25F56C" w:rsidR="00F32C94" w:rsidRDefault="00BD0A09" w:rsidP="00CB53A4">
      <w:r>
        <w:t xml:space="preserve">DSS is committed to ensuring that </w:t>
      </w:r>
      <w:r w:rsidR="00441F38">
        <w:t>its</w:t>
      </w:r>
      <w:r>
        <w:t xml:space="preserve"> funding support</w:t>
      </w:r>
      <w:r w:rsidR="00FB2E0C">
        <w:t>s</w:t>
      </w:r>
      <w:r>
        <w:t xml:space="preserve"> </w:t>
      </w:r>
      <w:r w:rsidR="00441F38">
        <w:t xml:space="preserve">service providers to be </w:t>
      </w:r>
      <w:r>
        <w:t>outcomes</w:t>
      </w:r>
      <w:r w:rsidR="00441F38">
        <w:t xml:space="preserve"> focussed</w:t>
      </w:r>
      <w:r>
        <w:t xml:space="preserve">. </w:t>
      </w:r>
      <w:r w:rsidR="00441F38">
        <w:t>M</w:t>
      </w:r>
      <w:r w:rsidR="00CB53A4">
        <w:t xml:space="preserve">any organisations </w:t>
      </w:r>
      <w:r w:rsidR="00441F38">
        <w:t xml:space="preserve">currently </w:t>
      </w:r>
      <w:r w:rsidR="00CB53A4">
        <w:t xml:space="preserve">receive funding under multiple FaC </w:t>
      </w:r>
      <w:r w:rsidR="00AA6C14">
        <w:t xml:space="preserve">Activity </w:t>
      </w:r>
      <w:r w:rsidR="00CB53A4">
        <w:t xml:space="preserve">programs. This </w:t>
      </w:r>
      <w:r w:rsidR="00441F38">
        <w:t xml:space="preserve">programmatic approach </w:t>
      </w:r>
      <w:r w:rsidR="00AA6C14">
        <w:t xml:space="preserve">results in </w:t>
      </w:r>
      <w:r w:rsidR="00477CBE">
        <w:t xml:space="preserve">an </w:t>
      </w:r>
      <w:r w:rsidR="00CB53A4">
        <w:t xml:space="preserve">additional reporting </w:t>
      </w:r>
      <w:r w:rsidR="005962DD">
        <w:t>burden for service providers and</w:t>
      </w:r>
      <w:r w:rsidR="00CB53A4">
        <w:t xml:space="preserve"> splitting services offered to families </w:t>
      </w:r>
      <w:r w:rsidR="00477CBE">
        <w:t>al</w:t>
      </w:r>
      <w:r w:rsidR="00CB53A4">
        <w:t>on</w:t>
      </w:r>
      <w:r w:rsidR="00477CBE">
        <w:t>g</w:t>
      </w:r>
      <w:r w:rsidR="00CB53A4">
        <w:t xml:space="preserve"> reporting lines</w:t>
      </w:r>
      <w:r w:rsidR="00441F38">
        <w:t>,</w:t>
      </w:r>
      <w:r w:rsidR="00CB53A4">
        <w:t xml:space="preserve"> as opposed to delivering a coordinated service based on the needs of the family.</w:t>
      </w:r>
    </w:p>
    <w:p w14:paraId="66BFAA3E" w14:textId="043FF764" w:rsidR="00F32C94" w:rsidRDefault="00F32C94" w:rsidP="00F32C94">
      <w:r>
        <w:t xml:space="preserve">Ideally, DSS would like support </w:t>
      </w:r>
      <w:r w:rsidR="002D6DF5">
        <w:t xml:space="preserve">for </w:t>
      </w:r>
      <w:r>
        <w:t>families and children to be provided based on their needs</w:t>
      </w:r>
      <w:r w:rsidR="002D6DF5">
        <w:t>,</w:t>
      </w:r>
      <w:r>
        <w:t xml:space="preserve"> to </w:t>
      </w:r>
      <w:r w:rsidR="002D6DF5">
        <w:t xml:space="preserve">help them move towards </w:t>
      </w:r>
      <w:r>
        <w:t>achiev</w:t>
      </w:r>
      <w:r w:rsidR="002D6DF5">
        <w:t>ing</w:t>
      </w:r>
      <w:r>
        <w:t xml:space="preserve"> the</w:t>
      </w:r>
      <w:r w:rsidR="00721E41">
        <w:t xml:space="preserve"> proposed</w:t>
      </w:r>
      <w:r>
        <w:t xml:space="preserve"> outcomes. For</w:t>
      </w:r>
      <w:r w:rsidR="002D6DF5">
        <w:t> </w:t>
      </w:r>
      <w:r>
        <w:t xml:space="preserve">example, </w:t>
      </w:r>
      <w:r w:rsidR="00721E41">
        <w:t xml:space="preserve">instead of funding based on specific programs </w:t>
      </w:r>
      <w:r>
        <w:t>DSS could provide funding under three streams:</w:t>
      </w:r>
    </w:p>
    <w:p w14:paraId="61F3078E" w14:textId="5DD9D8F7" w:rsidR="00F32C94" w:rsidRPr="005962DD" w:rsidRDefault="00F32C94" w:rsidP="00F32C94">
      <w:pPr>
        <w:pStyle w:val="ListParagraph"/>
        <w:numPr>
          <w:ilvl w:val="0"/>
          <w:numId w:val="14"/>
        </w:numPr>
        <w:ind w:left="714" w:hanging="357"/>
        <w:contextualSpacing w:val="0"/>
        <w:rPr>
          <w:b/>
        </w:rPr>
      </w:pPr>
      <w:r w:rsidRPr="005962DD">
        <w:rPr>
          <w:b/>
        </w:rPr>
        <w:t xml:space="preserve">Universal </w:t>
      </w:r>
      <w:r>
        <w:t xml:space="preserve">– </w:t>
      </w:r>
      <w:r w:rsidR="002D6DF5">
        <w:t>p</w:t>
      </w:r>
      <w:r>
        <w:t xml:space="preserve">rovides opportunities for all families and children to seek help and access information, advice and education to address issues before they escalate or become entrenched. </w:t>
      </w:r>
    </w:p>
    <w:p w14:paraId="68FC9165" w14:textId="3109180C" w:rsidR="00101307" w:rsidRPr="00101307" w:rsidRDefault="00D3338F" w:rsidP="002C2B4F">
      <w:pPr>
        <w:pStyle w:val="ListParagraph"/>
        <w:numPr>
          <w:ilvl w:val="0"/>
          <w:numId w:val="14"/>
        </w:numPr>
        <w:contextualSpacing w:val="0"/>
        <w:rPr>
          <w:rFonts w:ascii="Calibri" w:hAnsi="Calibri"/>
          <w:spacing w:val="0"/>
          <w:sz w:val="22"/>
          <w:szCs w:val="22"/>
        </w:rPr>
      </w:pPr>
      <w:r w:rsidRPr="00101307">
        <w:rPr>
          <w:b/>
        </w:rPr>
        <w:t xml:space="preserve">Targeted </w:t>
      </w:r>
      <w:r w:rsidR="00F32C94" w:rsidRPr="005962DD">
        <w:t>–</w:t>
      </w:r>
      <w:r w:rsidR="00F32C94" w:rsidRPr="00101307">
        <w:rPr>
          <w:b/>
        </w:rPr>
        <w:t xml:space="preserve"> </w:t>
      </w:r>
      <w:r w:rsidR="002D6DF5">
        <w:t>p</w:t>
      </w:r>
      <w:r w:rsidR="00F32C94">
        <w:t xml:space="preserve">rovides </w:t>
      </w:r>
      <w:r w:rsidR="00721E41">
        <w:t xml:space="preserve">more intensive, and where necessary, </w:t>
      </w:r>
      <w:r w:rsidR="00F32C94">
        <w:t xml:space="preserve">frequent and sustained support for children and families experiencing </w:t>
      </w:r>
      <w:r w:rsidR="00721E41">
        <w:t xml:space="preserve">vulnerability or </w:t>
      </w:r>
      <w:r w:rsidR="00F32C94">
        <w:t>multiple complex risk factors</w:t>
      </w:r>
      <w:r w:rsidR="00721E41">
        <w:t>.</w:t>
      </w:r>
    </w:p>
    <w:p w14:paraId="15DA5276" w14:textId="68FC48E2" w:rsidR="00F32C94" w:rsidRPr="00A11125" w:rsidRDefault="00F32C94" w:rsidP="002C2B4F">
      <w:pPr>
        <w:pStyle w:val="ListParagraph"/>
        <w:numPr>
          <w:ilvl w:val="0"/>
          <w:numId w:val="14"/>
        </w:numPr>
        <w:contextualSpacing w:val="0"/>
        <w:rPr>
          <w:rFonts w:ascii="Calibri" w:hAnsi="Calibri"/>
          <w:spacing w:val="0"/>
          <w:sz w:val="22"/>
          <w:szCs w:val="22"/>
        </w:rPr>
      </w:pPr>
      <w:r w:rsidRPr="00101307">
        <w:rPr>
          <w:b/>
        </w:rPr>
        <w:t xml:space="preserve">Place-based </w:t>
      </w:r>
      <w:r w:rsidRPr="00A11125">
        <w:t>–</w:t>
      </w:r>
      <w:r w:rsidRPr="00101307">
        <w:rPr>
          <w:b/>
        </w:rPr>
        <w:t xml:space="preserve"> </w:t>
      </w:r>
      <w:r w:rsidR="002D6DF5">
        <w:t>p</w:t>
      </w:r>
      <w:r w:rsidRPr="004935FF">
        <w:t xml:space="preserve">rovides </w:t>
      </w:r>
      <w:r>
        <w:t>funding to communities experiencing disadvantage to deliver community-driven</w:t>
      </w:r>
      <w:r w:rsidR="00D3338F">
        <w:t>, collaborative</w:t>
      </w:r>
      <w:r>
        <w:t xml:space="preserve"> responses to address local problems impacting the wellbeing of children and their families. </w:t>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thinThickThinSmallGap" w:sz="24" w:space="0" w:color="500778" w:themeColor="accent1"/>
          <w:insideV w:val="thinThickThinSmallGap" w:sz="24" w:space="0" w:color="500778" w:themeColor="accent1"/>
        </w:tblBorders>
        <w:tblLook w:val="04A0" w:firstRow="1" w:lastRow="0" w:firstColumn="1" w:lastColumn="0" w:noHBand="0" w:noVBand="1"/>
        <w:tblCaption w:val="Questions: Funding Streams"/>
        <w:tblDescription w:val="What do you think about splitting funding based on needs?&#10;Do you think the three proposed streams are the best way to achieve this? Do you have a different idea for how funding could be split?&#10;If you are a service provider, would the three streams proposed above provide sufficient scope for you to provide services to families and children in the community/communities that you operate in? Why/why not?&#10;If you are a service provider, how long would it take you to adjust to a change in funding streams?&#10;"/>
      </w:tblPr>
      <w:tblGrid>
        <w:gridCol w:w="9344"/>
      </w:tblGrid>
      <w:tr w:rsidR="00A11125" w14:paraId="7D92C76B" w14:textId="77777777" w:rsidTr="00A11125">
        <w:tc>
          <w:tcPr>
            <w:tcW w:w="9344" w:type="dxa"/>
          </w:tcPr>
          <w:p w14:paraId="1A2B8EDA" w14:textId="77777777" w:rsidR="00A11125" w:rsidRPr="00A11125" w:rsidRDefault="00A11125" w:rsidP="004F0B7D">
            <w:pPr>
              <w:pStyle w:val="Pullouttext"/>
              <w:ind w:left="0"/>
              <w:contextualSpacing w:val="0"/>
              <w:rPr>
                <w:rFonts w:ascii="Arial" w:hAnsi="Arial" w:cs="Times New Roman"/>
                <w:bCs w:val="0"/>
                <w:i/>
                <w:color w:val="500778" w:themeColor="accent1"/>
                <w:spacing w:val="4"/>
                <w:szCs w:val="24"/>
              </w:rPr>
            </w:pPr>
            <w:r w:rsidRPr="00A11125">
              <w:rPr>
                <w:rFonts w:ascii="Arial" w:hAnsi="Arial" w:cs="Times New Roman"/>
                <w:bCs w:val="0"/>
                <w:i/>
                <w:color w:val="500778" w:themeColor="accent1"/>
                <w:spacing w:val="4"/>
                <w:szCs w:val="24"/>
              </w:rPr>
              <w:t>What do you think about splitting funding based on needs?</w:t>
            </w:r>
          </w:p>
          <w:p w14:paraId="4AA1FA10" w14:textId="77777777" w:rsidR="00A11125" w:rsidRDefault="00A11125" w:rsidP="004F0B7D">
            <w:pPr>
              <w:spacing w:after="120" w:line="240" w:lineRule="auto"/>
              <w:rPr>
                <w:i/>
                <w:iCs/>
                <w:color w:val="500778" w:themeColor="accent1"/>
              </w:rPr>
            </w:pPr>
            <w:r>
              <w:rPr>
                <w:i/>
                <w:iCs/>
                <w:color w:val="500778" w:themeColor="accent1"/>
              </w:rPr>
              <w:t>Do you think the three proposed streams are the best way to achieve this? Do you have a different idea for how funding could be split?</w:t>
            </w:r>
          </w:p>
          <w:p w14:paraId="37CA3944" w14:textId="775EEA2F" w:rsidR="00A11125" w:rsidRDefault="00A11125" w:rsidP="004F0B7D">
            <w:pPr>
              <w:spacing w:after="120" w:line="240" w:lineRule="auto"/>
              <w:rPr>
                <w:i/>
                <w:iCs/>
                <w:color w:val="500778" w:themeColor="accent1"/>
              </w:rPr>
            </w:pPr>
            <w:r>
              <w:rPr>
                <w:i/>
                <w:iCs/>
                <w:color w:val="500778" w:themeColor="accent1"/>
              </w:rPr>
              <w:t>If you are a service provider, would the three streams proposed above provide sufficient scope for you to provide services to families and children in the community/communities that you operate in? Why/why not?</w:t>
            </w:r>
          </w:p>
          <w:p w14:paraId="70B8D365" w14:textId="6FCFE5C3" w:rsidR="00A11125" w:rsidRPr="00A11125" w:rsidRDefault="00A11125" w:rsidP="004F0B7D">
            <w:pPr>
              <w:spacing w:after="120" w:line="240" w:lineRule="auto"/>
            </w:pPr>
            <w:r>
              <w:rPr>
                <w:i/>
                <w:iCs/>
                <w:color w:val="500778" w:themeColor="accent1"/>
              </w:rPr>
              <w:t>If you are a service provider, how long would it take you to adjust to a change in funding streams?</w:t>
            </w:r>
          </w:p>
        </w:tc>
      </w:tr>
    </w:tbl>
    <w:p w14:paraId="36DEECDA" w14:textId="5A47E17D" w:rsidR="005B51A6" w:rsidRDefault="005B51A6" w:rsidP="00A11125">
      <w:pPr>
        <w:spacing w:before="240"/>
      </w:pPr>
      <w:r>
        <w:t xml:space="preserve">The </w:t>
      </w:r>
      <w:r w:rsidR="0042130C">
        <w:t xml:space="preserve">processes </w:t>
      </w:r>
      <w:r w:rsidR="00FF79B7">
        <w:t xml:space="preserve">we use to fund providers in future </w:t>
      </w:r>
      <w:r>
        <w:t>funding rounds will be determined following this consultatio</w:t>
      </w:r>
      <w:r w:rsidR="002C2B4F">
        <w:t>n</w:t>
      </w:r>
      <w:r>
        <w:t xml:space="preserve">. </w:t>
      </w:r>
      <w:r w:rsidR="00FF79B7">
        <w:t xml:space="preserve">We will seek to fund services in a way that </w:t>
      </w:r>
      <w:r>
        <w:t>support</w:t>
      </w:r>
      <w:r w:rsidR="00FF79B7">
        <w:t>s</w:t>
      </w:r>
      <w:r>
        <w:t xml:space="preserve"> </w:t>
      </w:r>
      <w:r w:rsidR="00F838E8">
        <w:t xml:space="preserve">DSS’ </w:t>
      </w:r>
      <w:r w:rsidR="005972C1">
        <w:t>Getting</w:t>
      </w:r>
      <w:r>
        <w:t xml:space="preserve"> Better Outcomes</w:t>
      </w:r>
      <w:r w:rsidR="005972C1">
        <w:t xml:space="preserve"> policy approach</w:t>
      </w:r>
      <w:r>
        <w:t xml:space="preserve"> by selecting the most appropriate funding mechanisms for achieving the outcomes agreed. </w:t>
      </w:r>
      <w:r w:rsidR="00721E41">
        <w:t>Additionally, DSS is considering encouraging consortiums to apply for funding in order to support a coordinated and cohesive service for families and children.</w:t>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Funding Processes"/>
        <w:tblDescription w:val="If you are a service provider, what has been the easiest funding process for you to participate in? Why?&#10;If you are a service provider, what has been the most difficult funding process for you to participate in? Why?&#10;Would you support allowing consortiums to apply? If you are a service provider, what timeframe would you need to be able to apply in a consortium if you elected to?&#10;"/>
      </w:tblPr>
      <w:tblGrid>
        <w:gridCol w:w="9344"/>
      </w:tblGrid>
      <w:tr w:rsidR="004F0B7D" w14:paraId="2E0CD06E" w14:textId="77777777" w:rsidTr="004F0B7D">
        <w:tc>
          <w:tcPr>
            <w:tcW w:w="9344" w:type="dxa"/>
          </w:tcPr>
          <w:p w14:paraId="70B02178" w14:textId="77777777" w:rsidR="004F0B7D" w:rsidRPr="004F0B7D" w:rsidRDefault="004F0B7D" w:rsidP="004F0B7D">
            <w:pPr>
              <w:pStyle w:val="Pullouttext"/>
              <w:ind w:left="0"/>
              <w:contextualSpacing w:val="0"/>
              <w:rPr>
                <w:rFonts w:ascii="Arial" w:hAnsi="Arial" w:cs="Times New Roman"/>
                <w:bCs w:val="0"/>
                <w:i/>
                <w:color w:val="500778" w:themeColor="accent1"/>
                <w:spacing w:val="4"/>
                <w:szCs w:val="24"/>
              </w:rPr>
            </w:pPr>
            <w:r w:rsidRPr="004F0B7D">
              <w:rPr>
                <w:rFonts w:ascii="Arial" w:hAnsi="Arial" w:cs="Times New Roman"/>
                <w:bCs w:val="0"/>
                <w:i/>
                <w:color w:val="500778" w:themeColor="accent1"/>
                <w:spacing w:val="4"/>
                <w:szCs w:val="24"/>
              </w:rPr>
              <w:t>If you are a service provider, what has been the easiest funding process for you to participate in? Why?</w:t>
            </w:r>
          </w:p>
          <w:p w14:paraId="3BC942ED" w14:textId="77777777" w:rsidR="004F0B7D" w:rsidRPr="004F0B7D" w:rsidRDefault="004F0B7D" w:rsidP="004F0B7D">
            <w:pPr>
              <w:pStyle w:val="Pullouttext"/>
              <w:ind w:left="0"/>
              <w:contextualSpacing w:val="0"/>
              <w:rPr>
                <w:rFonts w:ascii="Arial" w:hAnsi="Arial" w:cs="Times New Roman"/>
                <w:bCs w:val="0"/>
                <w:i/>
                <w:color w:val="500778" w:themeColor="accent1"/>
                <w:spacing w:val="4"/>
                <w:szCs w:val="24"/>
              </w:rPr>
            </w:pPr>
            <w:r w:rsidRPr="004F0B7D">
              <w:rPr>
                <w:rFonts w:ascii="Arial" w:hAnsi="Arial" w:cs="Times New Roman"/>
                <w:bCs w:val="0"/>
                <w:i/>
                <w:color w:val="500778" w:themeColor="accent1"/>
                <w:spacing w:val="4"/>
                <w:szCs w:val="24"/>
              </w:rPr>
              <w:t>If you are a service provider, what has been the most difficult funding process for you to participate in? Why?</w:t>
            </w:r>
          </w:p>
          <w:p w14:paraId="1C135E13" w14:textId="54B0EF1A" w:rsidR="004F0B7D" w:rsidRDefault="004F0B7D" w:rsidP="004F0B7D">
            <w:pPr>
              <w:pStyle w:val="Pullouttext"/>
              <w:ind w:left="0"/>
              <w:contextualSpacing w:val="0"/>
            </w:pPr>
            <w:r w:rsidRPr="004F0B7D">
              <w:rPr>
                <w:rFonts w:ascii="Arial" w:hAnsi="Arial" w:cs="Times New Roman"/>
                <w:bCs w:val="0"/>
                <w:i/>
                <w:color w:val="500778" w:themeColor="accent1"/>
                <w:spacing w:val="4"/>
                <w:szCs w:val="24"/>
              </w:rPr>
              <w:t>Would you support allowing consortiums to apply? If you are a service provider, what timeframe would you need to be able to apply in a consortium if you elected to?</w:t>
            </w:r>
          </w:p>
        </w:tc>
      </w:tr>
    </w:tbl>
    <w:p w14:paraId="2AEDEDB3" w14:textId="39DA24B6" w:rsidR="00721E41" w:rsidRPr="00D6583E" w:rsidRDefault="00721E41" w:rsidP="00D6583E">
      <w:pPr>
        <w:pStyle w:val="Heading3"/>
        <w:spacing w:before="240"/>
      </w:pPr>
      <w:r w:rsidRPr="00D6583E">
        <w:t>Indigenous Grants Policy</w:t>
      </w:r>
    </w:p>
    <w:p w14:paraId="16308A95" w14:textId="279163FC" w:rsidR="002C2B4F" w:rsidRDefault="00101307" w:rsidP="00266048">
      <w:pPr>
        <w:spacing w:before="0" w:after="0" w:line="240" w:lineRule="auto"/>
      </w:pPr>
      <w:r>
        <w:t>DSS is committed to working with Aboriginal and Torres Strait Islander stakeholders to improve outcomes for their families and children. Through the future delivery of its famil</w:t>
      </w:r>
      <w:r w:rsidR="002C2B4F">
        <w:t>ies</w:t>
      </w:r>
      <w:r>
        <w:t xml:space="preserve"> and </w:t>
      </w:r>
      <w:proofErr w:type="spellStart"/>
      <w:r>
        <w:t>children</w:t>
      </w:r>
      <w:r w:rsidR="002C2B4F">
        <w:t>s</w:t>
      </w:r>
      <w:proofErr w:type="spellEnd"/>
      <w:r>
        <w:t xml:space="preserve"> </w:t>
      </w:r>
      <w:r w:rsidR="002C2B4F">
        <w:t>programs</w:t>
      </w:r>
      <w:r>
        <w:t xml:space="preserve">, </w:t>
      </w:r>
      <w:r w:rsidR="00613D4A">
        <w:t>DSS</w:t>
      </w:r>
      <w:r w:rsidR="00AE7DBB">
        <w:t xml:space="preserve"> will be trialling the implementation of the Government’s Indigenous Grants Policy</w:t>
      </w:r>
      <w:r w:rsidR="009D05F9">
        <w:t xml:space="preserve"> </w:t>
      </w:r>
      <w:r w:rsidR="00721E41">
        <w:t>(IGP)</w:t>
      </w:r>
      <w:r>
        <w:t xml:space="preserve">. </w:t>
      </w:r>
      <w:r w:rsidR="002D303E">
        <w:t>Under th</w:t>
      </w:r>
      <w:r w:rsidR="00721E41">
        <w:t>e IGP</w:t>
      </w:r>
      <w:r w:rsidR="002D303E">
        <w:t xml:space="preserve">, </w:t>
      </w:r>
      <w:r>
        <w:t xml:space="preserve">DSS will look to increase the involvement of </w:t>
      </w:r>
      <w:r w:rsidR="002D303E">
        <w:t xml:space="preserve">local Aboriginal and Torres Strait Islander organisations and individuals </w:t>
      </w:r>
      <w:r>
        <w:t xml:space="preserve">in the </w:t>
      </w:r>
      <w:r w:rsidR="002D303E">
        <w:t>deliver</w:t>
      </w:r>
      <w:r>
        <w:t>y of</w:t>
      </w:r>
      <w:r w:rsidR="002D303E">
        <w:t xml:space="preserve"> services in communities with a significant number of Aboriginal and Torres Strait Islander families and children seeking to access services. It would also encourage service providers to develop collaborative </w:t>
      </w:r>
      <w:r w:rsidR="00D3338F">
        <w:t xml:space="preserve">and </w:t>
      </w:r>
    </w:p>
    <w:p w14:paraId="07EB19C4" w14:textId="543562AA" w:rsidR="002D303E" w:rsidRDefault="00D3338F" w:rsidP="00266048">
      <w:pPr>
        <w:spacing w:before="0" w:after="0" w:line="240" w:lineRule="auto"/>
      </w:pPr>
      <w:proofErr w:type="gramStart"/>
      <w:r>
        <w:t>productive</w:t>
      </w:r>
      <w:proofErr w:type="gramEnd"/>
      <w:r>
        <w:t xml:space="preserve"> </w:t>
      </w:r>
      <w:r w:rsidR="002D303E">
        <w:t>relationships with</w:t>
      </w:r>
      <w:r w:rsidR="00101307">
        <w:t xml:space="preserve"> local</w:t>
      </w:r>
      <w:r w:rsidR="002D303E">
        <w:t xml:space="preserve"> Aboriginal and Torres Strait Islander organisations and families and children to ensure that services delivered are culturally safe and appropriate. </w:t>
      </w:r>
    </w:p>
    <w:tbl>
      <w:tblPr>
        <w:tblStyle w:val="TableGrid"/>
        <w:tblW w:w="0" w:type="auto"/>
        <w:tblBorders>
          <w:top w:val="thinThickThinSmallGap" w:sz="24" w:space="0" w:color="500778" w:themeColor="accent1"/>
          <w:bottom w:val="thinThickThinSmallGap" w:sz="24" w:space="0" w:color="500778" w:themeColor="accent1"/>
          <w:insideH w:val="none" w:sz="0" w:space="0" w:color="auto"/>
          <w:insideV w:val="none" w:sz="0" w:space="0" w:color="auto"/>
        </w:tblBorders>
        <w:tblLook w:val="04A0" w:firstRow="1" w:lastRow="0" w:firstColumn="1" w:lastColumn="0" w:noHBand="0" w:noVBand="1"/>
        <w:tblCaption w:val="Questions: Indigenous Grants Policy"/>
        <w:tblDescription w:val="If you are an Aboriginal Controlled Organisation, what support do you need (if any) to be able to be competitive in a funding process and deliver services in your communities?&#10;If you are a non-Aboriginal Controlled Organisation, what support would you need to build relationships with Aboriginal and Torres Strait Islanders in communities you service? How long would this take you?&#10;If you already supply services to Aboriginal and Torres Strait Islander communities, what strategies do you have in place to transition funding to Aboriginal Controlled Organisations? How effective are these strategies?&#10;"/>
      </w:tblPr>
      <w:tblGrid>
        <w:gridCol w:w="9344"/>
      </w:tblGrid>
      <w:tr w:rsidR="004F0B7D" w14:paraId="4CDB7AAF" w14:textId="77777777" w:rsidTr="00A200C0">
        <w:trPr>
          <w:cantSplit/>
        </w:trPr>
        <w:tc>
          <w:tcPr>
            <w:tcW w:w="9344" w:type="dxa"/>
            <w:tcBorders>
              <w:top w:val="thinThickThinSmallGap" w:sz="24" w:space="0" w:color="500778" w:themeColor="accent1"/>
              <w:left w:val="nil"/>
              <w:bottom w:val="thinThickThinSmallGap" w:sz="24" w:space="0" w:color="500778" w:themeColor="accent1"/>
              <w:right w:val="nil"/>
            </w:tcBorders>
          </w:tcPr>
          <w:p w14:paraId="45B46101" w14:textId="5E652E0E" w:rsidR="004F0B7D" w:rsidRDefault="004F0B7D" w:rsidP="004F0B7D">
            <w:pPr>
              <w:spacing w:before="240"/>
              <w:rPr>
                <w:i/>
                <w:iCs/>
                <w:color w:val="500778" w:themeColor="accent1"/>
              </w:rPr>
            </w:pPr>
            <w:r>
              <w:rPr>
                <w:i/>
                <w:iCs/>
                <w:color w:val="500778" w:themeColor="accent1"/>
              </w:rPr>
              <w:t xml:space="preserve">If you are an Aboriginal </w:t>
            </w:r>
            <w:r w:rsidR="00B436DB">
              <w:rPr>
                <w:i/>
                <w:iCs/>
                <w:color w:val="500778" w:themeColor="accent1"/>
              </w:rPr>
              <w:t xml:space="preserve">Community </w:t>
            </w:r>
            <w:r>
              <w:rPr>
                <w:i/>
                <w:iCs/>
                <w:color w:val="500778" w:themeColor="accent1"/>
              </w:rPr>
              <w:t>Controlled Organisation, what support do you need (if any) to be able to be competitive in a funding process and deliver services in your communities?</w:t>
            </w:r>
          </w:p>
          <w:p w14:paraId="58FBCDBC" w14:textId="3B06E660" w:rsidR="004F0B7D" w:rsidRDefault="004F0B7D" w:rsidP="004F0B7D">
            <w:pPr>
              <w:spacing w:before="240"/>
              <w:rPr>
                <w:i/>
                <w:iCs/>
                <w:color w:val="500778" w:themeColor="accent1"/>
              </w:rPr>
            </w:pPr>
            <w:r>
              <w:rPr>
                <w:i/>
                <w:iCs/>
                <w:color w:val="500778" w:themeColor="accent1"/>
              </w:rPr>
              <w:t>If you are a non-Aboriginal</w:t>
            </w:r>
            <w:r w:rsidR="00B436DB">
              <w:rPr>
                <w:i/>
                <w:iCs/>
                <w:color w:val="500778" w:themeColor="accent1"/>
              </w:rPr>
              <w:t xml:space="preserve"> Community</w:t>
            </w:r>
            <w:r>
              <w:rPr>
                <w:i/>
                <w:iCs/>
                <w:color w:val="500778" w:themeColor="accent1"/>
              </w:rPr>
              <w:t xml:space="preserve"> Controlled Organisation, what support would you need to build relationships with Aboriginal and Torres Strait Islanders in communities you service? How long would this take you?</w:t>
            </w:r>
          </w:p>
          <w:p w14:paraId="29AC2A32" w14:textId="406878B4" w:rsidR="004F0B7D" w:rsidRDefault="004F0B7D" w:rsidP="004F0B7D">
            <w:pPr>
              <w:spacing w:before="240"/>
            </w:pPr>
            <w:r>
              <w:rPr>
                <w:i/>
                <w:iCs/>
                <w:color w:val="500778" w:themeColor="accent1"/>
              </w:rPr>
              <w:t xml:space="preserve">If you already supply services to Aboriginal and Torres Strait Islander communities, what strategies do you have in place to transition funding to Aboriginal </w:t>
            </w:r>
            <w:r w:rsidR="00B436DB">
              <w:rPr>
                <w:i/>
                <w:iCs/>
                <w:color w:val="500778" w:themeColor="accent1"/>
              </w:rPr>
              <w:t xml:space="preserve">Community </w:t>
            </w:r>
            <w:r>
              <w:rPr>
                <w:i/>
                <w:iCs/>
                <w:color w:val="500778" w:themeColor="accent1"/>
              </w:rPr>
              <w:t>Controlled Organisations? How effective are these strategies?</w:t>
            </w:r>
          </w:p>
        </w:tc>
      </w:tr>
    </w:tbl>
    <w:p w14:paraId="7DDFFF3F" w14:textId="3D28E243" w:rsidR="00CB53A4" w:rsidRPr="00A06450" w:rsidRDefault="00721E41" w:rsidP="004F0B7D">
      <w:pPr>
        <w:pStyle w:val="Heading1"/>
      </w:pPr>
      <w:r w:rsidRPr="00A06450">
        <w:t xml:space="preserve">Principle 2: </w:t>
      </w:r>
      <w:r w:rsidR="002D303E" w:rsidRPr="00A06450">
        <w:t>Targeted</w:t>
      </w:r>
      <w:r w:rsidRPr="00A06450">
        <w:t xml:space="preserve"> Service Delivery</w:t>
      </w:r>
    </w:p>
    <w:p w14:paraId="69468F1E" w14:textId="05187CDE" w:rsidR="00721E41" w:rsidRDefault="00721E41" w:rsidP="005972C1">
      <w:pPr>
        <w:pStyle w:val="Heading2"/>
      </w:pPr>
      <w:r>
        <w:t>Cohorts</w:t>
      </w:r>
    </w:p>
    <w:p w14:paraId="16905DB5" w14:textId="58634BA6" w:rsidR="00840848" w:rsidRDefault="00C83676" w:rsidP="00C83676">
      <w:r>
        <w:t xml:space="preserve">Across Australia there are groups of families and children that are at risk of experiencing poorer outcomes than other families and children. </w:t>
      </w:r>
      <w:r w:rsidR="00840848">
        <w:t>Examples include children and families experiencing domestic violence,</w:t>
      </w:r>
      <w:r w:rsidR="00EA76E2">
        <w:t xml:space="preserve"> </w:t>
      </w:r>
      <w:r w:rsidR="00840848">
        <w:t>child abuse</w:t>
      </w:r>
      <w:r w:rsidR="00477CBE">
        <w:t xml:space="preserve"> or neglect</w:t>
      </w:r>
      <w:r w:rsidR="00840848">
        <w:t xml:space="preserve">, alcohol and drug abuse, </w:t>
      </w:r>
      <w:r w:rsidR="006562A5">
        <w:t xml:space="preserve">separation, </w:t>
      </w:r>
      <w:r w:rsidR="00840848">
        <w:t xml:space="preserve">homelessness and financial disadvantage. </w:t>
      </w:r>
      <w:r w:rsidR="00477CBE">
        <w:t xml:space="preserve">Families and children who are </w:t>
      </w:r>
      <w:r w:rsidR="00840848">
        <w:t>Aboriginal and Torres Strait Islander</w:t>
      </w:r>
      <w:r w:rsidR="00EA76E2">
        <w:t xml:space="preserve"> or</w:t>
      </w:r>
      <w:r w:rsidR="00840848">
        <w:t xml:space="preserve"> from Culturally and Linguistically Diverse</w:t>
      </w:r>
      <w:r w:rsidR="00EA76E2">
        <w:t xml:space="preserve"> backgrounds</w:t>
      </w:r>
      <w:r w:rsidR="009039FF">
        <w:t>,</w:t>
      </w:r>
      <w:r w:rsidR="00EA76E2">
        <w:t xml:space="preserve"> or </w:t>
      </w:r>
      <w:r w:rsidR="0042130C">
        <w:t>have disability</w:t>
      </w:r>
      <w:r w:rsidR="009039FF">
        <w:t xml:space="preserve"> or carer responsibilities</w:t>
      </w:r>
      <w:r w:rsidR="00477CBE">
        <w:t xml:space="preserve"> </w:t>
      </w:r>
      <w:r w:rsidR="005A2EFB">
        <w:t xml:space="preserve">are </w:t>
      </w:r>
      <w:r w:rsidR="00840848">
        <w:t xml:space="preserve">also </w:t>
      </w:r>
      <w:r w:rsidR="005A2EFB">
        <w:t xml:space="preserve">at risk of </w:t>
      </w:r>
      <w:r w:rsidR="00840848">
        <w:t>experienc</w:t>
      </w:r>
      <w:r w:rsidR="005A2EFB">
        <w:t>ing</w:t>
      </w:r>
      <w:r w:rsidR="00840848">
        <w:t xml:space="preserve"> poorer outcomes and difficulty in accessing appropriate services. </w:t>
      </w:r>
    </w:p>
    <w:p w14:paraId="45495D13" w14:textId="728BCD39" w:rsidR="00840848" w:rsidRDefault="00840848" w:rsidP="00C83676">
      <w:r>
        <w:t xml:space="preserve">DSS is </w:t>
      </w:r>
      <w:r w:rsidR="00721E41">
        <w:t>considering</w:t>
      </w:r>
      <w:r w:rsidR="00201DE9">
        <w:t xml:space="preserve"> how we could</w:t>
      </w:r>
      <w:r w:rsidR="00721E41">
        <w:t xml:space="preserve"> </w:t>
      </w:r>
      <w:r>
        <w:t xml:space="preserve">implement a new access strategy that </w:t>
      </w:r>
      <w:r w:rsidR="009039FF">
        <w:t>prioritises</w:t>
      </w:r>
      <w:r w:rsidR="00201DE9">
        <w:t xml:space="preserve"> access to </w:t>
      </w:r>
      <w:r>
        <w:t>families and children</w:t>
      </w:r>
      <w:r w:rsidR="00201DE9">
        <w:t xml:space="preserve"> </w:t>
      </w:r>
      <w:r w:rsidR="00262A5A">
        <w:t xml:space="preserve">who are </w:t>
      </w:r>
      <w:r w:rsidR="00201DE9">
        <w:t>at increased risk of poorer outcomes</w:t>
      </w:r>
      <w:r>
        <w:t xml:space="preserve">. </w:t>
      </w:r>
      <w:r w:rsidR="00721E41">
        <w:t xml:space="preserve">However, DSS recognises that every community will be different and wants to ensure flexibility. </w:t>
      </w:r>
      <w:r>
        <w:t>Under the new access strategy</w:t>
      </w:r>
      <w:r w:rsidR="00A029D0">
        <w:t>,</w:t>
      </w:r>
      <w:r>
        <w:t xml:space="preserve"> service providers may be required to develop service and outcome targets for at-risk families and children in their community. Targets would be measured through existing data reporting and/or in performance discussions with the relevant </w:t>
      </w:r>
      <w:r w:rsidR="00262A5A">
        <w:t>F</w:t>
      </w:r>
      <w:r w:rsidR="00477CBE">
        <w:t xml:space="preserve">unding </w:t>
      </w:r>
      <w:r w:rsidR="00262A5A">
        <w:t>A</w:t>
      </w:r>
      <w:r w:rsidR="00477CBE">
        <w:t>rrangement</w:t>
      </w:r>
      <w:r>
        <w:t xml:space="preserve"> </w:t>
      </w:r>
      <w:r w:rsidR="00262A5A">
        <w:t>M</w:t>
      </w:r>
      <w:r>
        <w:t>a</w:t>
      </w:r>
      <w:r w:rsidR="003904C3">
        <w:t>nager. The</w:t>
      </w:r>
      <w:r w:rsidR="00262A5A">
        <w:t> </w:t>
      </w:r>
      <w:r w:rsidR="003904C3">
        <w:t>ability to appropriately service clients</w:t>
      </w:r>
      <w:r w:rsidR="00262A5A">
        <w:t xml:space="preserve"> who are at increased risk of poorer outcomes</w:t>
      </w:r>
      <w:r w:rsidR="003904C3">
        <w:t xml:space="preserve"> may be sought in the assessment of grant applications. </w:t>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Targeted: Cohorts "/>
        <w:tblDescription w:val="Which clients should priority be given to? (Select up to three cohorts)&#10;How could we improve access to our services and improve outcomes for these clients?&#10;If you are a service provider, how long would it take you to develop the partnerships, approaches and service delivery mechanisms needed to service these clients?&#10;"/>
      </w:tblPr>
      <w:tblGrid>
        <w:gridCol w:w="9344"/>
      </w:tblGrid>
      <w:tr w:rsidR="004F0B7D" w14:paraId="741A399B" w14:textId="77777777" w:rsidTr="004F0B7D">
        <w:tc>
          <w:tcPr>
            <w:tcW w:w="9344" w:type="dxa"/>
          </w:tcPr>
          <w:p w14:paraId="3F9F661A" w14:textId="77777777" w:rsidR="004F0B7D" w:rsidRDefault="004F0B7D" w:rsidP="004F0B7D">
            <w:pPr>
              <w:spacing w:after="120" w:line="240" w:lineRule="auto"/>
              <w:rPr>
                <w:i/>
                <w:iCs/>
                <w:color w:val="500778" w:themeColor="accent1"/>
              </w:rPr>
            </w:pPr>
            <w:r>
              <w:rPr>
                <w:i/>
                <w:iCs/>
                <w:color w:val="500778" w:themeColor="accent1"/>
              </w:rPr>
              <w:t>Which clients should priority be given to? (Select up to three cohorts)</w:t>
            </w:r>
          </w:p>
          <w:p w14:paraId="1F94085A" w14:textId="77777777" w:rsidR="004F0B7D" w:rsidRDefault="004F0B7D" w:rsidP="004F0B7D">
            <w:pPr>
              <w:spacing w:after="120" w:line="240" w:lineRule="auto"/>
              <w:rPr>
                <w:i/>
                <w:iCs/>
                <w:color w:val="500778" w:themeColor="accent1"/>
              </w:rPr>
            </w:pPr>
            <w:r>
              <w:rPr>
                <w:i/>
                <w:iCs/>
                <w:color w:val="500778" w:themeColor="accent1"/>
              </w:rPr>
              <w:t>How could we improve access to our services and improve outcomes for these clients?</w:t>
            </w:r>
          </w:p>
          <w:p w14:paraId="6B31E48F" w14:textId="1D2EE2A5" w:rsidR="004F0B7D" w:rsidRDefault="004F0B7D" w:rsidP="004F0B7D">
            <w:pPr>
              <w:spacing w:after="120" w:line="240" w:lineRule="auto"/>
            </w:pPr>
            <w:r>
              <w:rPr>
                <w:i/>
                <w:iCs/>
                <w:color w:val="500778" w:themeColor="accent1"/>
              </w:rPr>
              <w:t>If you are a service provider, how long would it take you to develop the partnerships, approaches and service delivery mechanisms needed to service these clients?</w:t>
            </w:r>
          </w:p>
        </w:tc>
      </w:tr>
    </w:tbl>
    <w:p w14:paraId="2C49EE36" w14:textId="77777777" w:rsidR="004F0B7D" w:rsidRDefault="004F0B7D" w:rsidP="00C83676"/>
    <w:p w14:paraId="1722F577" w14:textId="77777777" w:rsidR="004F0B7D" w:rsidRDefault="004F0B7D">
      <w:pPr>
        <w:spacing w:before="0" w:after="200" w:line="276" w:lineRule="auto"/>
        <w:rPr>
          <w:rFonts w:ascii="Georgia" w:eastAsiaTheme="majorEastAsia" w:hAnsi="Georgia" w:cstheme="majorBidi"/>
          <w:bCs/>
          <w:color w:val="500778"/>
          <w:sz w:val="32"/>
          <w:szCs w:val="26"/>
        </w:rPr>
      </w:pPr>
      <w:r>
        <w:br w:type="page"/>
      </w:r>
    </w:p>
    <w:p w14:paraId="167F6860" w14:textId="02E1450F" w:rsidR="00721E41" w:rsidRDefault="00721E41" w:rsidP="006D7C95">
      <w:pPr>
        <w:pStyle w:val="Heading2"/>
      </w:pPr>
      <w:r>
        <w:t>Locations</w:t>
      </w:r>
    </w:p>
    <w:p w14:paraId="56348575" w14:textId="7F4355BE" w:rsidR="002D303E" w:rsidRDefault="00184927" w:rsidP="002D303E">
      <w:pPr>
        <w:rPr>
          <w:rFonts w:eastAsiaTheme="majorEastAsia"/>
        </w:rPr>
      </w:pPr>
      <w:r>
        <w:rPr>
          <w:rFonts w:eastAsiaTheme="majorEastAsia"/>
        </w:rPr>
        <w:t xml:space="preserve">The outcomes sought for families and children can be negatively impacted by the location they live in. Children living in disadvantaged neighbourhoods are more likely to be developmentally vulnerable than other children. Despite </w:t>
      </w:r>
      <w:r w:rsidR="000800AC">
        <w:rPr>
          <w:rFonts w:eastAsiaTheme="majorEastAsia"/>
        </w:rPr>
        <w:t xml:space="preserve">significant </w:t>
      </w:r>
      <w:r>
        <w:rPr>
          <w:rFonts w:eastAsiaTheme="majorEastAsia"/>
        </w:rPr>
        <w:t>effort from all levels of government, service</w:t>
      </w:r>
      <w:r w:rsidR="00262A5A">
        <w:rPr>
          <w:rFonts w:eastAsiaTheme="majorEastAsia"/>
        </w:rPr>
        <w:t xml:space="preserve"> providers</w:t>
      </w:r>
      <w:r>
        <w:rPr>
          <w:rFonts w:eastAsiaTheme="majorEastAsia"/>
        </w:rPr>
        <w:t xml:space="preserve"> and communit</w:t>
      </w:r>
      <w:r w:rsidR="00262A5A">
        <w:rPr>
          <w:rFonts w:eastAsiaTheme="majorEastAsia"/>
        </w:rPr>
        <w:t>ies,</w:t>
      </w:r>
      <w:r>
        <w:rPr>
          <w:rFonts w:eastAsiaTheme="majorEastAsia"/>
        </w:rPr>
        <w:t xml:space="preserve"> many locations remain disadvantaged. </w:t>
      </w:r>
    </w:p>
    <w:p w14:paraId="7A47FD7C" w14:textId="70C53D53" w:rsidR="00184927" w:rsidRDefault="00184927" w:rsidP="002D303E">
      <w:pPr>
        <w:rPr>
          <w:rFonts w:eastAsiaTheme="majorEastAsia"/>
        </w:rPr>
      </w:pPr>
      <w:r>
        <w:rPr>
          <w:rFonts w:eastAsiaTheme="majorEastAsia"/>
        </w:rPr>
        <w:t xml:space="preserve">The proposed place-based funding stream is designed to bring a collective and systematic approach to </w:t>
      </w:r>
      <w:r w:rsidR="004D4C9A">
        <w:rPr>
          <w:rFonts w:eastAsiaTheme="majorEastAsia"/>
        </w:rPr>
        <w:t xml:space="preserve">tackling locational disadvantage </w:t>
      </w:r>
      <w:r>
        <w:rPr>
          <w:rFonts w:eastAsiaTheme="majorEastAsia"/>
        </w:rPr>
        <w:t>in order to improve outcomes for families and children. However, it requires local leadership</w:t>
      </w:r>
      <w:r w:rsidR="004D4C9A">
        <w:rPr>
          <w:rFonts w:eastAsiaTheme="majorEastAsia"/>
        </w:rPr>
        <w:t xml:space="preserve">, </w:t>
      </w:r>
      <w:r>
        <w:rPr>
          <w:rFonts w:eastAsiaTheme="majorEastAsia"/>
        </w:rPr>
        <w:t>collaborative arrangements</w:t>
      </w:r>
      <w:r w:rsidR="00497BCF">
        <w:rPr>
          <w:rFonts w:eastAsiaTheme="majorEastAsia"/>
        </w:rPr>
        <w:t xml:space="preserve"> </w:t>
      </w:r>
      <w:r w:rsidR="004D4C9A">
        <w:rPr>
          <w:rFonts w:eastAsiaTheme="majorEastAsia"/>
        </w:rPr>
        <w:t xml:space="preserve">and a community appetite for change. Place-based approaches will be </w:t>
      </w:r>
      <w:r w:rsidR="00497BCF">
        <w:rPr>
          <w:rFonts w:eastAsiaTheme="majorEastAsia"/>
        </w:rPr>
        <w:t>informed by</w:t>
      </w:r>
      <w:r w:rsidR="004D4C9A">
        <w:rPr>
          <w:rFonts w:eastAsiaTheme="majorEastAsia"/>
        </w:rPr>
        <w:t xml:space="preserve"> both</w:t>
      </w:r>
      <w:r w:rsidR="00497BCF">
        <w:rPr>
          <w:rFonts w:eastAsiaTheme="majorEastAsia"/>
        </w:rPr>
        <w:t xml:space="preserve"> evidence and </w:t>
      </w:r>
      <w:r w:rsidR="004D4C9A">
        <w:rPr>
          <w:rFonts w:eastAsiaTheme="majorEastAsia"/>
        </w:rPr>
        <w:t xml:space="preserve">the </w:t>
      </w:r>
      <w:r w:rsidR="00497BCF">
        <w:rPr>
          <w:rFonts w:eastAsiaTheme="majorEastAsia"/>
        </w:rPr>
        <w:t>needs</w:t>
      </w:r>
      <w:r w:rsidR="004D4C9A">
        <w:rPr>
          <w:rFonts w:eastAsiaTheme="majorEastAsia"/>
        </w:rPr>
        <w:t xml:space="preserve"> of local families and children</w:t>
      </w:r>
      <w:r>
        <w:rPr>
          <w:rFonts w:eastAsiaTheme="majorEastAsia"/>
        </w:rPr>
        <w:t xml:space="preserve">. </w:t>
      </w:r>
    </w:p>
    <w:tbl>
      <w:tblPr>
        <w:tblStyle w:val="TableGrid"/>
        <w:tblW w:w="5000" w:type="pct"/>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Targeted: Locations "/>
        <w:tblDescription w:val="What, besides disadvantage, should we consider in identifying possible locations for a place-based approach?&#10;Are there any communities that you think are ready for a place-based approach? Why? Select up to three.&#10;"/>
      </w:tblPr>
      <w:tblGrid>
        <w:gridCol w:w="9354"/>
      </w:tblGrid>
      <w:tr w:rsidR="004F0B7D" w14:paraId="0B369498" w14:textId="77777777" w:rsidTr="00266048">
        <w:tc>
          <w:tcPr>
            <w:tcW w:w="5000" w:type="pct"/>
          </w:tcPr>
          <w:p w14:paraId="6A43A113" w14:textId="77777777" w:rsidR="004F0B7D" w:rsidRDefault="004F0B7D" w:rsidP="00266048">
            <w:pPr>
              <w:spacing w:after="120" w:line="240" w:lineRule="auto"/>
              <w:rPr>
                <w:i/>
                <w:iCs/>
                <w:color w:val="500778" w:themeColor="accent1"/>
              </w:rPr>
            </w:pPr>
            <w:r>
              <w:rPr>
                <w:i/>
                <w:iCs/>
                <w:color w:val="500778" w:themeColor="accent1"/>
              </w:rPr>
              <w:t>What, besides disadvantage, should we consider in identifying possible locations for a place-based approach?</w:t>
            </w:r>
          </w:p>
          <w:p w14:paraId="3B1E0F1D" w14:textId="52AB45E3" w:rsidR="004F0B7D" w:rsidRDefault="004F0B7D" w:rsidP="00266048">
            <w:pPr>
              <w:spacing w:after="120" w:line="240" w:lineRule="auto"/>
              <w:rPr>
                <w:rFonts w:eastAsiaTheme="majorEastAsia"/>
              </w:rPr>
            </w:pPr>
            <w:r>
              <w:rPr>
                <w:i/>
                <w:iCs/>
                <w:color w:val="500778" w:themeColor="accent1"/>
              </w:rPr>
              <w:t>Are there any communities that you think are ready for a place-based approach? Why? Select up to three.</w:t>
            </w:r>
          </w:p>
        </w:tc>
      </w:tr>
    </w:tbl>
    <w:p w14:paraId="7B9300F9" w14:textId="592C75A8" w:rsidR="00184927" w:rsidRDefault="000F68B3" w:rsidP="00184927">
      <w:pPr>
        <w:pStyle w:val="Heading1"/>
      </w:pPr>
      <w:r>
        <w:t xml:space="preserve">Principle 3: </w:t>
      </w:r>
      <w:r w:rsidR="00184927">
        <w:t>Data and Evidence Driven</w:t>
      </w:r>
    </w:p>
    <w:p w14:paraId="0880C5C8" w14:textId="532E92C5" w:rsidR="00E44630" w:rsidRDefault="00E44630" w:rsidP="00266048">
      <w:pPr>
        <w:pStyle w:val="Heading2"/>
      </w:pPr>
      <w:r>
        <w:t>Evidence Informed Programs</w:t>
      </w:r>
    </w:p>
    <w:p w14:paraId="04FA3C11" w14:textId="0488A078" w:rsidR="00E44630" w:rsidRDefault="00E44630" w:rsidP="00E44630">
      <w:pPr>
        <w:rPr>
          <w:rFonts w:eastAsiaTheme="majorEastAsia"/>
        </w:rPr>
      </w:pPr>
      <w:r>
        <w:rPr>
          <w:rFonts w:eastAsiaTheme="majorEastAsia"/>
        </w:rPr>
        <w:t xml:space="preserve">There is increasing interest in ensuring that programs are based on evidence of what works to improve outcomes for families and children in Australia. DSS will be asking organisations to demonstrate that their services are supported by evidence when applying for future funding. There is significant debate occurring in the sector about what evidence ‘means’ in a service delivery context. For Communities for Children Facilitating Partners, DSS has mandated particular evidence requirements but we are keen to hear feedback about how evidence is best used moving forward. </w:t>
      </w:r>
    </w:p>
    <w:p w14:paraId="2021DC92" w14:textId="77777777" w:rsidR="00E44630" w:rsidRDefault="00E44630" w:rsidP="00266048">
      <w:pPr>
        <w:spacing w:before="0" w:after="200" w:line="276" w:lineRule="auto"/>
        <w:rPr>
          <w:rFonts w:eastAsiaTheme="majorEastAsia"/>
        </w:rPr>
      </w:pPr>
      <w:r>
        <w:rPr>
          <w:rFonts w:eastAsiaTheme="majorEastAsia"/>
        </w:rPr>
        <w:t>This could include some or all of the following elements:</w:t>
      </w:r>
    </w:p>
    <w:p w14:paraId="4E179D5D" w14:textId="77777777" w:rsidR="00E44630" w:rsidRDefault="00E44630" w:rsidP="00E44630">
      <w:pPr>
        <w:pStyle w:val="ListParagraph"/>
        <w:numPr>
          <w:ilvl w:val="0"/>
          <w:numId w:val="20"/>
        </w:numPr>
        <w:rPr>
          <w:rFonts w:eastAsiaTheme="majorEastAsia"/>
        </w:rPr>
      </w:pPr>
      <w:r>
        <w:rPr>
          <w:rFonts w:eastAsiaTheme="majorEastAsia"/>
        </w:rPr>
        <w:t>providing a program logic or theory of change for how a service will improve the outcomes agreed upon for families and children, and/or</w:t>
      </w:r>
    </w:p>
    <w:p w14:paraId="7AFCC7D5" w14:textId="7947CE49" w:rsidR="00E44630" w:rsidRDefault="00E44630" w:rsidP="00E44630">
      <w:pPr>
        <w:pStyle w:val="ListParagraph"/>
        <w:numPr>
          <w:ilvl w:val="0"/>
          <w:numId w:val="20"/>
        </w:numPr>
        <w:rPr>
          <w:rFonts w:eastAsiaTheme="majorEastAsia"/>
        </w:rPr>
      </w:pPr>
      <w:r>
        <w:rPr>
          <w:rFonts w:eastAsiaTheme="majorEastAsia"/>
        </w:rPr>
        <w:t>delivering an “off-the-shelf” evidence-based program that has been rigorously evaluated previously; and/or</w:t>
      </w:r>
    </w:p>
    <w:p w14:paraId="4E8B286B" w14:textId="77777777" w:rsidR="00E44630" w:rsidRDefault="00E44630" w:rsidP="00E44630">
      <w:pPr>
        <w:pStyle w:val="ListParagraph"/>
        <w:numPr>
          <w:ilvl w:val="0"/>
          <w:numId w:val="20"/>
        </w:numPr>
        <w:rPr>
          <w:rFonts w:eastAsiaTheme="majorEastAsia"/>
        </w:rPr>
      </w:pPr>
      <w:r>
        <w:rPr>
          <w:rFonts w:eastAsiaTheme="majorEastAsia"/>
        </w:rPr>
        <w:t>providing other relevant evidence such as academic literature, evaluations or key data sources, and/or</w:t>
      </w:r>
    </w:p>
    <w:p w14:paraId="4B9A7C65" w14:textId="444911F4" w:rsidR="00266048" w:rsidRDefault="00E44630" w:rsidP="00E44630">
      <w:pPr>
        <w:pStyle w:val="ListParagraph"/>
        <w:numPr>
          <w:ilvl w:val="0"/>
          <w:numId w:val="20"/>
        </w:numPr>
        <w:rPr>
          <w:rFonts w:eastAsiaTheme="majorEastAsia"/>
        </w:rPr>
      </w:pPr>
      <w:proofErr w:type="gramStart"/>
      <w:r>
        <w:rPr>
          <w:rFonts w:eastAsiaTheme="majorEastAsia"/>
        </w:rPr>
        <w:t>demonstrating</w:t>
      </w:r>
      <w:proofErr w:type="gramEnd"/>
      <w:r>
        <w:rPr>
          <w:rFonts w:eastAsiaTheme="majorEastAsia"/>
        </w:rPr>
        <w:t xml:space="preserve"> an understanding of the clients and/or communities experience and needs using data and evidence and how this service will assist them. </w:t>
      </w:r>
    </w:p>
    <w:tbl>
      <w:tblPr>
        <w:tblStyle w:val="TableGrid"/>
        <w:tblW w:w="5000" w:type="pct"/>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Evidence Informed Programs"/>
        <w:tblDescription w:val="What do you think is the minimum evidence that should be supplied to demonstrate that a service is supported by evidence while still enabling innovation?&#10;If you are a service provider, how do you know that the program you are delivering is making a positive impact on outcomes for family/children?&#10;If you are a service provider, would you be able to demonstrate that your services are supported by evidence? How long would it take for you to demonstrate this?&#10;"/>
      </w:tblPr>
      <w:tblGrid>
        <w:gridCol w:w="9354"/>
      </w:tblGrid>
      <w:tr w:rsidR="00266048" w14:paraId="0E007262" w14:textId="77777777" w:rsidTr="00D6583E">
        <w:trPr>
          <w:cantSplit/>
        </w:trPr>
        <w:tc>
          <w:tcPr>
            <w:tcW w:w="5000" w:type="pct"/>
          </w:tcPr>
          <w:p w14:paraId="0BBE3A78" w14:textId="77777777" w:rsidR="00266048" w:rsidRDefault="00266048" w:rsidP="00266048">
            <w:pPr>
              <w:spacing w:after="120" w:line="240" w:lineRule="auto"/>
              <w:rPr>
                <w:i/>
                <w:iCs/>
                <w:color w:val="500778" w:themeColor="accent1"/>
              </w:rPr>
            </w:pPr>
            <w:r>
              <w:rPr>
                <w:i/>
                <w:iCs/>
                <w:color w:val="500778" w:themeColor="accent1"/>
              </w:rPr>
              <w:t>What do you think is the minimum evidence that should be supplied to demonstrate that a service is supported by evidence while still enabling innovation?</w:t>
            </w:r>
          </w:p>
          <w:p w14:paraId="163D430A" w14:textId="1A21BFD0" w:rsidR="00266048" w:rsidRDefault="00266048" w:rsidP="00266048">
            <w:pPr>
              <w:spacing w:after="120" w:line="240" w:lineRule="auto"/>
              <w:rPr>
                <w:i/>
                <w:iCs/>
                <w:color w:val="500778" w:themeColor="accent1"/>
              </w:rPr>
            </w:pPr>
            <w:r>
              <w:rPr>
                <w:i/>
                <w:iCs/>
                <w:color w:val="500778" w:themeColor="accent1"/>
              </w:rPr>
              <w:t>If you are a service provider, how do you know that the program you are delivering is making a positive impact on outcomes for family/children?</w:t>
            </w:r>
          </w:p>
          <w:p w14:paraId="4187B390" w14:textId="349C43F5" w:rsidR="00266048" w:rsidRDefault="00266048" w:rsidP="00266048">
            <w:pPr>
              <w:spacing w:after="120" w:line="240" w:lineRule="auto"/>
              <w:rPr>
                <w:rFonts w:eastAsiaTheme="majorEastAsia"/>
              </w:rPr>
            </w:pPr>
            <w:r>
              <w:rPr>
                <w:i/>
                <w:iCs/>
                <w:color w:val="500778" w:themeColor="accent1"/>
              </w:rPr>
              <w:t>If you are a service provider, would you be able to demonstrate that your services are supported by evidence? How long would it take for you to demonstrate this?</w:t>
            </w:r>
          </w:p>
        </w:tc>
      </w:tr>
    </w:tbl>
    <w:p w14:paraId="393D2FA3" w14:textId="1C0DA751" w:rsidR="00E44630" w:rsidRDefault="00E44630" w:rsidP="00D6583E">
      <w:pPr>
        <w:pStyle w:val="Heading2"/>
      </w:pPr>
      <w:r>
        <w:t>Measuring Outcomes</w:t>
      </w:r>
    </w:p>
    <w:p w14:paraId="32538545" w14:textId="265F834F" w:rsidR="00A12E7C" w:rsidRDefault="00A12E7C" w:rsidP="00A12E7C">
      <w:r>
        <w:t>Measuring outcomes is important as it can help government and the sector better understand what is working for who, where and why. DSS understands that in order to measure progress towards these outcomes both short-term and long-term indicators need to be developed. These indicators can’t be developed until there is agreement to the outcomes that are being sought for families and children across Australia. As such, we do not propose any specific indicators in this discussion paper but would like to ask some questions about a proposed approach to developing the indicators.</w:t>
      </w:r>
    </w:p>
    <w:p w14:paraId="492C7265" w14:textId="08AEBFE9" w:rsidR="00A12E7C" w:rsidRDefault="00A12E7C" w:rsidP="00A12E7C">
      <w:r>
        <w:t xml:space="preserve">DSS acknowledges that success will look different for communities and families across Australia. Standard and comparable indicators would be beneficial in determining what is working at improving outcomes for families and children universally. However, this may not fully encompass the complexity or current challenges experienced by some families and children in different communities. </w:t>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Measuring Outcomes"/>
        <w:tblDescription w:val="What does success look like for families and children in your community and/or service? How do you measure this? What changes do you expect to see in the short, medium and long term?&#10;Should there be consistent indicators and measures across Australia or should there be consistent indicators with different measures for different communities? Why?&#10;"/>
      </w:tblPr>
      <w:tblGrid>
        <w:gridCol w:w="9344"/>
      </w:tblGrid>
      <w:tr w:rsidR="00266048" w14:paraId="6DF44D32" w14:textId="77777777" w:rsidTr="00266048">
        <w:tc>
          <w:tcPr>
            <w:tcW w:w="9344" w:type="dxa"/>
          </w:tcPr>
          <w:p w14:paraId="6BF27442" w14:textId="77777777" w:rsidR="00266048" w:rsidRDefault="00266048" w:rsidP="00266048">
            <w:pPr>
              <w:spacing w:after="120" w:line="240" w:lineRule="auto"/>
              <w:rPr>
                <w:i/>
                <w:iCs/>
                <w:color w:val="500778" w:themeColor="accent1"/>
              </w:rPr>
            </w:pPr>
            <w:r>
              <w:rPr>
                <w:i/>
                <w:iCs/>
                <w:color w:val="500778" w:themeColor="accent1"/>
              </w:rPr>
              <w:t>What does success look like for families and children in your community and/or service? How do you measure this? What changes do you expect to see in the short, medium and long term?</w:t>
            </w:r>
          </w:p>
          <w:p w14:paraId="7D0CC526" w14:textId="498D32CF" w:rsidR="00266048" w:rsidRDefault="00266048" w:rsidP="00266048">
            <w:pPr>
              <w:spacing w:after="120" w:line="240" w:lineRule="auto"/>
            </w:pPr>
            <w:r>
              <w:rPr>
                <w:i/>
                <w:iCs/>
                <w:color w:val="500778" w:themeColor="accent1"/>
              </w:rPr>
              <w:t>Should there be consistent indicators and measures across Australia or should there be consistent indicators with different measures for different communities? Why?</w:t>
            </w:r>
          </w:p>
        </w:tc>
      </w:tr>
    </w:tbl>
    <w:p w14:paraId="3A7F2A97" w14:textId="5FE11F85" w:rsidR="00842504" w:rsidRDefault="00AC349D" w:rsidP="00266048">
      <w:pPr>
        <w:spacing w:after="120" w:line="240" w:lineRule="auto"/>
        <w:rPr>
          <w:rFonts w:eastAsiaTheme="majorEastAsia"/>
        </w:rPr>
      </w:pPr>
      <w:r>
        <w:rPr>
          <w:rFonts w:eastAsiaTheme="majorEastAsia"/>
        </w:rPr>
        <w:t>Given the focus on outcomes, DSS is proposing mandating the Data Exchange</w:t>
      </w:r>
      <w:r w:rsidR="00842504">
        <w:rPr>
          <w:rFonts w:eastAsiaTheme="majorEastAsia"/>
        </w:rPr>
        <w:t xml:space="preserve"> Partnership Approach </w:t>
      </w:r>
      <w:r>
        <w:rPr>
          <w:rFonts w:eastAsiaTheme="majorEastAsia"/>
        </w:rPr>
        <w:t xml:space="preserve">for all family and children services. Under this proposal all services would be required to report on </w:t>
      </w:r>
      <w:r w:rsidR="004D4C9A">
        <w:rPr>
          <w:rFonts w:eastAsiaTheme="majorEastAsia"/>
        </w:rPr>
        <w:t xml:space="preserve">client </w:t>
      </w:r>
      <w:r>
        <w:rPr>
          <w:rFonts w:eastAsiaTheme="majorEastAsia"/>
        </w:rPr>
        <w:t xml:space="preserve">outcomes through </w:t>
      </w:r>
      <w:r w:rsidR="001446F3">
        <w:rPr>
          <w:rFonts w:eastAsiaTheme="majorEastAsia"/>
        </w:rPr>
        <w:t>the Data Exchange</w:t>
      </w:r>
      <w:r>
        <w:rPr>
          <w:rFonts w:eastAsiaTheme="majorEastAsia"/>
        </w:rPr>
        <w:t>.</w:t>
      </w:r>
      <w:r w:rsidR="00494E8F">
        <w:rPr>
          <w:rFonts w:eastAsiaTheme="majorEastAsia"/>
        </w:rPr>
        <w:t xml:space="preserve"> This would enable us to monitor our </w:t>
      </w:r>
      <w:r w:rsidR="00842504">
        <w:rPr>
          <w:rFonts w:eastAsiaTheme="majorEastAsia"/>
        </w:rPr>
        <w:t>progress towards outcomes across the life of a grant agreement. DSS encourages and supports a culture of continuous improvement for our services over the life of grants.</w:t>
      </w:r>
    </w:p>
    <w:p w14:paraId="1F5D623B" w14:textId="25025839" w:rsidR="00266048" w:rsidRDefault="00A707D0" w:rsidP="003904C3">
      <w:pPr>
        <w:rPr>
          <w:rFonts w:eastAsiaTheme="majorEastAsia"/>
        </w:rPr>
      </w:pPr>
      <w:r>
        <w:rPr>
          <w:rFonts w:eastAsiaTheme="majorEastAsia"/>
        </w:rPr>
        <w:t xml:space="preserve">New reports are still being developed and implemented through the </w:t>
      </w:r>
      <w:r w:rsidR="001446F3">
        <w:rPr>
          <w:rFonts w:eastAsiaTheme="majorEastAsia"/>
        </w:rPr>
        <w:t xml:space="preserve">Data Exchange </w:t>
      </w:r>
      <w:r>
        <w:rPr>
          <w:rFonts w:eastAsiaTheme="majorEastAsia"/>
        </w:rPr>
        <w:t xml:space="preserve">Partnership Approach that will be relevant to inform service providers’ services for families and children. In addition, </w:t>
      </w:r>
      <w:r w:rsidR="00721E41">
        <w:rPr>
          <w:rFonts w:eastAsiaTheme="majorEastAsia"/>
        </w:rPr>
        <w:t xml:space="preserve">DSS will </w:t>
      </w:r>
      <w:r>
        <w:rPr>
          <w:rFonts w:eastAsiaTheme="majorEastAsia"/>
        </w:rPr>
        <w:t xml:space="preserve">engage with service providers and peaks to share insights, new evidence and analysis that would help inform service delivery </w:t>
      </w:r>
      <w:r w:rsidR="00842504">
        <w:rPr>
          <w:rFonts w:eastAsiaTheme="majorEastAsia"/>
        </w:rPr>
        <w:t xml:space="preserve">to </w:t>
      </w:r>
      <w:r>
        <w:rPr>
          <w:rFonts w:eastAsiaTheme="majorEastAsia"/>
        </w:rPr>
        <w:t>improve outcomes for families and children.</w:t>
      </w:r>
    </w:p>
    <w:p w14:paraId="1D14020E" w14:textId="77777777" w:rsidR="00266048" w:rsidRDefault="00266048">
      <w:pPr>
        <w:spacing w:before="0" w:after="200" w:line="276" w:lineRule="auto"/>
        <w:rPr>
          <w:rFonts w:eastAsiaTheme="majorEastAsia"/>
        </w:rPr>
      </w:pPr>
      <w:r>
        <w:rPr>
          <w:rFonts w:eastAsiaTheme="majorEastAsia"/>
        </w:rPr>
        <w:br w:type="page"/>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Partnership Approach"/>
        <w:tblDescription w:val="Would you be supportive of reporting on client outcomes through the Partnership Approach?&#10;If you are a service provider, what tools and supports would you need to implement the Partnership Approach? How long would you need?&#10;If you are a service provider, what support would you like over the course of a funding agreement to ensure that your services remain supported by evidence and data to improve outcomes for families and children?&#10;"/>
      </w:tblPr>
      <w:tblGrid>
        <w:gridCol w:w="9344"/>
      </w:tblGrid>
      <w:tr w:rsidR="00266048" w14:paraId="7707097D" w14:textId="77777777" w:rsidTr="00266048">
        <w:tc>
          <w:tcPr>
            <w:tcW w:w="9344" w:type="dxa"/>
          </w:tcPr>
          <w:p w14:paraId="5357384A" w14:textId="3B3D569E" w:rsidR="00266048" w:rsidRDefault="00266048" w:rsidP="00266048">
            <w:pPr>
              <w:spacing w:after="120" w:line="240" w:lineRule="auto"/>
              <w:rPr>
                <w:i/>
                <w:iCs/>
                <w:color w:val="500778" w:themeColor="accent1"/>
              </w:rPr>
            </w:pPr>
            <w:r>
              <w:rPr>
                <w:i/>
                <w:iCs/>
                <w:color w:val="500778" w:themeColor="accent1"/>
              </w:rPr>
              <w:t>Would you be supportive of reporting on client outcomes through the Partnership Approach?</w:t>
            </w:r>
          </w:p>
          <w:p w14:paraId="53D9A625" w14:textId="3B30CD8E" w:rsidR="00266048" w:rsidRDefault="00266048" w:rsidP="00266048">
            <w:pPr>
              <w:spacing w:after="120" w:line="240" w:lineRule="auto"/>
              <w:rPr>
                <w:i/>
                <w:iCs/>
                <w:color w:val="500778" w:themeColor="accent1"/>
              </w:rPr>
            </w:pPr>
            <w:r>
              <w:rPr>
                <w:i/>
                <w:iCs/>
                <w:color w:val="500778" w:themeColor="accent1"/>
              </w:rPr>
              <w:t>If you are a service provider, what tools and supports would you need to implement the Partnership Approach? How long would you need?</w:t>
            </w:r>
          </w:p>
          <w:p w14:paraId="5B556B6D" w14:textId="5A4A987A" w:rsidR="00266048" w:rsidRDefault="00266048" w:rsidP="00266048">
            <w:pPr>
              <w:spacing w:after="120" w:line="240" w:lineRule="auto"/>
              <w:rPr>
                <w:rFonts w:eastAsiaTheme="majorEastAsia"/>
              </w:rPr>
            </w:pPr>
            <w:r>
              <w:rPr>
                <w:i/>
                <w:iCs/>
                <w:color w:val="500778" w:themeColor="accent1"/>
              </w:rPr>
              <w:t>If you are a service provider, what support would you like over the course of a funding agreement to ensure that your services remain supported by evidence and data to improve outcomes for families and children?</w:t>
            </w:r>
          </w:p>
        </w:tc>
      </w:tr>
    </w:tbl>
    <w:p w14:paraId="6CC3DD7B" w14:textId="029DCF27" w:rsidR="00A707D0" w:rsidRDefault="00721E41" w:rsidP="00A707D0">
      <w:pPr>
        <w:pStyle w:val="Heading1"/>
      </w:pPr>
      <w:r>
        <w:t xml:space="preserve">Principle 4: </w:t>
      </w:r>
      <w:r w:rsidR="00A707D0">
        <w:t>Early Intervention and Pr</w:t>
      </w:r>
      <w:r w:rsidR="00E7004E">
        <w:t>evention</w:t>
      </w:r>
    </w:p>
    <w:p w14:paraId="6D0EF6B1" w14:textId="4D89B7E3" w:rsidR="00A707D0" w:rsidRDefault="008D7F33" w:rsidP="00A707D0">
      <w:pPr>
        <w:rPr>
          <w:rFonts w:eastAsiaTheme="majorEastAsia"/>
        </w:rPr>
      </w:pPr>
      <w:r>
        <w:rPr>
          <w:rFonts w:eastAsiaTheme="majorEastAsia"/>
        </w:rPr>
        <w:t xml:space="preserve">DSS is committed to funding services that act early to support families and children. This may include universal services to prevent problems from occurring or by intervening early when a risk or problem is identified to stop it escalating. </w:t>
      </w:r>
    </w:p>
    <w:p w14:paraId="1C7F4B4F" w14:textId="77777777" w:rsidR="00266048" w:rsidRDefault="00E7004E" w:rsidP="004F1E03">
      <w:pPr>
        <w:rPr>
          <w:rFonts w:eastAsiaTheme="majorEastAsia"/>
        </w:rPr>
      </w:pPr>
      <w:r>
        <w:rPr>
          <w:rFonts w:eastAsiaTheme="majorEastAsia"/>
        </w:rPr>
        <w:t xml:space="preserve">The research demonstrates that intervening early and seeking to prevent a problem is not only cost effective but can build </w:t>
      </w:r>
      <w:r w:rsidR="00547688">
        <w:rPr>
          <w:rFonts w:eastAsiaTheme="majorEastAsia"/>
        </w:rPr>
        <w:t xml:space="preserve">protective factors for families and children, increasing their resilience and improving their outcomes. </w:t>
      </w:r>
    </w:p>
    <w:tbl>
      <w:tblPr>
        <w:tblStyle w:val="TableGrid"/>
        <w:tblW w:w="0" w:type="auto"/>
        <w:tblBorders>
          <w:top w:val="thinThickThinSmallGap" w:sz="24" w:space="0" w:color="500778" w:themeColor="accent1"/>
          <w:left w:val="none" w:sz="0" w:space="0" w:color="auto"/>
          <w:bottom w:val="thinThickThinSmallGap" w:sz="24"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Early Intervention and Prevention"/>
        <w:tblDescription w:val="If you are a service provider, what early intervention and prevention services do you currently provide that help achieve the three outcomes proposed?&#10;If you are a service provider, what is preventing you from providing early intervention and prevention services to improve the three outcomes identified?&#10;How could government and service providers better balance crisis support with early intervention and prevention activities?&#10;"/>
      </w:tblPr>
      <w:tblGrid>
        <w:gridCol w:w="9344"/>
      </w:tblGrid>
      <w:tr w:rsidR="00266048" w14:paraId="2CF5099B" w14:textId="77777777" w:rsidTr="00D6583E">
        <w:tc>
          <w:tcPr>
            <w:tcW w:w="9344" w:type="dxa"/>
          </w:tcPr>
          <w:p w14:paraId="7F01A25A" w14:textId="5625F6DC" w:rsidR="00266048" w:rsidRDefault="00266048" w:rsidP="004F1E03">
            <w:pPr>
              <w:rPr>
                <w:i/>
                <w:iCs/>
                <w:color w:val="500778" w:themeColor="accent1"/>
              </w:rPr>
            </w:pPr>
            <w:r>
              <w:rPr>
                <w:i/>
                <w:iCs/>
                <w:color w:val="500778" w:themeColor="accent1"/>
              </w:rPr>
              <w:t>If you are a service provider, what early intervention and prevention services do you currently provide that help achieve the three outcomes proposed?</w:t>
            </w:r>
          </w:p>
          <w:p w14:paraId="562A5486" w14:textId="097C2C3E" w:rsidR="00266048" w:rsidRDefault="00266048" w:rsidP="004F1E03">
            <w:pPr>
              <w:rPr>
                <w:i/>
                <w:iCs/>
                <w:color w:val="500778" w:themeColor="accent1"/>
              </w:rPr>
            </w:pPr>
            <w:r>
              <w:rPr>
                <w:i/>
                <w:iCs/>
                <w:color w:val="500778" w:themeColor="accent1"/>
              </w:rPr>
              <w:t>If you are a service provider, what is preventing you from providing early intervention and prevention services to improve the three outcomes identified?</w:t>
            </w:r>
          </w:p>
          <w:p w14:paraId="3F25ECAA" w14:textId="68DDC4E4" w:rsidR="00266048" w:rsidRDefault="00266048" w:rsidP="004F1E03">
            <w:r>
              <w:rPr>
                <w:i/>
                <w:iCs/>
                <w:color w:val="500778" w:themeColor="accent1"/>
              </w:rPr>
              <w:t>How could government and service providers better balance crisis support with early intervention and prevention activities?</w:t>
            </w:r>
          </w:p>
        </w:tc>
      </w:tr>
    </w:tbl>
    <w:p w14:paraId="6AFCDAB8" w14:textId="17571C18" w:rsidR="00B07618" w:rsidRDefault="00061F01" w:rsidP="007F435A">
      <w:pPr>
        <w:pStyle w:val="Heading1"/>
      </w:pPr>
      <w:r>
        <w:t xml:space="preserve">Principle 5: </w:t>
      </w:r>
      <w:r w:rsidR="00A707D0">
        <w:t>Collaborative</w:t>
      </w:r>
    </w:p>
    <w:p w14:paraId="574FB25D" w14:textId="37904FE9" w:rsidR="00B07618" w:rsidRDefault="00B07618" w:rsidP="00B07618">
      <w:r>
        <w:t>The need for collaborative and joint efforts to intervene early with families and children has been a key theme of multiple policies, reviews and engagement processes undertaken over the last 20 years. Despite this, we still struggle to work collectively and in a systematic way to provide a holistic support system to families and children.</w:t>
      </w:r>
    </w:p>
    <w:p w14:paraId="796F109A" w14:textId="2C63A5D6" w:rsidR="005972C1" w:rsidRDefault="00B07618" w:rsidP="00B07618">
      <w:r>
        <w:t xml:space="preserve">DSS firmly believes that improvements in outcomes for families and children can only occur if there is collaboration across all levels of government, the community and with families themselves. </w:t>
      </w:r>
    </w:p>
    <w:p w14:paraId="77BC0A2E" w14:textId="01730A2F" w:rsidR="005972C1" w:rsidRDefault="005972C1" w:rsidP="005972C1">
      <w:r>
        <w:t xml:space="preserve">The FaC Activity guidelines ask service providers to work collaboratively with each other and a range of government and non-government agencies that support families and children. </w:t>
      </w:r>
    </w:p>
    <w:p w14:paraId="74190C18" w14:textId="77777777" w:rsidR="00D6583E" w:rsidRDefault="00D6583E">
      <w:pPr>
        <w:spacing w:before="0" w:after="200" w:line="276" w:lineRule="auto"/>
      </w:pPr>
      <w:r>
        <w:br w:type="page"/>
      </w:r>
    </w:p>
    <w:p w14:paraId="39AC2538" w14:textId="0AA842D8" w:rsidR="00A707D0" w:rsidRDefault="00B07618" w:rsidP="005972C1">
      <w:r>
        <w:t xml:space="preserve">DSS will continue to require and encourage service providers to work collaboratively with other </w:t>
      </w:r>
      <w:r w:rsidR="006562A5">
        <w:t xml:space="preserve">services, members of the community and governments. This may include asking service providers to identify referral mechanisms or partnerships </w:t>
      </w:r>
      <w:r w:rsidR="002B0AD0">
        <w:t>in the community. It will also include identifying how they are engaging with the community and families</w:t>
      </w:r>
      <w:r w:rsidR="00B77EB3">
        <w:t xml:space="preserve">, particularly those at increased risk of experiencing poorer outcomes, </w:t>
      </w:r>
      <w:r w:rsidR="002B0AD0">
        <w:t>to design and implement services</w:t>
      </w:r>
      <w:r w:rsidR="006562A5">
        <w:t xml:space="preserve"> when </w:t>
      </w:r>
      <w:r w:rsidR="002B0AD0">
        <w:t xml:space="preserve">they </w:t>
      </w:r>
      <w:r w:rsidR="005972C1">
        <w:t>apply for funding.</w:t>
      </w:r>
    </w:p>
    <w:tbl>
      <w:tblPr>
        <w:tblStyle w:val="TableGrid"/>
        <w:tblW w:w="0" w:type="auto"/>
        <w:tblBorders>
          <w:top w:val="thinThickThinSmallGap" w:sz="24" w:space="0" w:color="500778" w:themeColor="accent1"/>
          <w:left w:val="none" w:sz="0" w:space="0" w:color="auto"/>
          <w:bottom w:val="thinThickThinSmallGap" w:sz="48" w:space="0" w:color="500778" w:themeColor="accent1"/>
          <w:right w:val="none" w:sz="0" w:space="0" w:color="auto"/>
          <w:insideH w:val="none" w:sz="0" w:space="0" w:color="auto"/>
          <w:insideV w:val="none" w:sz="0" w:space="0" w:color="auto"/>
        </w:tblBorders>
        <w:tblLook w:val="04A0" w:firstRow="1" w:lastRow="0" w:firstColumn="1" w:lastColumn="0" w:noHBand="0" w:noVBand="1"/>
        <w:tblCaption w:val="Questions: Collaborative"/>
        <w:tblDescription w:val="If you are a service provider, how confident are you that you have developed meaningful relationships with relevant stakeholders in your community? What could we do to help you develop these relationships?&#10;If you are a service, Do your existing referral mechanisms support families and children to access a holistic service response? What could be done to improve this process&#10;What could Government do to support you to build these collaborative relationships and referral mechanisms?&#10;"/>
      </w:tblPr>
      <w:tblGrid>
        <w:gridCol w:w="9344"/>
      </w:tblGrid>
      <w:tr w:rsidR="00D6583E" w14:paraId="2A0A65C7" w14:textId="77777777" w:rsidTr="00D6583E">
        <w:tc>
          <w:tcPr>
            <w:tcW w:w="9344" w:type="dxa"/>
          </w:tcPr>
          <w:p w14:paraId="2CEC2665" w14:textId="0DAA0271" w:rsidR="00D6583E" w:rsidRDefault="00D6583E" w:rsidP="005972C1">
            <w:pPr>
              <w:rPr>
                <w:i/>
                <w:iCs/>
                <w:color w:val="500778" w:themeColor="accent1"/>
              </w:rPr>
            </w:pPr>
            <w:r>
              <w:rPr>
                <w:i/>
                <w:iCs/>
                <w:color w:val="500778" w:themeColor="accent1"/>
              </w:rPr>
              <w:t>If you are a service provider, how confident are you that you have developed meaningful relationships with relevant stakeholders in your community? What could we do to help you develop these relationships?</w:t>
            </w:r>
          </w:p>
          <w:p w14:paraId="70431E82" w14:textId="1591AB12" w:rsidR="00D6583E" w:rsidRDefault="007E7A0B" w:rsidP="00D6583E">
            <w:pPr>
              <w:rPr>
                <w:i/>
                <w:iCs/>
                <w:color w:val="500778" w:themeColor="accent1"/>
              </w:rPr>
            </w:pPr>
            <w:r>
              <w:rPr>
                <w:i/>
                <w:iCs/>
                <w:color w:val="500778" w:themeColor="accent1"/>
              </w:rPr>
              <w:t>If you are a service, d</w:t>
            </w:r>
            <w:r w:rsidR="00D6583E">
              <w:rPr>
                <w:i/>
                <w:iCs/>
                <w:color w:val="500778" w:themeColor="accent1"/>
              </w:rPr>
              <w:t>o your existing referral mechanisms support families and children to access a holistic service response? What could be done to improve this process</w:t>
            </w:r>
          </w:p>
          <w:p w14:paraId="436C3A6E" w14:textId="7A12B1EA" w:rsidR="00D6583E" w:rsidRDefault="00D6583E" w:rsidP="00D6583E">
            <w:r>
              <w:rPr>
                <w:i/>
                <w:iCs/>
                <w:color w:val="500778" w:themeColor="accent1"/>
              </w:rPr>
              <w:t>What could Government do to support you to build these collaborative relationships and referral mechanisms?</w:t>
            </w:r>
          </w:p>
        </w:tc>
      </w:tr>
    </w:tbl>
    <w:p w14:paraId="10DF4113" w14:textId="77777777" w:rsidR="00D6583E" w:rsidRPr="00A707D0" w:rsidRDefault="00D6583E" w:rsidP="005972C1"/>
    <w:sectPr w:rsidR="00D6583E" w:rsidRPr="00A707D0" w:rsidSect="00A11125">
      <w:headerReference w:type="even" r:id="rId23"/>
      <w:headerReference w:type="default" r:id="rId24"/>
      <w:headerReference w:type="first" r:id="rId25"/>
      <w:footerReference w:type="first" r:id="rId26"/>
      <w:type w:val="continuous"/>
      <w:pgSz w:w="11906" w:h="16838"/>
      <w:pgMar w:top="709" w:right="1418" w:bottom="0"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5A446" w14:textId="77777777" w:rsidR="00062209" w:rsidRDefault="00062209" w:rsidP="008F3023">
      <w:pPr>
        <w:spacing w:before="0" w:after="0" w:line="240" w:lineRule="auto"/>
      </w:pPr>
      <w:r>
        <w:separator/>
      </w:r>
    </w:p>
  </w:endnote>
  <w:endnote w:type="continuationSeparator" w:id="0">
    <w:p w14:paraId="26EFDAAE" w14:textId="77777777" w:rsidR="00062209" w:rsidRDefault="00062209"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DD85" w14:textId="72A6D4BF" w:rsidR="002C2B4F" w:rsidRDefault="00A11125" w:rsidP="00A11125">
    <w:pPr>
      <w:pStyle w:val="Footer"/>
      <w:tabs>
        <w:tab w:val="center" w:pos="4677"/>
        <w:tab w:val="left" w:pos="5929"/>
      </w:tabs>
    </w:pPr>
    <w:r>
      <w:tab/>
    </w:r>
    <w:r>
      <w:tab/>
    </w:r>
    <w:sdt>
      <w:sdtPr>
        <w:id w:val="638844914"/>
        <w:docPartObj>
          <w:docPartGallery w:val="Page Numbers (Bottom of Page)"/>
          <w:docPartUnique/>
        </w:docPartObj>
      </w:sdtPr>
      <w:sdtEndPr>
        <w:rPr>
          <w:noProof/>
        </w:rPr>
      </w:sdtEndPr>
      <w:sdtContent>
        <w:r w:rsidR="002C2B4F">
          <w:fldChar w:fldCharType="begin"/>
        </w:r>
        <w:r w:rsidR="002C2B4F">
          <w:instrText xml:space="preserve"> PAGE   \* MERGEFORMAT </w:instrText>
        </w:r>
        <w:r w:rsidR="002C2B4F">
          <w:fldChar w:fldCharType="separate"/>
        </w:r>
        <w:r w:rsidR="0044563A">
          <w:rPr>
            <w:noProof/>
          </w:rPr>
          <w:t>12</w:t>
        </w:r>
        <w:r w:rsidR="002C2B4F">
          <w:rPr>
            <w:noProof/>
          </w:rPr>
          <w:fldChar w:fldCharType="end"/>
        </w:r>
      </w:sdtContent>
    </w:sdt>
    <w:r>
      <w:rPr>
        <w:noProof/>
      </w:rPr>
      <w:tab/>
    </w:r>
  </w:p>
  <w:p w14:paraId="3DA21547" w14:textId="77777777" w:rsidR="002C2B4F" w:rsidRDefault="002C2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ADA7" w14:textId="77777777" w:rsidR="002C2B4F" w:rsidRDefault="002C2B4F" w:rsidP="00B10EB1">
    <w:pPr>
      <w:pStyle w:val="Footer"/>
      <w:ind w:left="-1417"/>
    </w:pPr>
    <w:r>
      <w:rPr>
        <w:noProof/>
      </w:rPr>
      <w:drawing>
        <wp:inline distT="0" distB="0" distL="0" distR="0" wp14:anchorId="3801A8B8" wp14:editId="32B25BBC">
          <wp:extent cx="7519594" cy="6264812"/>
          <wp:effectExtent l="0" t="0" r="5715" b="3175"/>
          <wp:docPr id="1" name="Picture 1" descr="illustrations of a family and children playing with tree in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6BA8" w14:textId="1C21FC05" w:rsidR="002C2B4F" w:rsidRDefault="0044563A" w:rsidP="00D86E50">
    <w:pPr>
      <w:pStyle w:val="Footer"/>
      <w:tabs>
        <w:tab w:val="clear" w:pos="4513"/>
        <w:tab w:val="clear" w:pos="9026"/>
        <w:tab w:val="left" w:pos="3040"/>
      </w:tabs>
      <w:jc w:val="center"/>
    </w:pPr>
    <w:sdt>
      <w:sdtPr>
        <w:id w:val="-1607648913"/>
        <w:docPartObj>
          <w:docPartGallery w:val="Page Numbers (Bottom of Page)"/>
          <w:docPartUnique/>
        </w:docPartObj>
      </w:sdtPr>
      <w:sdtEndPr>
        <w:rPr>
          <w:noProof/>
        </w:rPr>
      </w:sdtEndPr>
      <w:sdtContent>
        <w:r w:rsidR="002C2B4F">
          <w:fldChar w:fldCharType="begin"/>
        </w:r>
        <w:r w:rsidR="002C2B4F">
          <w:instrText xml:space="preserve"> PAGE   \* MERGEFORMAT </w:instrText>
        </w:r>
        <w:r w:rsidR="002C2B4F">
          <w:fldChar w:fldCharType="separate"/>
        </w:r>
        <w:r w:rsidR="00A11125">
          <w:rPr>
            <w:noProof/>
          </w:rPr>
          <w:t>2</w:t>
        </w:r>
        <w:r w:rsidR="002C2B4F">
          <w:rPr>
            <w:noProof/>
          </w:rPr>
          <w:fldChar w:fldCharType="end"/>
        </w:r>
      </w:sdtContent>
    </w:sdt>
  </w:p>
  <w:p w14:paraId="1F87DE74" w14:textId="77777777" w:rsidR="002C2B4F" w:rsidRDefault="002C2B4F"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BE7C" w14:textId="77777777" w:rsidR="00062209" w:rsidRDefault="00062209" w:rsidP="008F3023">
      <w:pPr>
        <w:spacing w:before="0" w:after="0" w:line="240" w:lineRule="auto"/>
      </w:pPr>
      <w:r>
        <w:separator/>
      </w:r>
    </w:p>
  </w:footnote>
  <w:footnote w:type="continuationSeparator" w:id="0">
    <w:p w14:paraId="197F8D73" w14:textId="77777777" w:rsidR="00062209" w:rsidRDefault="00062209" w:rsidP="008F3023">
      <w:pPr>
        <w:spacing w:before="0" w:after="0" w:line="240" w:lineRule="auto"/>
      </w:pPr>
      <w:r>
        <w:continuationSeparator/>
      </w:r>
    </w:p>
  </w:footnote>
  <w:footnote w:id="1">
    <w:p w14:paraId="5D1ADE41" w14:textId="549D6C36" w:rsidR="002C2B4F" w:rsidRDefault="002C2B4F" w:rsidP="005B1406">
      <w:pPr>
        <w:pStyle w:val="FootnoteText"/>
      </w:pPr>
      <w:r>
        <w:rPr>
          <w:rStyle w:val="FootnoteReference"/>
        </w:rPr>
        <w:footnoteRef/>
      </w:r>
      <w:r>
        <w:t xml:space="preserve"> Adult Specialist Support Services and Reconnect are not in-scope for this discussion paper given their focus on adults and youth homelessness.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3787" w14:textId="2A7EE4B0" w:rsidR="002C2B4F" w:rsidRDefault="002C2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0F52" w14:textId="6117EE88" w:rsidR="002C2B4F" w:rsidRDefault="002C2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4D45" w14:textId="50C4D727" w:rsidR="002C2B4F" w:rsidRDefault="002C2B4F" w:rsidP="00F30908">
    <w:pPr>
      <w:ind w:left="-964"/>
    </w:pPr>
    <w:r>
      <w:rPr>
        <w:noProof/>
      </w:rPr>
      <w:drawing>
        <wp:inline distT="0" distB="0" distL="0" distR="0" wp14:anchorId="43B4ECE2" wp14:editId="0EF0693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E356" w14:textId="5DA9CCB6" w:rsidR="002C2B4F" w:rsidRDefault="002C2B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7DA6" w14:textId="561F53EF" w:rsidR="002C2B4F" w:rsidRPr="0084227C" w:rsidRDefault="002C2B4F" w:rsidP="0084227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AD75" w14:textId="6E26B2E4" w:rsidR="002C2B4F" w:rsidRDefault="002C2B4F"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0C7"/>
    <w:multiLevelType w:val="hybridMultilevel"/>
    <w:tmpl w:val="541E93B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151DAA"/>
    <w:multiLevelType w:val="hybridMultilevel"/>
    <w:tmpl w:val="8CD0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76F28"/>
    <w:multiLevelType w:val="hybridMultilevel"/>
    <w:tmpl w:val="0920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40CB5"/>
    <w:multiLevelType w:val="hybridMultilevel"/>
    <w:tmpl w:val="56C2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110E9"/>
    <w:multiLevelType w:val="hybridMultilevel"/>
    <w:tmpl w:val="77F8C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700"/>
        </w:tabs>
        <w:ind w:left="70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146F2CD1"/>
    <w:multiLevelType w:val="hybridMultilevel"/>
    <w:tmpl w:val="163E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949EF"/>
    <w:multiLevelType w:val="hybridMultilevel"/>
    <w:tmpl w:val="5076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76BA2"/>
    <w:multiLevelType w:val="hybridMultilevel"/>
    <w:tmpl w:val="F30A8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B17DF"/>
    <w:multiLevelType w:val="hybridMultilevel"/>
    <w:tmpl w:val="E230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F00BB"/>
    <w:multiLevelType w:val="hybridMultilevel"/>
    <w:tmpl w:val="749C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24DE8"/>
    <w:multiLevelType w:val="hybridMultilevel"/>
    <w:tmpl w:val="2700B2B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3C2E7D13"/>
    <w:multiLevelType w:val="hybridMultilevel"/>
    <w:tmpl w:val="42C61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E5048"/>
    <w:multiLevelType w:val="hybridMultilevel"/>
    <w:tmpl w:val="2CF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26023"/>
    <w:multiLevelType w:val="hybridMultilevel"/>
    <w:tmpl w:val="F210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F70C9"/>
    <w:multiLevelType w:val="hybridMultilevel"/>
    <w:tmpl w:val="3D183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37EFE"/>
    <w:multiLevelType w:val="hybridMultilevel"/>
    <w:tmpl w:val="678CEF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C896716"/>
    <w:multiLevelType w:val="hybridMultilevel"/>
    <w:tmpl w:val="8908A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7072E5"/>
    <w:multiLevelType w:val="hybridMultilevel"/>
    <w:tmpl w:val="2E7C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511EE0"/>
    <w:multiLevelType w:val="hybridMultilevel"/>
    <w:tmpl w:val="5B705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842D03"/>
    <w:multiLevelType w:val="hybridMultilevel"/>
    <w:tmpl w:val="F65A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CB622A"/>
    <w:multiLevelType w:val="hybridMultilevel"/>
    <w:tmpl w:val="4996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7A0A07"/>
    <w:multiLevelType w:val="hybridMultilevel"/>
    <w:tmpl w:val="DFD2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3B14D6"/>
    <w:multiLevelType w:val="hybridMultilevel"/>
    <w:tmpl w:val="13784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43F66"/>
    <w:multiLevelType w:val="hybridMultilevel"/>
    <w:tmpl w:val="F2FC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006E70"/>
    <w:multiLevelType w:val="hybridMultilevel"/>
    <w:tmpl w:val="3EE2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0"/>
  </w:num>
  <w:num w:numId="5">
    <w:abstractNumId w:val="22"/>
  </w:num>
  <w:num w:numId="6">
    <w:abstractNumId w:val="8"/>
  </w:num>
  <w:num w:numId="7">
    <w:abstractNumId w:val="7"/>
  </w:num>
  <w:num w:numId="8">
    <w:abstractNumId w:val="10"/>
  </w:num>
  <w:num w:numId="9">
    <w:abstractNumId w:val="25"/>
  </w:num>
  <w:num w:numId="10">
    <w:abstractNumId w:val="6"/>
  </w:num>
  <w:num w:numId="11">
    <w:abstractNumId w:val="24"/>
  </w:num>
  <w:num w:numId="12">
    <w:abstractNumId w:val="21"/>
  </w:num>
  <w:num w:numId="13">
    <w:abstractNumId w:val="3"/>
  </w:num>
  <w:num w:numId="14">
    <w:abstractNumId w:val="2"/>
  </w:num>
  <w:num w:numId="15">
    <w:abstractNumId w:val="12"/>
  </w:num>
  <w:num w:numId="16">
    <w:abstractNumId w:val="18"/>
  </w:num>
  <w:num w:numId="17">
    <w:abstractNumId w:val="11"/>
  </w:num>
  <w:num w:numId="18">
    <w:abstractNumId w:val="23"/>
  </w:num>
  <w:num w:numId="19">
    <w:abstractNumId w:val="13"/>
  </w:num>
  <w:num w:numId="20">
    <w:abstractNumId w:val="13"/>
  </w:num>
  <w:num w:numId="21">
    <w:abstractNumId w:val="4"/>
  </w:num>
  <w:num w:numId="22">
    <w:abstractNumId w:val="19"/>
  </w:num>
  <w:num w:numId="23">
    <w:abstractNumId w:val="1"/>
  </w:num>
  <w:num w:numId="24">
    <w:abstractNumId w:val="9"/>
  </w:num>
  <w:num w:numId="25">
    <w:abstractNumId w:val="17"/>
  </w:num>
  <w:num w:numId="26">
    <w:abstractNumId w:val="14"/>
  </w:num>
  <w:num w:numId="27">
    <w:abstractNumId w:val="0"/>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82"/>
    <w:rsid w:val="000140B8"/>
    <w:rsid w:val="00044109"/>
    <w:rsid w:val="00044C42"/>
    <w:rsid w:val="0005621C"/>
    <w:rsid w:val="00061F01"/>
    <w:rsid w:val="00062209"/>
    <w:rsid w:val="000800AC"/>
    <w:rsid w:val="00081610"/>
    <w:rsid w:val="00085115"/>
    <w:rsid w:val="000A0FE2"/>
    <w:rsid w:val="000B6E67"/>
    <w:rsid w:val="000E61DF"/>
    <w:rsid w:val="000F18A9"/>
    <w:rsid w:val="000F68B3"/>
    <w:rsid w:val="000F75FC"/>
    <w:rsid w:val="00101307"/>
    <w:rsid w:val="001446F3"/>
    <w:rsid w:val="001510D7"/>
    <w:rsid w:val="001656DA"/>
    <w:rsid w:val="00184927"/>
    <w:rsid w:val="001A4C30"/>
    <w:rsid w:val="001A7461"/>
    <w:rsid w:val="001B54C1"/>
    <w:rsid w:val="001E2845"/>
    <w:rsid w:val="001E2D6C"/>
    <w:rsid w:val="001E630D"/>
    <w:rsid w:val="00201DE9"/>
    <w:rsid w:val="002140CB"/>
    <w:rsid w:val="00231210"/>
    <w:rsid w:val="002346B5"/>
    <w:rsid w:val="0024516F"/>
    <w:rsid w:val="00245689"/>
    <w:rsid w:val="002516AD"/>
    <w:rsid w:val="0025283B"/>
    <w:rsid w:val="0026251E"/>
    <w:rsid w:val="00262A5A"/>
    <w:rsid w:val="00266048"/>
    <w:rsid w:val="00281DFB"/>
    <w:rsid w:val="0028519F"/>
    <w:rsid w:val="002862CF"/>
    <w:rsid w:val="002B0AD0"/>
    <w:rsid w:val="002B110A"/>
    <w:rsid w:val="002B3CC6"/>
    <w:rsid w:val="002C2B4F"/>
    <w:rsid w:val="002D303E"/>
    <w:rsid w:val="002D6DF5"/>
    <w:rsid w:val="0030205B"/>
    <w:rsid w:val="00311FC7"/>
    <w:rsid w:val="00335A14"/>
    <w:rsid w:val="00337926"/>
    <w:rsid w:val="00346824"/>
    <w:rsid w:val="0038044C"/>
    <w:rsid w:val="0038633B"/>
    <w:rsid w:val="003904C3"/>
    <w:rsid w:val="003B0D19"/>
    <w:rsid w:val="003B2BB8"/>
    <w:rsid w:val="003C6064"/>
    <w:rsid w:val="003D34FF"/>
    <w:rsid w:val="003E18DA"/>
    <w:rsid w:val="003E2B62"/>
    <w:rsid w:val="003F7AE3"/>
    <w:rsid w:val="00402071"/>
    <w:rsid w:val="00403055"/>
    <w:rsid w:val="004076B3"/>
    <w:rsid w:val="0042130C"/>
    <w:rsid w:val="004243F2"/>
    <w:rsid w:val="00440CB8"/>
    <w:rsid w:val="00441F38"/>
    <w:rsid w:val="0044563A"/>
    <w:rsid w:val="00445EAC"/>
    <w:rsid w:val="00446A54"/>
    <w:rsid w:val="00463798"/>
    <w:rsid w:val="00471456"/>
    <w:rsid w:val="0047407F"/>
    <w:rsid w:val="00477CBE"/>
    <w:rsid w:val="00480D9D"/>
    <w:rsid w:val="004901E9"/>
    <w:rsid w:val="004935FF"/>
    <w:rsid w:val="00494E8F"/>
    <w:rsid w:val="00497BCF"/>
    <w:rsid w:val="004A69E3"/>
    <w:rsid w:val="004B3828"/>
    <w:rsid w:val="004B54CA"/>
    <w:rsid w:val="004B6B21"/>
    <w:rsid w:val="004C4B8E"/>
    <w:rsid w:val="004D3718"/>
    <w:rsid w:val="004D4C9A"/>
    <w:rsid w:val="004E5CBF"/>
    <w:rsid w:val="004E67E5"/>
    <w:rsid w:val="004F0B7D"/>
    <w:rsid w:val="004F1E03"/>
    <w:rsid w:val="004F77F4"/>
    <w:rsid w:val="005149BA"/>
    <w:rsid w:val="00517AE4"/>
    <w:rsid w:val="005239E1"/>
    <w:rsid w:val="005312DA"/>
    <w:rsid w:val="0054713E"/>
    <w:rsid w:val="00547688"/>
    <w:rsid w:val="00553574"/>
    <w:rsid w:val="005543A8"/>
    <w:rsid w:val="00560B15"/>
    <w:rsid w:val="0056573E"/>
    <w:rsid w:val="00567053"/>
    <w:rsid w:val="00574FAA"/>
    <w:rsid w:val="0058252D"/>
    <w:rsid w:val="00584FC1"/>
    <w:rsid w:val="00586246"/>
    <w:rsid w:val="005877DC"/>
    <w:rsid w:val="005962DD"/>
    <w:rsid w:val="005972C1"/>
    <w:rsid w:val="005A2EFB"/>
    <w:rsid w:val="005A5205"/>
    <w:rsid w:val="005B1406"/>
    <w:rsid w:val="005B51A6"/>
    <w:rsid w:val="005C1AC2"/>
    <w:rsid w:val="005C312B"/>
    <w:rsid w:val="005C3382"/>
    <w:rsid w:val="005C3AA9"/>
    <w:rsid w:val="005E59DD"/>
    <w:rsid w:val="005E7361"/>
    <w:rsid w:val="005F1958"/>
    <w:rsid w:val="005F621C"/>
    <w:rsid w:val="0060584D"/>
    <w:rsid w:val="00613D4A"/>
    <w:rsid w:val="006348E2"/>
    <w:rsid w:val="006426CE"/>
    <w:rsid w:val="00645CE8"/>
    <w:rsid w:val="00656092"/>
    <w:rsid w:val="006562A5"/>
    <w:rsid w:val="006753BB"/>
    <w:rsid w:val="00682566"/>
    <w:rsid w:val="00685974"/>
    <w:rsid w:val="006A4CE7"/>
    <w:rsid w:val="006D2DA3"/>
    <w:rsid w:val="006D5A91"/>
    <w:rsid w:val="006D7C95"/>
    <w:rsid w:val="007065F3"/>
    <w:rsid w:val="00712289"/>
    <w:rsid w:val="007158AC"/>
    <w:rsid w:val="00721E41"/>
    <w:rsid w:val="00722A99"/>
    <w:rsid w:val="0073320E"/>
    <w:rsid w:val="00734C07"/>
    <w:rsid w:val="00735058"/>
    <w:rsid w:val="00761EA3"/>
    <w:rsid w:val="00765DEE"/>
    <w:rsid w:val="00771BE1"/>
    <w:rsid w:val="00785261"/>
    <w:rsid w:val="007922A6"/>
    <w:rsid w:val="007966F2"/>
    <w:rsid w:val="007A0277"/>
    <w:rsid w:val="007B0256"/>
    <w:rsid w:val="007B3409"/>
    <w:rsid w:val="007D3FB6"/>
    <w:rsid w:val="007D72D9"/>
    <w:rsid w:val="007E7A0B"/>
    <w:rsid w:val="007F435A"/>
    <w:rsid w:val="0080329F"/>
    <w:rsid w:val="00816A56"/>
    <w:rsid w:val="00833D41"/>
    <w:rsid w:val="00840848"/>
    <w:rsid w:val="0084227C"/>
    <w:rsid w:val="00842504"/>
    <w:rsid w:val="00843F8F"/>
    <w:rsid w:val="008565DF"/>
    <w:rsid w:val="0085710F"/>
    <w:rsid w:val="00876CA6"/>
    <w:rsid w:val="00877018"/>
    <w:rsid w:val="008906F7"/>
    <w:rsid w:val="008916D6"/>
    <w:rsid w:val="008D7F33"/>
    <w:rsid w:val="008E6297"/>
    <w:rsid w:val="008F1227"/>
    <w:rsid w:val="008F3023"/>
    <w:rsid w:val="00900EE4"/>
    <w:rsid w:val="00900FAE"/>
    <w:rsid w:val="009039FF"/>
    <w:rsid w:val="0091511A"/>
    <w:rsid w:val="00917A0D"/>
    <w:rsid w:val="009225F0"/>
    <w:rsid w:val="009256F8"/>
    <w:rsid w:val="0094563F"/>
    <w:rsid w:val="0097169A"/>
    <w:rsid w:val="00974F5A"/>
    <w:rsid w:val="009864E2"/>
    <w:rsid w:val="00996787"/>
    <w:rsid w:val="00997A0E"/>
    <w:rsid w:val="009A3478"/>
    <w:rsid w:val="009B4F31"/>
    <w:rsid w:val="009D02EC"/>
    <w:rsid w:val="009D05F9"/>
    <w:rsid w:val="009D3CCB"/>
    <w:rsid w:val="00A029D0"/>
    <w:rsid w:val="00A06450"/>
    <w:rsid w:val="00A11125"/>
    <w:rsid w:val="00A12E7C"/>
    <w:rsid w:val="00A13549"/>
    <w:rsid w:val="00A200C0"/>
    <w:rsid w:val="00A22FA7"/>
    <w:rsid w:val="00A25B07"/>
    <w:rsid w:val="00A41A9C"/>
    <w:rsid w:val="00A43E66"/>
    <w:rsid w:val="00A4462B"/>
    <w:rsid w:val="00A56DA6"/>
    <w:rsid w:val="00A707D0"/>
    <w:rsid w:val="00A74769"/>
    <w:rsid w:val="00A974E7"/>
    <w:rsid w:val="00AA6C14"/>
    <w:rsid w:val="00AA7226"/>
    <w:rsid w:val="00AC349D"/>
    <w:rsid w:val="00AC7B53"/>
    <w:rsid w:val="00AD0DB5"/>
    <w:rsid w:val="00AE7DBB"/>
    <w:rsid w:val="00AF2F43"/>
    <w:rsid w:val="00AF37AD"/>
    <w:rsid w:val="00AF42D1"/>
    <w:rsid w:val="00AF7CC8"/>
    <w:rsid w:val="00B07618"/>
    <w:rsid w:val="00B104B0"/>
    <w:rsid w:val="00B10EB1"/>
    <w:rsid w:val="00B25125"/>
    <w:rsid w:val="00B3623C"/>
    <w:rsid w:val="00B436DB"/>
    <w:rsid w:val="00B46627"/>
    <w:rsid w:val="00B77EB3"/>
    <w:rsid w:val="00B9141F"/>
    <w:rsid w:val="00BA2DB9"/>
    <w:rsid w:val="00BA4995"/>
    <w:rsid w:val="00BB03A8"/>
    <w:rsid w:val="00BD0A09"/>
    <w:rsid w:val="00BE7148"/>
    <w:rsid w:val="00BF0801"/>
    <w:rsid w:val="00BF14A2"/>
    <w:rsid w:val="00C027B8"/>
    <w:rsid w:val="00C11A97"/>
    <w:rsid w:val="00C43EB5"/>
    <w:rsid w:val="00C57001"/>
    <w:rsid w:val="00C83676"/>
    <w:rsid w:val="00CA589C"/>
    <w:rsid w:val="00CA5D88"/>
    <w:rsid w:val="00CB53A4"/>
    <w:rsid w:val="00CD2899"/>
    <w:rsid w:val="00CE1CB4"/>
    <w:rsid w:val="00D0051B"/>
    <w:rsid w:val="00D22A8A"/>
    <w:rsid w:val="00D3174E"/>
    <w:rsid w:val="00D3338F"/>
    <w:rsid w:val="00D336E8"/>
    <w:rsid w:val="00D34667"/>
    <w:rsid w:val="00D35243"/>
    <w:rsid w:val="00D405AA"/>
    <w:rsid w:val="00D6583E"/>
    <w:rsid w:val="00D71C54"/>
    <w:rsid w:val="00D86E50"/>
    <w:rsid w:val="00D90704"/>
    <w:rsid w:val="00D90D3C"/>
    <w:rsid w:val="00DB2436"/>
    <w:rsid w:val="00DE4C82"/>
    <w:rsid w:val="00DF66A5"/>
    <w:rsid w:val="00E226DE"/>
    <w:rsid w:val="00E44630"/>
    <w:rsid w:val="00E7004E"/>
    <w:rsid w:val="00E708BB"/>
    <w:rsid w:val="00E72A84"/>
    <w:rsid w:val="00E76A2B"/>
    <w:rsid w:val="00E91139"/>
    <w:rsid w:val="00E92C6F"/>
    <w:rsid w:val="00E9515C"/>
    <w:rsid w:val="00EA4486"/>
    <w:rsid w:val="00EA66F0"/>
    <w:rsid w:val="00EA76E2"/>
    <w:rsid w:val="00EB2611"/>
    <w:rsid w:val="00ED05B2"/>
    <w:rsid w:val="00EE3834"/>
    <w:rsid w:val="00F10791"/>
    <w:rsid w:val="00F30908"/>
    <w:rsid w:val="00F32C94"/>
    <w:rsid w:val="00F7261B"/>
    <w:rsid w:val="00F838E8"/>
    <w:rsid w:val="00F85669"/>
    <w:rsid w:val="00F87CEC"/>
    <w:rsid w:val="00F925F4"/>
    <w:rsid w:val="00FA75CF"/>
    <w:rsid w:val="00FB2E0C"/>
    <w:rsid w:val="00FC143A"/>
    <w:rsid w:val="00FC2245"/>
    <w:rsid w:val="00FC39C5"/>
    <w:rsid w:val="00FF7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FEE3B"/>
  <w15:docId w15:val="{27812836-772A-44CA-A2F3-C417F48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0A0FE2"/>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0A0FE2"/>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A0FE2"/>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0A0FE2"/>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0A0FE2"/>
    <w:pPr>
      <w:spacing w:before="1440" w:line="240" w:lineRule="auto"/>
      <w:contextualSpacing/>
    </w:pPr>
    <w:rPr>
      <w:rFonts w:ascii="Georgia" w:eastAsiaTheme="majorEastAsia" w:hAnsi="Georgia" w:cstheme="majorBidi"/>
      <w:color w:val="500778"/>
      <w:spacing w:val="5"/>
      <w:sz w:val="66"/>
      <w:szCs w:val="52"/>
    </w:rPr>
  </w:style>
  <w:style w:type="character" w:customStyle="1" w:styleId="TitleChar">
    <w:name w:val="Title Char"/>
    <w:basedOn w:val="DefaultParagraphFont"/>
    <w:link w:val="Title"/>
    <w:uiPriority w:val="10"/>
    <w:rsid w:val="000A0FE2"/>
    <w:rPr>
      <w:rFonts w:ascii="Georgia" w:eastAsiaTheme="majorEastAsia" w:hAnsi="Georgia" w:cstheme="majorBidi"/>
      <w:color w:val="500778"/>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0A0FE2"/>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A0FE2"/>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0A0FE2"/>
    <w:rPr>
      <w:rFonts w:ascii="Georgia" w:eastAsia="Times New Roman" w:hAnsi="Georgia" w:cs="Times New Roman"/>
      <w:color w:val="50077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F621C"/>
    <w:pPr>
      <w:numPr>
        <w:numId w:val="1"/>
      </w:numPr>
      <w:tabs>
        <w:tab w:val="left" w:pos="170"/>
      </w:tabs>
      <w:ind w:left="170" w:hanging="170"/>
    </w:pPr>
  </w:style>
  <w:style w:type="paragraph" w:customStyle="1" w:styleId="Pullouttext">
    <w:name w:val="Pullout text"/>
    <w:next w:val="Normal"/>
    <w:link w:val="PullouttextChar"/>
    <w:uiPriority w:val="3"/>
    <w:qFormat/>
    <w:rsid w:val="000A0FE2"/>
    <w:pPr>
      <w:spacing w:before="120" w:after="120" w:line="240" w:lineRule="auto"/>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0A0FE2"/>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044C42"/>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EF0F3"/>
      </w:tcPr>
    </w:tblStylePr>
  </w:style>
  <w:style w:type="table" w:customStyle="1" w:styleId="DSSTableStyleB">
    <w:name w:val="DSS Table Style B"/>
    <w:basedOn w:val="TableNormal"/>
    <w:uiPriority w:val="99"/>
    <w:rsid w:val="000A0FE2"/>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9B5C4"/>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E9515C"/>
    <w:rPr>
      <w:sz w:val="16"/>
      <w:szCs w:val="16"/>
    </w:rPr>
  </w:style>
  <w:style w:type="paragraph" w:styleId="CommentText">
    <w:name w:val="annotation text"/>
    <w:basedOn w:val="Normal"/>
    <w:link w:val="CommentTextChar"/>
    <w:uiPriority w:val="99"/>
    <w:unhideWhenUsed/>
    <w:rsid w:val="00E9515C"/>
    <w:pPr>
      <w:spacing w:line="240" w:lineRule="auto"/>
    </w:pPr>
    <w:rPr>
      <w:sz w:val="20"/>
      <w:szCs w:val="20"/>
    </w:rPr>
  </w:style>
  <w:style w:type="character" w:customStyle="1" w:styleId="CommentTextChar">
    <w:name w:val="Comment Text Char"/>
    <w:basedOn w:val="DefaultParagraphFont"/>
    <w:link w:val="CommentText"/>
    <w:uiPriority w:val="99"/>
    <w:rsid w:val="00E9515C"/>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E9515C"/>
    <w:rPr>
      <w:b/>
      <w:bCs/>
    </w:rPr>
  </w:style>
  <w:style w:type="character" w:customStyle="1" w:styleId="CommentSubjectChar">
    <w:name w:val="Comment Subject Char"/>
    <w:basedOn w:val="CommentTextChar"/>
    <w:link w:val="CommentSubject"/>
    <w:uiPriority w:val="99"/>
    <w:semiHidden/>
    <w:rsid w:val="00E9515C"/>
    <w:rPr>
      <w:rFonts w:ascii="Arial" w:eastAsia="Times New Roman" w:hAnsi="Arial" w:cs="Times New Roman"/>
      <w:b/>
      <w:bCs/>
      <w:spacing w:val="4"/>
      <w:sz w:val="20"/>
      <w:szCs w:val="20"/>
      <w:lang w:eastAsia="en-AU"/>
    </w:rPr>
  </w:style>
  <w:style w:type="paragraph" w:styleId="Revision">
    <w:name w:val="Revision"/>
    <w:hidden/>
    <w:uiPriority w:val="99"/>
    <w:semiHidden/>
    <w:rsid w:val="005972C1"/>
    <w:pPr>
      <w:spacing w:after="0" w:line="240" w:lineRule="auto"/>
    </w:pPr>
    <w:rPr>
      <w:rFonts w:ascii="Arial" w:eastAsia="Times New Roman" w:hAnsi="Arial" w:cs="Times New Roman"/>
      <w:spacing w:val="4"/>
      <w:sz w:val="24"/>
      <w:szCs w:val="24"/>
      <w:lang w:eastAsia="en-AU"/>
    </w:rPr>
  </w:style>
  <w:style w:type="paragraph" w:styleId="FootnoteText">
    <w:name w:val="footnote text"/>
    <w:basedOn w:val="Normal"/>
    <w:link w:val="FootnoteTextChar"/>
    <w:uiPriority w:val="99"/>
    <w:semiHidden/>
    <w:unhideWhenUsed/>
    <w:rsid w:val="001B54C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B54C1"/>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1B5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4">
      <w:bodyDiv w:val="1"/>
      <w:marLeft w:val="0"/>
      <w:marRight w:val="0"/>
      <w:marTop w:val="0"/>
      <w:marBottom w:val="0"/>
      <w:divBdr>
        <w:top w:val="none" w:sz="0" w:space="0" w:color="auto"/>
        <w:left w:val="none" w:sz="0" w:space="0" w:color="auto"/>
        <w:bottom w:val="none" w:sz="0" w:space="0" w:color="auto"/>
        <w:right w:val="none" w:sz="0" w:space="0" w:color="auto"/>
      </w:divBdr>
    </w:div>
    <w:div w:id="22356819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62512264">
      <w:bodyDiv w:val="1"/>
      <w:marLeft w:val="0"/>
      <w:marRight w:val="0"/>
      <w:marTop w:val="0"/>
      <w:marBottom w:val="0"/>
      <w:divBdr>
        <w:top w:val="none" w:sz="0" w:space="0" w:color="auto"/>
        <w:left w:val="none" w:sz="0" w:space="0" w:color="auto"/>
        <w:bottom w:val="none" w:sz="0" w:space="0" w:color="auto"/>
        <w:right w:val="none" w:sz="0" w:space="0" w:color="auto"/>
      </w:divBdr>
    </w:div>
    <w:div w:id="828592856">
      <w:bodyDiv w:val="1"/>
      <w:marLeft w:val="0"/>
      <w:marRight w:val="0"/>
      <w:marTop w:val="0"/>
      <w:marBottom w:val="0"/>
      <w:divBdr>
        <w:top w:val="none" w:sz="0" w:space="0" w:color="auto"/>
        <w:left w:val="none" w:sz="0" w:space="0" w:color="auto"/>
        <w:bottom w:val="none" w:sz="0" w:space="0" w:color="auto"/>
        <w:right w:val="none" w:sz="0" w:space="0" w:color="auto"/>
      </w:divBdr>
    </w:div>
    <w:div w:id="1130636801">
      <w:bodyDiv w:val="1"/>
      <w:marLeft w:val="0"/>
      <w:marRight w:val="0"/>
      <w:marTop w:val="0"/>
      <w:marBottom w:val="0"/>
      <w:divBdr>
        <w:top w:val="none" w:sz="0" w:space="0" w:color="auto"/>
        <w:left w:val="none" w:sz="0" w:space="0" w:color="auto"/>
        <w:bottom w:val="none" w:sz="0" w:space="0" w:color="auto"/>
        <w:right w:val="none" w:sz="0" w:space="0" w:color="auto"/>
      </w:divBdr>
      <w:divsChild>
        <w:div w:id="78215692">
          <w:marLeft w:val="0"/>
          <w:marRight w:val="0"/>
          <w:marTop w:val="0"/>
          <w:marBottom w:val="0"/>
          <w:divBdr>
            <w:top w:val="none" w:sz="0" w:space="0" w:color="auto"/>
            <w:left w:val="none" w:sz="0" w:space="0" w:color="auto"/>
            <w:bottom w:val="none" w:sz="0" w:space="0" w:color="auto"/>
            <w:right w:val="none" w:sz="0" w:space="0" w:color="auto"/>
          </w:divBdr>
          <w:divsChild>
            <w:div w:id="3093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cid:image001.png@01D3FCB0.F0DC280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cid:image001.png@01D3FC16.7033F650" TargetMode="External"/><Relationship Id="rId20" Type="http://schemas.openxmlformats.org/officeDocument/2006/relationships/image" Target="cid:image002.png@01D3FCAE.82BD9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1.png@01D3FCB5.1A3EA6B0" TargetMode="External"/><Relationship Id="rId22" Type="http://schemas.openxmlformats.org/officeDocument/2006/relationships/image" Target="cid:image001.png@01D40231.D44D845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Purple.dotx" TargetMode="External"/></Relationships>
</file>

<file path=word/theme/theme1.xml><?xml version="1.0" encoding="utf-8"?>
<a:theme xmlns:a="http://schemas.openxmlformats.org/drawingml/2006/main" name="DSS Blu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DA4C-6219-48AB-BCDD-7BE3DAF8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Purple</Template>
  <TotalTime>1137</TotalTime>
  <Pages>12</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HUTCHISON, Kyra</dc:creator>
  <cp:keywords/>
  <dc:description/>
  <cp:lastModifiedBy>WHITE, Rebecca</cp:lastModifiedBy>
  <cp:revision>20</cp:revision>
  <cp:lastPrinted>2018-06-21T05:28:00Z</cp:lastPrinted>
  <dcterms:created xsi:type="dcterms:W3CDTF">2018-05-10T02:00:00Z</dcterms:created>
  <dcterms:modified xsi:type="dcterms:W3CDTF">2018-07-02T03:19:00Z</dcterms:modified>
</cp:coreProperties>
</file>