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D7E32" w14:textId="77777777" w:rsidR="007C7FC8" w:rsidRPr="00D7565C" w:rsidRDefault="0094283C" w:rsidP="007C7FC8">
      <w:pPr>
        <w:pStyle w:val="Title"/>
        <w:spacing w:before="10200"/>
        <w:rPr>
          <w:b w:val="0"/>
          <w:sz w:val="56"/>
        </w:rPr>
      </w:pPr>
      <w:bookmarkStart w:id="0" w:name="_GoBack"/>
      <w:bookmarkEnd w:id="0"/>
      <w:r>
        <w:rPr>
          <w:b w:val="0"/>
          <w:sz w:val="56"/>
        </w:rPr>
        <w:t xml:space="preserve">Public Consultation on the </w:t>
      </w:r>
      <w:r w:rsidR="007C7FC8">
        <w:rPr>
          <w:b w:val="0"/>
          <w:sz w:val="56"/>
        </w:rPr>
        <w:t>In</w:t>
      </w:r>
      <w:r>
        <w:rPr>
          <w:b w:val="0"/>
          <w:sz w:val="56"/>
        </w:rPr>
        <w:t xml:space="preserve">tegrated Carer Support Service </w:t>
      </w:r>
      <w:r w:rsidR="007C7FC8">
        <w:rPr>
          <w:b w:val="0"/>
          <w:sz w:val="56"/>
        </w:rPr>
        <w:t xml:space="preserve">Regional Delivery </w:t>
      </w:r>
      <w:r>
        <w:rPr>
          <w:b w:val="0"/>
          <w:sz w:val="56"/>
        </w:rPr>
        <w:t xml:space="preserve">Model: Summary Report </w:t>
      </w:r>
    </w:p>
    <w:p w14:paraId="031F22BA" w14:textId="77777777" w:rsidR="00B514E7" w:rsidRDefault="00B514E7">
      <w:pPr>
        <w:rPr>
          <w:rFonts w:eastAsia="Times New Roman"/>
          <w:lang w:eastAsia="en-AU"/>
        </w:rPr>
      </w:pPr>
    </w:p>
    <w:p w14:paraId="5C83F5E3" w14:textId="77777777" w:rsidR="00871FED" w:rsidRPr="00C26D3D" w:rsidRDefault="007C7FC8" w:rsidP="004A5883">
      <w:pPr>
        <w:spacing w:after="0" w:line="240" w:lineRule="auto"/>
        <w:rPr>
          <w:rFonts w:eastAsia="Times New Roman"/>
          <w:lang w:eastAsia="en-AU"/>
        </w:rPr>
      </w:pPr>
      <w:r>
        <w:rPr>
          <w:rFonts w:eastAsia="Times New Roman"/>
          <w:lang w:eastAsia="en-AU"/>
        </w:rPr>
        <w:lastRenderedPageBreak/>
        <w:t>© Commonwealth of Australia 2018</w:t>
      </w:r>
    </w:p>
    <w:p w14:paraId="4D7CE7C6" w14:textId="77777777" w:rsidR="00871FED" w:rsidRPr="00C26D3D" w:rsidRDefault="00871FED" w:rsidP="004A5883">
      <w:pPr>
        <w:spacing w:after="0" w:line="240" w:lineRule="auto"/>
        <w:rPr>
          <w:rFonts w:eastAsia="Times New Roman"/>
          <w:lang w:eastAsia="en-AU"/>
        </w:rPr>
      </w:pPr>
      <w:r w:rsidRPr="00C26D3D">
        <w:rPr>
          <w:rFonts w:eastAsia="Times New Roman"/>
          <w:lang w:eastAsia="en-AU"/>
        </w:rPr>
        <w:t>Department of Social Services</w:t>
      </w:r>
    </w:p>
    <w:p w14:paraId="4BD46D66" w14:textId="77777777" w:rsidR="00871FED" w:rsidRDefault="00871FED" w:rsidP="008D72E1">
      <w:pPr>
        <w:spacing w:line="240" w:lineRule="auto"/>
        <w:rPr>
          <w:rFonts w:eastAsia="Times New Roman"/>
          <w:lang w:eastAsia="en-AU"/>
        </w:rPr>
      </w:pPr>
      <w:r w:rsidRPr="00C26D3D">
        <w:rPr>
          <w:rFonts w:eastAsia="Times New Roman"/>
          <w:lang w:eastAsia="en-AU"/>
        </w:rPr>
        <w:t>Tuggeranong, Canberra ACT</w:t>
      </w:r>
    </w:p>
    <w:p w14:paraId="2F75AD0F" w14:textId="77777777" w:rsidR="00871FED" w:rsidRDefault="00871FED" w:rsidP="00871FED">
      <w:pPr>
        <w:spacing w:line="240" w:lineRule="auto"/>
        <w:rPr>
          <w:rFonts w:eastAsia="Times New Roman"/>
          <w:lang w:eastAsia="en-AU"/>
        </w:rPr>
      </w:pPr>
      <w:r>
        <w:rPr>
          <w:noProof/>
          <w:lang w:eastAsia="en-AU"/>
        </w:rPr>
        <w:drawing>
          <wp:inline distT="0" distB="0" distL="0" distR="0" wp14:anchorId="3162C31F" wp14:editId="34E455A7">
            <wp:extent cx="1446530" cy="510540"/>
            <wp:effectExtent l="0" t="0" r="1270" b="3810"/>
            <wp:docPr id="12" name="Picture 12" descr="Creative Commons stand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46530" cy="510540"/>
                    </a:xfrm>
                    <a:prstGeom prst="rect">
                      <a:avLst/>
                    </a:prstGeom>
                  </pic:spPr>
                </pic:pic>
              </a:graphicData>
            </a:graphic>
          </wp:inline>
        </w:drawing>
      </w:r>
    </w:p>
    <w:p w14:paraId="507CEB78" w14:textId="77777777" w:rsidR="00871FED" w:rsidRDefault="00871FED" w:rsidP="00871FED">
      <w:pPr>
        <w:spacing w:after="600" w:line="240" w:lineRule="auto"/>
        <w:rPr>
          <w:rFonts w:eastAsia="Times New Roman"/>
          <w:lang w:eastAsia="en-AU"/>
        </w:rPr>
      </w:pPr>
      <w:r w:rsidRPr="00C26D3D">
        <w:rPr>
          <w:rFonts w:eastAsia="Times New Roman"/>
          <w:lang w:eastAsia="en-AU"/>
        </w:rPr>
        <w:t>With the exception of the Commonwealth Coat of Arms, all material presented under a Creative Commons Attribution 3.0 Australia licence (</w:t>
      </w:r>
      <w:hyperlink r:id="rId8" w:history="1">
        <w:r w:rsidRPr="00C26D3D">
          <w:rPr>
            <w:rStyle w:val="Hyperlink"/>
            <w:rFonts w:eastAsia="Times New Roman"/>
            <w:lang w:eastAsia="en-AU"/>
          </w:rPr>
          <w:t>www.creativecommons.org/licenses/by/3.0/au</w:t>
        </w:r>
      </w:hyperlink>
      <w:r w:rsidRPr="00C26D3D">
        <w:rPr>
          <w:rFonts w:eastAsia="Times New Roman"/>
          <w:lang w:eastAsia="en-AU"/>
        </w:rPr>
        <w:t xml:space="preserve">). </w:t>
      </w:r>
    </w:p>
    <w:p w14:paraId="63623E52" w14:textId="77777777" w:rsidR="00871FED" w:rsidRPr="00C26D3D" w:rsidRDefault="00871FED" w:rsidP="00871FED">
      <w:pPr>
        <w:spacing w:after="600" w:line="240" w:lineRule="auto"/>
        <w:rPr>
          <w:rFonts w:eastAsia="Times New Roman"/>
          <w:lang w:eastAsia="en-AU"/>
        </w:rPr>
      </w:pPr>
      <w:r w:rsidRPr="00C26D3D">
        <w:rPr>
          <w:rFonts w:eastAsia="Times New Roman"/>
          <w:lang w:eastAsia="en-AU"/>
        </w:rPr>
        <w:t>The details of the relevant licence conditions are available on the Creative Commons website (accessible using the links provided).</w:t>
      </w:r>
    </w:p>
    <w:p w14:paraId="4AFDC6ED" w14:textId="77777777" w:rsidR="00871FED" w:rsidRDefault="00871FED" w:rsidP="00871FED">
      <w:pPr>
        <w:spacing w:line="240" w:lineRule="auto"/>
        <w:rPr>
          <w:rFonts w:eastAsia="Times New Roman"/>
          <w:lang w:eastAsia="en-AU"/>
        </w:rPr>
      </w:pPr>
      <w:r w:rsidRPr="00C26D3D">
        <w:rPr>
          <w:rFonts w:eastAsia="Times New Roman"/>
          <w:lang w:eastAsia="en-AU"/>
        </w:rPr>
        <w:t>This document m</w:t>
      </w:r>
      <w:r>
        <w:rPr>
          <w:rFonts w:eastAsia="Times New Roman"/>
          <w:lang w:eastAsia="en-AU"/>
        </w:rPr>
        <w:t>ust be attributed as:</w:t>
      </w:r>
      <w:r w:rsidRPr="00C26D3D">
        <w:rPr>
          <w:rFonts w:eastAsia="Times New Roman"/>
          <w:lang w:eastAsia="en-AU"/>
        </w:rPr>
        <w:t xml:space="preserve"> </w:t>
      </w:r>
    </w:p>
    <w:p w14:paraId="04C54499" w14:textId="77777777" w:rsidR="00871FED" w:rsidRPr="00871FED" w:rsidRDefault="007C7FC8" w:rsidP="00871FED">
      <w:pPr>
        <w:spacing w:line="240" w:lineRule="auto"/>
        <w:ind w:left="426" w:right="380"/>
        <w:rPr>
          <w:rFonts w:eastAsia="Times New Roman"/>
          <w:i/>
          <w:lang w:eastAsia="en-AU"/>
        </w:rPr>
      </w:pPr>
      <w:r w:rsidRPr="003A347E">
        <w:rPr>
          <w:rFonts w:eastAsia="Times New Roman"/>
          <w:i/>
          <w:lang w:eastAsia="en-AU"/>
        </w:rPr>
        <w:t>Dep</w:t>
      </w:r>
      <w:r>
        <w:rPr>
          <w:rFonts w:eastAsia="Times New Roman"/>
          <w:i/>
          <w:lang w:eastAsia="en-AU"/>
        </w:rPr>
        <w:t>artment of Social Services. 2018</w:t>
      </w:r>
      <w:r w:rsidRPr="003A347E">
        <w:rPr>
          <w:rFonts w:eastAsia="Times New Roman"/>
          <w:i/>
          <w:lang w:eastAsia="en-AU"/>
        </w:rPr>
        <w:t xml:space="preserve">. </w:t>
      </w:r>
      <w:r w:rsidR="00344C01">
        <w:rPr>
          <w:rFonts w:eastAsia="Times New Roman"/>
          <w:i/>
          <w:lang w:eastAsia="en-AU"/>
        </w:rPr>
        <w:t xml:space="preserve">Public Consultation on the Integrated Carer Support Service Regional Delivery Model: Summary Report </w:t>
      </w:r>
      <w:r w:rsidR="00871FED">
        <w:br w:type="page"/>
      </w:r>
    </w:p>
    <w:sdt>
      <w:sdtPr>
        <w:rPr>
          <w:rFonts w:asciiTheme="minorHAnsi" w:eastAsiaTheme="minorHAnsi" w:hAnsiTheme="minorHAnsi" w:cstheme="minorBidi"/>
          <w:b w:val="0"/>
          <w:color w:val="auto"/>
          <w:spacing w:val="0"/>
          <w:kern w:val="0"/>
          <w:sz w:val="22"/>
          <w:szCs w:val="22"/>
        </w:rPr>
        <w:id w:val="1819693182"/>
        <w:docPartObj>
          <w:docPartGallery w:val="Table of Contents"/>
          <w:docPartUnique/>
        </w:docPartObj>
      </w:sdtPr>
      <w:sdtEndPr>
        <w:rPr>
          <w:bCs/>
          <w:noProof/>
        </w:rPr>
      </w:sdtEndPr>
      <w:sdtContent>
        <w:p w14:paraId="1EE55489" w14:textId="77777777" w:rsidR="001E7639" w:rsidRPr="00384D3A" w:rsidRDefault="001E7639" w:rsidP="00384D3A">
          <w:pPr>
            <w:pStyle w:val="Title"/>
            <w:rPr>
              <w:rStyle w:val="TitleChar"/>
              <w:b/>
            </w:rPr>
          </w:pPr>
          <w:r w:rsidRPr="00384D3A">
            <w:rPr>
              <w:rStyle w:val="TitleChar"/>
              <w:b/>
            </w:rPr>
            <w:t>Contents</w:t>
          </w:r>
        </w:p>
        <w:p w14:paraId="5EE8D306" w14:textId="77777777" w:rsidR="001E7639" w:rsidRDefault="001E7639">
          <w:pPr>
            <w:pStyle w:val="TOC1"/>
          </w:pPr>
        </w:p>
        <w:p w14:paraId="1D3DA51E" w14:textId="0D391BF2" w:rsidR="002E24DF" w:rsidRDefault="001E7639">
          <w:pPr>
            <w:pStyle w:val="TOC1"/>
            <w:tabs>
              <w:tab w:val="left" w:pos="440"/>
            </w:tabs>
            <w:rPr>
              <w:rFonts w:eastAsiaTheme="minorEastAsia"/>
              <w:b w:val="0"/>
              <w:lang w:eastAsia="en-AU"/>
            </w:rPr>
          </w:pPr>
          <w:r>
            <w:fldChar w:fldCharType="begin"/>
          </w:r>
          <w:r>
            <w:instrText xml:space="preserve"> TOC \o "1-3" \h \z \u </w:instrText>
          </w:r>
          <w:r>
            <w:fldChar w:fldCharType="separate"/>
          </w:r>
          <w:hyperlink w:anchor="_Toc516557322" w:history="1">
            <w:r w:rsidR="002E24DF" w:rsidRPr="008100F4">
              <w:rPr>
                <w:rStyle w:val="Hyperlink"/>
              </w:rPr>
              <w:t>1.</w:t>
            </w:r>
            <w:r w:rsidR="002E24DF">
              <w:rPr>
                <w:rFonts w:eastAsiaTheme="minorEastAsia"/>
                <w:b w:val="0"/>
                <w:lang w:eastAsia="en-AU"/>
              </w:rPr>
              <w:tab/>
            </w:r>
            <w:r w:rsidR="002E24DF" w:rsidRPr="008100F4">
              <w:rPr>
                <w:rStyle w:val="Hyperlink"/>
              </w:rPr>
              <w:t>Executive Summary</w:t>
            </w:r>
            <w:r w:rsidR="002E24DF">
              <w:rPr>
                <w:webHidden/>
              </w:rPr>
              <w:tab/>
            </w:r>
            <w:r w:rsidR="002E24DF">
              <w:rPr>
                <w:webHidden/>
              </w:rPr>
              <w:fldChar w:fldCharType="begin"/>
            </w:r>
            <w:r w:rsidR="002E24DF">
              <w:rPr>
                <w:webHidden/>
              </w:rPr>
              <w:instrText xml:space="preserve"> PAGEREF _Toc516557322 \h </w:instrText>
            </w:r>
            <w:r w:rsidR="002E24DF">
              <w:rPr>
                <w:webHidden/>
              </w:rPr>
            </w:r>
            <w:r w:rsidR="002E24DF">
              <w:rPr>
                <w:webHidden/>
              </w:rPr>
              <w:fldChar w:fldCharType="separate"/>
            </w:r>
            <w:r w:rsidR="00406F4B">
              <w:rPr>
                <w:webHidden/>
              </w:rPr>
              <w:t>4</w:t>
            </w:r>
            <w:r w:rsidR="002E24DF">
              <w:rPr>
                <w:webHidden/>
              </w:rPr>
              <w:fldChar w:fldCharType="end"/>
            </w:r>
          </w:hyperlink>
        </w:p>
        <w:p w14:paraId="60F44311" w14:textId="589578C6" w:rsidR="002E24DF" w:rsidRDefault="00EC688F">
          <w:pPr>
            <w:pStyle w:val="TOC1"/>
            <w:tabs>
              <w:tab w:val="left" w:pos="440"/>
            </w:tabs>
            <w:rPr>
              <w:rFonts w:eastAsiaTheme="minorEastAsia"/>
              <w:b w:val="0"/>
              <w:lang w:eastAsia="en-AU"/>
            </w:rPr>
          </w:pPr>
          <w:hyperlink w:anchor="_Toc516557323" w:history="1">
            <w:r w:rsidR="002E24DF" w:rsidRPr="008100F4">
              <w:rPr>
                <w:rStyle w:val="Hyperlink"/>
              </w:rPr>
              <w:t>2.</w:t>
            </w:r>
            <w:r w:rsidR="002E24DF">
              <w:rPr>
                <w:rFonts w:eastAsiaTheme="minorEastAsia"/>
                <w:b w:val="0"/>
                <w:lang w:eastAsia="en-AU"/>
              </w:rPr>
              <w:tab/>
            </w:r>
            <w:r w:rsidR="002E24DF" w:rsidRPr="008100F4">
              <w:rPr>
                <w:rStyle w:val="Hyperlink"/>
              </w:rPr>
              <w:t>Context</w:t>
            </w:r>
            <w:r w:rsidR="002E24DF">
              <w:rPr>
                <w:webHidden/>
              </w:rPr>
              <w:tab/>
            </w:r>
            <w:r w:rsidR="002E24DF">
              <w:rPr>
                <w:webHidden/>
              </w:rPr>
              <w:fldChar w:fldCharType="begin"/>
            </w:r>
            <w:r w:rsidR="002E24DF">
              <w:rPr>
                <w:webHidden/>
              </w:rPr>
              <w:instrText xml:space="preserve"> PAGEREF _Toc516557323 \h </w:instrText>
            </w:r>
            <w:r w:rsidR="002E24DF">
              <w:rPr>
                <w:webHidden/>
              </w:rPr>
            </w:r>
            <w:r w:rsidR="002E24DF">
              <w:rPr>
                <w:webHidden/>
              </w:rPr>
              <w:fldChar w:fldCharType="separate"/>
            </w:r>
            <w:r w:rsidR="00406F4B">
              <w:rPr>
                <w:webHidden/>
              </w:rPr>
              <w:t>4</w:t>
            </w:r>
            <w:r w:rsidR="002E24DF">
              <w:rPr>
                <w:webHidden/>
              </w:rPr>
              <w:fldChar w:fldCharType="end"/>
            </w:r>
          </w:hyperlink>
        </w:p>
        <w:p w14:paraId="15BDD4D8" w14:textId="38C97AAE" w:rsidR="002E24DF" w:rsidRDefault="00EC688F">
          <w:pPr>
            <w:pStyle w:val="TOC1"/>
            <w:tabs>
              <w:tab w:val="left" w:pos="440"/>
            </w:tabs>
            <w:rPr>
              <w:rFonts w:eastAsiaTheme="minorEastAsia"/>
              <w:b w:val="0"/>
              <w:lang w:eastAsia="en-AU"/>
            </w:rPr>
          </w:pPr>
          <w:hyperlink w:anchor="_Toc516557324" w:history="1">
            <w:r w:rsidR="002E24DF" w:rsidRPr="008100F4">
              <w:rPr>
                <w:rStyle w:val="Hyperlink"/>
              </w:rPr>
              <w:t>3.</w:t>
            </w:r>
            <w:r w:rsidR="002E24DF">
              <w:rPr>
                <w:rFonts w:eastAsiaTheme="minorEastAsia"/>
                <w:b w:val="0"/>
                <w:lang w:eastAsia="en-AU"/>
              </w:rPr>
              <w:tab/>
            </w:r>
            <w:r w:rsidR="002E24DF" w:rsidRPr="008100F4">
              <w:rPr>
                <w:rStyle w:val="Hyperlink"/>
              </w:rPr>
              <w:t>A Word of Thanks</w:t>
            </w:r>
            <w:r w:rsidR="002E24DF">
              <w:rPr>
                <w:webHidden/>
              </w:rPr>
              <w:tab/>
            </w:r>
            <w:r w:rsidR="002E24DF">
              <w:rPr>
                <w:webHidden/>
              </w:rPr>
              <w:fldChar w:fldCharType="begin"/>
            </w:r>
            <w:r w:rsidR="002E24DF">
              <w:rPr>
                <w:webHidden/>
              </w:rPr>
              <w:instrText xml:space="preserve"> PAGEREF _Toc516557324 \h </w:instrText>
            </w:r>
            <w:r w:rsidR="002E24DF">
              <w:rPr>
                <w:webHidden/>
              </w:rPr>
            </w:r>
            <w:r w:rsidR="002E24DF">
              <w:rPr>
                <w:webHidden/>
              </w:rPr>
              <w:fldChar w:fldCharType="separate"/>
            </w:r>
            <w:r w:rsidR="00406F4B">
              <w:rPr>
                <w:webHidden/>
              </w:rPr>
              <w:t>5</w:t>
            </w:r>
            <w:r w:rsidR="002E24DF">
              <w:rPr>
                <w:webHidden/>
              </w:rPr>
              <w:fldChar w:fldCharType="end"/>
            </w:r>
          </w:hyperlink>
        </w:p>
        <w:p w14:paraId="2E9B2B00" w14:textId="1706110A" w:rsidR="002E24DF" w:rsidRDefault="00EC688F">
          <w:pPr>
            <w:pStyle w:val="TOC1"/>
            <w:tabs>
              <w:tab w:val="left" w:pos="440"/>
            </w:tabs>
            <w:rPr>
              <w:rFonts w:eastAsiaTheme="minorEastAsia"/>
              <w:b w:val="0"/>
              <w:lang w:eastAsia="en-AU"/>
            </w:rPr>
          </w:pPr>
          <w:hyperlink w:anchor="_Toc516557325" w:history="1">
            <w:r w:rsidR="002E24DF" w:rsidRPr="008100F4">
              <w:rPr>
                <w:rStyle w:val="Hyperlink"/>
              </w:rPr>
              <w:t>4.</w:t>
            </w:r>
            <w:r w:rsidR="002E24DF">
              <w:rPr>
                <w:rFonts w:eastAsiaTheme="minorEastAsia"/>
                <w:b w:val="0"/>
                <w:lang w:eastAsia="en-AU"/>
              </w:rPr>
              <w:tab/>
            </w:r>
            <w:r w:rsidR="002E24DF" w:rsidRPr="008100F4">
              <w:rPr>
                <w:rStyle w:val="Hyperlink"/>
              </w:rPr>
              <w:t>About the Public Consultation</w:t>
            </w:r>
            <w:r w:rsidR="002E24DF">
              <w:rPr>
                <w:webHidden/>
              </w:rPr>
              <w:tab/>
            </w:r>
            <w:r w:rsidR="002E24DF">
              <w:rPr>
                <w:webHidden/>
              </w:rPr>
              <w:fldChar w:fldCharType="begin"/>
            </w:r>
            <w:r w:rsidR="002E24DF">
              <w:rPr>
                <w:webHidden/>
              </w:rPr>
              <w:instrText xml:space="preserve"> PAGEREF _Toc516557325 \h </w:instrText>
            </w:r>
            <w:r w:rsidR="002E24DF">
              <w:rPr>
                <w:webHidden/>
              </w:rPr>
            </w:r>
            <w:r w:rsidR="002E24DF">
              <w:rPr>
                <w:webHidden/>
              </w:rPr>
              <w:fldChar w:fldCharType="separate"/>
            </w:r>
            <w:r w:rsidR="00406F4B">
              <w:rPr>
                <w:webHidden/>
              </w:rPr>
              <w:t>5</w:t>
            </w:r>
            <w:r w:rsidR="002E24DF">
              <w:rPr>
                <w:webHidden/>
              </w:rPr>
              <w:fldChar w:fldCharType="end"/>
            </w:r>
          </w:hyperlink>
        </w:p>
        <w:p w14:paraId="11CD7240" w14:textId="4B6EBD90" w:rsidR="002E24DF" w:rsidRDefault="00EC688F">
          <w:pPr>
            <w:pStyle w:val="TOC2"/>
            <w:tabs>
              <w:tab w:val="left" w:pos="880"/>
              <w:tab w:val="right" w:leader="dot" w:pos="9016"/>
            </w:tabs>
            <w:rPr>
              <w:rFonts w:eastAsiaTheme="minorEastAsia"/>
              <w:noProof/>
              <w:lang w:eastAsia="en-AU"/>
            </w:rPr>
          </w:pPr>
          <w:hyperlink w:anchor="_Toc516557326" w:history="1">
            <w:r w:rsidR="002E24DF" w:rsidRPr="008100F4">
              <w:rPr>
                <w:rStyle w:val="Hyperlink"/>
                <w:noProof/>
              </w:rPr>
              <w:t>4.1.</w:t>
            </w:r>
            <w:r w:rsidR="002E24DF">
              <w:rPr>
                <w:rFonts w:eastAsiaTheme="minorEastAsia"/>
                <w:noProof/>
                <w:lang w:eastAsia="en-AU"/>
              </w:rPr>
              <w:tab/>
            </w:r>
            <w:r w:rsidR="002E24DF" w:rsidRPr="008100F4">
              <w:rPr>
                <w:rStyle w:val="Hyperlink"/>
                <w:noProof/>
              </w:rPr>
              <w:t>Submissions received</w:t>
            </w:r>
            <w:r w:rsidR="002E24DF">
              <w:rPr>
                <w:noProof/>
                <w:webHidden/>
              </w:rPr>
              <w:tab/>
            </w:r>
            <w:r w:rsidR="002E24DF">
              <w:rPr>
                <w:noProof/>
                <w:webHidden/>
              </w:rPr>
              <w:fldChar w:fldCharType="begin"/>
            </w:r>
            <w:r w:rsidR="002E24DF">
              <w:rPr>
                <w:noProof/>
                <w:webHidden/>
              </w:rPr>
              <w:instrText xml:space="preserve"> PAGEREF _Toc516557326 \h </w:instrText>
            </w:r>
            <w:r w:rsidR="002E24DF">
              <w:rPr>
                <w:noProof/>
                <w:webHidden/>
              </w:rPr>
            </w:r>
            <w:r w:rsidR="002E24DF">
              <w:rPr>
                <w:noProof/>
                <w:webHidden/>
              </w:rPr>
              <w:fldChar w:fldCharType="separate"/>
            </w:r>
            <w:r w:rsidR="00406F4B">
              <w:rPr>
                <w:noProof/>
                <w:webHidden/>
              </w:rPr>
              <w:t>5</w:t>
            </w:r>
            <w:r w:rsidR="002E24DF">
              <w:rPr>
                <w:noProof/>
                <w:webHidden/>
              </w:rPr>
              <w:fldChar w:fldCharType="end"/>
            </w:r>
          </w:hyperlink>
        </w:p>
        <w:p w14:paraId="11A4AD29" w14:textId="127DB82B" w:rsidR="002E24DF" w:rsidRDefault="00EC688F">
          <w:pPr>
            <w:pStyle w:val="TOC1"/>
            <w:tabs>
              <w:tab w:val="left" w:pos="440"/>
            </w:tabs>
            <w:rPr>
              <w:rFonts w:eastAsiaTheme="minorEastAsia"/>
              <w:b w:val="0"/>
              <w:lang w:eastAsia="en-AU"/>
            </w:rPr>
          </w:pPr>
          <w:hyperlink w:anchor="_Toc516557327" w:history="1">
            <w:r w:rsidR="002E24DF" w:rsidRPr="008100F4">
              <w:rPr>
                <w:rStyle w:val="Hyperlink"/>
              </w:rPr>
              <w:t>5.</w:t>
            </w:r>
            <w:r w:rsidR="002E24DF">
              <w:rPr>
                <w:rFonts w:eastAsiaTheme="minorEastAsia"/>
                <w:b w:val="0"/>
                <w:lang w:eastAsia="en-AU"/>
              </w:rPr>
              <w:tab/>
            </w:r>
            <w:r w:rsidR="002E24DF" w:rsidRPr="008100F4">
              <w:rPr>
                <w:rStyle w:val="Hyperlink"/>
              </w:rPr>
              <w:t>Key themes</w:t>
            </w:r>
            <w:r w:rsidR="002E24DF">
              <w:rPr>
                <w:webHidden/>
              </w:rPr>
              <w:tab/>
            </w:r>
            <w:r w:rsidR="002E24DF">
              <w:rPr>
                <w:webHidden/>
              </w:rPr>
              <w:fldChar w:fldCharType="begin"/>
            </w:r>
            <w:r w:rsidR="002E24DF">
              <w:rPr>
                <w:webHidden/>
              </w:rPr>
              <w:instrText xml:space="preserve"> PAGEREF _Toc516557327 \h </w:instrText>
            </w:r>
            <w:r w:rsidR="002E24DF">
              <w:rPr>
                <w:webHidden/>
              </w:rPr>
            </w:r>
            <w:r w:rsidR="002E24DF">
              <w:rPr>
                <w:webHidden/>
              </w:rPr>
              <w:fldChar w:fldCharType="separate"/>
            </w:r>
            <w:r w:rsidR="00406F4B">
              <w:rPr>
                <w:webHidden/>
              </w:rPr>
              <w:t>5</w:t>
            </w:r>
            <w:r w:rsidR="002E24DF">
              <w:rPr>
                <w:webHidden/>
              </w:rPr>
              <w:fldChar w:fldCharType="end"/>
            </w:r>
          </w:hyperlink>
        </w:p>
        <w:p w14:paraId="7593C24D" w14:textId="68B6DB3B" w:rsidR="002E24DF" w:rsidRDefault="00EC688F">
          <w:pPr>
            <w:pStyle w:val="TOC2"/>
            <w:tabs>
              <w:tab w:val="left" w:pos="880"/>
              <w:tab w:val="right" w:leader="dot" w:pos="9016"/>
            </w:tabs>
            <w:rPr>
              <w:rFonts w:eastAsiaTheme="minorEastAsia"/>
              <w:noProof/>
              <w:lang w:eastAsia="en-AU"/>
            </w:rPr>
          </w:pPr>
          <w:hyperlink w:anchor="_Toc516557328" w:history="1">
            <w:r w:rsidR="002E24DF" w:rsidRPr="008100F4">
              <w:rPr>
                <w:rStyle w:val="Hyperlink"/>
                <w:noProof/>
              </w:rPr>
              <w:t>5.1.</w:t>
            </w:r>
            <w:r w:rsidR="002E24DF">
              <w:rPr>
                <w:rFonts w:eastAsiaTheme="minorEastAsia"/>
                <w:noProof/>
                <w:lang w:eastAsia="en-AU"/>
              </w:rPr>
              <w:tab/>
            </w:r>
            <w:r w:rsidR="002E24DF" w:rsidRPr="008100F4">
              <w:rPr>
                <w:rStyle w:val="Hyperlink"/>
                <w:noProof/>
              </w:rPr>
              <w:t>Feedback on proposed service areas</w:t>
            </w:r>
            <w:r w:rsidR="002E24DF">
              <w:rPr>
                <w:noProof/>
                <w:webHidden/>
              </w:rPr>
              <w:tab/>
            </w:r>
            <w:r w:rsidR="002E24DF">
              <w:rPr>
                <w:noProof/>
                <w:webHidden/>
              </w:rPr>
              <w:fldChar w:fldCharType="begin"/>
            </w:r>
            <w:r w:rsidR="002E24DF">
              <w:rPr>
                <w:noProof/>
                <w:webHidden/>
              </w:rPr>
              <w:instrText xml:space="preserve"> PAGEREF _Toc516557328 \h </w:instrText>
            </w:r>
            <w:r w:rsidR="002E24DF">
              <w:rPr>
                <w:noProof/>
                <w:webHidden/>
              </w:rPr>
            </w:r>
            <w:r w:rsidR="002E24DF">
              <w:rPr>
                <w:noProof/>
                <w:webHidden/>
              </w:rPr>
              <w:fldChar w:fldCharType="separate"/>
            </w:r>
            <w:r w:rsidR="00406F4B">
              <w:rPr>
                <w:noProof/>
                <w:webHidden/>
              </w:rPr>
              <w:t>5</w:t>
            </w:r>
            <w:r w:rsidR="002E24DF">
              <w:rPr>
                <w:noProof/>
                <w:webHidden/>
              </w:rPr>
              <w:fldChar w:fldCharType="end"/>
            </w:r>
          </w:hyperlink>
        </w:p>
        <w:p w14:paraId="4091FDF5" w14:textId="4A2E64AF" w:rsidR="002E24DF" w:rsidRDefault="00EC688F">
          <w:pPr>
            <w:pStyle w:val="TOC3"/>
            <w:tabs>
              <w:tab w:val="left" w:pos="1320"/>
            </w:tabs>
            <w:rPr>
              <w:rFonts w:asciiTheme="minorHAnsi" w:eastAsiaTheme="minorEastAsia" w:hAnsiTheme="minorHAnsi"/>
              <w:lang w:eastAsia="en-AU"/>
            </w:rPr>
          </w:pPr>
          <w:hyperlink w:anchor="_Toc516557329" w:history="1">
            <w:r w:rsidR="002E24DF" w:rsidRPr="008100F4">
              <w:rPr>
                <w:rStyle w:val="Hyperlink"/>
              </w:rPr>
              <w:t>5.1.1.</w:t>
            </w:r>
            <w:r w:rsidR="002E24DF">
              <w:rPr>
                <w:rFonts w:asciiTheme="minorHAnsi" w:eastAsiaTheme="minorEastAsia" w:hAnsiTheme="minorHAnsi"/>
                <w:lang w:eastAsia="en-AU"/>
              </w:rPr>
              <w:tab/>
            </w:r>
            <w:r w:rsidR="002E24DF" w:rsidRPr="008100F4">
              <w:rPr>
                <w:rStyle w:val="Hyperlink"/>
              </w:rPr>
              <w:t>Approach to structuring service areas</w:t>
            </w:r>
            <w:r w:rsidR="002E24DF">
              <w:rPr>
                <w:webHidden/>
              </w:rPr>
              <w:tab/>
            </w:r>
            <w:r w:rsidR="002E24DF">
              <w:rPr>
                <w:webHidden/>
              </w:rPr>
              <w:fldChar w:fldCharType="begin"/>
            </w:r>
            <w:r w:rsidR="002E24DF">
              <w:rPr>
                <w:webHidden/>
              </w:rPr>
              <w:instrText xml:space="preserve"> PAGEREF _Toc516557329 \h </w:instrText>
            </w:r>
            <w:r w:rsidR="002E24DF">
              <w:rPr>
                <w:webHidden/>
              </w:rPr>
            </w:r>
            <w:r w:rsidR="002E24DF">
              <w:rPr>
                <w:webHidden/>
              </w:rPr>
              <w:fldChar w:fldCharType="separate"/>
            </w:r>
            <w:r w:rsidR="00406F4B">
              <w:rPr>
                <w:webHidden/>
              </w:rPr>
              <w:t>5</w:t>
            </w:r>
            <w:r w:rsidR="002E24DF">
              <w:rPr>
                <w:webHidden/>
              </w:rPr>
              <w:fldChar w:fldCharType="end"/>
            </w:r>
          </w:hyperlink>
        </w:p>
        <w:p w14:paraId="3BC86EC1" w14:textId="5DF6EF79" w:rsidR="002E24DF" w:rsidRDefault="00EC688F">
          <w:pPr>
            <w:pStyle w:val="TOC3"/>
            <w:tabs>
              <w:tab w:val="left" w:pos="1320"/>
            </w:tabs>
            <w:rPr>
              <w:rFonts w:asciiTheme="minorHAnsi" w:eastAsiaTheme="minorEastAsia" w:hAnsiTheme="minorHAnsi"/>
              <w:lang w:eastAsia="en-AU"/>
            </w:rPr>
          </w:pPr>
          <w:hyperlink w:anchor="_Toc516557330" w:history="1">
            <w:r w:rsidR="002E24DF" w:rsidRPr="008100F4">
              <w:rPr>
                <w:rStyle w:val="Hyperlink"/>
              </w:rPr>
              <w:t>5.1.2.</w:t>
            </w:r>
            <w:r w:rsidR="002E24DF">
              <w:rPr>
                <w:rFonts w:asciiTheme="minorHAnsi" w:eastAsiaTheme="minorEastAsia" w:hAnsiTheme="minorHAnsi"/>
                <w:lang w:eastAsia="en-AU"/>
              </w:rPr>
              <w:tab/>
            </w:r>
            <w:r w:rsidR="002E24DF" w:rsidRPr="008100F4">
              <w:rPr>
                <w:rStyle w:val="Hyperlink"/>
              </w:rPr>
              <w:t>Alternate models for structuring service areas</w:t>
            </w:r>
            <w:r w:rsidR="002E24DF">
              <w:rPr>
                <w:webHidden/>
              </w:rPr>
              <w:tab/>
            </w:r>
            <w:r w:rsidR="002E24DF">
              <w:rPr>
                <w:webHidden/>
              </w:rPr>
              <w:fldChar w:fldCharType="begin"/>
            </w:r>
            <w:r w:rsidR="002E24DF">
              <w:rPr>
                <w:webHidden/>
              </w:rPr>
              <w:instrText xml:space="preserve"> PAGEREF _Toc516557330 \h </w:instrText>
            </w:r>
            <w:r w:rsidR="002E24DF">
              <w:rPr>
                <w:webHidden/>
              </w:rPr>
            </w:r>
            <w:r w:rsidR="002E24DF">
              <w:rPr>
                <w:webHidden/>
              </w:rPr>
              <w:fldChar w:fldCharType="separate"/>
            </w:r>
            <w:r w:rsidR="00406F4B">
              <w:rPr>
                <w:webHidden/>
              </w:rPr>
              <w:t>6</w:t>
            </w:r>
            <w:r w:rsidR="002E24DF">
              <w:rPr>
                <w:webHidden/>
              </w:rPr>
              <w:fldChar w:fldCharType="end"/>
            </w:r>
          </w:hyperlink>
        </w:p>
        <w:p w14:paraId="134DB849" w14:textId="7805971E" w:rsidR="002E24DF" w:rsidRDefault="00EC688F">
          <w:pPr>
            <w:pStyle w:val="TOC3"/>
            <w:tabs>
              <w:tab w:val="left" w:pos="1320"/>
            </w:tabs>
            <w:rPr>
              <w:rFonts w:asciiTheme="minorHAnsi" w:eastAsiaTheme="minorEastAsia" w:hAnsiTheme="minorHAnsi"/>
              <w:lang w:eastAsia="en-AU"/>
            </w:rPr>
          </w:pPr>
          <w:hyperlink w:anchor="_Toc516557331" w:history="1">
            <w:r w:rsidR="002E24DF" w:rsidRPr="008100F4">
              <w:rPr>
                <w:rStyle w:val="Hyperlink"/>
              </w:rPr>
              <w:t>5.1.3.</w:t>
            </w:r>
            <w:r w:rsidR="002E24DF">
              <w:rPr>
                <w:rFonts w:asciiTheme="minorHAnsi" w:eastAsiaTheme="minorEastAsia" w:hAnsiTheme="minorHAnsi"/>
                <w:lang w:eastAsia="en-AU"/>
              </w:rPr>
              <w:tab/>
            </w:r>
            <w:r w:rsidR="002E24DF" w:rsidRPr="008100F4">
              <w:rPr>
                <w:rStyle w:val="Hyperlink"/>
              </w:rPr>
              <w:t>Consortia establishment</w:t>
            </w:r>
            <w:r w:rsidR="002E24DF">
              <w:rPr>
                <w:webHidden/>
              </w:rPr>
              <w:tab/>
            </w:r>
            <w:r w:rsidR="002E24DF">
              <w:rPr>
                <w:webHidden/>
              </w:rPr>
              <w:fldChar w:fldCharType="begin"/>
            </w:r>
            <w:r w:rsidR="002E24DF">
              <w:rPr>
                <w:webHidden/>
              </w:rPr>
              <w:instrText xml:space="preserve"> PAGEREF _Toc516557331 \h </w:instrText>
            </w:r>
            <w:r w:rsidR="002E24DF">
              <w:rPr>
                <w:webHidden/>
              </w:rPr>
            </w:r>
            <w:r w:rsidR="002E24DF">
              <w:rPr>
                <w:webHidden/>
              </w:rPr>
              <w:fldChar w:fldCharType="separate"/>
            </w:r>
            <w:r w:rsidR="00406F4B">
              <w:rPr>
                <w:webHidden/>
              </w:rPr>
              <w:t>7</w:t>
            </w:r>
            <w:r w:rsidR="002E24DF">
              <w:rPr>
                <w:webHidden/>
              </w:rPr>
              <w:fldChar w:fldCharType="end"/>
            </w:r>
          </w:hyperlink>
        </w:p>
        <w:p w14:paraId="27A377A7" w14:textId="10499C01" w:rsidR="002E24DF" w:rsidRDefault="00EC688F">
          <w:pPr>
            <w:pStyle w:val="TOC3"/>
            <w:tabs>
              <w:tab w:val="left" w:pos="1320"/>
            </w:tabs>
            <w:rPr>
              <w:rFonts w:asciiTheme="minorHAnsi" w:eastAsiaTheme="minorEastAsia" w:hAnsiTheme="minorHAnsi"/>
              <w:lang w:eastAsia="en-AU"/>
            </w:rPr>
          </w:pPr>
          <w:hyperlink w:anchor="_Toc516557332" w:history="1">
            <w:r w:rsidR="002E24DF" w:rsidRPr="008100F4">
              <w:rPr>
                <w:rStyle w:val="Hyperlink"/>
              </w:rPr>
              <w:t>5.1.4.</w:t>
            </w:r>
            <w:r w:rsidR="002E24DF">
              <w:rPr>
                <w:rFonts w:asciiTheme="minorHAnsi" w:eastAsiaTheme="minorEastAsia" w:hAnsiTheme="minorHAnsi"/>
                <w:lang w:eastAsia="en-AU"/>
              </w:rPr>
              <w:tab/>
            </w:r>
            <w:r w:rsidR="002E24DF" w:rsidRPr="008100F4">
              <w:rPr>
                <w:rStyle w:val="Hyperlink"/>
              </w:rPr>
              <w:t>Service area size</w:t>
            </w:r>
            <w:r w:rsidR="002E24DF">
              <w:rPr>
                <w:webHidden/>
              </w:rPr>
              <w:tab/>
            </w:r>
            <w:r w:rsidR="002E24DF">
              <w:rPr>
                <w:webHidden/>
              </w:rPr>
              <w:fldChar w:fldCharType="begin"/>
            </w:r>
            <w:r w:rsidR="002E24DF">
              <w:rPr>
                <w:webHidden/>
              </w:rPr>
              <w:instrText xml:space="preserve"> PAGEREF _Toc516557332 \h </w:instrText>
            </w:r>
            <w:r w:rsidR="002E24DF">
              <w:rPr>
                <w:webHidden/>
              </w:rPr>
            </w:r>
            <w:r w:rsidR="002E24DF">
              <w:rPr>
                <w:webHidden/>
              </w:rPr>
              <w:fldChar w:fldCharType="separate"/>
            </w:r>
            <w:r w:rsidR="00406F4B">
              <w:rPr>
                <w:webHidden/>
              </w:rPr>
              <w:t>7</w:t>
            </w:r>
            <w:r w:rsidR="002E24DF">
              <w:rPr>
                <w:webHidden/>
              </w:rPr>
              <w:fldChar w:fldCharType="end"/>
            </w:r>
          </w:hyperlink>
        </w:p>
        <w:p w14:paraId="4531FECF" w14:textId="5E3EACAE" w:rsidR="002E24DF" w:rsidRDefault="00EC688F">
          <w:pPr>
            <w:pStyle w:val="TOC2"/>
            <w:tabs>
              <w:tab w:val="left" w:pos="880"/>
              <w:tab w:val="right" w:leader="dot" w:pos="9016"/>
            </w:tabs>
            <w:rPr>
              <w:rFonts w:eastAsiaTheme="minorEastAsia"/>
              <w:noProof/>
              <w:lang w:eastAsia="en-AU"/>
            </w:rPr>
          </w:pPr>
          <w:hyperlink w:anchor="_Toc516557333" w:history="1">
            <w:r w:rsidR="002E24DF" w:rsidRPr="008100F4">
              <w:rPr>
                <w:rStyle w:val="Hyperlink"/>
                <w:noProof/>
              </w:rPr>
              <w:t>5.2.</w:t>
            </w:r>
            <w:r w:rsidR="002E24DF">
              <w:rPr>
                <w:rFonts w:eastAsiaTheme="minorEastAsia"/>
                <w:noProof/>
                <w:lang w:eastAsia="en-AU"/>
              </w:rPr>
              <w:tab/>
            </w:r>
            <w:r w:rsidR="002E24DF" w:rsidRPr="008100F4">
              <w:rPr>
                <w:rStyle w:val="Hyperlink"/>
                <w:noProof/>
              </w:rPr>
              <w:t>Implementation, funding and service design considerations</w:t>
            </w:r>
            <w:r w:rsidR="002E24DF">
              <w:rPr>
                <w:noProof/>
                <w:webHidden/>
              </w:rPr>
              <w:tab/>
            </w:r>
            <w:r w:rsidR="002E24DF">
              <w:rPr>
                <w:noProof/>
                <w:webHidden/>
              </w:rPr>
              <w:fldChar w:fldCharType="begin"/>
            </w:r>
            <w:r w:rsidR="002E24DF">
              <w:rPr>
                <w:noProof/>
                <w:webHidden/>
              </w:rPr>
              <w:instrText xml:space="preserve"> PAGEREF _Toc516557333 \h </w:instrText>
            </w:r>
            <w:r w:rsidR="002E24DF">
              <w:rPr>
                <w:noProof/>
                <w:webHidden/>
              </w:rPr>
            </w:r>
            <w:r w:rsidR="002E24DF">
              <w:rPr>
                <w:noProof/>
                <w:webHidden/>
              </w:rPr>
              <w:fldChar w:fldCharType="separate"/>
            </w:r>
            <w:r w:rsidR="00406F4B">
              <w:rPr>
                <w:noProof/>
                <w:webHidden/>
              </w:rPr>
              <w:t>8</w:t>
            </w:r>
            <w:r w:rsidR="002E24DF">
              <w:rPr>
                <w:noProof/>
                <w:webHidden/>
              </w:rPr>
              <w:fldChar w:fldCharType="end"/>
            </w:r>
          </w:hyperlink>
        </w:p>
        <w:p w14:paraId="2A092D6F" w14:textId="592FD6C5" w:rsidR="002E24DF" w:rsidRDefault="00EC688F">
          <w:pPr>
            <w:pStyle w:val="TOC3"/>
            <w:tabs>
              <w:tab w:val="left" w:pos="1320"/>
            </w:tabs>
            <w:rPr>
              <w:rFonts w:asciiTheme="minorHAnsi" w:eastAsiaTheme="minorEastAsia" w:hAnsiTheme="minorHAnsi"/>
              <w:lang w:eastAsia="en-AU"/>
            </w:rPr>
          </w:pPr>
          <w:hyperlink w:anchor="_Toc516557334" w:history="1">
            <w:r w:rsidR="002E24DF" w:rsidRPr="008100F4">
              <w:rPr>
                <w:rStyle w:val="Hyperlink"/>
              </w:rPr>
              <w:t>5.2.1.</w:t>
            </w:r>
            <w:r w:rsidR="002E24DF">
              <w:rPr>
                <w:rFonts w:asciiTheme="minorHAnsi" w:eastAsiaTheme="minorEastAsia" w:hAnsiTheme="minorHAnsi"/>
                <w:lang w:eastAsia="en-AU"/>
              </w:rPr>
              <w:tab/>
            </w:r>
            <w:r w:rsidR="002E24DF" w:rsidRPr="008100F4">
              <w:rPr>
                <w:rStyle w:val="Hyperlink"/>
              </w:rPr>
              <w:t>Implementation and Transition</w:t>
            </w:r>
            <w:r w:rsidR="002E24DF">
              <w:rPr>
                <w:webHidden/>
              </w:rPr>
              <w:tab/>
            </w:r>
            <w:r w:rsidR="002E24DF">
              <w:rPr>
                <w:webHidden/>
              </w:rPr>
              <w:fldChar w:fldCharType="begin"/>
            </w:r>
            <w:r w:rsidR="002E24DF">
              <w:rPr>
                <w:webHidden/>
              </w:rPr>
              <w:instrText xml:space="preserve"> PAGEREF _Toc516557334 \h </w:instrText>
            </w:r>
            <w:r w:rsidR="002E24DF">
              <w:rPr>
                <w:webHidden/>
              </w:rPr>
            </w:r>
            <w:r w:rsidR="002E24DF">
              <w:rPr>
                <w:webHidden/>
              </w:rPr>
              <w:fldChar w:fldCharType="separate"/>
            </w:r>
            <w:r w:rsidR="00406F4B">
              <w:rPr>
                <w:webHidden/>
              </w:rPr>
              <w:t>8</w:t>
            </w:r>
            <w:r w:rsidR="002E24DF">
              <w:rPr>
                <w:webHidden/>
              </w:rPr>
              <w:fldChar w:fldCharType="end"/>
            </w:r>
          </w:hyperlink>
        </w:p>
        <w:p w14:paraId="3D20B3D2" w14:textId="48248E0D" w:rsidR="002E24DF" w:rsidRDefault="00EC688F">
          <w:pPr>
            <w:pStyle w:val="TOC3"/>
            <w:tabs>
              <w:tab w:val="left" w:pos="1320"/>
            </w:tabs>
            <w:rPr>
              <w:rFonts w:asciiTheme="minorHAnsi" w:eastAsiaTheme="minorEastAsia" w:hAnsiTheme="minorHAnsi"/>
              <w:lang w:eastAsia="en-AU"/>
            </w:rPr>
          </w:pPr>
          <w:hyperlink w:anchor="_Toc516557335" w:history="1">
            <w:r w:rsidR="002E24DF" w:rsidRPr="008100F4">
              <w:rPr>
                <w:rStyle w:val="Hyperlink"/>
              </w:rPr>
              <w:t>5.2.2.</w:t>
            </w:r>
            <w:r w:rsidR="002E24DF">
              <w:rPr>
                <w:rFonts w:asciiTheme="minorHAnsi" w:eastAsiaTheme="minorEastAsia" w:hAnsiTheme="minorHAnsi"/>
                <w:lang w:eastAsia="en-AU"/>
              </w:rPr>
              <w:tab/>
            </w:r>
            <w:r w:rsidR="002E24DF" w:rsidRPr="008100F4">
              <w:rPr>
                <w:rStyle w:val="Hyperlink"/>
              </w:rPr>
              <w:t>Funding Model</w:t>
            </w:r>
            <w:r w:rsidR="002E24DF">
              <w:rPr>
                <w:webHidden/>
              </w:rPr>
              <w:tab/>
            </w:r>
            <w:r w:rsidR="002E24DF">
              <w:rPr>
                <w:webHidden/>
              </w:rPr>
              <w:fldChar w:fldCharType="begin"/>
            </w:r>
            <w:r w:rsidR="002E24DF">
              <w:rPr>
                <w:webHidden/>
              </w:rPr>
              <w:instrText xml:space="preserve"> PAGEREF _Toc516557335 \h </w:instrText>
            </w:r>
            <w:r w:rsidR="002E24DF">
              <w:rPr>
                <w:webHidden/>
              </w:rPr>
            </w:r>
            <w:r w:rsidR="002E24DF">
              <w:rPr>
                <w:webHidden/>
              </w:rPr>
              <w:fldChar w:fldCharType="separate"/>
            </w:r>
            <w:r w:rsidR="00406F4B">
              <w:rPr>
                <w:webHidden/>
              </w:rPr>
              <w:t>8</w:t>
            </w:r>
            <w:r w:rsidR="002E24DF">
              <w:rPr>
                <w:webHidden/>
              </w:rPr>
              <w:fldChar w:fldCharType="end"/>
            </w:r>
          </w:hyperlink>
        </w:p>
        <w:p w14:paraId="2A9F577B" w14:textId="37B56491" w:rsidR="002E24DF" w:rsidRDefault="00EC688F">
          <w:pPr>
            <w:pStyle w:val="TOC3"/>
            <w:tabs>
              <w:tab w:val="left" w:pos="1320"/>
            </w:tabs>
            <w:rPr>
              <w:rFonts w:asciiTheme="minorHAnsi" w:eastAsiaTheme="minorEastAsia" w:hAnsiTheme="minorHAnsi"/>
              <w:lang w:eastAsia="en-AU"/>
            </w:rPr>
          </w:pPr>
          <w:hyperlink w:anchor="_Toc516557336" w:history="1">
            <w:r w:rsidR="002E24DF" w:rsidRPr="008100F4">
              <w:rPr>
                <w:rStyle w:val="Hyperlink"/>
              </w:rPr>
              <w:t>5.2.3.</w:t>
            </w:r>
            <w:r w:rsidR="002E24DF">
              <w:rPr>
                <w:rFonts w:asciiTheme="minorHAnsi" w:eastAsiaTheme="minorEastAsia" w:hAnsiTheme="minorHAnsi"/>
                <w:lang w:eastAsia="en-AU"/>
              </w:rPr>
              <w:tab/>
            </w:r>
            <w:r w:rsidR="002E24DF" w:rsidRPr="008100F4">
              <w:rPr>
                <w:rStyle w:val="Hyperlink"/>
              </w:rPr>
              <w:t>Service Design</w:t>
            </w:r>
            <w:r w:rsidR="002E24DF">
              <w:rPr>
                <w:webHidden/>
              </w:rPr>
              <w:tab/>
            </w:r>
            <w:r w:rsidR="002E24DF">
              <w:rPr>
                <w:webHidden/>
              </w:rPr>
              <w:fldChar w:fldCharType="begin"/>
            </w:r>
            <w:r w:rsidR="002E24DF">
              <w:rPr>
                <w:webHidden/>
              </w:rPr>
              <w:instrText xml:space="preserve"> PAGEREF _Toc516557336 \h </w:instrText>
            </w:r>
            <w:r w:rsidR="002E24DF">
              <w:rPr>
                <w:webHidden/>
              </w:rPr>
            </w:r>
            <w:r w:rsidR="002E24DF">
              <w:rPr>
                <w:webHidden/>
              </w:rPr>
              <w:fldChar w:fldCharType="separate"/>
            </w:r>
            <w:r w:rsidR="00406F4B">
              <w:rPr>
                <w:webHidden/>
              </w:rPr>
              <w:t>9</w:t>
            </w:r>
            <w:r w:rsidR="002E24DF">
              <w:rPr>
                <w:webHidden/>
              </w:rPr>
              <w:fldChar w:fldCharType="end"/>
            </w:r>
          </w:hyperlink>
        </w:p>
        <w:p w14:paraId="3DEBDB81" w14:textId="5E241366" w:rsidR="002E24DF" w:rsidRDefault="00EC688F">
          <w:pPr>
            <w:pStyle w:val="TOC1"/>
            <w:tabs>
              <w:tab w:val="left" w:pos="440"/>
            </w:tabs>
            <w:rPr>
              <w:rFonts w:eastAsiaTheme="minorEastAsia"/>
              <w:b w:val="0"/>
              <w:lang w:eastAsia="en-AU"/>
            </w:rPr>
          </w:pPr>
          <w:hyperlink w:anchor="_Toc516557337" w:history="1">
            <w:r w:rsidR="002E24DF" w:rsidRPr="008100F4">
              <w:rPr>
                <w:rStyle w:val="Hyperlink"/>
              </w:rPr>
              <w:t>6.</w:t>
            </w:r>
            <w:r w:rsidR="002E24DF">
              <w:rPr>
                <w:rFonts w:eastAsiaTheme="minorEastAsia"/>
                <w:b w:val="0"/>
                <w:lang w:eastAsia="en-AU"/>
              </w:rPr>
              <w:tab/>
            </w:r>
            <w:r w:rsidR="002E24DF" w:rsidRPr="008100F4">
              <w:rPr>
                <w:rStyle w:val="Hyperlink"/>
              </w:rPr>
              <w:t>Conclusion</w:t>
            </w:r>
            <w:r w:rsidR="002E24DF">
              <w:rPr>
                <w:webHidden/>
              </w:rPr>
              <w:tab/>
            </w:r>
            <w:r w:rsidR="002E24DF">
              <w:rPr>
                <w:webHidden/>
              </w:rPr>
              <w:fldChar w:fldCharType="begin"/>
            </w:r>
            <w:r w:rsidR="002E24DF">
              <w:rPr>
                <w:webHidden/>
              </w:rPr>
              <w:instrText xml:space="preserve"> PAGEREF _Toc516557337 \h </w:instrText>
            </w:r>
            <w:r w:rsidR="002E24DF">
              <w:rPr>
                <w:webHidden/>
              </w:rPr>
            </w:r>
            <w:r w:rsidR="002E24DF">
              <w:rPr>
                <w:webHidden/>
              </w:rPr>
              <w:fldChar w:fldCharType="separate"/>
            </w:r>
            <w:r w:rsidR="00406F4B">
              <w:rPr>
                <w:webHidden/>
              </w:rPr>
              <w:t>9</w:t>
            </w:r>
            <w:r w:rsidR="002E24DF">
              <w:rPr>
                <w:webHidden/>
              </w:rPr>
              <w:fldChar w:fldCharType="end"/>
            </w:r>
          </w:hyperlink>
        </w:p>
        <w:p w14:paraId="44FA0254" w14:textId="25DCA89F" w:rsidR="001E7639" w:rsidRDefault="001E7639">
          <w:r>
            <w:rPr>
              <w:b/>
              <w:bCs/>
              <w:noProof/>
            </w:rPr>
            <w:fldChar w:fldCharType="end"/>
          </w:r>
        </w:p>
      </w:sdtContent>
    </w:sdt>
    <w:p w14:paraId="46383D16" w14:textId="77777777" w:rsidR="00C1287C" w:rsidRDefault="00C1287C" w:rsidP="00384D3A">
      <w:pPr>
        <w:pStyle w:val="Heading1"/>
      </w:pPr>
      <w:r>
        <w:br w:type="page"/>
      </w:r>
    </w:p>
    <w:p w14:paraId="768C5665" w14:textId="5EC48382" w:rsidR="007C7FC8" w:rsidRPr="00F178C4" w:rsidRDefault="00545868" w:rsidP="003B3FAB">
      <w:pPr>
        <w:pStyle w:val="Heading1"/>
        <w:numPr>
          <w:ilvl w:val="0"/>
          <w:numId w:val="3"/>
        </w:numPr>
      </w:pPr>
      <w:bookmarkStart w:id="1" w:name="_Toc516557322"/>
      <w:r w:rsidRPr="00F178C4">
        <w:t>Executive Summary</w:t>
      </w:r>
      <w:bookmarkEnd w:id="1"/>
    </w:p>
    <w:p w14:paraId="190155C4" w14:textId="77777777" w:rsidR="00A86D6B" w:rsidRDefault="0085233B" w:rsidP="003E43A3">
      <w:pPr>
        <w:jc w:val="both"/>
      </w:pPr>
      <w:r>
        <w:t xml:space="preserve">The purpose of this </w:t>
      </w:r>
      <w:r w:rsidR="0017270A">
        <w:t xml:space="preserve">report </w:t>
      </w:r>
      <w:r>
        <w:t xml:space="preserve">is to summarise </w:t>
      </w:r>
      <w:r w:rsidR="0017270A">
        <w:t xml:space="preserve">the feedback </w:t>
      </w:r>
      <w:r>
        <w:t xml:space="preserve">received </w:t>
      </w:r>
      <w:r w:rsidR="009E7269">
        <w:t xml:space="preserve">by the Department of Social Services (the Department) </w:t>
      </w:r>
      <w:r w:rsidR="00A847FB">
        <w:t>on</w:t>
      </w:r>
      <w:r>
        <w:t xml:space="preserve"> the</w:t>
      </w:r>
      <w:r w:rsidR="0017270A">
        <w:t xml:space="preserve"> </w:t>
      </w:r>
      <w:r w:rsidR="00A86D6B" w:rsidRPr="00DC3C7F">
        <w:rPr>
          <w:rStyle w:val="Emphasis"/>
          <w:rFonts w:cstheme="minorHAnsi"/>
          <w:color w:val="2C2A29"/>
          <w:szCs w:val="20"/>
        </w:rPr>
        <w:t>Integrated Carer Support Service: Regional Delivery Partners: A draft regional delivery model</w:t>
      </w:r>
      <w:r w:rsidR="00A86D6B" w:rsidRPr="00DC3C7F">
        <w:rPr>
          <w:rFonts w:cstheme="minorHAnsi"/>
          <w:sz w:val="24"/>
        </w:rPr>
        <w:t> </w:t>
      </w:r>
      <w:r w:rsidR="00A86D6B" w:rsidRPr="007D6BA4">
        <w:rPr>
          <w:rFonts w:cstheme="minorHAnsi"/>
        </w:rPr>
        <w:t>discussion paper.</w:t>
      </w:r>
    </w:p>
    <w:p w14:paraId="7BE47A24" w14:textId="41B006CA" w:rsidR="003128AF" w:rsidRDefault="009839E4" w:rsidP="003E43A3">
      <w:pPr>
        <w:jc w:val="both"/>
      </w:pPr>
      <w:r>
        <w:t xml:space="preserve">The </w:t>
      </w:r>
      <w:r w:rsidR="003128AF">
        <w:t xml:space="preserve">discussion paper </w:t>
      </w:r>
      <w:r w:rsidR="00A847FB">
        <w:t xml:space="preserve">was published on the </w:t>
      </w:r>
      <w:hyperlink r:id="rId9" w:history="1">
        <w:r w:rsidR="00A847FB" w:rsidRPr="00AA39F2">
          <w:rPr>
            <w:rStyle w:val="Hyperlink"/>
          </w:rPr>
          <w:t>DSS Engage website</w:t>
        </w:r>
      </w:hyperlink>
      <w:r w:rsidR="00A847FB">
        <w:t xml:space="preserve"> and proposed </w:t>
      </w:r>
      <w:r w:rsidR="003128AF">
        <w:t>two Regional Delivery Partner (RDP) service area options</w:t>
      </w:r>
      <w:r w:rsidR="009E7269">
        <w:t>,</w:t>
      </w:r>
      <w:r w:rsidR="003128AF">
        <w:t xml:space="preserve"> </w:t>
      </w:r>
      <w:r w:rsidR="0085233B">
        <w:t>either 1</w:t>
      </w:r>
      <w:r w:rsidR="00FA349F">
        <w:t>1</w:t>
      </w:r>
      <w:r w:rsidR="0085233B">
        <w:t xml:space="preserve"> </w:t>
      </w:r>
      <w:r>
        <w:t>or</w:t>
      </w:r>
      <w:r w:rsidR="0085233B">
        <w:t xml:space="preserve"> 20 RDP service areas. T</w:t>
      </w:r>
      <w:r w:rsidR="003128AF">
        <w:t>he Department invited sector feedback on the options via written submission</w:t>
      </w:r>
      <w:r w:rsidR="0085233B">
        <w:t>s</w:t>
      </w:r>
      <w:r w:rsidR="003128AF">
        <w:t xml:space="preserve">. </w:t>
      </w:r>
    </w:p>
    <w:p w14:paraId="2573CB4B" w14:textId="5CF24339" w:rsidR="00000B42" w:rsidRDefault="005B0069" w:rsidP="003E43A3">
      <w:pPr>
        <w:jc w:val="both"/>
      </w:pPr>
      <w:r>
        <w:t xml:space="preserve">The Department received </w:t>
      </w:r>
      <w:r w:rsidR="009839E4">
        <w:t>42 submissions</w:t>
      </w:r>
      <w:r>
        <w:t>, which</w:t>
      </w:r>
      <w:r w:rsidR="009839E4">
        <w:t xml:space="preserve"> </w:t>
      </w:r>
      <w:r w:rsidR="003128AF">
        <w:t xml:space="preserve">primarily focussed on </w:t>
      </w:r>
      <w:r w:rsidR="00A364FB">
        <w:t>the viability of each of the two service area options</w:t>
      </w:r>
      <w:r w:rsidR="009839E4">
        <w:t xml:space="preserve">. </w:t>
      </w:r>
      <w:r w:rsidR="00C36D8A">
        <w:t>Some respondents specifically</w:t>
      </w:r>
      <w:r w:rsidR="00ED58E9">
        <w:t xml:space="preserve"> indicated an option preference;</w:t>
      </w:r>
      <w:r w:rsidR="00C36D8A">
        <w:t xml:space="preserve"> of those, there was a stronger preference for the 20 RDP service areas option. </w:t>
      </w:r>
      <w:r w:rsidR="00DC6E06">
        <w:t>Submissions also provided feedback on the I</w:t>
      </w:r>
      <w:r w:rsidR="0008161B">
        <w:t xml:space="preserve">ntegrated </w:t>
      </w:r>
      <w:r w:rsidR="00DC6E06">
        <w:t>C</w:t>
      </w:r>
      <w:r w:rsidR="0008161B">
        <w:t xml:space="preserve">arer </w:t>
      </w:r>
      <w:r w:rsidR="00DC6E06">
        <w:t>S</w:t>
      </w:r>
      <w:r w:rsidR="0008161B">
        <w:t xml:space="preserve">upport </w:t>
      </w:r>
      <w:r w:rsidR="00DC6E06">
        <w:t>S</w:t>
      </w:r>
      <w:r w:rsidR="0008161B">
        <w:t>ervice (ICSS)</w:t>
      </w:r>
      <w:r w:rsidR="00DC6E06">
        <w:t xml:space="preserve"> design and made suggestions on how the Department </w:t>
      </w:r>
      <w:r w:rsidR="009839E4">
        <w:t xml:space="preserve">could </w:t>
      </w:r>
      <w:r w:rsidR="00DC6E06">
        <w:t xml:space="preserve">support effective implementation of the ICSS. </w:t>
      </w:r>
    </w:p>
    <w:p w14:paraId="664ABE08" w14:textId="180AA17C" w:rsidR="00580D88" w:rsidRDefault="00000B42" w:rsidP="003E43A3">
      <w:pPr>
        <w:jc w:val="both"/>
      </w:pPr>
      <w:r>
        <w:t xml:space="preserve">Feedback on the service area options </w:t>
      </w:r>
      <w:r w:rsidR="00E93CFE">
        <w:t>will</w:t>
      </w:r>
      <w:r>
        <w:t xml:space="preserve"> </w:t>
      </w:r>
      <w:r w:rsidR="00981912">
        <w:t>inform the</w:t>
      </w:r>
      <w:r>
        <w:t xml:space="preserve"> final service area model for the ICSS and </w:t>
      </w:r>
      <w:r w:rsidR="00E93CFE">
        <w:t xml:space="preserve">recommendations </w:t>
      </w:r>
      <w:r w:rsidR="008D667C">
        <w:t>on service design and implementation will feed into activities occurring throughout</w:t>
      </w:r>
      <w:r w:rsidR="003128AF">
        <w:t xml:space="preserve"> </w:t>
      </w:r>
      <w:r w:rsidR="008D667C">
        <w:t>t</w:t>
      </w:r>
      <w:r w:rsidR="00664B9E">
        <w:t xml:space="preserve">he ICSS implementation program. </w:t>
      </w:r>
      <w:r w:rsidR="0017270A">
        <w:t xml:space="preserve"> </w:t>
      </w:r>
    </w:p>
    <w:p w14:paraId="5C69252D" w14:textId="2C10A5C8" w:rsidR="007C7FC8" w:rsidRPr="001E4012" w:rsidRDefault="00A847FB" w:rsidP="003B3FAB">
      <w:pPr>
        <w:pStyle w:val="Heading1"/>
        <w:numPr>
          <w:ilvl w:val="0"/>
          <w:numId w:val="3"/>
        </w:numPr>
      </w:pPr>
      <w:bookmarkStart w:id="2" w:name="_Toc516557323"/>
      <w:r>
        <w:t>Context</w:t>
      </w:r>
      <w:bookmarkEnd w:id="2"/>
    </w:p>
    <w:p w14:paraId="48C41B3F" w14:textId="5667116A" w:rsidR="00CE06DB" w:rsidRDefault="00CE06DB" w:rsidP="003E43A3">
      <w:pPr>
        <w:jc w:val="both"/>
      </w:pPr>
      <w:r>
        <w:t xml:space="preserve">On 5 March 2018, the Australian Government announced additional funding of $85.6 million over four years for the introduction of new services for carers. The new services form part of the </w:t>
      </w:r>
      <w:r w:rsidR="00EA7148">
        <w:t>ICSS</w:t>
      </w:r>
      <w:r>
        <w:t>.</w:t>
      </w:r>
    </w:p>
    <w:p w14:paraId="4DA1E336" w14:textId="5F288CF1" w:rsidR="00CE06DB" w:rsidRDefault="00CE06DB" w:rsidP="003E43A3">
      <w:pPr>
        <w:jc w:val="both"/>
      </w:pPr>
      <w:r>
        <w:t>The introduction of the ICSS is the third and final stage of the Government’s 2015-16 Budget commitment to develop an Integrated Plan for Carer Support Services (the Plan).</w:t>
      </w:r>
      <w:r w:rsidR="006716D7">
        <w:t xml:space="preserve"> </w:t>
      </w:r>
      <w:r>
        <w:t>Stage One of the Plan was the introduction of Carer Gateway in December 2015.</w:t>
      </w:r>
    </w:p>
    <w:p w14:paraId="56966A67" w14:textId="38592D1F" w:rsidR="00CE06DB" w:rsidRDefault="00CE06DB" w:rsidP="003E43A3">
      <w:pPr>
        <w:jc w:val="both"/>
      </w:pPr>
      <w:r>
        <w:t>Carer Gateway currently consists of a website (</w:t>
      </w:r>
      <w:hyperlink r:id="rId10" w:history="1">
        <w:r w:rsidR="00C13A32" w:rsidRPr="006C76B9">
          <w:rPr>
            <w:rStyle w:val="Hyperlink"/>
          </w:rPr>
          <w:t>www.carergateway.com.au</w:t>
        </w:r>
      </w:hyperlink>
      <w:r w:rsidR="00C13A32">
        <w:t xml:space="preserve">) </w:t>
      </w:r>
      <w:r>
        <w:t>and a national contact centre (1800 422 737).</w:t>
      </w:r>
    </w:p>
    <w:p w14:paraId="637CDED0" w14:textId="6786DDB8" w:rsidR="00CE06DB" w:rsidRDefault="00CE06DB" w:rsidP="003E43A3">
      <w:pPr>
        <w:jc w:val="both"/>
      </w:pPr>
      <w:r>
        <w:t>Stage Two of the Plan focussed on a two year process, with the Department working with the sector and carers to design a service delivery model for the ICSS.</w:t>
      </w:r>
    </w:p>
    <w:p w14:paraId="487CB2E5" w14:textId="22336427" w:rsidR="00CE06DB" w:rsidRDefault="00BD1A35" w:rsidP="003E43A3">
      <w:pPr>
        <w:jc w:val="both"/>
      </w:pPr>
      <w:r>
        <w:t xml:space="preserve">Stage Three sees the </w:t>
      </w:r>
      <w:r w:rsidR="003B3FAB">
        <w:t>implementation</w:t>
      </w:r>
      <w:r>
        <w:t xml:space="preserve"> of the ICSS.  </w:t>
      </w:r>
      <w:r w:rsidR="00CE06DB">
        <w:t>The ICSS will be implemented in two phases:</w:t>
      </w:r>
    </w:p>
    <w:p w14:paraId="1140978D" w14:textId="64FF0A31" w:rsidR="003B3FAB" w:rsidRDefault="003B3FAB" w:rsidP="003B3FAB">
      <w:pPr>
        <w:pStyle w:val="ICSSDotPoint"/>
      </w:pPr>
      <w:r>
        <w:t>From October 2018, new supports and services to assist carers will be rolled out through the Australian Government’s Carer Gateway website including online peer support, counselling, coaching and educational resources.</w:t>
      </w:r>
    </w:p>
    <w:p w14:paraId="7602B7DD" w14:textId="6E1C46C5" w:rsidR="003B3FAB" w:rsidRDefault="003B3FAB" w:rsidP="003B3FAB">
      <w:pPr>
        <w:pStyle w:val="ICSSDotPoint"/>
      </w:pPr>
      <w:r>
        <w:t xml:space="preserve">From September 2019, the Australian Government will establish a network of </w:t>
      </w:r>
      <w:r w:rsidR="00611FD7">
        <w:t>RDP</w:t>
      </w:r>
      <w:r>
        <w:t>s to help carers access a range of local services such as needs assessments, targeted financial support, information and advice, tailored phone and in-person peer support, counselling and coaching, and crisis support.</w:t>
      </w:r>
    </w:p>
    <w:p w14:paraId="0A3960F8" w14:textId="4C15C899" w:rsidR="00CE06DB" w:rsidRDefault="00CE06DB" w:rsidP="003E43A3">
      <w:pPr>
        <w:jc w:val="both"/>
      </w:pPr>
      <w:r>
        <w:t xml:space="preserve">The ICSS </w:t>
      </w:r>
      <w:r w:rsidR="00A847FB">
        <w:t>S</w:t>
      </w:r>
      <w:r>
        <w:t xml:space="preserve">ervice </w:t>
      </w:r>
      <w:r w:rsidR="00A847FB">
        <w:t>D</w:t>
      </w:r>
      <w:r>
        <w:t xml:space="preserve">elivery </w:t>
      </w:r>
      <w:r w:rsidR="00A847FB">
        <w:t>M</w:t>
      </w:r>
      <w:r>
        <w:t xml:space="preserve">odel relies on the establishment of a regional and local presence across Australia. Pivotal to the success of the ICSS model is the establishment of this presence through a number of </w:t>
      </w:r>
      <w:r w:rsidR="00EF3B20">
        <w:t>RDPs</w:t>
      </w:r>
      <w:r>
        <w:t xml:space="preserve"> who will </w:t>
      </w:r>
      <w:r w:rsidR="006C6A1D">
        <w:t>deliver and coordinate services on behalf</w:t>
      </w:r>
      <w:r>
        <w:t xml:space="preserve"> the Department.</w:t>
      </w:r>
      <w:r w:rsidR="002D5428">
        <w:t xml:space="preserve"> </w:t>
      </w:r>
    </w:p>
    <w:p w14:paraId="63E0D3E5" w14:textId="3B781D13" w:rsidR="00A63D21" w:rsidRPr="007D6BA4" w:rsidRDefault="00CE06DB" w:rsidP="003E43A3">
      <w:pPr>
        <w:jc w:val="both"/>
      </w:pPr>
      <w:r w:rsidRPr="007D6BA4">
        <w:t>In developing options for the proposed RDP service areas, the Department conducted detailed service analysis and mapping work focussing on carer population and location, data on current carer and mainstream ser</w:t>
      </w:r>
      <w:r w:rsidR="002749E9">
        <w:t>vices, as well as consideration</w:t>
      </w:r>
      <w:r w:rsidRPr="007D6BA4">
        <w:t xml:space="preserve"> of the service regions currently utilised. These options were presented in the </w:t>
      </w:r>
      <w:r w:rsidRPr="007D6BA4">
        <w:rPr>
          <w:rStyle w:val="Emphasis"/>
          <w:rFonts w:cstheme="minorHAnsi"/>
          <w:color w:val="2C2A29"/>
        </w:rPr>
        <w:t>Integrated Carer Support Service: Regional Delivery Partners: A draft regional delivery model</w:t>
      </w:r>
      <w:r w:rsidRPr="007D6BA4">
        <w:t> discussion paper.</w:t>
      </w:r>
    </w:p>
    <w:p w14:paraId="432DD4F4" w14:textId="77777777" w:rsidR="00A63D21" w:rsidRDefault="00D94ACC" w:rsidP="00384D3A">
      <w:pPr>
        <w:pStyle w:val="Heading1"/>
      </w:pPr>
      <w:bookmarkStart w:id="3" w:name="_Toc516557324"/>
      <w:r>
        <w:t xml:space="preserve">A Word of </w:t>
      </w:r>
      <w:r w:rsidR="00A63D21">
        <w:t>Thanks</w:t>
      </w:r>
      <w:bookmarkEnd w:id="3"/>
      <w:r w:rsidR="00A63D21">
        <w:t xml:space="preserve"> </w:t>
      </w:r>
    </w:p>
    <w:p w14:paraId="504F6989" w14:textId="1D59916F" w:rsidR="0009577A" w:rsidRPr="00A63D21" w:rsidRDefault="00D94ACC" w:rsidP="00530EDB">
      <w:pPr>
        <w:jc w:val="both"/>
      </w:pPr>
      <w:r>
        <w:t xml:space="preserve">The Department would like to thank all who responded to the </w:t>
      </w:r>
      <w:r w:rsidR="0056508E">
        <w:t xml:space="preserve">draft </w:t>
      </w:r>
      <w:r>
        <w:t xml:space="preserve">Regional Delivery model </w:t>
      </w:r>
      <w:r w:rsidR="00FF37E5">
        <w:t>discussion</w:t>
      </w:r>
      <w:r>
        <w:t xml:space="preserve"> paper</w:t>
      </w:r>
      <w:r w:rsidR="009E7269">
        <w:t>. I</w:t>
      </w:r>
      <w:r>
        <w:t>t is essential that the implementation of the</w:t>
      </w:r>
      <w:r w:rsidR="00981912">
        <w:t xml:space="preserve"> ICSS</w:t>
      </w:r>
      <w:r>
        <w:t xml:space="preserve"> </w:t>
      </w:r>
      <w:r w:rsidR="0056508E">
        <w:t>be</w:t>
      </w:r>
      <w:r>
        <w:t xml:space="preserve"> informed by a broad range of perspectives.</w:t>
      </w:r>
    </w:p>
    <w:p w14:paraId="11907EE5" w14:textId="77777777" w:rsidR="005B14F4" w:rsidRPr="001E4012" w:rsidRDefault="005B14F4" w:rsidP="00384D3A">
      <w:pPr>
        <w:pStyle w:val="Heading1"/>
      </w:pPr>
      <w:bookmarkStart w:id="4" w:name="_Toc516557325"/>
      <w:r w:rsidRPr="006A6448">
        <w:t>About</w:t>
      </w:r>
      <w:r>
        <w:t xml:space="preserve"> the</w:t>
      </w:r>
      <w:r w:rsidR="0097582C">
        <w:t xml:space="preserve"> Public</w:t>
      </w:r>
      <w:r>
        <w:t xml:space="preserve"> Consultation</w:t>
      </w:r>
      <w:bookmarkEnd w:id="4"/>
      <w:r>
        <w:t xml:space="preserve"> </w:t>
      </w:r>
    </w:p>
    <w:p w14:paraId="6F60CDA9" w14:textId="19A8CDFF" w:rsidR="0097582C" w:rsidRDefault="00A847FB" w:rsidP="005F3760">
      <w:pPr>
        <w:pStyle w:val="Default"/>
        <w:jc w:val="both"/>
        <w:rPr>
          <w:sz w:val="23"/>
          <w:szCs w:val="23"/>
        </w:rPr>
      </w:pPr>
      <w:r>
        <w:rPr>
          <w:sz w:val="23"/>
          <w:szCs w:val="23"/>
        </w:rPr>
        <w:t xml:space="preserve">The </w:t>
      </w:r>
      <w:hyperlink r:id="rId11" w:history="1">
        <w:r w:rsidRPr="00AA39F2">
          <w:rPr>
            <w:rStyle w:val="Hyperlink"/>
            <w:sz w:val="23"/>
            <w:szCs w:val="23"/>
          </w:rPr>
          <w:t>DSS Engage website</w:t>
        </w:r>
      </w:hyperlink>
      <w:r w:rsidDel="009E7269">
        <w:rPr>
          <w:sz w:val="23"/>
          <w:szCs w:val="23"/>
        </w:rPr>
        <w:t xml:space="preserve"> </w:t>
      </w:r>
      <w:r>
        <w:rPr>
          <w:sz w:val="23"/>
          <w:szCs w:val="23"/>
        </w:rPr>
        <w:t>was utilised to conduct the</w:t>
      </w:r>
      <w:r w:rsidR="00D877BE">
        <w:rPr>
          <w:sz w:val="23"/>
          <w:szCs w:val="23"/>
        </w:rPr>
        <w:t xml:space="preserve"> public</w:t>
      </w:r>
      <w:r>
        <w:rPr>
          <w:sz w:val="23"/>
          <w:szCs w:val="23"/>
        </w:rPr>
        <w:t xml:space="preserve"> </w:t>
      </w:r>
      <w:r w:rsidR="0097582C">
        <w:rPr>
          <w:sz w:val="23"/>
          <w:szCs w:val="23"/>
        </w:rPr>
        <w:t>consultation</w:t>
      </w:r>
      <w:r w:rsidR="00F54EEC">
        <w:rPr>
          <w:sz w:val="23"/>
          <w:szCs w:val="23"/>
        </w:rPr>
        <w:t xml:space="preserve"> </w:t>
      </w:r>
      <w:r w:rsidR="00FA349F">
        <w:rPr>
          <w:sz w:val="23"/>
          <w:szCs w:val="23"/>
        </w:rPr>
        <w:t>as</w:t>
      </w:r>
      <w:r w:rsidR="00F54EEC">
        <w:rPr>
          <w:sz w:val="23"/>
          <w:szCs w:val="23"/>
        </w:rPr>
        <w:t xml:space="preserve"> it</w:t>
      </w:r>
      <w:r w:rsidR="0097582C">
        <w:rPr>
          <w:sz w:val="23"/>
          <w:szCs w:val="23"/>
        </w:rPr>
        <w:t xml:space="preserve"> allows the submission of comments and documents through a secure portal. </w:t>
      </w:r>
    </w:p>
    <w:p w14:paraId="6FBECE9E" w14:textId="77777777" w:rsidR="00F871DF" w:rsidRDefault="00F871DF" w:rsidP="005F3760">
      <w:pPr>
        <w:pStyle w:val="Default"/>
        <w:jc w:val="both"/>
        <w:rPr>
          <w:sz w:val="23"/>
          <w:szCs w:val="23"/>
        </w:rPr>
      </w:pPr>
    </w:p>
    <w:p w14:paraId="060977EA" w14:textId="65132D55" w:rsidR="005B14F4" w:rsidRDefault="00802DF8" w:rsidP="005F3760">
      <w:pPr>
        <w:jc w:val="both"/>
      </w:pPr>
      <w:r>
        <w:rPr>
          <w:sz w:val="23"/>
          <w:szCs w:val="23"/>
        </w:rPr>
        <w:t>Respondents were invited to publish their submission</w:t>
      </w:r>
      <w:r w:rsidR="00F96B43">
        <w:rPr>
          <w:sz w:val="23"/>
          <w:szCs w:val="23"/>
        </w:rPr>
        <w:t>s</w:t>
      </w:r>
      <w:r w:rsidR="00F54EEC">
        <w:rPr>
          <w:sz w:val="23"/>
          <w:szCs w:val="23"/>
        </w:rPr>
        <w:t xml:space="preserve"> publically</w:t>
      </w:r>
      <w:r>
        <w:rPr>
          <w:sz w:val="23"/>
          <w:szCs w:val="23"/>
        </w:rPr>
        <w:t xml:space="preserve"> </w:t>
      </w:r>
      <w:r w:rsidR="00A847FB">
        <w:rPr>
          <w:sz w:val="23"/>
          <w:szCs w:val="23"/>
        </w:rPr>
        <w:t xml:space="preserve">and </w:t>
      </w:r>
      <w:r w:rsidR="00754D3D">
        <w:rPr>
          <w:sz w:val="23"/>
          <w:szCs w:val="23"/>
        </w:rPr>
        <w:t>28</w:t>
      </w:r>
      <w:r w:rsidR="0097582C">
        <w:rPr>
          <w:sz w:val="23"/>
          <w:szCs w:val="23"/>
        </w:rPr>
        <w:t xml:space="preserve"> </w:t>
      </w:r>
      <w:r w:rsidR="00A847FB">
        <w:rPr>
          <w:sz w:val="23"/>
          <w:szCs w:val="23"/>
        </w:rPr>
        <w:t>respondents elected to do so. The public submissions</w:t>
      </w:r>
      <w:r>
        <w:rPr>
          <w:sz w:val="23"/>
          <w:szCs w:val="23"/>
        </w:rPr>
        <w:t xml:space="preserve"> are </w:t>
      </w:r>
      <w:r w:rsidR="0097582C">
        <w:rPr>
          <w:sz w:val="23"/>
          <w:szCs w:val="23"/>
        </w:rPr>
        <w:t xml:space="preserve">available </w:t>
      </w:r>
      <w:r w:rsidR="00A847FB">
        <w:rPr>
          <w:sz w:val="23"/>
          <w:szCs w:val="23"/>
        </w:rPr>
        <w:t>at</w:t>
      </w:r>
      <w:r w:rsidR="0097582C">
        <w:rPr>
          <w:sz w:val="23"/>
          <w:szCs w:val="23"/>
        </w:rPr>
        <w:t xml:space="preserve"> </w:t>
      </w:r>
      <w:hyperlink r:id="rId12" w:history="1">
        <w:r w:rsidR="00F871DF" w:rsidRPr="0089617E">
          <w:rPr>
            <w:rStyle w:val="Hyperlink"/>
            <w:sz w:val="23"/>
            <w:szCs w:val="23"/>
          </w:rPr>
          <w:t>www.engage.dss.gov.au</w:t>
        </w:r>
      </w:hyperlink>
      <w:r w:rsidR="00F871DF">
        <w:rPr>
          <w:sz w:val="23"/>
          <w:szCs w:val="23"/>
        </w:rPr>
        <w:t xml:space="preserve">. </w:t>
      </w:r>
    </w:p>
    <w:p w14:paraId="344A10DE" w14:textId="77777777" w:rsidR="00E95D14" w:rsidRDefault="00E95D14" w:rsidP="003B3FAB">
      <w:pPr>
        <w:pStyle w:val="Heading2"/>
        <w:numPr>
          <w:ilvl w:val="1"/>
          <w:numId w:val="4"/>
        </w:numPr>
      </w:pPr>
      <w:bookmarkStart w:id="5" w:name="_Toc516557326"/>
      <w:r>
        <w:t>Submissions received</w:t>
      </w:r>
      <w:bookmarkEnd w:id="5"/>
    </w:p>
    <w:p w14:paraId="1875EBB8" w14:textId="7B8CDE5D" w:rsidR="00E95D14" w:rsidRPr="00E529A8" w:rsidRDefault="00FA349F" w:rsidP="003E43A3">
      <w:r>
        <w:t>The 42 s</w:t>
      </w:r>
      <w:r w:rsidR="00802DF8">
        <w:t xml:space="preserve">takeholders that provided </w:t>
      </w:r>
      <w:r w:rsidR="00E95D14">
        <w:t>submissions</w:t>
      </w:r>
      <w:r w:rsidR="00F54EEC">
        <w:t xml:space="preserve"> to the Department included </w:t>
      </w:r>
      <w:r w:rsidR="00E95D14">
        <w:t>service providers</w:t>
      </w:r>
      <w:r w:rsidR="00F54EEC">
        <w:t xml:space="preserve"> (57%</w:t>
      </w:r>
      <w:r w:rsidR="00802DF8">
        <w:t>;</w:t>
      </w:r>
      <w:r w:rsidR="00F54EEC">
        <w:t>)</w:t>
      </w:r>
      <w:r w:rsidR="00802DF8">
        <w:t xml:space="preserve">  carer </w:t>
      </w:r>
      <w:r w:rsidR="00E95D14">
        <w:t>peak bodies</w:t>
      </w:r>
      <w:r w:rsidR="00F54EEC">
        <w:t xml:space="preserve"> (36%)</w:t>
      </w:r>
      <w:r w:rsidR="00802DF8">
        <w:t>;</w:t>
      </w:r>
      <w:r w:rsidR="00E95D14">
        <w:t xml:space="preserve"> carers</w:t>
      </w:r>
      <w:r w:rsidR="00F54EEC">
        <w:t xml:space="preserve"> (5%)</w:t>
      </w:r>
      <w:r w:rsidR="00802DF8">
        <w:t>;</w:t>
      </w:r>
      <w:r w:rsidR="00E95D14">
        <w:t xml:space="preserve"> </w:t>
      </w:r>
      <w:r w:rsidR="00802DF8">
        <w:t xml:space="preserve">and state or territory </w:t>
      </w:r>
      <w:r w:rsidR="008254A9">
        <w:t xml:space="preserve">government </w:t>
      </w:r>
      <w:r w:rsidR="00F54EEC">
        <w:t>(2%)</w:t>
      </w:r>
      <w:r w:rsidR="00802DF8">
        <w:t xml:space="preserve">. </w:t>
      </w:r>
    </w:p>
    <w:p w14:paraId="7EE0A7DD" w14:textId="77777777" w:rsidR="005B14F4" w:rsidRDefault="00987248" w:rsidP="00384D3A">
      <w:pPr>
        <w:pStyle w:val="Heading1"/>
      </w:pPr>
      <w:bookmarkStart w:id="6" w:name="_Toc516557327"/>
      <w:r w:rsidRPr="006A6448">
        <w:t>Key</w:t>
      </w:r>
      <w:r>
        <w:t xml:space="preserve"> themes</w:t>
      </w:r>
      <w:bookmarkEnd w:id="6"/>
      <w:r>
        <w:t xml:space="preserve"> </w:t>
      </w:r>
    </w:p>
    <w:p w14:paraId="0B94C811" w14:textId="450226E5" w:rsidR="007D0770" w:rsidRDefault="004555F5" w:rsidP="00384D3A">
      <w:pPr>
        <w:jc w:val="both"/>
      </w:pPr>
      <w:r>
        <w:t xml:space="preserve">Analysis of all the submissions revealed </w:t>
      </w:r>
      <w:r w:rsidR="000A3FF8">
        <w:t>a number of</w:t>
      </w:r>
      <w:r>
        <w:t xml:space="preserve"> </w:t>
      </w:r>
      <w:r w:rsidR="00D5462A">
        <w:t>consistent</w:t>
      </w:r>
      <w:r>
        <w:t xml:space="preserve"> themes </w:t>
      </w:r>
      <w:r w:rsidR="00850B33">
        <w:t xml:space="preserve">related to the proposed service areas as well as </w:t>
      </w:r>
      <w:r w:rsidR="00375B83">
        <w:t>suggestions</w:t>
      </w:r>
      <w:r w:rsidR="00850B33">
        <w:t xml:space="preserve"> on </w:t>
      </w:r>
      <w:r w:rsidR="00375B83">
        <w:t xml:space="preserve">the </w:t>
      </w:r>
      <w:r w:rsidR="00850B33">
        <w:t xml:space="preserve">implementation </w:t>
      </w:r>
      <w:r w:rsidR="00375B83">
        <w:t xml:space="preserve">and design </w:t>
      </w:r>
      <w:r w:rsidR="00850B33">
        <w:t>of</w:t>
      </w:r>
      <w:r w:rsidR="00DB1904">
        <w:t xml:space="preserve"> the ICSS</w:t>
      </w:r>
      <w:r w:rsidR="00850B33">
        <w:t xml:space="preserve">. </w:t>
      </w:r>
      <w:r w:rsidR="002C3C6F">
        <w:t>K</w:t>
      </w:r>
      <w:r w:rsidR="001F4B68">
        <w:t xml:space="preserve">ey themes that emerged from the submissions </w:t>
      </w:r>
      <w:r w:rsidR="00A25B7A">
        <w:t>are</w:t>
      </w:r>
      <w:r w:rsidR="001F4B68">
        <w:t xml:space="preserve"> </w:t>
      </w:r>
      <w:r w:rsidR="00DB1904">
        <w:t>summarised</w:t>
      </w:r>
      <w:r w:rsidR="001F4B68">
        <w:t xml:space="preserve"> in the following sections. </w:t>
      </w:r>
    </w:p>
    <w:p w14:paraId="65CBF48A" w14:textId="77777777" w:rsidR="00875653" w:rsidRPr="006A6448" w:rsidRDefault="00711A4F" w:rsidP="00384D3A">
      <w:pPr>
        <w:pStyle w:val="Heading2"/>
      </w:pPr>
      <w:bookmarkStart w:id="7" w:name="_Toc516557328"/>
      <w:r w:rsidRPr="006A6448">
        <w:t>Feedback on proposed service a</w:t>
      </w:r>
      <w:r w:rsidR="00875653" w:rsidRPr="006A6448">
        <w:t>reas</w:t>
      </w:r>
      <w:bookmarkEnd w:id="7"/>
    </w:p>
    <w:p w14:paraId="5C712D18" w14:textId="280F0A1D" w:rsidR="00CE7917" w:rsidRDefault="0000674E" w:rsidP="005F3760">
      <w:pPr>
        <w:jc w:val="both"/>
      </w:pPr>
      <w:r>
        <w:t>The primary objective of the</w:t>
      </w:r>
      <w:r w:rsidR="007D0770">
        <w:t xml:space="preserve"> public consultation was to seek input from stakeholders </w:t>
      </w:r>
      <w:r w:rsidR="00CE7917">
        <w:t>on the prop</w:t>
      </w:r>
      <w:r w:rsidR="00A10A91">
        <w:t xml:space="preserve">osed </w:t>
      </w:r>
      <w:r w:rsidR="005F6B20">
        <w:t>RDP</w:t>
      </w:r>
      <w:r w:rsidR="00A10A91">
        <w:t xml:space="preserve"> service a</w:t>
      </w:r>
      <w:r w:rsidR="00CE7917">
        <w:t>reas. The discussion paper proposed two service area models based on the Australian Bureau of Stat</w:t>
      </w:r>
      <w:r w:rsidR="00D77F56">
        <w:t>istics (ABS) Statistical Areas level 4 (SA4)</w:t>
      </w:r>
      <w:r w:rsidR="00CE7917">
        <w:t>:</w:t>
      </w:r>
    </w:p>
    <w:p w14:paraId="7CDBDF30" w14:textId="77777777" w:rsidR="00CE7917" w:rsidRDefault="00CE7917" w:rsidP="00CE7917">
      <w:pPr>
        <w:pStyle w:val="ICSSDotPoint"/>
      </w:pPr>
      <w:r w:rsidRPr="00465E1E">
        <w:rPr>
          <w:b/>
        </w:rPr>
        <w:t>Option A</w:t>
      </w:r>
      <w:r>
        <w:t xml:space="preserve"> – </w:t>
      </w:r>
      <w:r w:rsidRPr="00465E1E">
        <w:rPr>
          <w:b/>
        </w:rPr>
        <w:t>20 service areas</w:t>
      </w:r>
      <w:r>
        <w:t xml:space="preserve"> nationally with 20 RDPs – one in each service area</w:t>
      </w:r>
      <w:r w:rsidR="001C0289">
        <w:t>.</w:t>
      </w:r>
    </w:p>
    <w:p w14:paraId="1A0E1CBE" w14:textId="77777777" w:rsidR="004555F5" w:rsidRDefault="00CE7917" w:rsidP="00CE7917">
      <w:pPr>
        <w:pStyle w:val="ICSSDotPoint"/>
      </w:pPr>
      <w:r w:rsidRPr="00465E1E">
        <w:rPr>
          <w:b/>
        </w:rPr>
        <w:t xml:space="preserve">Option B </w:t>
      </w:r>
      <w:r>
        <w:t xml:space="preserve">– </w:t>
      </w:r>
      <w:r w:rsidRPr="00465E1E">
        <w:rPr>
          <w:b/>
        </w:rPr>
        <w:t>11 service areas</w:t>
      </w:r>
      <w:r>
        <w:t xml:space="preserve"> nationally with 11 RDPs – one in each service area</w:t>
      </w:r>
      <w:r w:rsidR="001C0289">
        <w:t>.</w:t>
      </w:r>
    </w:p>
    <w:p w14:paraId="58770284" w14:textId="7EF7A4E1" w:rsidR="004555F5" w:rsidRDefault="000A3FF8" w:rsidP="004555F5">
      <w:pPr>
        <w:pStyle w:val="ICSSDotPoint"/>
        <w:numPr>
          <w:ilvl w:val="0"/>
          <w:numId w:val="0"/>
        </w:numPr>
      </w:pPr>
      <w:r>
        <w:t xml:space="preserve">Key insights and feedback </w:t>
      </w:r>
      <w:r w:rsidR="009B646F">
        <w:t xml:space="preserve">provided by respondents </w:t>
      </w:r>
      <w:r>
        <w:t>on the two options focussed on:</w:t>
      </w:r>
    </w:p>
    <w:p w14:paraId="68A8721E" w14:textId="63B0BE76" w:rsidR="000A3FF8" w:rsidRDefault="00A25B7A" w:rsidP="000A3FF8">
      <w:pPr>
        <w:pStyle w:val="ICSSDotPoint"/>
      </w:pPr>
      <w:r>
        <w:t>t</w:t>
      </w:r>
      <w:r w:rsidR="00F01EC0">
        <w:t xml:space="preserve">he statistics </w:t>
      </w:r>
      <w:r w:rsidR="00BE5AC1">
        <w:t xml:space="preserve">and approach </w:t>
      </w:r>
      <w:r w:rsidR="00AD7E6E">
        <w:t xml:space="preserve">utilised </w:t>
      </w:r>
      <w:r w:rsidR="00F01EC0">
        <w:t>to develop</w:t>
      </w:r>
      <w:r w:rsidR="00BE5AC1">
        <w:t xml:space="preserve"> </w:t>
      </w:r>
      <w:r w:rsidR="00F01EC0">
        <w:t xml:space="preserve">the </w:t>
      </w:r>
      <w:r w:rsidR="00AD7E6E">
        <w:t xml:space="preserve">two </w:t>
      </w:r>
      <w:r w:rsidR="00F01EC0">
        <w:t>options</w:t>
      </w:r>
    </w:p>
    <w:p w14:paraId="212EE5E2" w14:textId="5BB46836" w:rsidR="00F01EC0" w:rsidRDefault="00A25B7A" w:rsidP="000A3FF8">
      <w:pPr>
        <w:pStyle w:val="ICSSDotPoint"/>
      </w:pPr>
      <w:r>
        <w:t>t</w:t>
      </w:r>
      <w:r w:rsidR="00040C7D">
        <w:t>he capacity and capability of organisations to establish and manage a regional presence via a consortia-based model</w:t>
      </w:r>
    </w:p>
    <w:p w14:paraId="1F35C1AE" w14:textId="1D0EC068" w:rsidR="00040C7D" w:rsidRDefault="00A25B7A" w:rsidP="000A3FF8">
      <w:pPr>
        <w:pStyle w:val="ICSSDotPoint"/>
      </w:pPr>
      <w:r>
        <w:t>c</w:t>
      </w:r>
      <w:r w:rsidR="00040C7D">
        <w:t xml:space="preserve">oncerns regarding the establishment and management of </w:t>
      </w:r>
      <w:r w:rsidR="00173B4E">
        <w:t>consortia</w:t>
      </w:r>
    </w:p>
    <w:p w14:paraId="6C53FAFD" w14:textId="39630C2F" w:rsidR="00173B4E" w:rsidRDefault="00A25B7A" w:rsidP="000A3FF8">
      <w:pPr>
        <w:pStyle w:val="ICSSDotPoint"/>
      </w:pPr>
      <w:r>
        <w:t>a</w:t>
      </w:r>
      <w:r w:rsidR="003F7CE1">
        <w:t>dvantages and disadvantages of a model based on large service areas</w:t>
      </w:r>
      <w:r w:rsidR="001C0289">
        <w:t>.</w:t>
      </w:r>
      <w:r w:rsidR="003F7CE1">
        <w:t xml:space="preserve"> </w:t>
      </w:r>
    </w:p>
    <w:p w14:paraId="6CD0A063" w14:textId="77777777" w:rsidR="004555F5" w:rsidRDefault="00D10736" w:rsidP="003B3FAB">
      <w:pPr>
        <w:pStyle w:val="Heading3"/>
        <w:numPr>
          <w:ilvl w:val="2"/>
          <w:numId w:val="5"/>
        </w:numPr>
      </w:pPr>
      <w:bookmarkStart w:id="8" w:name="_Toc516557329"/>
      <w:r>
        <w:t>Approach to s</w:t>
      </w:r>
      <w:r w:rsidR="00D77F56">
        <w:t>tructuring service areas</w:t>
      </w:r>
      <w:bookmarkEnd w:id="8"/>
      <w:r w:rsidR="00D77F56">
        <w:t xml:space="preserve"> </w:t>
      </w:r>
    </w:p>
    <w:p w14:paraId="1AA5E623" w14:textId="69B81809" w:rsidR="00AD7E6E" w:rsidRDefault="00B00C38" w:rsidP="005F3760">
      <w:pPr>
        <w:jc w:val="both"/>
      </w:pPr>
      <w:r>
        <w:t>Some</w:t>
      </w:r>
      <w:r w:rsidR="00440C01">
        <w:t xml:space="preserve"> respondents agreed with </w:t>
      </w:r>
      <w:r w:rsidR="009B646F">
        <w:t>using</w:t>
      </w:r>
      <w:r w:rsidR="00440C01">
        <w:t xml:space="preserve"> ABS </w:t>
      </w:r>
      <w:r w:rsidR="00D77F56">
        <w:t>SA4</w:t>
      </w:r>
      <w:r w:rsidR="00440C01">
        <w:t xml:space="preserve"> data to determine service areas</w:t>
      </w:r>
      <w:r w:rsidR="0093070C">
        <w:t xml:space="preserve"> </w:t>
      </w:r>
      <w:r w:rsidR="00440C01">
        <w:t xml:space="preserve">and </w:t>
      </w:r>
      <w:r w:rsidR="00B3170F">
        <w:t>with</w:t>
      </w:r>
      <w:r w:rsidR="00440C01">
        <w:t xml:space="preserve"> </w:t>
      </w:r>
      <w:r w:rsidR="00B3170F">
        <w:t>the</w:t>
      </w:r>
      <w:r w:rsidR="00440C01">
        <w:t xml:space="preserve"> approach to structuring </w:t>
      </w:r>
      <w:r w:rsidR="00DE48E5">
        <w:t>service areas</w:t>
      </w:r>
      <w:r w:rsidR="00B1763D">
        <w:t xml:space="preserve"> to ensure an appropriate distribution of the carer population across metropolitan and regional areas</w:t>
      </w:r>
      <w:r>
        <w:t>. A</w:t>
      </w:r>
      <w:r w:rsidR="00DE48E5">
        <w:t xml:space="preserve"> number of respondents highlighted limitations </w:t>
      </w:r>
      <w:r w:rsidR="00E372F8">
        <w:t>of</w:t>
      </w:r>
      <w:r w:rsidR="00B3170F">
        <w:t xml:space="preserve"> this</w:t>
      </w:r>
      <w:r w:rsidR="00DE48E5">
        <w:t xml:space="preserve"> approach</w:t>
      </w:r>
      <w:r w:rsidR="001C0289">
        <w:t xml:space="preserve"> and </w:t>
      </w:r>
      <w:r w:rsidR="00D445FE">
        <w:t>suggested alternate models for structuring the service areas.</w:t>
      </w:r>
    </w:p>
    <w:p w14:paraId="75E9A126" w14:textId="322AA87A" w:rsidR="00636C7E" w:rsidRDefault="00B1763D" w:rsidP="005F3760">
      <w:pPr>
        <w:jc w:val="both"/>
      </w:pPr>
      <w:r>
        <w:t xml:space="preserve">Some respondents raised </w:t>
      </w:r>
      <w:r w:rsidR="00053AB0">
        <w:t>concerns</w:t>
      </w:r>
      <w:r w:rsidR="00B06031">
        <w:t xml:space="preserve"> </w:t>
      </w:r>
      <w:r w:rsidR="009B646F">
        <w:t>in using</w:t>
      </w:r>
      <w:r w:rsidR="00D77F56">
        <w:t xml:space="preserve"> current ABS SA4 </w:t>
      </w:r>
      <w:r w:rsidR="00FD1D6F">
        <w:t xml:space="preserve">regions </w:t>
      </w:r>
      <w:r w:rsidR="00D77F56">
        <w:t>to determine service areas and the 2015 Survey of Disability Ageing and Carers (SDAC) data</w:t>
      </w:r>
      <w:r w:rsidR="00053AB0">
        <w:t xml:space="preserve"> to estimate carer populations. The </w:t>
      </w:r>
      <w:r>
        <w:t>view</w:t>
      </w:r>
      <w:r w:rsidR="00053AB0">
        <w:t xml:space="preserve"> being that the data sources were </w:t>
      </w:r>
      <w:r w:rsidR="009B646F">
        <w:t>considered un</w:t>
      </w:r>
      <w:r w:rsidR="00053AB0">
        <w:t xml:space="preserve">representative of carer populations </w:t>
      </w:r>
      <w:r w:rsidR="009B646F">
        <w:t xml:space="preserve">because: </w:t>
      </w:r>
    </w:p>
    <w:p w14:paraId="17B19A4D" w14:textId="329C7CBF" w:rsidR="00636C7E" w:rsidRDefault="00053AB0" w:rsidP="00893D30">
      <w:pPr>
        <w:pStyle w:val="ICSSDotPoint"/>
      </w:pPr>
      <w:r>
        <w:t xml:space="preserve">ABS SA4 </w:t>
      </w:r>
      <w:r w:rsidR="00FD1D6F">
        <w:t>regions</w:t>
      </w:r>
      <w:r>
        <w:t xml:space="preserve"> is based on the division of labour markets</w:t>
      </w:r>
    </w:p>
    <w:p w14:paraId="47045574" w14:textId="3C3DE953" w:rsidR="00636C7E" w:rsidRDefault="00053AB0" w:rsidP="00893D30">
      <w:pPr>
        <w:pStyle w:val="ICSSDotPoint"/>
      </w:pPr>
      <w:r>
        <w:t>SDAC data is limited in terms of predicting geographic spread of carers as it is based on a generalised sample</w:t>
      </w:r>
    </w:p>
    <w:p w14:paraId="697A7D0B" w14:textId="386A6DB3" w:rsidR="00D77F56" w:rsidRDefault="00346E44" w:rsidP="00893D30">
      <w:pPr>
        <w:pStyle w:val="ICSSDotPoint"/>
      </w:pPr>
      <w:r>
        <w:rPr>
          <w:noProof/>
          <w:lang w:eastAsia="en-AU"/>
        </w:rPr>
        <mc:AlternateContent>
          <mc:Choice Requires="wpg">
            <w:drawing>
              <wp:anchor distT="45720" distB="45720" distL="182880" distR="182880" simplePos="0" relativeHeight="251682816" behindDoc="0" locked="0" layoutInCell="1" allowOverlap="1" wp14:anchorId="36B6B5E5" wp14:editId="346FDEBC">
                <wp:simplePos x="0" y="0"/>
                <wp:positionH relativeFrom="margin">
                  <wp:posOffset>3371158</wp:posOffset>
                </wp:positionH>
                <wp:positionV relativeFrom="page">
                  <wp:posOffset>2731135</wp:posOffset>
                </wp:positionV>
                <wp:extent cx="2495550" cy="1524000"/>
                <wp:effectExtent l="0" t="0" r="0" b="0"/>
                <wp:wrapSquare wrapText="bothSides"/>
                <wp:docPr id="198" name="Group 198" descr="“Option A and Option B service areas both enable: effective services for carers across metropolitan, regional and rural areas; more funding for direct service provision for carers; and a consistent service experience for carers” "/>
                <wp:cNvGraphicFramePr/>
                <a:graphic xmlns:a="http://schemas.openxmlformats.org/drawingml/2006/main">
                  <a:graphicData uri="http://schemas.microsoft.com/office/word/2010/wordprocessingGroup">
                    <wpg:wgp>
                      <wpg:cNvGrpSpPr/>
                      <wpg:grpSpPr>
                        <a:xfrm>
                          <a:off x="0" y="0"/>
                          <a:ext cx="2495550" cy="1524000"/>
                          <a:chOff x="-71849" y="133705"/>
                          <a:chExt cx="3986135" cy="1615155"/>
                        </a:xfrm>
                      </wpg:grpSpPr>
                      <wps:wsp>
                        <wps:cNvPr id="199" name="Rectangle 199"/>
                        <wps:cNvSpPr/>
                        <wps:spPr>
                          <a:xfrm rot="16200000" flipV="1">
                            <a:off x="-714742" y="860966"/>
                            <a:ext cx="1374969" cy="89184"/>
                          </a:xfrm>
                          <a:prstGeom prst="rect">
                            <a:avLst/>
                          </a:prstGeom>
                          <a:solidFill>
                            <a:srgbClr val="5B57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46DD5" w14:textId="77777777" w:rsidR="006451AE" w:rsidRDefault="006451A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descr="“Option A and Option B service areas both enable: effective services for carers across metropolitan, regional and rural areas; more funding for direct service provision for carers; and a consistent service experience for carers” "/>
                        <wps:cNvSpPr txBox="1"/>
                        <wps:spPr>
                          <a:xfrm>
                            <a:off x="2475" y="133705"/>
                            <a:ext cx="3911811" cy="161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F6239" w14:textId="77777777" w:rsidR="006451AE" w:rsidRDefault="006451AE" w:rsidP="006451AE">
                              <w:pPr>
                                <w:jc w:val="both"/>
                                <w:rPr>
                                  <w:i/>
                                  <w:color w:val="5B57A4"/>
                                  <w:sz w:val="20"/>
                                  <w:szCs w:val="26"/>
                                </w:rPr>
                              </w:pPr>
                              <w:r w:rsidRPr="006451AE">
                                <w:rPr>
                                  <w:i/>
                                  <w:color w:val="5B57A4"/>
                                  <w:sz w:val="20"/>
                                  <w:szCs w:val="26"/>
                                </w:rPr>
                                <w:t>“</w:t>
                              </w:r>
                              <w:r w:rsidR="0057546E">
                                <w:rPr>
                                  <w:i/>
                                  <w:color w:val="5B57A4"/>
                                  <w:sz w:val="20"/>
                                  <w:szCs w:val="26"/>
                                </w:rPr>
                                <w:t>Option A and Option B service areas both enable: effective services for carers across metropolitan, regional and rural areas; more funding for direct service provision for carers; and a consistent service experience for carers</w:t>
                              </w:r>
                              <w:r w:rsidRPr="006451AE">
                                <w:rPr>
                                  <w:i/>
                                  <w:color w:val="5B57A4"/>
                                  <w:sz w:val="20"/>
                                  <w:szCs w:val="26"/>
                                </w:rPr>
                                <w:t>”</w:t>
                              </w:r>
                              <w:r>
                                <w:rPr>
                                  <w:i/>
                                  <w:color w:val="5B57A4"/>
                                  <w:sz w:val="20"/>
                                  <w:szCs w:val="26"/>
                                </w:rPr>
                                <w:t xml:space="preserve"> </w:t>
                              </w:r>
                            </w:p>
                            <w:p w14:paraId="34E80417" w14:textId="77777777" w:rsidR="006451AE" w:rsidRPr="006451AE" w:rsidRDefault="006451AE" w:rsidP="006451AE">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6B5E5" id="Group 198" o:spid="_x0000_s1026" alt="“Option A and Option B service areas both enable: effective services for carers across metropolitan, regional and rural areas; more funding for direct service provision for carers; and a consistent service experience for carers” " style="position:absolute;left:0;text-align:left;margin-left:265.45pt;margin-top:215.05pt;width:196.5pt;height:120pt;z-index:251682816;mso-wrap-distance-left:14.4pt;mso-wrap-distance-top:3.6pt;mso-wrap-distance-right:14.4pt;mso-wrap-distance-bottom:3.6pt;mso-position-horizontal-relative:margin;mso-position-vertical-relative:page;mso-width-relative:margin;mso-height-relative:margin" coordorigin="-718,1337" coordsize="39861,1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">
                <v:rect id="Rectangle 199" o:spid="_x0000_s1027" style="position:absolute;left:-7147;top:8609;width:13750;height:89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" fillcolor="#5b57a4" stroked="f" strokeweight="1pt">
                  <v:textbox>
                    <w:txbxContent>
                      <w:p w14:paraId="39846DD5" w14:textId="77777777" w:rsidR="006451AE" w:rsidRDefault="006451A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alt="“Option A and Option B service areas both enable: effective services for carers across metropolitan, regional and rural areas; more funding for direct service provision for carers; and a consistent service experience for carers” " style="position:absolute;left:24;top:1337;width:39118;height:1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F7F6239" w14:textId="77777777" w:rsidR="006451AE" w:rsidRDefault="006451AE" w:rsidP="006451AE">
                        <w:pPr>
                          <w:jc w:val="both"/>
                          <w:rPr>
                            <w:i/>
                            <w:color w:val="5B57A4"/>
                            <w:sz w:val="20"/>
                            <w:szCs w:val="26"/>
                          </w:rPr>
                        </w:pPr>
                        <w:r w:rsidRPr="006451AE">
                          <w:rPr>
                            <w:i/>
                            <w:color w:val="5B57A4"/>
                            <w:sz w:val="20"/>
                            <w:szCs w:val="26"/>
                          </w:rPr>
                          <w:t>“</w:t>
                        </w:r>
                        <w:r w:rsidR="0057546E">
                          <w:rPr>
                            <w:i/>
                            <w:color w:val="5B57A4"/>
                            <w:sz w:val="20"/>
                            <w:szCs w:val="26"/>
                          </w:rPr>
                          <w:t>Option A and Option B service areas both enable: effective services for carers across metropolitan, regional and rural areas; more funding for direct service provision for carers; and a consistent service experience for carers</w:t>
                        </w:r>
                        <w:r w:rsidRPr="006451AE">
                          <w:rPr>
                            <w:i/>
                            <w:color w:val="5B57A4"/>
                            <w:sz w:val="20"/>
                            <w:szCs w:val="26"/>
                          </w:rPr>
                          <w:t>”</w:t>
                        </w:r>
                        <w:r>
                          <w:rPr>
                            <w:i/>
                            <w:color w:val="5B57A4"/>
                            <w:sz w:val="20"/>
                            <w:szCs w:val="26"/>
                          </w:rPr>
                          <w:t xml:space="preserve"> </w:t>
                        </w:r>
                      </w:p>
                      <w:p w14:paraId="34E80417" w14:textId="77777777" w:rsidR="006451AE" w:rsidRPr="006451AE" w:rsidRDefault="006451AE" w:rsidP="006451AE">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v:textbox>
                </v:shape>
                <w10:wrap type="square" anchorx="margin" anchory="page"/>
              </v:group>
            </w:pict>
          </mc:Fallback>
        </mc:AlternateContent>
      </w:r>
      <w:r w:rsidR="00053AB0">
        <w:t xml:space="preserve">neither source allows for determining projections of growth in carer numbers and population growth rates. </w:t>
      </w:r>
    </w:p>
    <w:p w14:paraId="1B1BEEE8" w14:textId="3132ABAA" w:rsidR="00C14E55" w:rsidRDefault="00C14E55" w:rsidP="005F3760">
      <w:pPr>
        <w:jc w:val="both"/>
      </w:pPr>
      <w:r>
        <w:t>A number of</w:t>
      </w:r>
      <w:r w:rsidR="006E60F6">
        <w:t xml:space="preserve"> respondents </w:t>
      </w:r>
      <w:r>
        <w:t>welcomed</w:t>
      </w:r>
      <w:r w:rsidR="006E60F6">
        <w:t xml:space="preserve"> the </w:t>
      </w:r>
      <w:r w:rsidR="00FB2CAE">
        <w:t>proposed</w:t>
      </w:r>
      <w:r w:rsidR="006E60F6">
        <w:t xml:space="preserve"> structuring </w:t>
      </w:r>
      <w:r w:rsidR="00FB2CAE">
        <w:t>approach</w:t>
      </w:r>
      <w:r w:rsidR="009426EC">
        <w:t xml:space="preserve"> </w:t>
      </w:r>
      <w:r w:rsidR="006E60F6">
        <w:t>based on the key principle of ensuring service areas represent</w:t>
      </w:r>
      <w:r w:rsidR="009B646F">
        <w:t>ed</w:t>
      </w:r>
      <w:r w:rsidR="006E60F6">
        <w:t xml:space="preserve"> metro</w:t>
      </w:r>
      <w:r w:rsidR="00B1763D">
        <w:t>politan</w:t>
      </w:r>
      <w:r w:rsidR="006E60F6">
        <w:t>, regional and rural areas</w:t>
      </w:r>
      <w:r w:rsidR="00FB2CAE">
        <w:t xml:space="preserve">. The approach </w:t>
      </w:r>
      <w:r>
        <w:t xml:space="preserve"> recognise</w:t>
      </w:r>
      <w:r w:rsidR="009B646F">
        <w:t>d</w:t>
      </w:r>
      <w:r>
        <w:t xml:space="preserve"> the need for equal access to services. </w:t>
      </w:r>
      <w:r w:rsidR="009B646F">
        <w:t xml:space="preserve">Respondents </w:t>
      </w:r>
      <w:r w:rsidR="00A76A6C">
        <w:t>also recognised the benefits of a hub with centralised functions</w:t>
      </w:r>
      <w:r w:rsidR="009B646F">
        <w:t xml:space="preserve">, </w:t>
      </w:r>
      <w:r w:rsidR="00A76A6C">
        <w:t>complemented with local resources</w:t>
      </w:r>
      <w:r w:rsidR="009B646F">
        <w:t>,</w:t>
      </w:r>
      <w:r w:rsidR="00A76A6C">
        <w:t xml:space="preserve"> </w:t>
      </w:r>
      <w:r w:rsidR="009B646F">
        <w:t>to</w:t>
      </w:r>
      <w:r w:rsidR="00A76A6C">
        <w:t xml:space="preserve"> reduce non-direct service delivery costs (e.g. physical infrastructure, centralised data systems).</w:t>
      </w:r>
      <w:r>
        <w:t xml:space="preserve"> </w:t>
      </w:r>
    </w:p>
    <w:p w14:paraId="19A900F1" w14:textId="51368B16" w:rsidR="006E60F6" w:rsidRDefault="00A76A6C" w:rsidP="003E43A3">
      <w:pPr>
        <w:jc w:val="both"/>
      </w:pPr>
      <w:r>
        <w:t>S</w:t>
      </w:r>
      <w:r w:rsidR="003C5F10">
        <w:t xml:space="preserve">ome </w:t>
      </w:r>
      <w:r w:rsidR="00A25B7A">
        <w:t xml:space="preserve">respondents </w:t>
      </w:r>
      <w:r w:rsidR="003C5F10">
        <w:t xml:space="preserve">highlighted issues with an ‘artificial split’ of service </w:t>
      </w:r>
      <w:r w:rsidR="0047130C">
        <w:t>boundaries</w:t>
      </w:r>
      <w:r w:rsidR="009B646F">
        <w:t>. T</w:t>
      </w:r>
      <w:r w:rsidR="00F324AD">
        <w:t>he</w:t>
      </w:r>
      <w:r w:rsidR="00A25B7A">
        <w:t>ir</w:t>
      </w:r>
      <w:r w:rsidR="00F324AD">
        <w:t xml:space="preserve"> main concerns </w:t>
      </w:r>
      <w:r w:rsidR="009B646F">
        <w:t>were</w:t>
      </w:r>
      <w:r w:rsidR="00F324AD">
        <w:t>:</w:t>
      </w:r>
    </w:p>
    <w:p w14:paraId="0395DC0C" w14:textId="659AC163" w:rsidR="00F324AD" w:rsidRPr="006B66A1" w:rsidRDefault="00832596" w:rsidP="00D668D9">
      <w:pPr>
        <w:pStyle w:val="ICSSDotPoint"/>
        <w:jc w:val="both"/>
        <w:rPr>
          <w:b/>
        </w:rPr>
      </w:pPr>
      <w:r w:rsidRPr="006B66A1">
        <w:rPr>
          <w:b/>
        </w:rPr>
        <w:t xml:space="preserve">Misalignment with existing </w:t>
      </w:r>
      <w:r w:rsidR="00A25B7A">
        <w:rPr>
          <w:b/>
        </w:rPr>
        <w:t>G</w:t>
      </w:r>
      <w:r w:rsidR="00B1763D">
        <w:rPr>
          <w:b/>
        </w:rPr>
        <w:t xml:space="preserve">overnment program </w:t>
      </w:r>
      <w:r w:rsidRPr="006B66A1">
        <w:rPr>
          <w:b/>
        </w:rPr>
        <w:t>service delivery boundaries</w:t>
      </w:r>
      <w:r w:rsidR="006B66A1">
        <w:rPr>
          <w:b/>
        </w:rPr>
        <w:t xml:space="preserve"> </w:t>
      </w:r>
      <w:r w:rsidR="00A828D8">
        <w:t xml:space="preserve">such as Primary Health Networks (PHNs), Local Government Areas (LGAs), National Disability Insurance Scheme (NDIS), or Aged Care </w:t>
      </w:r>
      <w:r w:rsidR="00406B43">
        <w:t>planning areas</w:t>
      </w:r>
      <w:r w:rsidR="009E299B">
        <w:t xml:space="preserve">. It was </w:t>
      </w:r>
      <w:r w:rsidR="00CA3FF9">
        <w:t>considered that</w:t>
      </w:r>
      <w:r w:rsidR="001413C6">
        <w:t xml:space="preserve"> </w:t>
      </w:r>
      <w:r w:rsidR="009E299B">
        <w:t xml:space="preserve">this </w:t>
      </w:r>
      <w:r w:rsidR="009426EC">
        <w:t>might</w:t>
      </w:r>
      <w:r w:rsidR="00C55FBC">
        <w:t xml:space="preserve"> disrupt</w:t>
      </w:r>
      <w:r w:rsidR="00406B43">
        <w:t xml:space="preserve"> </w:t>
      </w:r>
      <w:r w:rsidR="00C55FBC">
        <w:t>existing</w:t>
      </w:r>
      <w:r w:rsidR="00406B43">
        <w:t xml:space="preserve"> patte</w:t>
      </w:r>
      <w:r w:rsidR="00AF0482">
        <w:t xml:space="preserve">rns of service partnerships or </w:t>
      </w:r>
      <w:r w:rsidR="00406B43">
        <w:t>communities</w:t>
      </w:r>
      <w:r w:rsidR="00C55FBC">
        <w:t>;</w:t>
      </w:r>
      <w:r w:rsidR="00406B43">
        <w:t xml:space="preserve"> and pose confusion from a carer perspective</w:t>
      </w:r>
      <w:r w:rsidR="00EC4CD7">
        <w:t xml:space="preserve"> (noting </w:t>
      </w:r>
      <w:r w:rsidR="00A76E11">
        <w:t xml:space="preserve">that currently </w:t>
      </w:r>
      <w:r w:rsidR="00EC4CD7">
        <w:t>there is no</w:t>
      </w:r>
      <w:r w:rsidR="00B1763D">
        <w:t xml:space="preserve"> alignment across existing government program service delivery program boundaries)</w:t>
      </w:r>
      <w:r w:rsidR="00406B43">
        <w:t>.</w:t>
      </w:r>
    </w:p>
    <w:p w14:paraId="27275835" w14:textId="35DE5484" w:rsidR="00D5358E" w:rsidRPr="00D5358E" w:rsidRDefault="00832596" w:rsidP="00D668D9">
      <w:pPr>
        <w:pStyle w:val="ICSSDotPoint"/>
        <w:jc w:val="both"/>
        <w:rPr>
          <w:b/>
        </w:rPr>
      </w:pPr>
      <w:r w:rsidRPr="006B66A1">
        <w:rPr>
          <w:b/>
        </w:rPr>
        <w:t>Division of metropolitan</w:t>
      </w:r>
      <w:r w:rsidR="00ED0465">
        <w:rPr>
          <w:b/>
        </w:rPr>
        <w:t xml:space="preserve"> areas</w:t>
      </w:r>
      <w:r w:rsidR="00ED0465">
        <w:t>, where suburbs in</w:t>
      </w:r>
      <w:r w:rsidR="00C94FE7">
        <w:t xml:space="preserve"> close proximity currently sharing</w:t>
      </w:r>
      <w:r w:rsidR="00ED0465">
        <w:t xml:space="preserve"> common services will be allocated different RDPs</w:t>
      </w:r>
      <w:r w:rsidR="00B6501C">
        <w:t xml:space="preserve">. </w:t>
      </w:r>
      <w:r w:rsidR="009426EC">
        <w:t xml:space="preserve">Respondents felt this </w:t>
      </w:r>
      <w:r w:rsidR="00ED0465">
        <w:t>may lead to</w:t>
      </w:r>
      <w:r w:rsidR="00B6501C">
        <w:t xml:space="preserve"> </w:t>
      </w:r>
      <w:r w:rsidR="00ED0465">
        <w:t>confusion</w:t>
      </w:r>
      <w:r w:rsidR="00B6501C">
        <w:t xml:space="preserve">  for carers and recipients requiring </w:t>
      </w:r>
      <w:r w:rsidR="00930483">
        <w:t>‘cross-</w:t>
      </w:r>
      <w:r w:rsidR="00ED0465">
        <w:t>border servicing</w:t>
      </w:r>
      <w:r w:rsidR="00930483">
        <w:t>’</w:t>
      </w:r>
      <w:r w:rsidR="009426EC">
        <w:t>,</w:t>
      </w:r>
      <w:r w:rsidR="00B6501C">
        <w:t xml:space="preserve"> and complicated referral networks, leading to  </w:t>
      </w:r>
      <w:r w:rsidR="00ED0465">
        <w:t xml:space="preserve">inconsistencies in service delivery. </w:t>
      </w:r>
    </w:p>
    <w:p w14:paraId="2B6FA44D" w14:textId="461103D3" w:rsidR="006451AE" w:rsidRPr="0019585D" w:rsidRDefault="00A20F32" w:rsidP="00D668D9">
      <w:pPr>
        <w:pStyle w:val="ICSSDotPoint"/>
        <w:jc w:val="both"/>
        <w:rPr>
          <w:b/>
        </w:rPr>
      </w:pPr>
      <w:r>
        <w:rPr>
          <w:b/>
        </w:rPr>
        <w:t>The c</w:t>
      </w:r>
      <w:r w:rsidR="00832596" w:rsidRPr="006B66A1">
        <w:rPr>
          <w:b/>
        </w:rPr>
        <w:t>omplexit</w:t>
      </w:r>
      <w:r w:rsidR="002B6D2B">
        <w:rPr>
          <w:b/>
        </w:rPr>
        <w:t xml:space="preserve">y of </w:t>
      </w:r>
      <w:r w:rsidR="00832596" w:rsidRPr="006B66A1">
        <w:rPr>
          <w:b/>
        </w:rPr>
        <w:t>cross-jurisdictional management of services</w:t>
      </w:r>
      <w:r>
        <w:t xml:space="preserve"> </w:t>
      </w:r>
      <w:r w:rsidR="002A51C7">
        <w:t xml:space="preserve">was raised as </w:t>
      </w:r>
      <w:r w:rsidR="00544AB4">
        <w:t>a particular concern for the ACT in that d</w:t>
      </w:r>
      <w:r w:rsidR="002A51C7" w:rsidRPr="002A51C7">
        <w:t>iffering legislative, regulatory and administrative requirements is likely to complicate delivery of services, particularly in terms of the provision of advice to carers (i.e. on housing</w:t>
      </w:r>
      <w:r w:rsidR="00B1763D">
        <w:t xml:space="preserve"> and</w:t>
      </w:r>
      <w:r w:rsidR="002A51C7" w:rsidRPr="002A51C7">
        <w:t xml:space="preserve"> legal matters)</w:t>
      </w:r>
      <w:r w:rsidR="00917012">
        <w:t>. Additionally,  in the case where the RDP servicing a jurisdiction is centrally located outside of that jurisdiction</w:t>
      </w:r>
      <w:r w:rsidR="00DB03B8">
        <w:t xml:space="preserve"> (i.e. an RDP centrally located in NSW is servicing the ACT)</w:t>
      </w:r>
      <w:r w:rsidR="00917012">
        <w:t>,</w:t>
      </w:r>
      <w:r w:rsidR="002A51C7" w:rsidRPr="002A51C7">
        <w:rPr>
          <w:b/>
        </w:rPr>
        <w:t xml:space="preserve"> </w:t>
      </w:r>
      <w:r w:rsidR="00DB03B8">
        <w:t>this</w:t>
      </w:r>
      <w:r w:rsidR="00634387">
        <w:t xml:space="preserve"> </w:t>
      </w:r>
      <w:r w:rsidR="002A51C7">
        <w:t xml:space="preserve">may compromise local government funding for </w:t>
      </w:r>
      <w:r w:rsidR="00B1763D">
        <w:t xml:space="preserve">existing </w:t>
      </w:r>
      <w:r w:rsidR="002A51C7">
        <w:t xml:space="preserve">carer services. </w:t>
      </w:r>
    </w:p>
    <w:p w14:paraId="74FED68A" w14:textId="77777777" w:rsidR="004A1B19" w:rsidRDefault="004A1B19" w:rsidP="003B3FAB">
      <w:pPr>
        <w:pStyle w:val="Heading3"/>
        <w:numPr>
          <w:ilvl w:val="2"/>
          <w:numId w:val="5"/>
        </w:numPr>
      </w:pPr>
      <w:bookmarkStart w:id="9" w:name="_Toc516557330"/>
      <w:r>
        <w:t>Alternate models</w:t>
      </w:r>
      <w:r w:rsidR="00D10736">
        <w:t xml:space="preserve"> for structuring service areas</w:t>
      </w:r>
      <w:bookmarkEnd w:id="9"/>
      <w:r w:rsidR="00D10736">
        <w:t xml:space="preserve"> </w:t>
      </w:r>
      <w:r>
        <w:t xml:space="preserve"> </w:t>
      </w:r>
    </w:p>
    <w:p w14:paraId="6F7971A7" w14:textId="6563D62B" w:rsidR="00F34BFC" w:rsidRDefault="007D1B04" w:rsidP="00D10736">
      <w:r>
        <w:t xml:space="preserve">Several respondents proposed specific models for their respective </w:t>
      </w:r>
      <w:r w:rsidR="0045639E">
        <w:t>s</w:t>
      </w:r>
      <w:r>
        <w:t>tate</w:t>
      </w:r>
      <w:r w:rsidR="0045639E">
        <w:t xml:space="preserve"> or t</w:t>
      </w:r>
      <w:r>
        <w:t>erritory. From a national perspective</w:t>
      </w:r>
      <w:r w:rsidR="0045639E">
        <w:t>,</w:t>
      </w:r>
      <w:r>
        <w:t xml:space="preserve"> </w:t>
      </w:r>
      <w:r w:rsidR="00641B0F">
        <w:t>a number of</w:t>
      </w:r>
      <w:r w:rsidR="0003636C">
        <w:t xml:space="preserve"> respondents </w:t>
      </w:r>
      <w:r>
        <w:t xml:space="preserve">proposed that the Department </w:t>
      </w:r>
      <w:r w:rsidR="0080541C">
        <w:t xml:space="preserve">utilise population data or </w:t>
      </w:r>
      <w:r>
        <w:t>consider a model that aligns with existing government service areas relevant to carers</w:t>
      </w:r>
      <w:r w:rsidR="009D5029">
        <w:t xml:space="preserve"> (such as </w:t>
      </w:r>
      <w:r w:rsidR="003E43A3">
        <w:t>PHNs</w:t>
      </w:r>
      <w:r w:rsidR="009D5029">
        <w:t xml:space="preserve">, </w:t>
      </w:r>
      <w:r w:rsidR="003E43A3">
        <w:t>LGAs</w:t>
      </w:r>
      <w:r w:rsidR="009D5029">
        <w:t xml:space="preserve">, </w:t>
      </w:r>
      <w:r w:rsidR="00B2273C">
        <w:t xml:space="preserve">Local Health Districts, or </w:t>
      </w:r>
      <w:r w:rsidR="003E43A3">
        <w:t>NDIS</w:t>
      </w:r>
      <w:r w:rsidR="00B2273C">
        <w:t xml:space="preserve"> and</w:t>
      </w:r>
      <w:r w:rsidR="009D5029">
        <w:t xml:space="preserve"> Aged Care boundaries)</w:t>
      </w:r>
      <w:r w:rsidR="0080541C">
        <w:t xml:space="preserve"> in the development of a suitable model. </w:t>
      </w:r>
    </w:p>
    <w:p w14:paraId="210A07E2" w14:textId="622A7DF4" w:rsidR="00D10736" w:rsidRDefault="00641B0F" w:rsidP="00D10736">
      <w:r>
        <w:t>Some</w:t>
      </w:r>
      <w:r w:rsidR="00593E76">
        <w:t xml:space="preserve"> of these respondents specifically recommended aligning service area</w:t>
      </w:r>
      <w:r w:rsidR="00F72DF3">
        <w:t xml:space="preserve">s with </w:t>
      </w:r>
      <w:r w:rsidR="00BC1B6A">
        <w:t>PHNs</w:t>
      </w:r>
      <w:r w:rsidR="00B1763D">
        <w:t>,</w:t>
      </w:r>
      <w:r w:rsidR="00F72DF3">
        <w:t xml:space="preserve"> </w:t>
      </w:r>
      <w:r w:rsidR="003400CD">
        <w:t>to enable</w:t>
      </w:r>
      <w:r w:rsidR="005074BD">
        <w:t>:</w:t>
      </w:r>
      <w:r w:rsidR="00F72DF3">
        <w:t xml:space="preserve"> </w:t>
      </w:r>
      <w:r w:rsidR="003400CD">
        <w:t xml:space="preserve">utilisation of </w:t>
      </w:r>
      <w:r w:rsidR="00F72DF3">
        <w:t>existing health structures, data</w:t>
      </w:r>
      <w:r w:rsidR="003400CD">
        <w:t xml:space="preserve"> sharing</w:t>
      </w:r>
      <w:r w:rsidR="00C5317F">
        <w:t xml:space="preserve">, and leveraging </w:t>
      </w:r>
      <w:r w:rsidR="00F72DF3">
        <w:t xml:space="preserve">needs analysis and service mapping activities currently undertaken by PHNs. </w:t>
      </w:r>
    </w:p>
    <w:p w14:paraId="18DD3874" w14:textId="77777777" w:rsidR="00D77F56" w:rsidRDefault="00D77F56" w:rsidP="003B3FAB">
      <w:pPr>
        <w:pStyle w:val="Heading3"/>
        <w:numPr>
          <w:ilvl w:val="2"/>
          <w:numId w:val="5"/>
        </w:numPr>
      </w:pPr>
      <w:bookmarkStart w:id="10" w:name="_Toc516557331"/>
      <w:r>
        <w:t>Consortia establishment</w:t>
      </w:r>
      <w:bookmarkEnd w:id="10"/>
      <w:r>
        <w:t xml:space="preserve"> </w:t>
      </w:r>
    </w:p>
    <w:p w14:paraId="79CB7B53" w14:textId="2BE25BF2" w:rsidR="00D54257" w:rsidRDefault="00D54257" w:rsidP="005F3760">
      <w:pPr>
        <w:jc w:val="both"/>
      </w:pPr>
      <w:r>
        <w:t xml:space="preserve">Given the size of the proposed service areas, the capability and capacity of the sector to establish, and manage consortia arrangements is critical in ensuring carers have access to local services and the knowledge and expertise required to service carers with diverse needs is leveraged.  </w:t>
      </w:r>
    </w:p>
    <w:p w14:paraId="0E472068" w14:textId="25EE1AB3" w:rsidR="00AD7E6E" w:rsidRDefault="00B41118" w:rsidP="007B2303">
      <w:pPr>
        <w:jc w:val="both"/>
      </w:pPr>
      <w:r>
        <w:rPr>
          <w:noProof/>
          <w:lang w:eastAsia="en-AU"/>
        </w:rPr>
        <mc:AlternateContent>
          <mc:Choice Requires="wpg">
            <w:drawing>
              <wp:anchor distT="45720" distB="45720" distL="182880" distR="182880" simplePos="0" relativeHeight="251686912" behindDoc="0" locked="0" layoutInCell="1" allowOverlap="1" wp14:anchorId="5D8B58E4" wp14:editId="24F8CEFC">
                <wp:simplePos x="0" y="0"/>
                <wp:positionH relativeFrom="margin">
                  <wp:posOffset>3529454</wp:posOffset>
                </wp:positionH>
                <wp:positionV relativeFrom="margin">
                  <wp:posOffset>1511546</wp:posOffset>
                </wp:positionV>
                <wp:extent cx="2324100" cy="1390650"/>
                <wp:effectExtent l="0" t="0" r="0" b="0"/>
                <wp:wrapSquare wrapText="bothSides"/>
                <wp:docPr id="4" name="Group 4" descr="“(We) are confident from our sector knowledge that there are organisations capable of establishing and managing a presence throughout a large service area either in their own right or as leaders of a consortium” "/>
                <wp:cNvGraphicFramePr/>
                <a:graphic xmlns:a="http://schemas.openxmlformats.org/drawingml/2006/main">
                  <a:graphicData uri="http://schemas.microsoft.com/office/word/2010/wordprocessingGroup">
                    <wpg:wgp>
                      <wpg:cNvGrpSpPr/>
                      <wpg:grpSpPr>
                        <a:xfrm>
                          <a:off x="0" y="0"/>
                          <a:ext cx="2324100" cy="1390650"/>
                          <a:chOff x="-71849" y="133705"/>
                          <a:chExt cx="3986136" cy="1615155"/>
                        </a:xfrm>
                      </wpg:grpSpPr>
                      <wps:wsp>
                        <wps:cNvPr id="5" name="Rectangle 5"/>
                        <wps:cNvSpPr/>
                        <wps:spPr>
                          <a:xfrm rot="16200000" flipV="1">
                            <a:off x="-714742" y="860966"/>
                            <a:ext cx="1374969" cy="89184"/>
                          </a:xfrm>
                          <a:prstGeom prst="rect">
                            <a:avLst/>
                          </a:prstGeom>
                          <a:solidFill>
                            <a:srgbClr val="5B57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760B5" w14:textId="77777777" w:rsidR="0006789C" w:rsidRDefault="0006789C" w:rsidP="0006789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descr="“(We) are confident from our sector knowledge that there are organisations capable of establishing and managing a presence throughout a large service area either in their own right or as leaders of a consortium” "/>
                        <wps:cNvSpPr txBox="1"/>
                        <wps:spPr>
                          <a:xfrm>
                            <a:off x="2476" y="133705"/>
                            <a:ext cx="3911811" cy="161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3B44D" w14:textId="53B9C230" w:rsidR="0006789C" w:rsidRDefault="0006789C" w:rsidP="0006789C">
                              <w:pPr>
                                <w:jc w:val="both"/>
                                <w:rPr>
                                  <w:i/>
                                  <w:color w:val="5B57A4"/>
                                  <w:sz w:val="20"/>
                                  <w:szCs w:val="26"/>
                                </w:rPr>
                              </w:pPr>
                              <w:r w:rsidRPr="006451AE">
                                <w:rPr>
                                  <w:i/>
                                  <w:color w:val="5B57A4"/>
                                  <w:sz w:val="20"/>
                                  <w:szCs w:val="26"/>
                                </w:rPr>
                                <w:t>“</w:t>
                              </w:r>
                              <w:r w:rsidR="00822F35">
                                <w:rPr>
                                  <w:i/>
                                  <w:color w:val="5B57A4"/>
                                  <w:sz w:val="20"/>
                                  <w:szCs w:val="26"/>
                                </w:rPr>
                                <w:t>(</w:t>
                              </w:r>
                              <w:r w:rsidR="0045639E">
                                <w:rPr>
                                  <w:i/>
                                  <w:color w:val="5B57A4"/>
                                  <w:sz w:val="20"/>
                                  <w:szCs w:val="26"/>
                                </w:rPr>
                                <w:t>W</w:t>
                              </w:r>
                              <w:r w:rsidR="00822F35">
                                <w:rPr>
                                  <w:i/>
                                  <w:color w:val="5B57A4"/>
                                  <w:sz w:val="20"/>
                                  <w:szCs w:val="26"/>
                                </w:rPr>
                                <w:t>e) are confident from our sector knowledge that there are organisations capable of establishing and managing a presence throughout a large service area either in their own right or as leaders of a consortium</w:t>
                              </w:r>
                              <w:r w:rsidRPr="006451AE">
                                <w:rPr>
                                  <w:i/>
                                  <w:color w:val="5B57A4"/>
                                  <w:sz w:val="20"/>
                                  <w:szCs w:val="26"/>
                                </w:rPr>
                                <w:t>”</w:t>
                              </w:r>
                              <w:r>
                                <w:rPr>
                                  <w:i/>
                                  <w:color w:val="5B57A4"/>
                                  <w:sz w:val="20"/>
                                  <w:szCs w:val="26"/>
                                </w:rPr>
                                <w:t xml:space="preserve"> </w:t>
                              </w:r>
                            </w:p>
                            <w:p w14:paraId="33C8C3C4" w14:textId="77777777" w:rsidR="0006789C" w:rsidRPr="006451AE" w:rsidRDefault="0006789C" w:rsidP="0006789C">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B58E4" id="Group 4" o:spid="_x0000_s1029" alt="“(We) are confident from our sector knowledge that there are organisations capable of establishing and managing a presence throughout a large service area either in their own right or as leaders of a consortium” " style="position:absolute;left:0;text-align:left;margin-left:277.9pt;margin-top:119pt;width:183pt;height:109.5pt;z-index:251686912;mso-wrap-distance-left:14.4pt;mso-wrap-distance-top:3.6pt;mso-wrap-distance-right:14.4pt;mso-wrap-distance-bottom:3.6pt;mso-position-horizontal-relative:margin;mso-position-vertical-relative:margin;mso-width-relative:margin;mso-height-relative:margin" coordorigin="-718,1337" coordsize="39861,1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">
                <v:rect id="Rectangle 5" o:spid="_x0000_s1030" style="position:absolute;left:-7147;top:8609;width:13750;height:89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" fillcolor="#5b57a4" stroked="f" strokeweight="1pt">
                  <v:textbox>
                    <w:txbxContent>
                      <w:p w14:paraId="2DB760B5" w14:textId="77777777" w:rsidR="0006789C" w:rsidRDefault="0006789C" w:rsidP="0006789C">
                        <w:pPr>
                          <w:jc w:val="center"/>
                          <w:rPr>
                            <w:rFonts w:asciiTheme="majorHAnsi" w:eastAsiaTheme="majorEastAsia" w:hAnsiTheme="majorHAnsi" w:cstheme="majorBidi"/>
                            <w:color w:val="FFFFFF" w:themeColor="background1"/>
                            <w:sz w:val="24"/>
                            <w:szCs w:val="28"/>
                          </w:rPr>
                        </w:pPr>
                      </w:p>
                    </w:txbxContent>
                  </v:textbox>
                </v:rect>
                <v:shape id="Text Box 6" o:spid="_x0000_s1031" type="#_x0000_t202" alt="“(We) are confident from our sector knowledge that there are organisations capable of establishing and managing a presence throughout a large service area either in their own right or as leaders of a consortium” " style="position:absolute;left:24;top:1337;width:39118;height:1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4B23B44D" w14:textId="53B9C230" w:rsidR="0006789C" w:rsidRDefault="0006789C" w:rsidP="0006789C">
                        <w:pPr>
                          <w:jc w:val="both"/>
                          <w:rPr>
                            <w:i/>
                            <w:color w:val="5B57A4"/>
                            <w:sz w:val="20"/>
                            <w:szCs w:val="26"/>
                          </w:rPr>
                        </w:pPr>
                        <w:r w:rsidRPr="006451AE">
                          <w:rPr>
                            <w:i/>
                            <w:color w:val="5B57A4"/>
                            <w:sz w:val="20"/>
                            <w:szCs w:val="26"/>
                          </w:rPr>
                          <w:t>“</w:t>
                        </w:r>
                        <w:r w:rsidR="00822F35">
                          <w:rPr>
                            <w:i/>
                            <w:color w:val="5B57A4"/>
                            <w:sz w:val="20"/>
                            <w:szCs w:val="26"/>
                          </w:rPr>
                          <w:t>(</w:t>
                        </w:r>
                        <w:r w:rsidR="0045639E">
                          <w:rPr>
                            <w:i/>
                            <w:color w:val="5B57A4"/>
                            <w:sz w:val="20"/>
                            <w:szCs w:val="26"/>
                          </w:rPr>
                          <w:t>W</w:t>
                        </w:r>
                        <w:r w:rsidR="00822F35">
                          <w:rPr>
                            <w:i/>
                            <w:color w:val="5B57A4"/>
                            <w:sz w:val="20"/>
                            <w:szCs w:val="26"/>
                          </w:rPr>
                          <w:t>e) are confident from our sector knowledge that there are organisations capable of establishing and managing a presence throughout a large service area either in their own right or as leaders of a consortium</w:t>
                        </w:r>
                        <w:r w:rsidRPr="006451AE">
                          <w:rPr>
                            <w:i/>
                            <w:color w:val="5B57A4"/>
                            <w:sz w:val="20"/>
                            <w:szCs w:val="26"/>
                          </w:rPr>
                          <w:t>”</w:t>
                        </w:r>
                        <w:r>
                          <w:rPr>
                            <w:i/>
                            <w:color w:val="5B57A4"/>
                            <w:sz w:val="20"/>
                            <w:szCs w:val="26"/>
                          </w:rPr>
                          <w:t xml:space="preserve"> </w:t>
                        </w:r>
                      </w:p>
                      <w:p w14:paraId="33C8C3C4" w14:textId="77777777" w:rsidR="0006789C" w:rsidRPr="006451AE" w:rsidRDefault="0006789C" w:rsidP="0006789C">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v:textbox>
                </v:shape>
                <w10:wrap type="square" anchorx="margin" anchory="margin"/>
              </v:group>
            </w:pict>
          </mc:Fallback>
        </mc:AlternateContent>
      </w:r>
      <w:r w:rsidR="00B221DF">
        <w:t>Many</w:t>
      </w:r>
      <w:r w:rsidR="00F84959">
        <w:t xml:space="preserve"> respondents indicated the sector has the capacity, </w:t>
      </w:r>
      <w:r w:rsidR="00AD7E6E">
        <w:t>capability</w:t>
      </w:r>
      <w:r w:rsidR="00F84959">
        <w:t xml:space="preserve"> and willingness</w:t>
      </w:r>
      <w:r w:rsidR="00AD7E6E">
        <w:t xml:space="preserve"> to establish and manage consortia</w:t>
      </w:r>
      <w:r w:rsidR="00F84959">
        <w:t xml:space="preserve"> required to deliver across large service areas. </w:t>
      </w:r>
      <w:r w:rsidR="00605D1F">
        <w:t>They</w:t>
      </w:r>
      <w:r w:rsidR="00F84959">
        <w:t xml:space="preserve"> reported experience in forming relationships and sub-contracting arrangements with providers, </w:t>
      </w:r>
      <w:r w:rsidR="0020545B">
        <w:t xml:space="preserve">undertaking </w:t>
      </w:r>
      <w:r w:rsidR="00F84959">
        <w:t xml:space="preserve">service area planning and have pre-existing infrastructure and resources in place that would </w:t>
      </w:r>
      <w:r w:rsidR="00C55D6F">
        <w:t xml:space="preserve">assist in managing </w:t>
      </w:r>
      <w:r w:rsidR="00AE00F7">
        <w:t>a consortium</w:t>
      </w:r>
      <w:r w:rsidR="00C55D6F">
        <w:t xml:space="preserve">. </w:t>
      </w:r>
      <w:r w:rsidR="00F84959">
        <w:t xml:space="preserve"> </w:t>
      </w:r>
    </w:p>
    <w:p w14:paraId="59B2F5FE" w14:textId="41CF02C5" w:rsidR="00AD7E6E" w:rsidRDefault="00B6501C" w:rsidP="00AD7E6E">
      <w:r>
        <w:t xml:space="preserve">While </w:t>
      </w:r>
      <w:r w:rsidR="008630C5">
        <w:t xml:space="preserve">responses indicated market capacity and capability to form and manage consortia, a number of </w:t>
      </w:r>
      <w:r w:rsidR="00E0307B">
        <w:t>submissions</w:t>
      </w:r>
      <w:r w:rsidR="008630C5">
        <w:t xml:space="preserve"> highlighted issues that may arise with this approach, including:</w:t>
      </w:r>
    </w:p>
    <w:p w14:paraId="419404AA" w14:textId="1898754B" w:rsidR="008630C5" w:rsidRDefault="00B6501C" w:rsidP="00855612">
      <w:pPr>
        <w:pStyle w:val="ICSSDotPoint"/>
      </w:pPr>
      <w:r>
        <w:t>t</w:t>
      </w:r>
      <w:r w:rsidR="00B0619B">
        <w:t>he high cost</w:t>
      </w:r>
      <w:r w:rsidR="0020545B">
        <w:t>s</w:t>
      </w:r>
      <w:r w:rsidR="00B0619B">
        <w:t xml:space="preserve"> and time associated with </w:t>
      </w:r>
      <w:r w:rsidR="009F1B9D">
        <w:t>setting-up and maintaining</w:t>
      </w:r>
      <w:r w:rsidR="00B0619B">
        <w:t xml:space="preserve"> consortia</w:t>
      </w:r>
    </w:p>
    <w:p w14:paraId="6683BD1B" w14:textId="46865A87" w:rsidR="00B0619B" w:rsidRDefault="005E148E" w:rsidP="00855612">
      <w:pPr>
        <w:pStyle w:val="ICSSDotPoint"/>
      </w:pPr>
      <w:r>
        <w:t>loss of consistency and quality in service delivery as a result of less direct local services being delivered</w:t>
      </w:r>
    </w:p>
    <w:p w14:paraId="66FA9C5C" w14:textId="4FF31C72" w:rsidR="00855612" w:rsidRDefault="00B6501C" w:rsidP="00AD7E6E">
      <w:pPr>
        <w:pStyle w:val="ICSSDotPoint"/>
      </w:pPr>
      <w:r>
        <w:t>v</w:t>
      </w:r>
      <w:r w:rsidR="005E148E">
        <w:t xml:space="preserve">arying levels of readiness of the sector to work across large geographic areas and work collaboratively with other providers. </w:t>
      </w:r>
    </w:p>
    <w:p w14:paraId="374D5050" w14:textId="3E61A556" w:rsidR="00FD6934" w:rsidRDefault="00FD6934" w:rsidP="006C7198">
      <w:pPr>
        <w:jc w:val="both"/>
      </w:pPr>
      <w:r>
        <w:t xml:space="preserve">Respondents also </w:t>
      </w:r>
      <w:r w:rsidR="00B6501C">
        <w:t>recommended</w:t>
      </w:r>
      <w:r>
        <w:t xml:space="preserve"> the Department </w:t>
      </w:r>
      <w:r w:rsidR="00202C16">
        <w:t xml:space="preserve">consider activities to support and facilitate </w:t>
      </w:r>
      <w:r>
        <w:t xml:space="preserve">the formation of consortia, and ensure RDPs are provided with sufficient guidance around sub-contracting arrangements to ensure quality, consistency and maintenance of local services. </w:t>
      </w:r>
    </w:p>
    <w:p w14:paraId="2C0ECD34" w14:textId="77777777" w:rsidR="00AD7E6E" w:rsidRPr="00AD7E6E" w:rsidRDefault="00D77F56" w:rsidP="003B3FAB">
      <w:pPr>
        <w:pStyle w:val="Heading3"/>
        <w:numPr>
          <w:ilvl w:val="2"/>
          <w:numId w:val="5"/>
        </w:numPr>
      </w:pPr>
      <w:bookmarkStart w:id="11" w:name="_Toc516557332"/>
      <w:r>
        <w:t>Service area size</w:t>
      </w:r>
      <w:bookmarkEnd w:id="11"/>
      <w:r>
        <w:t xml:space="preserve"> </w:t>
      </w:r>
    </w:p>
    <w:p w14:paraId="4EE309F3" w14:textId="7758CA5D" w:rsidR="00285FCB" w:rsidRDefault="00285FCB" w:rsidP="006B0CBC">
      <w:pPr>
        <w:jc w:val="both"/>
      </w:pPr>
      <w:r>
        <w:t xml:space="preserve">The proposed size </w:t>
      </w:r>
      <w:r w:rsidR="0020545B">
        <w:t xml:space="preserve">and number </w:t>
      </w:r>
      <w:r>
        <w:t xml:space="preserve">of service areas received mixed feedback from respondents. </w:t>
      </w:r>
      <w:r w:rsidR="00B6501C">
        <w:t xml:space="preserve">While </w:t>
      </w:r>
      <w:r>
        <w:t xml:space="preserve">there were proponents for a small number of service areas, with </w:t>
      </w:r>
      <w:r w:rsidR="00B6501C">
        <w:t xml:space="preserve">six </w:t>
      </w:r>
      <w:r>
        <w:t xml:space="preserve">respondents indicating a preference for </w:t>
      </w:r>
      <w:r w:rsidR="00C51EA7" w:rsidRPr="00C51EA7">
        <w:rPr>
          <w:i/>
        </w:rPr>
        <w:t>Option B – 11 service areas</w:t>
      </w:r>
      <w:r w:rsidR="00C51EA7">
        <w:t xml:space="preserve">, </w:t>
      </w:r>
      <w:r>
        <w:t xml:space="preserve">there was a stronger preference for </w:t>
      </w:r>
      <w:r w:rsidR="00C51EA7" w:rsidRPr="00C51EA7">
        <w:rPr>
          <w:i/>
        </w:rPr>
        <w:t xml:space="preserve">Option A – </w:t>
      </w:r>
      <w:r w:rsidRPr="00C51EA7">
        <w:rPr>
          <w:i/>
        </w:rPr>
        <w:t>20 service areas</w:t>
      </w:r>
      <w:r>
        <w:t xml:space="preserve">, with 11 respondents </w:t>
      </w:r>
      <w:r w:rsidR="00C51EA7">
        <w:t>stating a preference for this option</w:t>
      </w:r>
      <w:r>
        <w:t xml:space="preserve">. </w:t>
      </w:r>
    </w:p>
    <w:p w14:paraId="770182BF" w14:textId="54AD60A9" w:rsidR="00D11ABF" w:rsidRDefault="00D11ABF" w:rsidP="006B0CBC">
      <w:pPr>
        <w:jc w:val="both"/>
      </w:pPr>
      <w:r w:rsidRPr="00024583">
        <w:t xml:space="preserve">Some organisations indicated </w:t>
      </w:r>
      <w:r w:rsidR="00317210">
        <w:t xml:space="preserve">that large service areas are a feasible and efficient model and </w:t>
      </w:r>
      <w:r w:rsidRPr="00024583">
        <w:t>they already operate a hub and spoke model with centralised functions such as intake, screening, brokerage of respite and telephone based carer advice</w:t>
      </w:r>
      <w:r w:rsidR="00B6501C">
        <w:t>. These organisations</w:t>
      </w:r>
      <w:r w:rsidR="003C780A">
        <w:t xml:space="preserve"> </w:t>
      </w:r>
      <w:r w:rsidR="00A42C05">
        <w:t>offer</w:t>
      </w:r>
      <w:r w:rsidRPr="00024583">
        <w:t xml:space="preserve"> face-to-face </w:t>
      </w:r>
      <w:r w:rsidR="00B6501C">
        <w:t>services and</w:t>
      </w:r>
      <w:r w:rsidR="00B6501C" w:rsidRPr="00024583">
        <w:t xml:space="preserve"> </w:t>
      </w:r>
      <w:r w:rsidRPr="00024583">
        <w:t xml:space="preserve">outreach activities </w:t>
      </w:r>
      <w:r w:rsidR="00B6501C">
        <w:t>through</w:t>
      </w:r>
      <w:r w:rsidRPr="00024583">
        <w:t xml:space="preserve"> regional team members. They have found this approach </w:t>
      </w:r>
      <w:r w:rsidR="0020545B">
        <w:t xml:space="preserve">to be </w:t>
      </w:r>
      <w:r w:rsidRPr="00024583">
        <w:t>cost effective with a higher proportion of funds available to support carers.</w:t>
      </w:r>
      <w:r>
        <w:t xml:space="preserve"> </w:t>
      </w:r>
    </w:p>
    <w:p w14:paraId="1001C091" w14:textId="66C544E5" w:rsidR="00285FCB" w:rsidRDefault="00285FCB" w:rsidP="006B0CBC">
      <w:pPr>
        <w:jc w:val="both"/>
      </w:pPr>
      <w:r>
        <w:t>Proponents for a smaller number of</w:t>
      </w:r>
      <w:r w:rsidR="007E4E87">
        <w:t xml:space="preserve"> large</w:t>
      </w:r>
      <w:r>
        <w:t xml:space="preserve"> service areas </w:t>
      </w:r>
      <w:r w:rsidR="00024583">
        <w:t xml:space="preserve">also </w:t>
      </w:r>
      <w:r>
        <w:t xml:space="preserve">highlighted </w:t>
      </w:r>
      <w:r w:rsidR="00D70142">
        <w:t xml:space="preserve">that this </w:t>
      </w:r>
      <w:r w:rsidR="000D5811">
        <w:t xml:space="preserve">model </w:t>
      </w:r>
      <w:r w:rsidR="00D70142">
        <w:t>provides</w:t>
      </w:r>
      <w:r>
        <w:t>:</w:t>
      </w:r>
    </w:p>
    <w:p w14:paraId="2E4532CC" w14:textId="3B01F7C2" w:rsidR="00285FCB" w:rsidRDefault="00DC5383" w:rsidP="006B0CBC">
      <w:pPr>
        <w:pStyle w:val="ICSSDotPoint"/>
        <w:jc w:val="both"/>
      </w:pPr>
      <w:r>
        <w:t xml:space="preserve">a </w:t>
      </w:r>
      <w:r w:rsidR="00D70142">
        <w:t>less fragmented approach to service delivery</w:t>
      </w:r>
    </w:p>
    <w:p w14:paraId="2FBA97D3" w14:textId="77B03355" w:rsidR="00024583" w:rsidRDefault="00DC5383" w:rsidP="00654937">
      <w:pPr>
        <w:pStyle w:val="ICSSDotPoint"/>
        <w:jc w:val="both"/>
      </w:pPr>
      <w:r>
        <w:t>e</w:t>
      </w:r>
      <w:r w:rsidR="00D70142">
        <w:t>conomies of scale and reduced duplication of effort</w:t>
      </w:r>
    </w:p>
    <w:p w14:paraId="245F39B8" w14:textId="2FD82FBC" w:rsidR="00D70142" w:rsidRDefault="00DC5383" w:rsidP="00654937">
      <w:pPr>
        <w:pStyle w:val="ICSSDotPoint"/>
        <w:jc w:val="both"/>
      </w:pPr>
      <w:r>
        <w:t>s</w:t>
      </w:r>
      <w:r w:rsidR="00D70142">
        <w:t xml:space="preserve">tronger brand recognition of </w:t>
      </w:r>
      <w:r w:rsidR="00024583">
        <w:t>providers, which</w:t>
      </w:r>
      <w:r w:rsidR="00D70142">
        <w:t xml:space="preserve"> will aid referral</w:t>
      </w:r>
    </w:p>
    <w:p w14:paraId="743606EE" w14:textId="6F59F72A" w:rsidR="005B18DB" w:rsidRDefault="00DC5383" w:rsidP="006B0CBC">
      <w:pPr>
        <w:pStyle w:val="ICSSDotPoint"/>
        <w:jc w:val="both"/>
      </w:pPr>
      <w:r>
        <w:t>c</w:t>
      </w:r>
      <w:r w:rsidR="00D70142">
        <w:t xml:space="preserve">arer mobility across broader areas. </w:t>
      </w:r>
    </w:p>
    <w:p w14:paraId="57B4D66A" w14:textId="6F32783F" w:rsidR="005B18DB" w:rsidRDefault="005B18DB" w:rsidP="006B0CBC">
      <w:pPr>
        <w:jc w:val="both"/>
      </w:pPr>
      <w:r>
        <w:t>Conversely, a large number of respondents commented on the risks associated with the establishment of a small number of prime contractors providing services across large areas</w:t>
      </w:r>
      <w:r w:rsidR="00162EDB">
        <w:t xml:space="preserve">, </w:t>
      </w:r>
      <w:r w:rsidR="0020545B">
        <w:t>which include:</w:t>
      </w:r>
    </w:p>
    <w:p w14:paraId="4F928762" w14:textId="49A2713B" w:rsidR="005B18DB" w:rsidRDefault="00DC5383" w:rsidP="006B0CBC">
      <w:pPr>
        <w:pStyle w:val="ICSSDotPoint"/>
        <w:jc w:val="both"/>
      </w:pPr>
      <w:r>
        <w:t xml:space="preserve">less </w:t>
      </w:r>
      <w:r w:rsidR="00162EDB">
        <w:t>carer access to individualised and local services</w:t>
      </w:r>
    </w:p>
    <w:p w14:paraId="4360A380" w14:textId="145799A1" w:rsidR="00162EDB" w:rsidRDefault="00DC5383" w:rsidP="006B0CBC">
      <w:pPr>
        <w:pStyle w:val="ICSSDotPoint"/>
        <w:jc w:val="both"/>
      </w:pPr>
      <w:r>
        <w:t>l</w:t>
      </w:r>
      <w:r w:rsidR="00162EDB">
        <w:t>osing the current knowledge and expertise of current service providers</w:t>
      </w:r>
    </w:p>
    <w:p w14:paraId="6D6D4ABA" w14:textId="08FA3B0E" w:rsidR="00162EDB" w:rsidRDefault="00DC5383" w:rsidP="006B0CBC">
      <w:pPr>
        <w:pStyle w:val="ICSSDotPoint"/>
        <w:jc w:val="both"/>
      </w:pPr>
      <w:r>
        <w:t>i</w:t>
      </w:r>
      <w:r w:rsidR="00162EDB">
        <w:t>nconsistent quality and availability of services as a result of managing sub-contractors over a large area</w:t>
      </w:r>
    </w:p>
    <w:p w14:paraId="14D8AA9F" w14:textId="6BA60A32" w:rsidR="00162EDB" w:rsidRDefault="00DC5383" w:rsidP="006B0CBC">
      <w:pPr>
        <w:pStyle w:val="ICSSDotPoint"/>
        <w:jc w:val="both"/>
      </w:pPr>
      <w:r>
        <w:t>i</w:t>
      </w:r>
      <w:r w:rsidR="00162EDB">
        <w:t>ncreased costs</w:t>
      </w:r>
      <w:r w:rsidR="003235F4">
        <w:t xml:space="preserve"> (i.e. administrative overheads)</w:t>
      </w:r>
      <w:r w:rsidR="00162EDB">
        <w:t xml:space="preserve"> related to the establishment and management of the sub-contracting arrangements that will be required to ensure consistent and quality service delivery.</w:t>
      </w:r>
    </w:p>
    <w:p w14:paraId="571662B6" w14:textId="42D2E948" w:rsidR="00875653" w:rsidRDefault="00875653" w:rsidP="00384D3A">
      <w:pPr>
        <w:pStyle w:val="Heading2"/>
      </w:pPr>
      <w:bookmarkStart w:id="12" w:name="_Toc516557333"/>
      <w:r>
        <w:t>Implementation</w:t>
      </w:r>
      <w:r w:rsidR="00711A4F">
        <w:t>, f</w:t>
      </w:r>
      <w:r w:rsidR="000B1524">
        <w:t>unding</w:t>
      </w:r>
      <w:r>
        <w:t xml:space="preserve"> </w:t>
      </w:r>
      <w:r w:rsidR="00D52DD5">
        <w:t>and</w:t>
      </w:r>
      <w:r w:rsidR="00711A4F">
        <w:t xml:space="preserve"> service d</w:t>
      </w:r>
      <w:r w:rsidR="005D70FF">
        <w:t xml:space="preserve">esign </w:t>
      </w:r>
      <w:r w:rsidR="00711A4F">
        <w:t>c</w:t>
      </w:r>
      <w:r>
        <w:t>onsiderations</w:t>
      </w:r>
      <w:bookmarkEnd w:id="12"/>
      <w:r>
        <w:t xml:space="preserve"> </w:t>
      </w:r>
    </w:p>
    <w:p w14:paraId="10D5CEDD" w14:textId="77777777" w:rsidR="00875653" w:rsidRDefault="000A69B3" w:rsidP="006B0CBC">
      <w:pPr>
        <w:jc w:val="both"/>
      </w:pPr>
      <w:r>
        <w:t>Although submissions primarily focussed on providing feedback on the proposed service area models, a</w:t>
      </w:r>
      <w:r w:rsidR="00A70490">
        <w:t xml:space="preserve"> number of respondents raised issues and made suggestions regarding the</w:t>
      </w:r>
      <w:r w:rsidR="005D70FF">
        <w:t xml:space="preserve"> ICSS</w:t>
      </w:r>
      <w:r w:rsidR="00A70490">
        <w:t xml:space="preserve"> implementation</w:t>
      </w:r>
      <w:r w:rsidR="000B1524">
        <w:t>, funding model</w:t>
      </w:r>
      <w:r w:rsidR="00A70490">
        <w:t xml:space="preserve"> </w:t>
      </w:r>
      <w:r w:rsidR="005D70FF">
        <w:t xml:space="preserve">and service design. </w:t>
      </w:r>
    </w:p>
    <w:p w14:paraId="756DB997" w14:textId="335B1F9B" w:rsidR="00875653" w:rsidRDefault="00826E6F" w:rsidP="003B3FAB">
      <w:pPr>
        <w:pStyle w:val="Heading3"/>
        <w:numPr>
          <w:ilvl w:val="2"/>
          <w:numId w:val="5"/>
        </w:numPr>
      </w:pPr>
      <w:bookmarkStart w:id="13" w:name="_Toc516557334"/>
      <w:r>
        <w:t>Implementation and</w:t>
      </w:r>
      <w:r w:rsidR="00BC05CE">
        <w:t xml:space="preserve"> Transition</w:t>
      </w:r>
      <w:bookmarkEnd w:id="13"/>
    </w:p>
    <w:p w14:paraId="0D75D6BC" w14:textId="5BD3003B" w:rsidR="00BC05CE" w:rsidRDefault="00A442E7" w:rsidP="006B0CBC">
      <w:pPr>
        <w:jc w:val="both"/>
      </w:pPr>
      <w:r>
        <w:t>Respondents recognised the complexities and risks associated with the transition to a new service model and provided practical suggestions to managing these risks including:</w:t>
      </w:r>
      <w:r w:rsidR="00AC6CD7" w:rsidRPr="00AC6CD7">
        <w:rPr>
          <w:noProof/>
          <w:lang w:eastAsia="en-AU"/>
        </w:rPr>
        <w:t xml:space="preserve"> </w:t>
      </w:r>
    </w:p>
    <w:p w14:paraId="7CBBADF4" w14:textId="4072B769" w:rsidR="00106847" w:rsidRDefault="007220B0" w:rsidP="006B0CBC">
      <w:pPr>
        <w:pStyle w:val="ICSSDotPoint"/>
        <w:jc w:val="both"/>
      </w:pPr>
      <w:r w:rsidRPr="007220B0">
        <w:rPr>
          <w:b/>
        </w:rPr>
        <w:t xml:space="preserve">Communication </w:t>
      </w:r>
      <w:r w:rsidR="00626DC7">
        <w:rPr>
          <w:b/>
        </w:rPr>
        <w:t>and</w:t>
      </w:r>
      <w:r w:rsidR="005033F1">
        <w:rPr>
          <w:b/>
        </w:rPr>
        <w:t xml:space="preserve"> engagement </w:t>
      </w:r>
      <w:r>
        <w:t>– e</w:t>
      </w:r>
      <w:r w:rsidR="00106847">
        <w:t>nsuring carers and related services (particularly those likely to referrals to carer supports) are informed of the changes and introduction of new services through a national communications campaign, and via RDPs undertaking community outreach and engagement activities.</w:t>
      </w:r>
    </w:p>
    <w:p w14:paraId="470D6AAB" w14:textId="77777777" w:rsidR="00A442E7" w:rsidRDefault="007220B0" w:rsidP="006B0CBC">
      <w:pPr>
        <w:pStyle w:val="ICSSDotPoint"/>
        <w:jc w:val="both"/>
      </w:pPr>
      <w:r w:rsidRPr="007220B0">
        <w:rPr>
          <w:b/>
        </w:rPr>
        <w:t>Evaluation</w:t>
      </w:r>
      <w:r>
        <w:t xml:space="preserve"> – e</w:t>
      </w:r>
      <w:r w:rsidR="00EE1EA4">
        <w:t xml:space="preserve">valuating and reviewing the effectiveness of the new model post-implementation to ensure the expected program benefits are being realised. </w:t>
      </w:r>
      <w:r w:rsidR="00106847">
        <w:t xml:space="preserve"> </w:t>
      </w:r>
    </w:p>
    <w:p w14:paraId="68C1F3DE" w14:textId="77777777" w:rsidR="003613F8" w:rsidRDefault="007220B0" w:rsidP="006B0CBC">
      <w:pPr>
        <w:pStyle w:val="ICSSDotPoint"/>
        <w:jc w:val="both"/>
      </w:pPr>
      <w:r w:rsidRPr="007220B0">
        <w:rPr>
          <w:b/>
        </w:rPr>
        <w:t>Planning</w:t>
      </w:r>
      <w:r>
        <w:t xml:space="preserve"> – c</w:t>
      </w:r>
      <w:r w:rsidR="00010F7F">
        <w:t>areful planning of transition activities, particularly in relation to the transfer of client data, provision of information and support to service providers and their employees and ensuring the sector has sufficient time to prepare for and undertake transition activities.</w:t>
      </w:r>
    </w:p>
    <w:p w14:paraId="73B56C01" w14:textId="5D6D50DC" w:rsidR="00EE1EA4" w:rsidRDefault="007220B0" w:rsidP="006B0CBC">
      <w:pPr>
        <w:pStyle w:val="ICSSDotPoint"/>
        <w:jc w:val="both"/>
      </w:pPr>
      <w:r w:rsidRPr="007220B0">
        <w:rPr>
          <w:b/>
        </w:rPr>
        <w:t>Consultation</w:t>
      </w:r>
      <w:r>
        <w:t xml:space="preserve"> – o</w:t>
      </w:r>
      <w:r w:rsidR="003613F8" w:rsidRPr="007220B0">
        <w:t>ngoing</w:t>
      </w:r>
      <w:r w:rsidR="003613F8">
        <w:t xml:space="preserve"> consultation with providers and carers to ensure effective operationalisation of the ICSS. </w:t>
      </w:r>
    </w:p>
    <w:p w14:paraId="11FD52D5" w14:textId="77777777" w:rsidR="00BC05CE" w:rsidRDefault="00BC05CE" w:rsidP="003B3FAB">
      <w:pPr>
        <w:pStyle w:val="Heading3"/>
        <w:numPr>
          <w:ilvl w:val="2"/>
          <w:numId w:val="5"/>
        </w:numPr>
      </w:pPr>
      <w:bookmarkStart w:id="14" w:name="_Toc516557335"/>
      <w:r>
        <w:t>Funding Model</w:t>
      </w:r>
      <w:bookmarkEnd w:id="14"/>
    </w:p>
    <w:p w14:paraId="3E5F8195" w14:textId="54FA8EFB" w:rsidR="00815450" w:rsidRDefault="00366C83" w:rsidP="006B0CBC">
      <w:pPr>
        <w:jc w:val="both"/>
      </w:pPr>
      <w:r>
        <w:t xml:space="preserve">Respondents </w:t>
      </w:r>
      <w:r w:rsidR="00DC5383">
        <w:t>were supportive of</w:t>
      </w:r>
      <w:r>
        <w:t xml:space="preserve"> the </w:t>
      </w:r>
      <w:r w:rsidR="00B63438">
        <w:t xml:space="preserve">Australian </w:t>
      </w:r>
      <w:r w:rsidR="00DC5383">
        <w:t>G</w:t>
      </w:r>
      <w:r>
        <w:t xml:space="preserve">overnment’s commitment to ongoing funding and further investment for carer supports at a national, regional and local level. </w:t>
      </w:r>
      <w:r w:rsidR="00D43E7D">
        <w:t>S</w:t>
      </w:r>
      <w:r>
        <w:t>ome</w:t>
      </w:r>
      <w:r w:rsidR="00C117CB">
        <w:t xml:space="preserve"> noted it was difficult to comment on the </w:t>
      </w:r>
      <w:r w:rsidR="0093327A">
        <w:t xml:space="preserve">effectiveness of the proposed models as an indicative approach to funding was not provided in the discussion paper. </w:t>
      </w:r>
    </w:p>
    <w:p w14:paraId="70FB008D" w14:textId="499EAE29" w:rsidR="009A63A8" w:rsidRDefault="00685636" w:rsidP="006B0CBC">
      <w:pPr>
        <w:jc w:val="both"/>
      </w:pPr>
      <w:r>
        <w:t xml:space="preserve">A number of submissions mentioned </w:t>
      </w:r>
      <w:r w:rsidR="009A63A8">
        <w:t xml:space="preserve">the allocation of funding </w:t>
      </w:r>
      <w:r w:rsidR="00923424">
        <w:t xml:space="preserve">should </w:t>
      </w:r>
      <w:r w:rsidR="009A63A8">
        <w:t xml:space="preserve">consider: </w:t>
      </w:r>
    </w:p>
    <w:p w14:paraId="68510FBD" w14:textId="77777777" w:rsidR="00F41CD7" w:rsidRDefault="008D1C3B" w:rsidP="006B0CBC">
      <w:pPr>
        <w:pStyle w:val="ICSSDotPoint"/>
        <w:jc w:val="both"/>
      </w:pPr>
      <w:r w:rsidRPr="008D1C3B">
        <w:rPr>
          <w:b/>
        </w:rPr>
        <w:t>Rural and remote service delivery</w:t>
      </w:r>
      <w:r>
        <w:t xml:space="preserve"> – </w:t>
      </w:r>
      <w:r w:rsidR="009A63A8">
        <w:t xml:space="preserve">the </w:t>
      </w:r>
      <w:r w:rsidR="00F41CD7">
        <w:t>costs associated with delivering services to rural and remote carer communities</w:t>
      </w:r>
      <w:r w:rsidR="009A63A8">
        <w:t>.</w:t>
      </w:r>
      <w:r w:rsidR="00F41CD7">
        <w:t xml:space="preserve"> </w:t>
      </w:r>
      <w:r w:rsidR="009A63A8">
        <w:t>N</w:t>
      </w:r>
      <w:r w:rsidR="00F41CD7">
        <w:t xml:space="preserve">otably, travel costs for provision of services across vast distances to remote areas and costs related to the delivery of services to vulnerable groups that have a heavier reliance on in-person support due to technological and language barriers. </w:t>
      </w:r>
    </w:p>
    <w:p w14:paraId="08D5C2DE" w14:textId="77777777" w:rsidR="0031749F" w:rsidRDefault="009C47C8" w:rsidP="006B0CBC">
      <w:pPr>
        <w:pStyle w:val="ICSSDotPoint"/>
        <w:jc w:val="both"/>
      </w:pPr>
      <w:r w:rsidRPr="009C47C8">
        <w:rPr>
          <w:b/>
        </w:rPr>
        <w:t xml:space="preserve">Establishment costs </w:t>
      </w:r>
      <w:r w:rsidRPr="009C47C8">
        <w:t xml:space="preserve">– </w:t>
      </w:r>
      <w:r>
        <w:t>the establishment of RDPs will incur specific costs related to building the partnerships, capability, infrastructure required for effective service delivery</w:t>
      </w:r>
      <w:r w:rsidR="007030E4">
        <w:t>.</w:t>
      </w:r>
    </w:p>
    <w:p w14:paraId="0BA18622" w14:textId="77777777" w:rsidR="00685636" w:rsidRDefault="0031749F" w:rsidP="006B0CBC">
      <w:pPr>
        <w:pStyle w:val="ICSSDotPoint"/>
        <w:jc w:val="both"/>
      </w:pPr>
      <w:r>
        <w:rPr>
          <w:b/>
        </w:rPr>
        <w:t>Equitable re-allocation of funding</w:t>
      </w:r>
      <w:r>
        <w:t xml:space="preserve"> – the use of funding guidelines for RDPs to ensure an appropriate balance between expenditure of funding on administrative overheads and direct services and </w:t>
      </w:r>
      <w:r w:rsidR="00606DA3">
        <w:t xml:space="preserve">filtering of funds to local, sub-contracted providers. </w:t>
      </w:r>
      <w:r>
        <w:t xml:space="preserve"> </w:t>
      </w:r>
    </w:p>
    <w:p w14:paraId="4EA384C4" w14:textId="77777777" w:rsidR="00BC05CE" w:rsidRPr="00BC05CE" w:rsidRDefault="00BC05CE" w:rsidP="003B3FAB">
      <w:pPr>
        <w:pStyle w:val="Heading3"/>
        <w:numPr>
          <w:ilvl w:val="2"/>
          <w:numId w:val="5"/>
        </w:numPr>
      </w:pPr>
      <w:bookmarkStart w:id="15" w:name="_Toc516557336"/>
      <w:r>
        <w:t>Service Design</w:t>
      </w:r>
      <w:bookmarkEnd w:id="15"/>
      <w:r>
        <w:t xml:space="preserve"> </w:t>
      </w:r>
    </w:p>
    <w:p w14:paraId="722938CE" w14:textId="1F3F9874" w:rsidR="00DA4B01" w:rsidRDefault="00B41118" w:rsidP="006B0CBC">
      <w:pPr>
        <w:jc w:val="both"/>
      </w:pPr>
      <w:r>
        <w:rPr>
          <w:noProof/>
          <w:lang w:eastAsia="en-AU"/>
        </w:rPr>
        <mc:AlternateContent>
          <mc:Choice Requires="wpg">
            <w:drawing>
              <wp:anchor distT="45720" distB="45720" distL="182880" distR="182880" simplePos="0" relativeHeight="251684864" behindDoc="0" locked="0" layoutInCell="1" allowOverlap="1" wp14:anchorId="714131A2" wp14:editId="36A920A4">
                <wp:simplePos x="0" y="0"/>
                <wp:positionH relativeFrom="margin">
                  <wp:posOffset>3766185</wp:posOffset>
                </wp:positionH>
                <wp:positionV relativeFrom="margin">
                  <wp:posOffset>1460121</wp:posOffset>
                </wp:positionV>
                <wp:extent cx="1943100" cy="1167765"/>
                <wp:effectExtent l="0" t="0" r="0" b="13335"/>
                <wp:wrapSquare wrapText="bothSides"/>
                <wp:docPr id="1" name="Group 1" descr="“We are pleased to note the multiple access points for support, as well as the mix of National, Regional and Local services” "/>
                <wp:cNvGraphicFramePr/>
                <a:graphic xmlns:a="http://schemas.openxmlformats.org/drawingml/2006/main">
                  <a:graphicData uri="http://schemas.microsoft.com/office/word/2010/wordprocessingGroup">
                    <wpg:wgp>
                      <wpg:cNvGrpSpPr/>
                      <wpg:grpSpPr>
                        <a:xfrm>
                          <a:off x="0" y="0"/>
                          <a:ext cx="1943100" cy="1167765"/>
                          <a:chOff x="-71849" y="126527"/>
                          <a:chExt cx="3338868" cy="1615155"/>
                        </a:xfrm>
                      </wpg:grpSpPr>
                      <wps:wsp>
                        <wps:cNvPr id="2" name="Rectangle 2"/>
                        <wps:cNvSpPr/>
                        <wps:spPr>
                          <a:xfrm rot="16200000" flipV="1">
                            <a:off x="-789061" y="935285"/>
                            <a:ext cx="1523608" cy="89184"/>
                          </a:xfrm>
                          <a:prstGeom prst="rect">
                            <a:avLst/>
                          </a:prstGeom>
                          <a:solidFill>
                            <a:srgbClr val="5B57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3A918" w14:textId="77777777" w:rsidR="00AC6CD7" w:rsidRDefault="00AC6CD7" w:rsidP="00AC6CD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1877" y="126527"/>
                            <a:ext cx="3195142" cy="161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6B196" w14:textId="77777777" w:rsidR="00AC6CD7" w:rsidRDefault="00AC6CD7" w:rsidP="00282940">
                              <w:pPr>
                                <w:jc w:val="both"/>
                                <w:rPr>
                                  <w:i/>
                                  <w:color w:val="5B57A4"/>
                                  <w:sz w:val="20"/>
                                  <w:szCs w:val="26"/>
                                </w:rPr>
                              </w:pPr>
                              <w:r w:rsidRPr="006451AE">
                                <w:rPr>
                                  <w:i/>
                                  <w:color w:val="5B57A4"/>
                                  <w:sz w:val="20"/>
                                  <w:szCs w:val="26"/>
                                </w:rPr>
                                <w:t>“</w:t>
                              </w:r>
                              <w:r w:rsidR="002161FB">
                                <w:rPr>
                                  <w:i/>
                                  <w:color w:val="5B57A4"/>
                                  <w:sz w:val="20"/>
                                  <w:szCs w:val="26"/>
                                </w:rPr>
                                <w:t>We are pleased to note the multiple access points for support, as well as the mix of National, Regional and Local services</w:t>
                              </w:r>
                              <w:r w:rsidRPr="006451AE">
                                <w:rPr>
                                  <w:i/>
                                  <w:color w:val="5B57A4"/>
                                  <w:sz w:val="20"/>
                                  <w:szCs w:val="26"/>
                                </w:rPr>
                                <w:t>”</w:t>
                              </w:r>
                              <w:r w:rsidR="00C15D7E">
                                <w:rPr>
                                  <w:i/>
                                  <w:color w:val="5B57A4"/>
                                  <w:sz w:val="20"/>
                                  <w:szCs w:val="26"/>
                                </w:rPr>
                                <w:t xml:space="preserve"> </w:t>
                              </w:r>
                            </w:p>
                            <w:p w14:paraId="1AC793B2" w14:textId="77777777" w:rsidR="00AC6CD7" w:rsidRPr="006451AE" w:rsidRDefault="00AC6CD7" w:rsidP="00AC6CD7">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4131A2" id="Group 1" o:spid="_x0000_s1032" alt="“We are pleased to note the multiple access points for support, as well as the mix of National, Regional and Local services” " style="position:absolute;left:0;text-align:left;margin-left:296.55pt;margin-top:114.95pt;width:153pt;height:91.95pt;z-index:251684864;mso-wrap-distance-left:14.4pt;mso-wrap-distance-top:3.6pt;mso-wrap-distance-right:14.4pt;mso-wrap-distance-bottom:3.6pt;mso-position-horizontal-relative:margin;mso-position-vertical-relative:margin;mso-width-relative:margin;mso-height-relative:margin" coordorigin="-718,1265" coordsize="33388,1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">
                <v:rect id="Rectangle 2" o:spid="_x0000_s1033" style="position:absolute;left:-7890;top:9352;width:15236;height:89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" fillcolor="#5b57a4" stroked="f" strokeweight="1pt">
                  <v:textbox>
                    <w:txbxContent>
                      <w:p w14:paraId="1B53A918" w14:textId="77777777" w:rsidR="00AC6CD7" w:rsidRDefault="00AC6CD7" w:rsidP="00AC6CD7">
                        <w:pPr>
                          <w:jc w:val="center"/>
                          <w:rPr>
                            <w:rFonts w:asciiTheme="majorHAnsi" w:eastAsiaTheme="majorEastAsia" w:hAnsiTheme="majorHAnsi" w:cstheme="majorBidi"/>
                            <w:color w:val="FFFFFF" w:themeColor="background1"/>
                            <w:sz w:val="24"/>
                            <w:szCs w:val="28"/>
                          </w:rPr>
                        </w:pPr>
                      </w:p>
                    </w:txbxContent>
                  </v:textbox>
                </v:rect>
                <v:shape id="Text Box 3" o:spid="_x0000_s1034" type="#_x0000_t202" style="position:absolute;left:718;top:1265;width:31952;height:1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2BB6B196" w14:textId="77777777" w:rsidR="00AC6CD7" w:rsidRDefault="00AC6CD7" w:rsidP="00282940">
                        <w:pPr>
                          <w:jc w:val="both"/>
                          <w:rPr>
                            <w:i/>
                            <w:color w:val="5B57A4"/>
                            <w:sz w:val="20"/>
                            <w:szCs w:val="26"/>
                          </w:rPr>
                        </w:pPr>
                        <w:r w:rsidRPr="006451AE">
                          <w:rPr>
                            <w:i/>
                            <w:color w:val="5B57A4"/>
                            <w:sz w:val="20"/>
                            <w:szCs w:val="26"/>
                          </w:rPr>
                          <w:t>“</w:t>
                        </w:r>
                        <w:r w:rsidR="002161FB">
                          <w:rPr>
                            <w:i/>
                            <w:color w:val="5B57A4"/>
                            <w:sz w:val="20"/>
                            <w:szCs w:val="26"/>
                          </w:rPr>
                          <w:t>We are pleased to note the multiple access points for support, as well as the mix of National, Regional and Local services</w:t>
                        </w:r>
                        <w:r w:rsidRPr="006451AE">
                          <w:rPr>
                            <w:i/>
                            <w:color w:val="5B57A4"/>
                            <w:sz w:val="20"/>
                            <w:szCs w:val="26"/>
                          </w:rPr>
                          <w:t>”</w:t>
                        </w:r>
                        <w:r w:rsidR="00C15D7E">
                          <w:rPr>
                            <w:i/>
                            <w:color w:val="5B57A4"/>
                            <w:sz w:val="20"/>
                            <w:szCs w:val="26"/>
                          </w:rPr>
                          <w:t xml:space="preserve"> </w:t>
                        </w:r>
                      </w:p>
                      <w:p w14:paraId="1AC793B2" w14:textId="77777777" w:rsidR="00AC6CD7" w:rsidRPr="006451AE" w:rsidRDefault="00AC6CD7" w:rsidP="00AC6CD7">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v:textbox>
                </v:shape>
                <w10:wrap type="square" anchorx="margin" anchory="margin"/>
              </v:group>
            </w:pict>
          </mc:Fallback>
        </mc:AlternateContent>
      </w:r>
      <w:r w:rsidR="00335AC2">
        <w:t xml:space="preserve">As </w:t>
      </w:r>
      <w:r w:rsidR="00504A64">
        <w:t>a supplement to the discussion paper on service areas</w:t>
      </w:r>
      <w:r w:rsidR="00335AC2">
        <w:t xml:space="preserve">, </w:t>
      </w:r>
      <w:r w:rsidR="00E71E0C">
        <w:t xml:space="preserve">respondents were provided with the </w:t>
      </w:r>
      <w:r w:rsidR="00E71E0C" w:rsidRPr="000C3408">
        <w:rPr>
          <w:i/>
        </w:rPr>
        <w:t>ICSS</w:t>
      </w:r>
      <w:r w:rsidR="00335AC2" w:rsidRPr="000C3408">
        <w:rPr>
          <w:i/>
        </w:rPr>
        <w:t xml:space="preserve"> </w:t>
      </w:r>
      <w:r w:rsidR="00E71E0C" w:rsidRPr="000C3408">
        <w:rPr>
          <w:i/>
        </w:rPr>
        <w:t>B</w:t>
      </w:r>
      <w:r w:rsidR="00335AC2" w:rsidRPr="000C3408">
        <w:rPr>
          <w:i/>
        </w:rPr>
        <w:t>lueprint</w:t>
      </w:r>
      <w:r w:rsidR="00335AC2">
        <w:t xml:space="preserve"> </w:t>
      </w:r>
      <w:r w:rsidR="00E71E0C">
        <w:t xml:space="preserve">which summarised the services that would be available to carers across the ICSS by service provider. </w:t>
      </w:r>
      <w:r w:rsidR="009421B8">
        <w:t>Some</w:t>
      </w:r>
      <w:r w:rsidR="00504A64">
        <w:t xml:space="preserve"> submissions </w:t>
      </w:r>
      <w:r w:rsidR="009421B8">
        <w:t xml:space="preserve">commented on </w:t>
      </w:r>
      <w:r w:rsidR="00D2625E">
        <w:t>the serv</w:t>
      </w:r>
      <w:r w:rsidR="00DA4B01">
        <w:t xml:space="preserve">ice design elements of the ICSS. </w:t>
      </w:r>
    </w:p>
    <w:p w14:paraId="32751C5D" w14:textId="53026DEA" w:rsidR="009374F2" w:rsidRDefault="00DA4B01" w:rsidP="00DA4B01">
      <w:pPr>
        <w:jc w:val="both"/>
      </w:pPr>
      <w:r w:rsidRPr="00DA4B01">
        <w:t>Many respondents welcomed the shift from reactive, crisis-driven support to an early-intervention, preventative approach to supporting</w:t>
      </w:r>
      <w:r w:rsidR="00A42C05">
        <w:t xml:space="preserve"> carers. They also commended</w:t>
      </w:r>
      <w:r w:rsidRPr="00DA4B01">
        <w:t xml:space="preserve"> the introduction of platforms where carers can access timely, objective and reliable information to support their day-to-day caring decisions, enhance their health and wellbeing and reduce social isolation. </w:t>
      </w:r>
    </w:p>
    <w:p w14:paraId="51CDFA6B" w14:textId="72D30405" w:rsidR="00DA4B01" w:rsidRPr="009A5886" w:rsidRDefault="00724070" w:rsidP="00DA4B01">
      <w:pPr>
        <w:jc w:val="both"/>
      </w:pPr>
      <w:r>
        <w:t xml:space="preserve">Respondents </w:t>
      </w:r>
      <w:r w:rsidR="00DA4B01">
        <w:t xml:space="preserve">also acknowledged that the </w:t>
      </w:r>
      <w:r w:rsidR="00DA4B01" w:rsidRPr="00DA4B01">
        <w:t>design provides further support options to those who are not currently accessing formal support.</w:t>
      </w:r>
      <w:r w:rsidR="00DA4B01">
        <w:t xml:space="preserve"> </w:t>
      </w:r>
    </w:p>
    <w:p w14:paraId="645A03A9" w14:textId="2CED9346" w:rsidR="00A97648" w:rsidRPr="005B335D" w:rsidRDefault="00244B8C" w:rsidP="005B335D">
      <w:pPr>
        <w:jc w:val="both"/>
      </w:pPr>
      <w:r>
        <w:t>Several c</w:t>
      </w:r>
      <w:r w:rsidR="006C6E14">
        <w:t>hallenges</w:t>
      </w:r>
      <w:r>
        <w:t xml:space="preserve"> were raised by respondents regarding service design,</w:t>
      </w:r>
      <w:r w:rsidR="006927B0">
        <w:t xml:space="preserve"> </w:t>
      </w:r>
      <w:r>
        <w:t>these primarily</w:t>
      </w:r>
      <w:r w:rsidR="006927B0">
        <w:t xml:space="preserve"> focussed on:</w:t>
      </w:r>
    </w:p>
    <w:p w14:paraId="12DC0081" w14:textId="01D7968A" w:rsidR="006927B0" w:rsidRPr="009A5886" w:rsidRDefault="00A108FE" w:rsidP="006B0CBC">
      <w:pPr>
        <w:pStyle w:val="ICSSDotPoint"/>
        <w:jc w:val="both"/>
        <w:rPr>
          <w:b/>
        </w:rPr>
      </w:pPr>
      <w:r w:rsidRPr="009A5886">
        <w:rPr>
          <w:b/>
        </w:rPr>
        <w:t>Ensuring</w:t>
      </w:r>
      <w:r w:rsidR="000B671A" w:rsidRPr="009A5886">
        <w:rPr>
          <w:b/>
        </w:rPr>
        <w:t xml:space="preserve"> services meet diverse carer needs</w:t>
      </w:r>
      <w:r w:rsidR="00C92318">
        <w:rPr>
          <w:b/>
        </w:rPr>
        <w:t xml:space="preserve"> </w:t>
      </w:r>
      <w:r w:rsidR="00C92318" w:rsidRPr="00C92318">
        <w:t xml:space="preserve">– </w:t>
      </w:r>
      <w:r w:rsidR="00C92318">
        <w:t>s</w:t>
      </w:r>
      <w:r w:rsidR="001673D6">
        <w:t xml:space="preserve">ome respondents felt that some of the services described, particularly those being delivered at a national level, </w:t>
      </w:r>
      <w:r w:rsidR="00641BCC">
        <w:t>must</w:t>
      </w:r>
      <w:r w:rsidR="001673D6">
        <w:t xml:space="preserve"> appropriately address the needs of diverse carer groups who are grappling with particular issues related to whom they are caring for (i.e</w:t>
      </w:r>
      <w:r w:rsidR="004414F9">
        <w:t xml:space="preserve">. </w:t>
      </w:r>
      <w:r w:rsidR="001673D6">
        <w:t>carers of aged, or mentally ill people) and/or require specific supports or service delivery approaches based on their background and community (</w:t>
      </w:r>
      <w:r w:rsidR="00A97648">
        <w:t xml:space="preserve">e.g. </w:t>
      </w:r>
      <w:r w:rsidR="001673D6">
        <w:t>ATSI, CALD and low-socioeconomic communities)</w:t>
      </w:r>
      <w:r w:rsidR="004414F9">
        <w:t>,</w:t>
      </w:r>
      <w:r w:rsidR="00663636">
        <w:t xml:space="preserve"> or age (i.e. young carers)</w:t>
      </w:r>
      <w:r w:rsidR="001673D6">
        <w:t xml:space="preserve">. </w:t>
      </w:r>
    </w:p>
    <w:p w14:paraId="1D0C14B4" w14:textId="46B6EA53" w:rsidR="000B671A" w:rsidRPr="009A5886" w:rsidRDefault="00B41118" w:rsidP="006B0CBC">
      <w:pPr>
        <w:pStyle w:val="ICSSDotPoint"/>
        <w:jc w:val="both"/>
        <w:rPr>
          <w:b/>
        </w:rPr>
      </w:pPr>
      <w:r>
        <w:rPr>
          <w:noProof/>
          <w:lang w:eastAsia="en-AU"/>
        </w:rPr>
        <mc:AlternateContent>
          <mc:Choice Requires="wpg">
            <w:drawing>
              <wp:anchor distT="45720" distB="45720" distL="182880" distR="182880" simplePos="0" relativeHeight="251688960" behindDoc="0" locked="0" layoutInCell="1" allowOverlap="1" wp14:anchorId="1BDF3614" wp14:editId="6CEB34E5">
                <wp:simplePos x="0" y="0"/>
                <wp:positionH relativeFrom="margin">
                  <wp:posOffset>3466464</wp:posOffset>
                </wp:positionH>
                <wp:positionV relativeFrom="margin">
                  <wp:posOffset>4653678</wp:posOffset>
                </wp:positionV>
                <wp:extent cx="2319655" cy="1449070"/>
                <wp:effectExtent l="0" t="0" r="0" b="0"/>
                <wp:wrapSquare wrapText="bothSides"/>
                <wp:docPr id="10" name="Group 10" descr="“Digital literacy and accessibility for isolated or remote carers, and for carers on low incomes who struggle to achieve or maintain a digital/online presence is an issue that is unlikely to be resolved without specific support” &#10;Quote from a submission&#10;"/>
                <wp:cNvGraphicFramePr/>
                <a:graphic xmlns:a="http://schemas.openxmlformats.org/drawingml/2006/main">
                  <a:graphicData uri="http://schemas.microsoft.com/office/word/2010/wordprocessingGroup">
                    <wpg:wgp>
                      <wpg:cNvGrpSpPr/>
                      <wpg:grpSpPr>
                        <a:xfrm>
                          <a:off x="0" y="0"/>
                          <a:ext cx="2319655" cy="1449070"/>
                          <a:chOff x="-71849" y="126527"/>
                          <a:chExt cx="3338868" cy="1615155"/>
                        </a:xfrm>
                      </wpg:grpSpPr>
                      <wps:wsp>
                        <wps:cNvPr id="11" name="Rectangle 11"/>
                        <wps:cNvSpPr/>
                        <wps:spPr>
                          <a:xfrm rot="16200000" flipV="1">
                            <a:off x="-714742" y="860966"/>
                            <a:ext cx="1374969" cy="89184"/>
                          </a:xfrm>
                          <a:prstGeom prst="rect">
                            <a:avLst/>
                          </a:prstGeom>
                          <a:solidFill>
                            <a:srgbClr val="5B57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9B183" w14:textId="77777777" w:rsidR="003268D8" w:rsidRDefault="003268D8" w:rsidP="003268D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descr="“Digital literacy and accessibility for isolated or remote carers, and for carers on low incomes who struggle to achieve or maintain a digital/online presence is an issue that is unlikely to be resolved without specific support” "/>
                        <wps:cNvSpPr txBox="1"/>
                        <wps:spPr>
                          <a:xfrm>
                            <a:off x="71877" y="126527"/>
                            <a:ext cx="3195142" cy="161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1FACE" w14:textId="77777777" w:rsidR="003268D8" w:rsidRDefault="003268D8" w:rsidP="003268D8">
                              <w:pPr>
                                <w:jc w:val="both"/>
                                <w:rPr>
                                  <w:i/>
                                  <w:color w:val="5B57A4"/>
                                  <w:sz w:val="20"/>
                                  <w:szCs w:val="26"/>
                                </w:rPr>
                              </w:pPr>
                              <w:r w:rsidRPr="006451AE">
                                <w:rPr>
                                  <w:i/>
                                  <w:color w:val="5B57A4"/>
                                  <w:sz w:val="20"/>
                                  <w:szCs w:val="26"/>
                                </w:rPr>
                                <w:t>“</w:t>
                              </w:r>
                              <w:r>
                                <w:rPr>
                                  <w:i/>
                                  <w:color w:val="5B57A4"/>
                                  <w:sz w:val="20"/>
                                  <w:szCs w:val="26"/>
                                </w:rPr>
                                <w:t>Digital literacy and accessibility for isolated or remote carers, and for carers on low incomes who struggle to achieve or maintain a digital/online presence is an issue that is unlikely to be resolved without specific support</w:t>
                              </w:r>
                              <w:r w:rsidRPr="006451AE">
                                <w:rPr>
                                  <w:i/>
                                  <w:color w:val="5B57A4"/>
                                  <w:sz w:val="20"/>
                                  <w:szCs w:val="26"/>
                                </w:rPr>
                                <w:t>”</w:t>
                              </w:r>
                              <w:r>
                                <w:rPr>
                                  <w:i/>
                                  <w:color w:val="5B57A4"/>
                                  <w:sz w:val="20"/>
                                  <w:szCs w:val="26"/>
                                </w:rPr>
                                <w:t xml:space="preserve"> </w:t>
                              </w:r>
                            </w:p>
                            <w:p w14:paraId="74FF95C3" w14:textId="77777777" w:rsidR="003268D8" w:rsidRPr="006451AE" w:rsidRDefault="003268D8" w:rsidP="003268D8">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F3614" id="Group 10" o:spid="_x0000_s1035" alt="“Digital literacy and accessibility for isolated or remote carers, and for carers on low incomes who struggle to achieve or maintain a digital/online presence is an issue that is unlikely to be resolved without specific support” &#10;Quote from a submission&#10;" style="position:absolute;left:0;text-align:left;margin-left:272.95pt;margin-top:366.45pt;width:182.65pt;height:114.1pt;z-index:251688960;mso-wrap-distance-left:14.4pt;mso-wrap-distance-top:3.6pt;mso-wrap-distance-right:14.4pt;mso-wrap-distance-bottom:3.6pt;mso-position-horizontal-relative:margin;mso-position-vertical-relative:margin;mso-width-relative:margin;mso-height-relative:margin" coordorigin="-718,1265" coordsize="33388,1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">
                <v:rect id="Rectangle 11" o:spid="_x0000_s1036" style="position:absolute;left:-7147;top:8609;width:13750;height:89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" fillcolor="#5b57a4" stroked="f" strokeweight="1pt">
                  <v:textbox>
                    <w:txbxContent>
                      <w:p w14:paraId="6009B183" w14:textId="77777777" w:rsidR="003268D8" w:rsidRDefault="003268D8" w:rsidP="003268D8">
                        <w:pPr>
                          <w:jc w:val="center"/>
                          <w:rPr>
                            <w:rFonts w:asciiTheme="majorHAnsi" w:eastAsiaTheme="majorEastAsia" w:hAnsiTheme="majorHAnsi" w:cstheme="majorBidi"/>
                            <w:color w:val="FFFFFF" w:themeColor="background1"/>
                            <w:sz w:val="24"/>
                            <w:szCs w:val="28"/>
                          </w:rPr>
                        </w:pPr>
                      </w:p>
                    </w:txbxContent>
                  </v:textbox>
                </v:rect>
                <v:shape id="Text Box 13" o:spid="_x0000_s1037" type="#_x0000_t202" alt="“Digital literacy and accessibility for isolated or remote carers, and for carers on low incomes who struggle to achieve or maintain a digital/online presence is an issue that is unlikely to be resolved without specific support” " style="position:absolute;left:718;top:1265;width:31952;height:1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6601FACE" w14:textId="77777777" w:rsidR="003268D8" w:rsidRDefault="003268D8" w:rsidP="003268D8">
                        <w:pPr>
                          <w:jc w:val="both"/>
                          <w:rPr>
                            <w:i/>
                            <w:color w:val="5B57A4"/>
                            <w:sz w:val="20"/>
                            <w:szCs w:val="26"/>
                          </w:rPr>
                        </w:pPr>
                        <w:r w:rsidRPr="006451AE">
                          <w:rPr>
                            <w:i/>
                            <w:color w:val="5B57A4"/>
                            <w:sz w:val="20"/>
                            <w:szCs w:val="26"/>
                          </w:rPr>
                          <w:t>“</w:t>
                        </w:r>
                        <w:r>
                          <w:rPr>
                            <w:i/>
                            <w:color w:val="5B57A4"/>
                            <w:sz w:val="20"/>
                            <w:szCs w:val="26"/>
                          </w:rPr>
                          <w:t>Digital literacy and accessibility for isolated or remote carers, and for carers on low incomes who struggle to achieve or maintain a digital/online presence is an issue that is unlikely to be resolved without specific support</w:t>
                        </w:r>
                        <w:r w:rsidRPr="006451AE">
                          <w:rPr>
                            <w:i/>
                            <w:color w:val="5B57A4"/>
                            <w:sz w:val="20"/>
                            <w:szCs w:val="26"/>
                          </w:rPr>
                          <w:t>”</w:t>
                        </w:r>
                        <w:r>
                          <w:rPr>
                            <w:i/>
                            <w:color w:val="5B57A4"/>
                            <w:sz w:val="20"/>
                            <w:szCs w:val="26"/>
                          </w:rPr>
                          <w:t xml:space="preserve"> </w:t>
                        </w:r>
                      </w:p>
                      <w:p w14:paraId="74FF95C3" w14:textId="77777777" w:rsidR="003268D8" w:rsidRPr="006451AE" w:rsidRDefault="003268D8" w:rsidP="003268D8">
                        <w:pPr>
                          <w:pStyle w:val="ListParagraph"/>
                          <w:jc w:val="right"/>
                          <w:rPr>
                            <w:i/>
                            <w:color w:val="5B57A4"/>
                            <w:sz w:val="16"/>
                            <w:szCs w:val="26"/>
                          </w:rPr>
                        </w:pPr>
                        <w:r w:rsidRPr="006451AE">
                          <w:rPr>
                            <w:i/>
                            <w:color w:val="5B57A4"/>
                            <w:sz w:val="16"/>
                            <w:szCs w:val="26"/>
                          </w:rPr>
                          <w:t>Quote from a</w:t>
                        </w:r>
                        <w:r>
                          <w:rPr>
                            <w:i/>
                            <w:color w:val="5B57A4"/>
                            <w:sz w:val="16"/>
                            <w:szCs w:val="26"/>
                          </w:rPr>
                          <w:t xml:space="preserve"> submission</w:t>
                        </w:r>
                      </w:p>
                    </w:txbxContent>
                  </v:textbox>
                </v:shape>
                <w10:wrap type="square" anchorx="margin" anchory="margin"/>
              </v:group>
            </w:pict>
          </mc:Fallback>
        </mc:AlternateContent>
      </w:r>
      <w:r w:rsidR="00A60FD8">
        <w:rPr>
          <w:b/>
        </w:rPr>
        <w:t>Suitability of</w:t>
      </w:r>
      <w:r w:rsidR="000B671A" w:rsidRPr="009A5886">
        <w:rPr>
          <w:b/>
        </w:rPr>
        <w:t xml:space="preserve"> digital services</w:t>
      </w:r>
      <w:r w:rsidR="00A60FD8">
        <w:t xml:space="preserve"> – </w:t>
      </w:r>
      <w:r w:rsidR="00FB2CAE">
        <w:t>while</w:t>
      </w:r>
      <w:r w:rsidR="00A60FD8">
        <w:t xml:space="preserve"> respondents commented that phone and online services will be useful in providing ongoing support to carers, </w:t>
      </w:r>
      <w:r w:rsidR="00FB2CAE">
        <w:t>they</w:t>
      </w:r>
      <w:r w:rsidR="00A60FD8">
        <w:t xml:space="preserve"> also noted that digital services will not suit all carers</w:t>
      </w:r>
      <w:r w:rsidR="006C6E14">
        <w:t xml:space="preserve"> (or carers will not be able to access digital services due to a range of </w:t>
      </w:r>
      <w:r w:rsidR="003C780A">
        <w:t>barriers</w:t>
      </w:r>
      <w:r w:rsidR="006C6E14">
        <w:t>)</w:t>
      </w:r>
      <w:r w:rsidR="00A60FD8">
        <w:t xml:space="preserve"> and that these services should not overshadow the importance of face-to-face</w:t>
      </w:r>
      <w:r w:rsidR="00E105EE">
        <w:t xml:space="preserve"> and individualised</w:t>
      </w:r>
      <w:r w:rsidR="00A60FD8">
        <w:t xml:space="preserve"> service provision. </w:t>
      </w:r>
    </w:p>
    <w:p w14:paraId="73830DF0" w14:textId="557E8017" w:rsidR="000B671A" w:rsidRPr="00AB06C1" w:rsidRDefault="000B671A" w:rsidP="006B0CBC">
      <w:pPr>
        <w:pStyle w:val="ICSSDotPoint"/>
        <w:jc w:val="both"/>
        <w:rPr>
          <w:b/>
        </w:rPr>
      </w:pPr>
      <w:r w:rsidRPr="009A5886">
        <w:rPr>
          <w:b/>
        </w:rPr>
        <w:t xml:space="preserve">Provision of emergency respite </w:t>
      </w:r>
      <w:r w:rsidR="00CB31BE">
        <w:t>–</w:t>
      </w:r>
      <w:r w:rsidR="00282CAA">
        <w:t xml:space="preserve"> a number of respondents emphasised that emergency respite care will need to remain a critical support available to carers and that the introduction of </w:t>
      </w:r>
      <w:r w:rsidR="004F442D">
        <w:t xml:space="preserve">services designed to prevent </w:t>
      </w:r>
      <w:r w:rsidR="00CD65BD">
        <w:t xml:space="preserve">carer stress occurring (i.e. coaching) will not necessarily reduce the need for </w:t>
      </w:r>
      <w:r w:rsidR="0005158A">
        <w:t xml:space="preserve">emergency respite. </w:t>
      </w:r>
      <w:r w:rsidR="00CD65BD">
        <w:t xml:space="preserve"> </w:t>
      </w:r>
    </w:p>
    <w:p w14:paraId="05BA9425" w14:textId="77777777" w:rsidR="00C57258" w:rsidRDefault="00D92C28" w:rsidP="003B3FAB">
      <w:pPr>
        <w:pStyle w:val="Heading1"/>
        <w:numPr>
          <w:ilvl w:val="0"/>
          <w:numId w:val="5"/>
        </w:numPr>
      </w:pPr>
      <w:bookmarkStart w:id="16" w:name="_Toc516557337"/>
      <w:r>
        <w:t>Conclusion</w:t>
      </w:r>
      <w:bookmarkEnd w:id="16"/>
      <w:r>
        <w:t xml:space="preserve">  </w:t>
      </w:r>
    </w:p>
    <w:p w14:paraId="61D20EE7" w14:textId="63890AEB" w:rsidR="00CD487F" w:rsidRDefault="00CD487F" w:rsidP="004872B4">
      <w:pPr>
        <w:jc w:val="both"/>
      </w:pPr>
      <w:r>
        <w:t xml:space="preserve">The feedback </w:t>
      </w:r>
      <w:r w:rsidR="000B1C30">
        <w:t>provided in this public consultation process</w:t>
      </w:r>
      <w:r>
        <w:t xml:space="preserve"> </w:t>
      </w:r>
      <w:r w:rsidR="000B1C30">
        <w:t>is</w:t>
      </w:r>
      <w:r w:rsidR="005F11D7">
        <w:t xml:space="preserve"> a critical input into the Department’s approach to the future design and implementation of the</w:t>
      </w:r>
      <w:r w:rsidR="000B1C30">
        <w:t xml:space="preserve"> ICSS</w:t>
      </w:r>
      <w:r w:rsidR="005F11D7">
        <w:t xml:space="preserve"> program. </w:t>
      </w:r>
      <w:r>
        <w:t xml:space="preserve"> </w:t>
      </w:r>
    </w:p>
    <w:p w14:paraId="7B5BD897" w14:textId="12FD5967" w:rsidR="00A15F0D" w:rsidRPr="00A15F0D" w:rsidRDefault="005F11D7" w:rsidP="00F87D18">
      <w:pPr>
        <w:jc w:val="both"/>
        <w:sectPr w:rsidR="00A15F0D" w:rsidRPr="00A15F0D" w:rsidSect="0057134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pPr>
      <w:r>
        <w:t>Specific f</w:t>
      </w:r>
      <w:r w:rsidR="00185732">
        <w:t xml:space="preserve">eedback on the </w:t>
      </w:r>
      <w:r w:rsidR="006C6E14">
        <w:t xml:space="preserve">RDP </w:t>
      </w:r>
      <w:r w:rsidR="00185732">
        <w:t>service area</w:t>
      </w:r>
      <w:r w:rsidR="006C6E14">
        <w:t xml:space="preserve">s </w:t>
      </w:r>
      <w:r w:rsidR="00185732">
        <w:t xml:space="preserve">has been used by the Department to </w:t>
      </w:r>
      <w:r w:rsidR="006C6E14">
        <w:t xml:space="preserve">inform the </w:t>
      </w:r>
      <w:r w:rsidR="00185732">
        <w:t>final service area model for the ICSS and suggestions on service design and implementation will feed into activities occurring throughout the ICSS implementation program.</w:t>
      </w:r>
      <w:r w:rsidR="003C780A">
        <w:t xml:space="preserve">   </w:t>
      </w:r>
    </w:p>
    <w:bookmarkStart w:id="17" w:name="_ANNEX_C:_Carer"/>
    <w:bookmarkStart w:id="18" w:name="_Toc503529704"/>
    <w:bookmarkEnd w:id="17"/>
    <w:p w14:paraId="0D910D99" w14:textId="77777777" w:rsidR="007F0C19" w:rsidRDefault="002A3EE3" w:rsidP="007F0C19">
      <w:pPr>
        <w:rPr>
          <w:rFonts w:asciiTheme="majorHAnsi" w:eastAsia="Times New Roman" w:hAnsiTheme="majorHAnsi" w:cstheme="majorBidi"/>
          <w:color w:val="2E74B5" w:themeColor="accent1" w:themeShade="BF"/>
          <w:sz w:val="26"/>
          <w:szCs w:val="26"/>
          <w:lang w:eastAsia="en-AU"/>
        </w:rPr>
      </w:pPr>
      <w:r w:rsidRPr="00BD4D0C">
        <w:rPr>
          <w:rFonts w:ascii="Century Gothic" w:hAnsi="Century Gothic"/>
          <w:noProof/>
          <w:color w:val="FFFFFF" w:themeColor="background1"/>
          <w:sz w:val="18"/>
          <w:szCs w:val="18"/>
          <w:lang w:eastAsia="en-AU"/>
        </w:rPr>
        <mc:AlternateContent>
          <mc:Choice Requires="wps">
            <w:drawing>
              <wp:anchor distT="0" distB="0" distL="114300" distR="114300" simplePos="0" relativeHeight="251680768" behindDoc="1" locked="0" layoutInCell="1" allowOverlap="1" wp14:anchorId="3C7C4E48" wp14:editId="07D3ED90">
                <wp:simplePos x="0" y="0"/>
                <wp:positionH relativeFrom="column">
                  <wp:posOffset>-1037590</wp:posOffset>
                </wp:positionH>
                <wp:positionV relativeFrom="paragraph">
                  <wp:posOffset>-910590</wp:posOffset>
                </wp:positionV>
                <wp:extent cx="7683500" cy="10825480"/>
                <wp:effectExtent l="0" t="0" r="0" b="0"/>
                <wp:wrapNone/>
                <wp:docPr id="18" name="Rectangle 18" descr="Border"/>
                <wp:cNvGraphicFramePr/>
                <a:graphic xmlns:a="http://schemas.openxmlformats.org/drawingml/2006/main">
                  <a:graphicData uri="http://schemas.microsoft.com/office/word/2010/wordprocessingShape">
                    <wps:wsp>
                      <wps:cNvSpPr/>
                      <wps:spPr>
                        <a:xfrm>
                          <a:off x="0" y="0"/>
                          <a:ext cx="7683500" cy="108254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25FAC" w14:textId="77777777" w:rsidR="00BA18B4" w:rsidRDefault="00BA18B4" w:rsidP="008441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4E48" id="Rectangle 18" o:spid="_x0000_s1038" alt="Border" style="position:absolute;margin-left:-81.7pt;margin-top:-71.7pt;width:605pt;height:85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" fillcolor="#bfbfbf [2412]" stroked="f" strokeweight="1pt">
                <v:textbox>
                  <w:txbxContent>
                    <w:p w14:paraId="74A25FAC" w14:textId="77777777" w:rsidR="00BA18B4" w:rsidRDefault="00BA18B4" w:rsidP="00844129">
                      <w:pPr>
                        <w:jc w:val="center"/>
                      </w:pPr>
                    </w:p>
                  </w:txbxContent>
                </v:textbox>
              </v:rect>
            </w:pict>
          </mc:Fallback>
        </mc:AlternateContent>
      </w:r>
    </w:p>
    <w:bookmarkEnd w:id="18"/>
    <w:p w14:paraId="10C35A10" w14:textId="77777777" w:rsidR="003B062C" w:rsidRPr="00844129" w:rsidRDefault="00844129" w:rsidP="00844129">
      <w:pPr>
        <w:spacing w:after="240"/>
        <w:rPr>
          <w:rFonts w:eastAsia="Times New Roman" w:cs="Arial"/>
          <w:sz w:val="24"/>
          <w:szCs w:val="24"/>
          <w:lang w:eastAsia="en-AU"/>
        </w:rPr>
      </w:pPr>
      <w:r>
        <w:rPr>
          <w:noProof/>
          <w:lang w:eastAsia="en-AU"/>
        </w:rPr>
        <w:drawing>
          <wp:anchor distT="0" distB="0" distL="114300" distR="114300" simplePos="0" relativeHeight="251678720" behindDoc="1" locked="0" layoutInCell="1" allowOverlap="1" wp14:anchorId="684D52C6" wp14:editId="796D6F3C">
            <wp:simplePos x="0" y="0"/>
            <wp:positionH relativeFrom="column">
              <wp:posOffset>-914400</wp:posOffset>
            </wp:positionH>
            <wp:positionV relativeFrom="paragraph">
              <wp:posOffset>2517140</wp:posOffset>
            </wp:positionV>
            <wp:extent cx="8671560" cy="6344285"/>
            <wp:effectExtent l="0" t="0" r="0" b="0"/>
            <wp:wrapThrough wrapText="bothSides">
              <wp:wrapPolygon edited="0">
                <wp:start x="18127" y="65"/>
                <wp:lineTo x="17747" y="259"/>
                <wp:lineTo x="16750" y="1038"/>
                <wp:lineTo x="16703" y="1297"/>
                <wp:lineTo x="16276" y="2270"/>
                <wp:lineTo x="6691" y="2789"/>
                <wp:lineTo x="4555" y="2983"/>
                <wp:lineTo x="4555" y="3308"/>
                <wp:lineTo x="3986" y="3567"/>
                <wp:lineTo x="2895" y="4281"/>
                <wp:lineTo x="2657" y="4540"/>
                <wp:lineTo x="1898" y="5383"/>
                <wp:lineTo x="1186" y="6421"/>
                <wp:lineTo x="712" y="7459"/>
                <wp:lineTo x="380" y="8496"/>
                <wp:lineTo x="190" y="9534"/>
                <wp:lineTo x="95" y="10572"/>
                <wp:lineTo x="237" y="12647"/>
                <wp:lineTo x="475" y="13685"/>
                <wp:lineTo x="1186" y="15761"/>
                <wp:lineTo x="1661" y="16798"/>
                <wp:lineTo x="2278" y="17836"/>
                <wp:lineTo x="3037" y="18874"/>
                <wp:lineTo x="4081" y="19976"/>
                <wp:lineTo x="5552" y="21014"/>
                <wp:lineTo x="6596" y="21338"/>
                <wp:lineTo x="6833" y="21468"/>
                <wp:lineTo x="7830" y="21468"/>
                <wp:lineTo x="8019" y="21338"/>
                <wp:lineTo x="9016" y="21014"/>
                <wp:lineTo x="9158" y="20949"/>
                <wp:lineTo x="10344" y="19912"/>
                <wp:lineTo x="11151" y="18874"/>
                <wp:lineTo x="12243" y="16798"/>
                <wp:lineTo x="14568" y="10572"/>
                <wp:lineTo x="16466" y="10572"/>
                <wp:lineTo x="20309" y="9858"/>
                <wp:lineTo x="20309" y="9534"/>
                <wp:lineTo x="21021" y="8496"/>
                <wp:lineTo x="21306" y="7459"/>
                <wp:lineTo x="21448" y="6421"/>
                <wp:lineTo x="21353" y="4346"/>
                <wp:lineTo x="21163" y="3308"/>
                <wp:lineTo x="20784" y="2270"/>
                <wp:lineTo x="20309" y="1297"/>
                <wp:lineTo x="20262" y="1038"/>
                <wp:lineTo x="19218" y="259"/>
                <wp:lineTo x="18838" y="65"/>
                <wp:lineTo x="18127" y="65"/>
              </wp:wrapPolygon>
            </wp:wrapThrough>
            <wp:docPr id="27" name="Picture 2" descr="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1560" cy="6344285"/>
                    </a:xfrm>
                    <a:prstGeom prst="rect">
                      <a:avLst/>
                    </a:prstGeom>
                    <a:noFill/>
                  </pic:spPr>
                </pic:pic>
              </a:graphicData>
            </a:graphic>
            <wp14:sizeRelH relativeFrom="page">
              <wp14:pctWidth>0</wp14:pctWidth>
            </wp14:sizeRelH>
            <wp14:sizeRelV relativeFrom="page">
              <wp14:pctHeight>0</wp14:pctHeight>
            </wp14:sizeRelV>
          </wp:anchor>
        </w:drawing>
      </w:r>
    </w:p>
    <w:sectPr w:rsidR="003B062C" w:rsidRPr="00844129" w:rsidSect="00E9524B">
      <w:footerReference w:type="default" r:id="rId2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3B5A" w14:textId="77777777" w:rsidR="000D10A1" w:rsidRDefault="000D10A1" w:rsidP="00871FED">
      <w:pPr>
        <w:spacing w:after="0" w:line="240" w:lineRule="auto"/>
      </w:pPr>
      <w:r>
        <w:separator/>
      </w:r>
    </w:p>
  </w:endnote>
  <w:endnote w:type="continuationSeparator" w:id="0">
    <w:p w14:paraId="50921D61" w14:textId="77777777" w:rsidR="000D10A1" w:rsidRDefault="000D10A1" w:rsidP="0087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FC82" w14:textId="77777777" w:rsidR="00EC688F" w:rsidRDefault="00EC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ED89" w14:textId="7B3954C2" w:rsidR="00BA18B4" w:rsidRPr="00AF1B30" w:rsidRDefault="00B43C70" w:rsidP="00AF1B30">
    <w:pPr>
      <w:pStyle w:val="Footer"/>
      <w:pBdr>
        <w:top w:val="single" w:sz="4" w:space="1" w:color="7F7F7F" w:themeColor="text1" w:themeTint="80"/>
      </w:pBdr>
      <w:rPr>
        <w:rFonts w:ascii="Century Gothic" w:hAnsi="Century Gothic"/>
        <w:sz w:val="20"/>
      </w:rPr>
    </w:pPr>
    <w:r>
      <w:rPr>
        <w:rFonts w:ascii="Century Gothic" w:hAnsi="Century Gothic"/>
        <w:sz w:val="20"/>
      </w:rPr>
      <w:t xml:space="preserve">Public Consultation on the ICSS </w:t>
    </w:r>
    <w:r w:rsidR="00BA18B4">
      <w:rPr>
        <w:rFonts w:ascii="Century Gothic" w:hAnsi="Century Gothic"/>
        <w:sz w:val="20"/>
      </w:rPr>
      <w:t>Regional</w:t>
    </w:r>
    <w:r w:rsidR="00BA18B4" w:rsidRPr="00AF1B30">
      <w:rPr>
        <w:rFonts w:ascii="Century Gothic" w:hAnsi="Century Gothic"/>
        <w:sz w:val="20"/>
      </w:rPr>
      <w:t xml:space="preserve"> Delivery Model</w:t>
    </w:r>
    <w:r w:rsidR="00BA18B4">
      <w:rPr>
        <w:rFonts w:ascii="Century Gothic" w:hAnsi="Century Gothic"/>
        <w:sz w:val="12"/>
      </w:rPr>
      <w:tab/>
    </w:r>
    <w:r w:rsidR="00BA18B4" w:rsidRPr="00AF1B30">
      <w:rPr>
        <w:rFonts w:ascii="Century Gothic" w:hAnsi="Century Gothic"/>
        <w:sz w:val="20"/>
        <w:bdr w:val="single" w:sz="4" w:space="0" w:color="FFFFFF" w:themeColor="background1"/>
      </w:rPr>
      <w:t xml:space="preserve">Page </w:t>
    </w:r>
    <w:r w:rsidR="00BA18B4" w:rsidRPr="00AF1B30">
      <w:rPr>
        <w:rFonts w:ascii="Century Gothic" w:hAnsi="Century Gothic"/>
        <w:bCs/>
        <w:sz w:val="20"/>
        <w:bdr w:val="single" w:sz="4" w:space="0" w:color="FFFFFF" w:themeColor="background1"/>
      </w:rPr>
      <w:fldChar w:fldCharType="begin"/>
    </w:r>
    <w:r w:rsidR="00BA18B4" w:rsidRPr="00AF1B30">
      <w:rPr>
        <w:rFonts w:ascii="Century Gothic" w:hAnsi="Century Gothic"/>
        <w:bCs/>
        <w:sz w:val="20"/>
        <w:bdr w:val="single" w:sz="4" w:space="0" w:color="FFFFFF" w:themeColor="background1"/>
      </w:rPr>
      <w:instrText xml:space="preserve"> PAGE  \* Arabic  \* MERGEFORMAT </w:instrText>
    </w:r>
    <w:r w:rsidR="00BA18B4" w:rsidRPr="00AF1B30">
      <w:rPr>
        <w:rFonts w:ascii="Century Gothic" w:hAnsi="Century Gothic"/>
        <w:bCs/>
        <w:sz w:val="20"/>
        <w:bdr w:val="single" w:sz="4" w:space="0" w:color="FFFFFF" w:themeColor="background1"/>
      </w:rPr>
      <w:fldChar w:fldCharType="separate"/>
    </w:r>
    <w:r w:rsidR="00EC688F">
      <w:rPr>
        <w:rFonts w:ascii="Century Gothic" w:hAnsi="Century Gothic"/>
        <w:bCs/>
        <w:noProof/>
        <w:sz w:val="20"/>
        <w:bdr w:val="single" w:sz="4" w:space="0" w:color="FFFFFF" w:themeColor="background1"/>
      </w:rPr>
      <w:t>2</w:t>
    </w:r>
    <w:r w:rsidR="00BA18B4" w:rsidRPr="00AF1B30">
      <w:rPr>
        <w:rFonts w:ascii="Century Gothic" w:hAnsi="Century Gothic"/>
        <w:bCs/>
        <w:sz w:val="20"/>
        <w:bdr w:val="single" w:sz="4" w:space="0" w:color="FFFFFF" w:themeColor="background1"/>
      </w:rPr>
      <w:fldChar w:fldCharType="end"/>
    </w:r>
    <w:r w:rsidR="00BA18B4" w:rsidRPr="00AF1B30">
      <w:rPr>
        <w:rFonts w:ascii="Century Gothic" w:hAnsi="Century Gothic"/>
        <w:sz w:val="20"/>
        <w:bdr w:val="single" w:sz="4" w:space="0" w:color="FFFFFF" w:themeColor="background1"/>
      </w:rPr>
      <w:t xml:space="preserve"> of </w:t>
    </w:r>
    <w:r w:rsidR="00BA18B4" w:rsidRPr="00AF1B30">
      <w:rPr>
        <w:rFonts w:ascii="Century Gothic" w:hAnsi="Century Gothic"/>
        <w:bCs/>
        <w:sz w:val="20"/>
        <w:bdr w:val="single" w:sz="4" w:space="0" w:color="FFFFFF" w:themeColor="background1"/>
      </w:rPr>
      <w:fldChar w:fldCharType="begin"/>
    </w:r>
    <w:r w:rsidR="00BA18B4" w:rsidRPr="00AF1B30">
      <w:rPr>
        <w:rFonts w:ascii="Century Gothic" w:hAnsi="Century Gothic"/>
        <w:bCs/>
        <w:sz w:val="20"/>
        <w:bdr w:val="single" w:sz="4" w:space="0" w:color="FFFFFF" w:themeColor="background1"/>
      </w:rPr>
      <w:instrText xml:space="preserve"> NUMPAGES  \* Arabic  \* MERGEFORMAT </w:instrText>
    </w:r>
    <w:r w:rsidR="00BA18B4" w:rsidRPr="00AF1B30">
      <w:rPr>
        <w:rFonts w:ascii="Century Gothic" w:hAnsi="Century Gothic"/>
        <w:bCs/>
        <w:sz w:val="20"/>
        <w:bdr w:val="single" w:sz="4" w:space="0" w:color="FFFFFF" w:themeColor="background1"/>
      </w:rPr>
      <w:fldChar w:fldCharType="separate"/>
    </w:r>
    <w:r w:rsidR="00EC688F">
      <w:rPr>
        <w:rFonts w:ascii="Century Gothic" w:hAnsi="Century Gothic"/>
        <w:bCs/>
        <w:noProof/>
        <w:sz w:val="20"/>
        <w:bdr w:val="single" w:sz="4" w:space="0" w:color="FFFFFF" w:themeColor="background1"/>
      </w:rPr>
      <w:t>10</w:t>
    </w:r>
    <w:r w:rsidR="00BA18B4" w:rsidRPr="00AF1B30">
      <w:rPr>
        <w:rFonts w:ascii="Century Gothic" w:hAnsi="Century Gothic"/>
        <w:bCs/>
        <w:sz w:val="20"/>
        <w:bdr w:val="single" w:sz="4" w:space="0" w:color="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7A43" w14:textId="77777777" w:rsidR="00EC688F" w:rsidRDefault="00EC6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A6AC" w14:textId="685F75D4" w:rsidR="00BA18B4" w:rsidRPr="00AF1B30" w:rsidRDefault="00BA18B4" w:rsidP="00844193">
    <w:pPr>
      <w:pStyle w:val="Footer"/>
      <w:pBdr>
        <w:top w:val="single" w:sz="4" w:space="1" w:color="7F7F7F" w:themeColor="text1" w:themeTint="80"/>
      </w:pBdr>
      <w:rPr>
        <w:rFonts w:ascii="Century Gothic" w:hAnsi="Century Gothic"/>
        <w:sz w:val="20"/>
      </w:rPr>
    </w:pPr>
    <w:r w:rsidRPr="00AF1B30">
      <w:rPr>
        <w:rFonts w:ascii="Century Gothic" w:hAnsi="Century Gothic"/>
        <w:sz w:val="20"/>
      </w:rPr>
      <w:t>Draft Service Delivery Model</w:t>
    </w:r>
    <w:r w:rsidRPr="00AF1B30">
      <w:rPr>
        <w:rFonts w:ascii="Century Gothic" w:hAnsi="Century Gothic"/>
        <w:sz w:val="20"/>
      </w:rPr>
      <w:tab/>
    </w:r>
    <w:r w:rsidRPr="00AF1B30">
      <w:rPr>
        <w:rFonts w:ascii="Century Gothic" w:hAnsi="Century Gothic"/>
        <w:sz w:val="20"/>
      </w:rPr>
      <w:tab/>
    </w:r>
    <w:r w:rsidRPr="00AF1B30">
      <w:rPr>
        <w:rFonts w:ascii="Century Gothic" w:hAnsi="Century Gothic"/>
        <w:sz w:val="20"/>
        <w:bdr w:val="single" w:sz="4" w:space="0" w:color="FFFFFF" w:themeColor="background1"/>
      </w:rPr>
      <w:t xml:space="preserve">Page </w:t>
    </w:r>
    <w:r w:rsidRPr="00AF1B30">
      <w:rPr>
        <w:rFonts w:ascii="Century Gothic" w:hAnsi="Century Gothic"/>
        <w:bCs/>
        <w:sz w:val="20"/>
        <w:bdr w:val="single" w:sz="4" w:space="0" w:color="FFFFFF" w:themeColor="background1"/>
      </w:rPr>
      <w:fldChar w:fldCharType="begin"/>
    </w:r>
    <w:r w:rsidRPr="00AF1B30">
      <w:rPr>
        <w:rFonts w:ascii="Century Gothic" w:hAnsi="Century Gothic"/>
        <w:bCs/>
        <w:sz w:val="20"/>
        <w:bdr w:val="single" w:sz="4" w:space="0" w:color="FFFFFF" w:themeColor="background1"/>
      </w:rPr>
      <w:instrText xml:space="preserve"> PAGE  \* Arabic  \* MERGEFORMAT </w:instrText>
    </w:r>
    <w:r w:rsidRPr="00AF1B30">
      <w:rPr>
        <w:rFonts w:ascii="Century Gothic" w:hAnsi="Century Gothic"/>
        <w:bCs/>
        <w:sz w:val="20"/>
        <w:bdr w:val="single" w:sz="4" w:space="0" w:color="FFFFFF" w:themeColor="background1"/>
      </w:rPr>
      <w:fldChar w:fldCharType="separate"/>
    </w:r>
    <w:r w:rsidR="00EC688F">
      <w:rPr>
        <w:rFonts w:ascii="Century Gothic" w:hAnsi="Century Gothic"/>
        <w:bCs/>
        <w:noProof/>
        <w:sz w:val="20"/>
        <w:bdr w:val="single" w:sz="4" w:space="0" w:color="FFFFFF" w:themeColor="background1"/>
      </w:rPr>
      <w:t>10</w:t>
    </w:r>
    <w:r w:rsidRPr="00AF1B30">
      <w:rPr>
        <w:rFonts w:ascii="Century Gothic" w:hAnsi="Century Gothic"/>
        <w:bCs/>
        <w:sz w:val="20"/>
        <w:bdr w:val="single" w:sz="4" w:space="0" w:color="FFFFFF" w:themeColor="background1"/>
      </w:rPr>
      <w:fldChar w:fldCharType="end"/>
    </w:r>
    <w:r w:rsidRPr="00AF1B30">
      <w:rPr>
        <w:rFonts w:ascii="Century Gothic" w:hAnsi="Century Gothic"/>
        <w:sz w:val="20"/>
        <w:bdr w:val="single" w:sz="4" w:space="0" w:color="FFFFFF" w:themeColor="background1"/>
      </w:rPr>
      <w:t xml:space="preserve"> of </w:t>
    </w:r>
    <w:r w:rsidRPr="00AF1B30">
      <w:rPr>
        <w:rFonts w:ascii="Century Gothic" w:hAnsi="Century Gothic"/>
        <w:bCs/>
        <w:sz w:val="20"/>
        <w:bdr w:val="single" w:sz="4" w:space="0" w:color="FFFFFF" w:themeColor="background1"/>
      </w:rPr>
      <w:fldChar w:fldCharType="begin"/>
    </w:r>
    <w:r w:rsidRPr="00AF1B30">
      <w:rPr>
        <w:rFonts w:ascii="Century Gothic" w:hAnsi="Century Gothic"/>
        <w:bCs/>
        <w:sz w:val="20"/>
        <w:bdr w:val="single" w:sz="4" w:space="0" w:color="FFFFFF" w:themeColor="background1"/>
      </w:rPr>
      <w:instrText xml:space="preserve"> NUMPAGES  \* Arabic  \* MERGEFORMAT </w:instrText>
    </w:r>
    <w:r w:rsidRPr="00AF1B30">
      <w:rPr>
        <w:rFonts w:ascii="Century Gothic" w:hAnsi="Century Gothic"/>
        <w:bCs/>
        <w:sz w:val="20"/>
        <w:bdr w:val="single" w:sz="4" w:space="0" w:color="FFFFFF" w:themeColor="background1"/>
      </w:rPr>
      <w:fldChar w:fldCharType="separate"/>
    </w:r>
    <w:r w:rsidR="00EC688F">
      <w:rPr>
        <w:rFonts w:ascii="Century Gothic" w:hAnsi="Century Gothic"/>
        <w:bCs/>
        <w:noProof/>
        <w:sz w:val="20"/>
        <w:bdr w:val="single" w:sz="4" w:space="0" w:color="FFFFFF" w:themeColor="background1"/>
      </w:rPr>
      <w:t>10</w:t>
    </w:r>
    <w:r w:rsidRPr="00AF1B30">
      <w:rPr>
        <w:rFonts w:ascii="Century Gothic" w:hAnsi="Century Gothic"/>
        <w:bCs/>
        <w:sz w:val="20"/>
        <w:bdr w:val="single" w:sz="4" w:space="0" w:color="FFFFFF" w:themeColor="background1"/>
      </w:rPr>
      <w:fldChar w:fldCharType="end"/>
    </w:r>
  </w:p>
  <w:p w14:paraId="46A306AD" w14:textId="77777777" w:rsidR="00BA18B4" w:rsidRPr="00AF1B30" w:rsidRDefault="00BA18B4" w:rsidP="00844129">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DE217" w14:textId="77777777" w:rsidR="000D10A1" w:rsidRDefault="000D10A1" w:rsidP="00871FED">
      <w:pPr>
        <w:spacing w:after="0" w:line="240" w:lineRule="auto"/>
      </w:pPr>
      <w:r>
        <w:separator/>
      </w:r>
    </w:p>
  </w:footnote>
  <w:footnote w:type="continuationSeparator" w:id="0">
    <w:p w14:paraId="09043A7E" w14:textId="77777777" w:rsidR="000D10A1" w:rsidRDefault="000D10A1" w:rsidP="0087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151A" w14:textId="77777777" w:rsidR="00EC688F" w:rsidRDefault="00EC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E7A0" w14:textId="77777777" w:rsidR="00EC688F" w:rsidRDefault="00EC6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F1D" w14:textId="77777777" w:rsidR="00BA18B4" w:rsidRDefault="00BA18B4" w:rsidP="00871FED">
    <w:pPr>
      <w:pStyle w:val="Header"/>
      <w:jc w:val="right"/>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7728" behindDoc="0" locked="0" layoutInCell="1" allowOverlap="1" wp14:anchorId="03D78D46" wp14:editId="7F53701F">
          <wp:simplePos x="0" y="0"/>
          <wp:positionH relativeFrom="page">
            <wp:posOffset>-603022</wp:posOffset>
          </wp:positionH>
          <wp:positionV relativeFrom="paragraph">
            <wp:posOffset>-983267</wp:posOffset>
          </wp:positionV>
          <wp:extent cx="8200752" cy="9077838"/>
          <wp:effectExtent l="419100" t="0" r="467360" b="0"/>
          <wp:wrapNone/>
          <wp:docPr id="21" name="Picture 21"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heme="majorBidi"/>
        <w:b/>
        <w:noProof/>
        <w:color w:val="5B57A4"/>
        <w:spacing w:val="5"/>
        <w:kern w:val="28"/>
        <w:sz w:val="40"/>
        <w:szCs w:val="52"/>
        <w:lang w:eastAsia="en-AU"/>
      </w:rPr>
      <mc:AlternateContent>
        <mc:Choice Requires="wps">
          <w:drawing>
            <wp:anchor distT="0" distB="0" distL="114300" distR="114300" simplePos="0" relativeHeight="251656704" behindDoc="0" locked="0" layoutInCell="1" allowOverlap="1" wp14:anchorId="3F015038" wp14:editId="306F5108">
              <wp:simplePos x="0" y="0"/>
              <wp:positionH relativeFrom="column">
                <wp:posOffset>-912495</wp:posOffset>
              </wp:positionH>
              <wp:positionV relativeFrom="paragraph">
                <wp:posOffset>-443069</wp:posOffset>
              </wp:positionV>
              <wp:extent cx="7665057" cy="10670650"/>
              <wp:effectExtent l="0" t="0" r="0" b="0"/>
              <wp:wrapNone/>
              <wp:docPr id="37" name="Rectangle 37" descr="Background"/>
              <wp:cNvGraphicFramePr/>
              <a:graphic xmlns:a="http://schemas.openxmlformats.org/drawingml/2006/main">
                <a:graphicData uri="http://schemas.microsoft.com/office/word/2010/wordprocessingShape">
                  <wps:wsp>
                    <wps:cNvSpPr/>
                    <wps:spPr>
                      <a:xfrm>
                        <a:off x="0" y="0"/>
                        <a:ext cx="7665057" cy="10670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D33F8" id="Rectangle 37" o:spid="_x0000_s1026" alt="Background" style="position:absolute;margin-left:-71.85pt;margin-top:-34.9pt;width:603.55pt;height:8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9AD"/>
    <w:multiLevelType w:val="multilevel"/>
    <w:tmpl w:val="4ABA4240"/>
    <w:lvl w:ilvl="0">
      <w:start w:val="5"/>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B4D6F32"/>
    <w:multiLevelType w:val="hybridMultilevel"/>
    <w:tmpl w:val="21E6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86527"/>
    <w:multiLevelType w:val="hybridMultilevel"/>
    <w:tmpl w:val="FFF6432A"/>
    <w:lvl w:ilvl="0" w:tplc="272C1524">
      <w:numFmt w:val="bullet"/>
      <w:pStyle w:val="ICSSDotPoint"/>
      <w:lvlText w:val=""/>
      <w:lvlJc w:val="left"/>
      <w:pPr>
        <w:ind w:left="720" w:hanging="360"/>
      </w:pPr>
      <w:rPr>
        <w:rFonts w:ascii="Symbol" w:eastAsiaTheme="minorHAnsi" w:hAnsi="Symbol" w:cstheme="minorBidi"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27583"/>
    <w:multiLevelType w:val="multilevel"/>
    <w:tmpl w:val="DFE850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6A44B2B"/>
    <w:multiLevelType w:val="multilevel"/>
    <w:tmpl w:val="827E7EA8"/>
    <w:lvl w:ilvl="0">
      <w:start w:val="1"/>
      <w:numFmt w:val="decimal"/>
      <w:pStyle w:val="Heading1"/>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4"/>
  </w:num>
  <w:num w:numId="3">
    <w:abstractNumId w:val="4"/>
    <w:lvlOverride w:ilvl="0">
      <w:startOverride w:val="1"/>
    </w:lvlOverride>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2"/>
    <w:rsid w:val="00000B42"/>
    <w:rsid w:val="00003D38"/>
    <w:rsid w:val="0000674E"/>
    <w:rsid w:val="00006759"/>
    <w:rsid w:val="00010F7F"/>
    <w:rsid w:val="00012A58"/>
    <w:rsid w:val="000158A6"/>
    <w:rsid w:val="00017FC9"/>
    <w:rsid w:val="0002103B"/>
    <w:rsid w:val="000217AE"/>
    <w:rsid w:val="00022C15"/>
    <w:rsid w:val="00024583"/>
    <w:rsid w:val="0002502E"/>
    <w:rsid w:val="000343DA"/>
    <w:rsid w:val="00035830"/>
    <w:rsid w:val="0003636C"/>
    <w:rsid w:val="000366FC"/>
    <w:rsid w:val="00036CCC"/>
    <w:rsid w:val="00040C7D"/>
    <w:rsid w:val="00040CED"/>
    <w:rsid w:val="00041526"/>
    <w:rsid w:val="00041E94"/>
    <w:rsid w:val="00043A23"/>
    <w:rsid w:val="0005158A"/>
    <w:rsid w:val="00053AB0"/>
    <w:rsid w:val="00054D8C"/>
    <w:rsid w:val="000616AF"/>
    <w:rsid w:val="0006281C"/>
    <w:rsid w:val="00063854"/>
    <w:rsid w:val="00063B1D"/>
    <w:rsid w:val="0006453B"/>
    <w:rsid w:val="00065B01"/>
    <w:rsid w:val="000675B8"/>
    <w:rsid w:val="0006789C"/>
    <w:rsid w:val="0008161B"/>
    <w:rsid w:val="00081862"/>
    <w:rsid w:val="00081E91"/>
    <w:rsid w:val="00085D0F"/>
    <w:rsid w:val="00094909"/>
    <w:rsid w:val="0009577A"/>
    <w:rsid w:val="00095FDA"/>
    <w:rsid w:val="000A3FF8"/>
    <w:rsid w:val="000A69B3"/>
    <w:rsid w:val="000A6E55"/>
    <w:rsid w:val="000B1524"/>
    <w:rsid w:val="000B1C30"/>
    <w:rsid w:val="000B25B3"/>
    <w:rsid w:val="000B671A"/>
    <w:rsid w:val="000B6961"/>
    <w:rsid w:val="000C3408"/>
    <w:rsid w:val="000C3C8A"/>
    <w:rsid w:val="000C4BB6"/>
    <w:rsid w:val="000C5BF6"/>
    <w:rsid w:val="000C6621"/>
    <w:rsid w:val="000C796B"/>
    <w:rsid w:val="000D04C4"/>
    <w:rsid w:val="000D10A1"/>
    <w:rsid w:val="000D44C0"/>
    <w:rsid w:val="000D4FF0"/>
    <w:rsid w:val="000D5811"/>
    <w:rsid w:val="000D5D56"/>
    <w:rsid w:val="000D628B"/>
    <w:rsid w:val="000E2599"/>
    <w:rsid w:val="000E27E6"/>
    <w:rsid w:val="000E3F8D"/>
    <w:rsid w:val="000F0871"/>
    <w:rsid w:val="000F2D0B"/>
    <w:rsid w:val="000F38FE"/>
    <w:rsid w:val="000F3F44"/>
    <w:rsid w:val="00106131"/>
    <w:rsid w:val="00106847"/>
    <w:rsid w:val="00111587"/>
    <w:rsid w:val="00111BF5"/>
    <w:rsid w:val="0011242D"/>
    <w:rsid w:val="00113F32"/>
    <w:rsid w:val="001140B5"/>
    <w:rsid w:val="0011460D"/>
    <w:rsid w:val="00114F4E"/>
    <w:rsid w:val="00117D67"/>
    <w:rsid w:val="00126DC3"/>
    <w:rsid w:val="00130FD4"/>
    <w:rsid w:val="00131AB1"/>
    <w:rsid w:val="001330A2"/>
    <w:rsid w:val="001368A3"/>
    <w:rsid w:val="001413C6"/>
    <w:rsid w:val="001418B2"/>
    <w:rsid w:val="00144500"/>
    <w:rsid w:val="00144E0D"/>
    <w:rsid w:val="0014661E"/>
    <w:rsid w:val="00150AEC"/>
    <w:rsid w:val="00150C9F"/>
    <w:rsid w:val="001519DD"/>
    <w:rsid w:val="00162EDB"/>
    <w:rsid w:val="00163D3F"/>
    <w:rsid w:val="00163DCC"/>
    <w:rsid w:val="00164AB7"/>
    <w:rsid w:val="00166168"/>
    <w:rsid w:val="001673D6"/>
    <w:rsid w:val="0017270A"/>
    <w:rsid w:val="00172B79"/>
    <w:rsid w:val="00173B4E"/>
    <w:rsid w:val="00175C52"/>
    <w:rsid w:val="00177CB7"/>
    <w:rsid w:val="001810B5"/>
    <w:rsid w:val="00183E79"/>
    <w:rsid w:val="0018491F"/>
    <w:rsid w:val="00185732"/>
    <w:rsid w:val="00185AA8"/>
    <w:rsid w:val="00187869"/>
    <w:rsid w:val="001878FD"/>
    <w:rsid w:val="00191128"/>
    <w:rsid w:val="00194133"/>
    <w:rsid w:val="0019444F"/>
    <w:rsid w:val="0019585D"/>
    <w:rsid w:val="001959B3"/>
    <w:rsid w:val="001A6283"/>
    <w:rsid w:val="001B0829"/>
    <w:rsid w:val="001B23BD"/>
    <w:rsid w:val="001B2CC8"/>
    <w:rsid w:val="001C009E"/>
    <w:rsid w:val="001C0289"/>
    <w:rsid w:val="001C088F"/>
    <w:rsid w:val="001C1299"/>
    <w:rsid w:val="001C1DC1"/>
    <w:rsid w:val="001C40E5"/>
    <w:rsid w:val="001C4171"/>
    <w:rsid w:val="001D138B"/>
    <w:rsid w:val="001E4194"/>
    <w:rsid w:val="001E4757"/>
    <w:rsid w:val="001E5D8B"/>
    <w:rsid w:val="001E5D93"/>
    <w:rsid w:val="001E7639"/>
    <w:rsid w:val="001F0B2F"/>
    <w:rsid w:val="001F0C1C"/>
    <w:rsid w:val="001F4B68"/>
    <w:rsid w:val="001F718E"/>
    <w:rsid w:val="00200AF8"/>
    <w:rsid w:val="00202C16"/>
    <w:rsid w:val="0020378A"/>
    <w:rsid w:val="0020545B"/>
    <w:rsid w:val="0020713A"/>
    <w:rsid w:val="00214CB4"/>
    <w:rsid w:val="002161FB"/>
    <w:rsid w:val="00222683"/>
    <w:rsid w:val="002229F7"/>
    <w:rsid w:val="002235FD"/>
    <w:rsid w:val="00224465"/>
    <w:rsid w:val="00227A18"/>
    <w:rsid w:val="00232381"/>
    <w:rsid w:val="002337CA"/>
    <w:rsid w:val="00233F07"/>
    <w:rsid w:val="00236D26"/>
    <w:rsid w:val="00237357"/>
    <w:rsid w:val="002406B8"/>
    <w:rsid w:val="00240B9A"/>
    <w:rsid w:val="00244B8C"/>
    <w:rsid w:val="002465BD"/>
    <w:rsid w:val="00247A68"/>
    <w:rsid w:val="00253C11"/>
    <w:rsid w:val="0025441E"/>
    <w:rsid w:val="00257725"/>
    <w:rsid w:val="00265C0A"/>
    <w:rsid w:val="002749E9"/>
    <w:rsid w:val="00274C67"/>
    <w:rsid w:val="002763B3"/>
    <w:rsid w:val="00276586"/>
    <w:rsid w:val="00276784"/>
    <w:rsid w:val="00282940"/>
    <w:rsid w:val="00282CAA"/>
    <w:rsid w:val="00285FCB"/>
    <w:rsid w:val="00290032"/>
    <w:rsid w:val="00290CFE"/>
    <w:rsid w:val="00291932"/>
    <w:rsid w:val="00292AA4"/>
    <w:rsid w:val="00292AF7"/>
    <w:rsid w:val="002930D1"/>
    <w:rsid w:val="002952FB"/>
    <w:rsid w:val="002A2962"/>
    <w:rsid w:val="002A34D9"/>
    <w:rsid w:val="002A3EE3"/>
    <w:rsid w:val="002A51C7"/>
    <w:rsid w:val="002A5A3A"/>
    <w:rsid w:val="002A7810"/>
    <w:rsid w:val="002B2768"/>
    <w:rsid w:val="002B2788"/>
    <w:rsid w:val="002B6D2B"/>
    <w:rsid w:val="002B6E81"/>
    <w:rsid w:val="002C03D6"/>
    <w:rsid w:val="002C1398"/>
    <w:rsid w:val="002C273A"/>
    <w:rsid w:val="002C373A"/>
    <w:rsid w:val="002C3C6F"/>
    <w:rsid w:val="002C5FEA"/>
    <w:rsid w:val="002C625A"/>
    <w:rsid w:val="002C7BC1"/>
    <w:rsid w:val="002D159D"/>
    <w:rsid w:val="002D1A8D"/>
    <w:rsid w:val="002D24E0"/>
    <w:rsid w:val="002D3AF5"/>
    <w:rsid w:val="002D3F9C"/>
    <w:rsid w:val="002D4965"/>
    <w:rsid w:val="002D5428"/>
    <w:rsid w:val="002E1A43"/>
    <w:rsid w:val="002E24DF"/>
    <w:rsid w:val="002E79C5"/>
    <w:rsid w:val="002F3511"/>
    <w:rsid w:val="002F635E"/>
    <w:rsid w:val="002F6F14"/>
    <w:rsid w:val="002F7D7C"/>
    <w:rsid w:val="003004BB"/>
    <w:rsid w:val="003038E6"/>
    <w:rsid w:val="00305B98"/>
    <w:rsid w:val="003128AF"/>
    <w:rsid w:val="00317210"/>
    <w:rsid w:val="0031749F"/>
    <w:rsid w:val="0032314E"/>
    <w:rsid w:val="003235F4"/>
    <w:rsid w:val="003239F9"/>
    <w:rsid w:val="003244FF"/>
    <w:rsid w:val="00325F9D"/>
    <w:rsid w:val="003268D8"/>
    <w:rsid w:val="0032703E"/>
    <w:rsid w:val="0032720A"/>
    <w:rsid w:val="00327CAE"/>
    <w:rsid w:val="00333EFB"/>
    <w:rsid w:val="0033487F"/>
    <w:rsid w:val="00335AC2"/>
    <w:rsid w:val="00336A55"/>
    <w:rsid w:val="00336E4D"/>
    <w:rsid w:val="003400CD"/>
    <w:rsid w:val="00340CAD"/>
    <w:rsid w:val="003417F7"/>
    <w:rsid w:val="0034206E"/>
    <w:rsid w:val="003420E8"/>
    <w:rsid w:val="0034223E"/>
    <w:rsid w:val="003424D8"/>
    <w:rsid w:val="00344C01"/>
    <w:rsid w:val="00346E44"/>
    <w:rsid w:val="00360B23"/>
    <w:rsid w:val="003613F8"/>
    <w:rsid w:val="003629C7"/>
    <w:rsid w:val="00364391"/>
    <w:rsid w:val="00366C83"/>
    <w:rsid w:val="00366F23"/>
    <w:rsid w:val="0036786B"/>
    <w:rsid w:val="003753D2"/>
    <w:rsid w:val="00375B83"/>
    <w:rsid w:val="003775E9"/>
    <w:rsid w:val="003775FA"/>
    <w:rsid w:val="00381679"/>
    <w:rsid w:val="003817FA"/>
    <w:rsid w:val="00383A1D"/>
    <w:rsid w:val="00384D3A"/>
    <w:rsid w:val="00385C17"/>
    <w:rsid w:val="00386341"/>
    <w:rsid w:val="00386DF2"/>
    <w:rsid w:val="00390163"/>
    <w:rsid w:val="00394CB8"/>
    <w:rsid w:val="003962AF"/>
    <w:rsid w:val="003964CB"/>
    <w:rsid w:val="00397204"/>
    <w:rsid w:val="003A1C53"/>
    <w:rsid w:val="003A58E9"/>
    <w:rsid w:val="003B062C"/>
    <w:rsid w:val="003B08D1"/>
    <w:rsid w:val="003B3FAB"/>
    <w:rsid w:val="003B7840"/>
    <w:rsid w:val="003C5BA9"/>
    <w:rsid w:val="003C5F10"/>
    <w:rsid w:val="003C780A"/>
    <w:rsid w:val="003D07E7"/>
    <w:rsid w:val="003D082C"/>
    <w:rsid w:val="003D11CA"/>
    <w:rsid w:val="003D15C6"/>
    <w:rsid w:val="003D1BF3"/>
    <w:rsid w:val="003D1D58"/>
    <w:rsid w:val="003D3BA5"/>
    <w:rsid w:val="003D5655"/>
    <w:rsid w:val="003D70BE"/>
    <w:rsid w:val="003E1229"/>
    <w:rsid w:val="003E21A7"/>
    <w:rsid w:val="003E2DA2"/>
    <w:rsid w:val="003E388F"/>
    <w:rsid w:val="003E43A3"/>
    <w:rsid w:val="003E6370"/>
    <w:rsid w:val="003E7601"/>
    <w:rsid w:val="003E7905"/>
    <w:rsid w:val="003F19BE"/>
    <w:rsid w:val="003F1E73"/>
    <w:rsid w:val="003F3726"/>
    <w:rsid w:val="003F40B3"/>
    <w:rsid w:val="003F493C"/>
    <w:rsid w:val="003F7202"/>
    <w:rsid w:val="003F7506"/>
    <w:rsid w:val="003F7CE1"/>
    <w:rsid w:val="003F7E30"/>
    <w:rsid w:val="00400A85"/>
    <w:rsid w:val="0040106C"/>
    <w:rsid w:val="00401206"/>
    <w:rsid w:val="00402687"/>
    <w:rsid w:val="00403240"/>
    <w:rsid w:val="0040471D"/>
    <w:rsid w:val="004047F9"/>
    <w:rsid w:val="00406B43"/>
    <w:rsid w:val="00406F4B"/>
    <w:rsid w:val="00407359"/>
    <w:rsid w:val="0041169B"/>
    <w:rsid w:val="004118D5"/>
    <w:rsid w:val="0041209C"/>
    <w:rsid w:val="00412E8B"/>
    <w:rsid w:val="004144B5"/>
    <w:rsid w:val="00414BA7"/>
    <w:rsid w:val="0042036C"/>
    <w:rsid w:val="00422D77"/>
    <w:rsid w:val="00431146"/>
    <w:rsid w:val="00431603"/>
    <w:rsid w:val="0043276D"/>
    <w:rsid w:val="00434DA1"/>
    <w:rsid w:val="0043711A"/>
    <w:rsid w:val="00437B60"/>
    <w:rsid w:val="00440C01"/>
    <w:rsid w:val="004414F9"/>
    <w:rsid w:val="004417E5"/>
    <w:rsid w:val="00441EC8"/>
    <w:rsid w:val="004437FA"/>
    <w:rsid w:val="00450B4F"/>
    <w:rsid w:val="004518E9"/>
    <w:rsid w:val="00452E4A"/>
    <w:rsid w:val="00453501"/>
    <w:rsid w:val="004555F5"/>
    <w:rsid w:val="0045639E"/>
    <w:rsid w:val="00456BDA"/>
    <w:rsid w:val="004574AB"/>
    <w:rsid w:val="004579D6"/>
    <w:rsid w:val="004644B3"/>
    <w:rsid w:val="004650C6"/>
    <w:rsid w:val="00465E1E"/>
    <w:rsid w:val="00466A61"/>
    <w:rsid w:val="00467D4F"/>
    <w:rsid w:val="0047130C"/>
    <w:rsid w:val="004768BB"/>
    <w:rsid w:val="004775AE"/>
    <w:rsid w:val="004813AB"/>
    <w:rsid w:val="00481898"/>
    <w:rsid w:val="00482C6A"/>
    <w:rsid w:val="0048450B"/>
    <w:rsid w:val="004872B4"/>
    <w:rsid w:val="00491D58"/>
    <w:rsid w:val="00491FAB"/>
    <w:rsid w:val="00492AAA"/>
    <w:rsid w:val="00494949"/>
    <w:rsid w:val="004972DB"/>
    <w:rsid w:val="00497BEC"/>
    <w:rsid w:val="004A0F44"/>
    <w:rsid w:val="004A19A1"/>
    <w:rsid w:val="004A1B19"/>
    <w:rsid w:val="004A497C"/>
    <w:rsid w:val="004A5883"/>
    <w:rsid w:val="004A7288"/>
    <w:rsid w:val="004A73E5"/>
    <w:rsid w:val="004A7EDA"/>
    <w:rsid w:val="004B36FD"/>
    <w:rsid w:val="004B3EAC"/>
    <w:rsid w:val="004B5F0F"/>
    <w:rsid w:val="004C23D5"/>
    <w:rsid w:val="004C2CB7"/>
    <w:rsid w:val="004C73A9"/>
    <w:rsid w:val="004E22F8"/>
    <w:rsid w:val="004E51FE"/>
    <w:rsid w:val="004E52A6"/>
    <w:rsid w:val="004F042C"/>
    <w:rsid w:val="004F1577"/>
    <w:rsid w:val="004F32B3"/>
    <w:rsid w:val="004F442D"/>
    <w:rsid w:val="004F6454"/>
    <w:rsid w:val="004F7029"/>
    <w:rsid w:val="005028FD"/>
    <w:rsid w:val="005033F1"/>
    <w:rsid w:val="0050362C"/>
    <w:rsid w:val="00503BC2"/>
    <w:rsid w:val="00504A64"/>
    <w:rsid w:val="005074BD"/>
    <w:rsid w:val="0051054A"/>
    <w:rsid w:val="00510CDE"/>
    <w:rsid w:val="00513CA0"/>
    <w:rsid w:val="00517AB3"/>
    <w:rsid w:val="00523C70"/>
    <w:rsid w:val="00523D2A"/>
    <w:rsid w:val="005241F2"/>
    <w:rsid w:val="00527045"/>
    <w:rsid w:val="00530EDB"/>
    <w:rsid w:val="00534816"/>
    <w:rsid w:val="00534FE7"/>
    <w:rsid w:val="005370AB"/>
    <w:rsid w:val="005379B8"/>
    <w:rsid w:val="0054004B"/>
    <w:rsid w:val="00540AFF"/>
    <w:rsid w:val="00544AB4"/>
    <w:rsid w:val="00544D96"/>
    <w:rsid w:val="00544FF9"/>
    <w:rsid w:val="00545868"/>
    <w:rsid w:val="00546814"/>
    <w:rsid w:val="00547F10"/>
    <w:rsid w:val="00551AA2"/>
    <w:rsid w:val="00553B27"/>
    <w:rsid w:val="00555A87"/>
    <w:rsid w:val="00560138"/>
    <w:rsid w:val="00560E23"/>
    <w:rsid w:val="0056250B"/>
    <w:rsid w:val="00563EE1"/>
    <w:rsid w:val="0056508E"/>
    <w:rsid w:val="00566F55"/>
    <w:rsid w:val="0056773C"/>
    <w:rsid w:val="00570A9B"/>
    <w:rsid w:val="00571310"/>
    <w:rsid w:val="00571340"/>
    <w:rsid w:val="005722D5"/>
    <w:rsid w:val="00573849"/>
    <w:rsid w:val="0057546E"/>
    <w:rsid w:val="005754CF"/>
    <w:rsid w:val="005801D6"/>
    <w:rsid w:val="005805F7"/>
    <w:rsid w:val="00580D88"/>
    <w:rsid w:val="00581E84"/>
    <w:rsid w:val="00582C0A"/>
    <w:rsid w:val="00583EE0"/>
    <w:rsid w:val="00587CF7"/>
    <w:rsid w:val="0059020A"/>
    <w:rsid w:val="0059207F"/>
    <w:rsid w:val="005926B5"/>
    <w:rsid w:val="00593C3D"/>
    <w:rsid w:val="00593E76"/>
    <w:rsid w:val="0059582A"/>
    <w:rsid w:val="00595D20"/>
    <w:rsid w:val="005A0052"/>
    <w:rsid w:val="005A2D9A"/>
    <w:rsid w:val="005B0069"/>
    <w:rsid w:val="005B14F4"/>
    <w:rsid w:val="005B18DB"/>
    <w:rsid w:val="005B335D"/>
    <w:rsid w:val="005B4459"/>
    <w:rsid w:val="005B72BE"/>
    <w:rsid w:val="005C2313"/>
    <w:rsid w:val="005C52B9"/>
    <w:rsid w:val="005C548F"/>
    <w:rsid w:val="005C61A6"/>
    <w:rsid w:val="005C7EEC"/>
    <w:rsid w:val="005D060B"/>
    <w:rsid w:val="005D0DE5"/>
    <w:rsid w:val="005D1211"/>
    <w:rsid w:val="005D194B"/>
    <w:rsid w:val="005D4934"/>
    <w:rsid w:val="005D500B"/>
    <w:rsid w:val="005D555C"/>
    <w:rsid w:val="005D70FF"/>
    <w:rsid w:val="005D7519"/>
    <w:rsid w:val="005E148E"/>
    <w:rsid w:val="005E3632"/>
    <w:rsid w:val="005E3EF3"/>
    <w:rsid w:val="005E6213"/>
    <w:rsid w:val="005E64AD"/>
    <w:rsid w:val="005E7D41"/>
    <w:rsid w:val="005F0DBA"/>
    <w:rsid w:val="005F11D7"/>
    <w:rsid w:val="005F3760"/>
    <w:rsid w:val="005F6393"/>
    <w:rsid w:val="005F6B20"/>
    <w:rsid w:val="0060139C"/>
    <w:rsid w:val="00604657"/>
    <w:rsid w:val="00604A95"/>
    <w:rsid w:val="00605D1F"/>
    <w:rsid w:val="006063D8"/>
    <w:rsid w:val="00606DA3"/>
    <w:rsid w:val="00607B4F"/>
    <w:rsid w:val="00607EA2"/>
    <w:rsid w:val="00611176"/>
    <w:rsid w:val="006119B5"/>
    <w:rsid w:val="00611FD7"/>
    <w:rsid w:val="00613894"/>
    <w:rsid w:val="00614155"/>
    <w:rsid w:val="00615CBE"/>
    <w:rsid w:val="00617C9B"/>
    <w:rsid w:val="00617F21"/>
    <w:rsid w:val="0062211A"/>
    <w:rsid w:val="00625338"/>
    <w:rsid w:val="006268C7"/>
    <w:rsid w:val="00626DC7"/>
    <w:rsid w:val="006272B6"/>
    <w:rsid w:val="00631EDA"/>
    <w:rsid w:val="00634387"/>
    <w:rsid w:val="00634CCB"/>
    <w:rsid w:val="00636C7E"/>
    <w:rsid w:val="00641B0F"/>
    <w:rsid w:val="00641BCC"/>
    <w:rsid w:val="00643084"/>
    <w:rsid w:val="006443C6"/>
    <w:rsid w:val="006451AE"/>
    <w:rsid w:val="00645569"/>
    <w:rsid w:val="0064623B"/>
    <w:rsid w:val="00650E51"/>
    <w:rsid w:val="006520B0"/>
    <w:rsid w:val="0065657E"/>
    <w:rsid w:val="00656EAD"/>
    <w:rsid w:val="00657AEC"/>
    <w:rsid w:val="0066027F"/>
    <w:rsid w:val="00663636"/>
    <w:rsid w:val="0066391E"/>
    <w:rsid w:val="00664B9E"/>
    <w:rsid w:val="00667C74"/>
    <w:rsid w:val="006716D7"/>
    <w:rsid w:val="00671A1B"/>
    <w:rsid w:val="00676119"/>
    <w:rsid w:val="006820F6"/>
    <w:rsid w:val="006850C5"/>
    <w:rsid w:val="00685636"/>
    <w:rsid w:val="0068707E"/>
    <w:rsid w:val="0068726B"/>
    <w:rsid w:val="00687AB9"/>
    <w:rsid w:val="006916D8"/>
    <w:rsid w:val="006924DA"/>
    <w:rsid w:val="006927B0"/>
    <w:rsid w:val="00693FE6"/>
    <w:rsid w:val="00695517"/>
    <w:rsid w:val="006975F6"/>
    <w:rsid w:val="006A36CE"/>
    <w:rsid w:val="006A6448"/>
    <w:rsid w:val="006B094F"/>
    <w:rsid w:val="006B0A50"/>
    <w:rsid w:val="006B0CBC"/>
    <w:rsid w:val="006B17CA"/>
    <w:rsid w:val="006B66A1"/>
    <w:rsid w:val="006C0148"/>
    <w:rsid w:val="006C16D5"/>
    <w:rsid w:val="006C1B2A"/>
    <w:rsid w:val="006C2EE2"/>
    <w:rsid w:val="006C4755"/>
    <w:rsid w:val="006C6A1D"/>
    <w:rsid w:val="006C6E14"/>
    <w:rsid w:val="006C7198"/>
    <w:rsid w:val="006D12C2"/>
    <w:rsid w:val="006D34EE"/>
    <w:rsid w:val="006D3527"/>
    <w:rsid w:val="006D50F6"/>
    <w:rsid w:val="006D7A46"/>
    <w:rsid w:val="006E251F"/>
    <w:rsid w:val="006E27A6"/>
    <w:rsid w:val="006E3D7C"/>
    <w:rsid w:val="006E60F6"/>
    <w:rsid w:val="006F3B5E"/>
    <w:rsid w:val="006F567C"/>
    <w:rsid w:val="00700398"/>
    <w:rsid w:val="007030E4"/>
    <w:rsid w:val="007036C7"/>
    <w:rsid w:val="00706D74"/>
    <w:rsid w:val="00706F87"/>
    <w:rsid w:val="00710620"/>
    <w:rsid w:val="00710CF7"/>
    <w:rsid w:val="00710D27"/>
    <w:rsid w:val="0071167D"/>
    <w:rsid w:val="00711A4F"/>
    <w:rsid w:val="007125F1"/>
    <w:rsid w:val="007135B9"/>
    <w:rsid w:val="00714F30"/>
    <w:rsid w:val="00715497"/>
    <w:rsid w:val="0071679B"/>
    <w:rsid w:val="007220B0"/>
    <w:rsid w:val="00723865"/>
    <w:rsid w:val="00724070"/>
    <w:rsid w:val="00724F66"/>
    <w:rsid w:val="007346EE"/>
    <w:rsid w:val="00736A7F"/>
    <w:rsid w:val="0074792F"/>
    <w:rsid w:val="00751539"/>
    <w:rsid w:val="00752186"/>
    <w:rsid w:val="00754D3D"/>
    <w:rsid w:val="00755106"/>
    <w:rsid w:val="00755462"/>
    <w:rsid w:val="00755726"/>
    <w:rsid w:val="00756562"/>
    <w:rsid w:val="007575B0"/>
    <w:rsid w:val="00760E50"/>
    <w:rsid w:val="00760F55"/>
    <w:rsid w:val="00767239"/>
    <w:rsid w:val="00770C8E"/>
    <w:rsid w:val="007723CD"/>
    <w:rsid w:val="00773ED1"/>
    <w:rsid w:val="007742C9"/>
    <w:rsid w:val="00774A70"/>
    <w:rsid w:val="007771C7"/>
    <w:rsid w:val="00777453"/>
    <w:rsid w:val="00781B49"/>
    <w:rsid w:val="007824E9"/>
    <w:rsid w:val="00786C00"/>
    <w:rsid w:val="007939AC"/>
    <w:rsid w:val="00793A56"/>
    <w:rsid w:val="00793CED"/>
    <w:rsid w:val="00797146"/>
    <w:rsid w:val="007A01BB"/>
    <w:rsid w:val="007A216D"/>
    <w:rsid w:val="007A24A2"/>
    <w:rsid w:val="007A3117"/>
    <w:rsid w:val="007A4B88"/>
    <w:rsid w:val="007B0AC7"/>
    <w:rsid w:val="007B2303"/>
    <w:rsid w:val="007B346B"/>
    <w:rsid w:val="007B407F"/>
    <w:rsid w:val="007B47C7"/>
    <w:rsid w:val="007B5FE1"/>
    <w:rsid w:val="007B6749"/>
    <w:rsid w:val="007C35D0"/>
    <w:rsid w:val="007C7FC8"/>
    <w:rsid w:val="007D0770"/>
    <w:rsid w:val="007D0CBE"/>
    <w:rsid w:val="007D1B04"/>
    <w:rsid w:val="007D1C64"/>
    <w:rsid w:val="007D66B2"/>
    <w:rsid w:val="007D6BA4"/>
    <w:rsid w:val="007D78E9"/>
    <w:rsid w:val="007E00DF"/>
    <w:rsid w:val="007E4E87"/>
    <w:rsid w:val="007F0A11"/>
    <w:rsid w:val="007F0C19"/>
    <w:rsid w:val="007F126C"/>
    <w:rsid w:val="007F1E79"/>
    <w:rsid w:val="007F2EFC"/>
    <w:rsid w:val="007F44CE"/>
    <w:rsid w:val="007F78F5"/>
    <w:rsid w:val="00800958"/>
    <w:rsid w:val="00801188"/>
    <w:rsid w:val="00802DF8"/>
    <w:rsid w:val="00803969"/>
    <w:rsid w:val="0080541C"/>
    <w:rsid w:val="00805EC4"/>
    <w:rsid w:val="00806E58"/>
    <w:rsid w:val="00807248"/>
    <w:rsid w:val="00807D43"/>
    <w:rsid w:val="00811425"/>
    <w:rsid w:val="00812DA3"/>
    <w:rsid w:val="00813AC1"/>
    <w:rsid w:val="00815450"/>
    <w:rsid w:val="00817F50"/>
    <w:rsid w:val="00822F35"/>
    <w:rsid w:val="008232CA"/>
    <w:rsid w:val="00823DC4"/>
    <w:rsid w:val="00825201"/>
    <w:rsid w:val="008254A9"/>
    <w:rsid w:val="00826E6F"/>
    <w:rsid w:val="00827941"/>
    <w:rsid w:val="008306B6"/>
    <w:rsid w:val="00832596"/>
    <w:rsid w:val="008326F8"/>
    <w:rsid w:val="008340A7"/>
    <w:rsid w:val="00834C52"/>
    <w:rsid w:val="00836B24"/>
    <w:rsid w:val="00841914"/>
    <w:rsid w:val="00842C9E"/>
    <w:rsid w:val="00842D30"/>
    <w:rsid w:val="00844129"/>
    <w:rsid w:val="00844193"/>
    <w:rsid w:val="008441E0"/>
    <w:rsid w:val="00844835"/>
    <w:rsid w:val="00850B33"/>
    <w:rsid w:val="00851AE3"/>
    <w:rsid w:val="0085233B"/>
    <w:rsid w:val="0085409B"/>
    <w:rsid w:val="0085452D"/>
    <w:rsid w:val="00855612"/>
    <w:rsid w:val="008630C5"/>
    <w:rsid w:val="00864DC3"/>
    <w:rsid w:val="00866AAB"/>
    <w:rsid w:val="00871F86"/>
    <w:rsid w:val="00871FED"/>
    <w:rsid w:val="0087398E"/>
    <w:rsid w:val="00875653"/>
    <w:rsid w:val="00875B91"/>
    <w:rsid w:val="00882E02"/>
    <w:rsid w:val="00884070"/>
    <w:rsid w:val="0088716D"/>
    <w:rsid w:val="008903E0"/>
    <w:rsid w:val="0089076C"/>
    <w:rsid w:val="00890D06"/>
    <w:rsid w:val="00891762"/>
    <w:rsid w:val="00893D30"/>
    <w:rsid w:val="00896ECE"/>
    <w:rsid w:val="008971D3"/>
    <w:rsid w:val="00897832"/>
    <w:rsid w:val="008A00D9"/>
    <w:rsid w:val="008A1A03"/>
    <w:rsid w:val="008A5328"/>
    <w:rsid w:val="008A5985"/>
    <w:rsid w:val="008B0629"/>
    <w:rsid w:val="008B1F1E"/>
    <w:rsid w:val="008B25F1"/>
    <w:rsid w:val="008B2DCE"/>
    <w:rsid w:val="008B5372"/>
    <w:rsid w:val="008B62B2"/>
    <w:rsid w:val="008B6F2A"/>
    <w:rsid w:val="008C037F"/>
    <w:rsid w:val="008C2224"/>
    <w:rsid w:val="008C3CCC"/>
    <w:rsid w:val="008C410E"/>
    <w:rsid w:val="008C6DF3"/>
    <w:rsid w:val="008D1C3B"/>
    <w:rsid w:val="008D3497"/>
    <w:rsid w:val="008D667C"/>
    <w:rsid w:val="008D72E1"/>
    <w:rsid w:val="008D7A92"/>
    <w:rsid w:val="008D7DFF"/>
    <w:rsid w:val="008E2112"/>
    <w:rsid w:val="008E3C88"/>
    <w:rsid w:val="008E677A"/>
    <w:rsid w:val="008F22F9"/>
    <w:rsid w:val="008F4C7E"/>
    <w:rsid w:val="00900E82"/>
    <w:rsid w:val="0090268D"/>
    <w:rsid w:val="00903AAC"/>
    <w:rsid w:val="00904142"/>
    <w:rsid w:val="0090477F"/>
    <w:rsid w:val="009048EE"/>
    <w:rsid w:val="009074FA"/>
    <w:rsid w:val="00917012"/>
    <w:rsid w:val="00917460"/>
    <w:rsid w:val="00920141"/>
    <w:rsid w:val="00923424"/>
    <w:rsid w:val="00925D72"/>
    <w:rsid w:val="009260F0"/>
    <w:rsid w:val="00927404"/>
    <w:rsid w:val="009274FB"/>
    <w:rsid w:val="00930483"/>
    <w:rsid w:val="0093070C"/>
    <w:rsid w:val="00930F2F"/>
    <w:rsid w:val="0093327A"/>
    <w:rsid w:val="00936501"/>
    <w:rsid w:val="00936855"/>
    <w:rsid w:val="009374F2"/>
    <w:rsid w:val="00937AD3"/>
    <w:rsid w:val="009421B8"/>
    <w:rsid w:val="009426EC"/>
    <w:rsid w:val="0094283C"/>
    <w:rsid w:val="0094334A"/>
    <w:rsid w:val="00944F8C"/>
    <w:rsid w:val="009477C7"/>
    <w:rsid w:val="0095070A"/>
    <w:rsid w:val="009608ED"/>
    <w:rsid w:val="009617A4"/>
    <w:rsid w:val="00965A07"/>
    <w:rsid w:val="009713D5"/>
    <w:rsid w:val="009751D5"/>
    <w:rsid w:val="0097582C"/>
    <w:rsid w:val="00980974"/>
    <w:rsid w:val="009811C3"/>
    <w:rsid w:val="00981912"/>
    <w:rsid w:val="0098265D"/>
    <w:rsid w:val="00983505"/>
    <w:rsid w:val="009839C7"/>
    <w:rsid w:val="009839E4"/>
    <w:rsid w:val="009846F5"/>
    <w:rsid w:val="009860AD"/>
    <w:rsid w:val="00987248"/>
    <w:rsid w:val="0098753A"/>
    <w:rsid w:val="00991CAE"/>
    <w:rsid w:val="009956F8"/>
    <w:rsid w:val="00996961"/>
    <w:rsid w:val="009A0253"/>
    <w:rsid w:val="009A13DD"/>
    <w:rsid w:val="009A31BD"/>
    <w:rsid w:val="009A5886"/>
    <w:rsid w:val="009A63A8"/>
    <w:rsid w:val="009B0E82"/>
    <w:rsid w:val="009B2A08"/>
    <w:rsid w:val="009B33FF"/>
    <w:rsid w:val="009B447B"/>
    <w:rsid w:val="009B646F"/>
    <w:rsid w:val="009B7001"/>
    <w:rsid w:val="009C010D"/>
    <w:rsid w:val="009C47C8"/>
    <w:rsid w:val="009C58DD"/>
    <w:rsid w:val="009C68E5"/>
    <w:rsid w:val="009D16A5"/>
    <w:rsid w:val="009D4DC7"/>
    <w:rsid w:val="009D5029"/>
    <w:rsid w:val="009D540E"/>
    <w:rsid w:val="009E1F77"/>
    <w:rsid w:val="009E299B"/>
    <w:rsid w:val="009E341F"/>
    <w:rsid w:val="009E3DA6"/>
    <w:rsid w:val="009E5895"/>
    <w:rsid w:val="009E7193"/>
    <w:rsid w:val="009E7269"/>
    <w:rsid w:val="009F02DC"/>
    <w:rsid w:val="009F0C2E"/>
    <w:rsid w:val="009F0E18"/>
    <w:rsid w:val="009F1B9D"/>
    <w:rsid w:val="009F1E57"/>
    <w:rsid w:val="009F4863"/>
    <w:rsid w:val="009F4FFA"/>
    <w:rsid w:val="009F50B1"/>
    <w:rsid w:val="00A06AF0"/>
    <w:rsid w:val="00A108FE"/>
    <w:rsid w:val="00A10A91"/>
    <w:rsid w:val="00A10AD9"/>
    <w:rsid w:val="00A11F11"/>
    <w:rsid w:val="00A15F0D"/>
    <w:rsid w:val="00A163A5"/>
    <w:rsid w:val="00A16514"/>
    <w:rsid w:val="00A16D4B"/>
    <w:rsid w:val="00A173EF"/>
    <w:rsid w:val="00A20F32"/>
    <w:rsid w:val="00A233D0"/>
    <w:rsid w:val="00A251A7"/>
    <w:rsid w:val="00A25B7A"/>
    <w:rsid w:val="00A25D98"/>
    <w:rsid w:val="00A2694A"/>
    <w:rsid w:val="00A26A09"/>
    <w:rsid w:val="00A3181D"/>
    <w:rsid w:val="00A32D8F"/>
    <w:rsid w:val="00A331E5"/>
    <w:rsid w:val="00A33835"/>
    <w:rsid w:val="00A33C02"/>
    <w:rsid w:val="00A342C1"/>
    <w:rsid w:val="00A364FB"/>
    <w:rsid w:val="00A37107"/>
    <w:rsid w:val="00A42C05"/>
    <w:rsid w:val="00A442E7"/>
    <w:rsid w:val="00A45F24"/>
    <w:rsid w:val="00A55F95"/>
    <w:rsid w:val="00A57BA2"/>
    <w:rsid w:val="00A60FD8"/>
    <w:rsid w:val="00A6107B"/>
    <w:rsid w:val="00A6343F"/>
    <w:rsid w:val="00A63D21"/>
    <w:rsid w:val="00A64104"/>
    <w:rsid w:val="00A6496B"/>
    <w:rsid w:val="00A64BBB"/>
    <w:rsid w:val="00A65F39"/>
    <w:rsid w:val="00A70490"/>
    <w:rsid w:val="00A70E9E"/>
    <w:rsid w:val="00A71FDF"/>
    <w:rsid w:val="00A73700"/>
    <w:rsid w:val="00A76A6C"/>
    <w:rsid w:val="00A76E11"/>
    <w:rsid w:val="00A803C3"/>
    <w:rsid w:val="00A825C0"/>
    <w:rsid w:val="00A828D8"/>
    <w:rsid w:val="00A847FB"/>
    <w:rsid w:val="00A86D6B"/>
    <w:rsid w:val="00A906BE"/>
    <w:rsid w:val="00A96FCF"/>
    <w:rsid w:val="00A97648"/>
    <w:rsid w:val="00AA39F2"/>
    <w:rsid w:val="00AA4926"/>
    <w:rsid w:val="00AA7199"/>
    <w:rsid w:val="00AB06C1"/>
    <w:rsid w:val="00AB1201"/>
    <w:rsid w:val="00AB4284"/>
    <w:rsid w:val="00AB50D5"/>
    <w:rsid w:val="00AB56E2"/>
    <w:rsid w:val="00AB66DA"/>
    <w:rsid w:val="00AC0841"/>
    <w:rsid w:val="00AC3CB4"/>
    <w:rsid w:val="00AC4968"/>
    <w:rsid w:val="00AC6CD7"/>
    <w:rsid w:val="00AC7C51"/>
    <w:rsid w:val="00AC7E70"/>
    <w:rsid w:val="00AD068A"/>
    <w:rsid w:val="00AD07F4"/>
    <w:rsid w:val="00AD14C9"/>
    <w:rsid w:val="00AD294D"/>
    <w:rsid w:val="00AD48FA"/>
    <w:rsid w:val="00AD7CDC"/>
    <w:rsid w:val="00AD7E6E"/>
    <w:rsid w:val="00AE00F7"/>
    <w:rsid w:val="00AE04C8"/>
    <w:rsid w:val="00AE140A"/>
    <w:rsid w:val="00AE3304"/>
    <w:rsid w:val="00AE3701"/>
    <w:rsid w:val="00AE50A6"/>
    <w:rsid w:val="00AE7231"/>
    <w:rsid w:val="00AE792A"/>
    <w:rsid w:val="00AE7B76"/>
    <w:rsid w:val="00AF0482"/>
    <w:rsid w:val="00AF13F8"/>
    <w:rsid w:val="00AF1B30"/>
    <w:rsid w:val="00AF3583"/>
    <w:rsid w:val="00B0060E"/>
    <w:rsid w:val="00B00C38"/>
    <w:rsid w:val="00B03C1C"/>
    <w:rsid w:val="00B040FA"/>
    <w:rsid w:val="00B04D63"/>
    <w:rsid w:val="00B06031"/>
    <w:rsid w:val="00B0619B"/>
    <w:rsid w:val="00B06FF2"/>
    <w:rsid w:val="00B075A0"/>
    <w:rsid w:val="00B10960"/>
    <w:rsid w:val="00B140CD"/>
    <w:rsid w:val="00B142FC"/>
    <w:rsid w:val="00B1763D"/>
    <w:rsid w:val="00B20F07"/>
    <w:rsid w:val="00B221DF"/>
    <w:rsid w:val="00B2273C"/>
    <w:rsid w:val="00B3170F"/>
    <w:rsid w:val="00B41118"/>
    <w:rsid w:val="00B41823"/>
    <w:rsid w:val="00B42204"/>
    <w:rsid w:val="00B4314A"/>
    <w:rsid w:val="00B43C70"/>
    <w:rsid w:val="00B46864"/>
    <w:rsid w:val="00B46A90"/>
    <w:rsid w:val="00B50845"/>
    <w:rsid w:val="00B50952"/>
    <w:rsid w:val="00B514E7"/>
    <w:rsid w:val="00B51EE3"/>
    <w:rsid w:val="00B523CE"/>
    <w:rsid w:val="00B536C1"/>
    <w:rsid w:val="00B53CE9"/>
    <w:rsid w:val="00B56259"/>
    <w:rsid w:val="00B56FE8"/>
    <w:rsid w:val="00B5796D"/>
    <w:rsid w:val="00B614B9"/>
    <w:rsid w:val="00B614CF"/>
    <w:rsid w:val="00B628E6"/>
    <w:rsid w:val="00B63438"/>
    <w:rsid w:val="00B6501C"/>
    <w:rsid w:val="00B701A8"/>
    <w:rsid w:val="00B74CA1"/>
    <w:rsid w:val="00B7775F"/>
    <w:rsid w:val="00B81BF3"/>
    <w:rsid w:val="00B81EB6"/>
    <w:rsid w:val="00B82CDD"/>
    <w:rsid w:val="00B85CF1"/>
    <w:rsid w:val="00B86C81"/>
    <w:rsid w:val="00B908FC"/>
    <w:rsid w:val="00B90E09"/>
    <w:rsid w:val="00B91B92"/>
    <w:rsid w:val="00B92274"/>
    <w:rsid w:val="00B9294E"/>
    <w:rsid w:val="00B963A9"/>
    <w:rsid w:val="00BA0E18"/>
    <w:rsid w:val="00BA16BD"/>
    <w:rsid w:val="00BA18B4"/>
    <w:rsid w:val="00BA1EEF"/>
    <w:rsid w:val="00BA1FEA"/>
    <w:rsid w:val="00BA271B"/>
    <w:rsid w:val="00BA285C"/>
    <w:rsid w:val="00BA31C8"/>
    <w:rsid w:val="00BA3790"/>
    <w:rsid w:val="00BA38A5"/>
    <w:rsid w:val="00BA5D53"/>
    <w:rsid w:val="00BB0B0A"/>
    <w:rsid w:val="00BB7424"/>
    <w:rsid w:val="00BC05CE"/>
    <w:rsid w:val="00BC1B6A"/>
    <w:rsid w:val="00BC20EB"/>
    <w:rsid w:val="00BC23BF"/>
    <w:rsid w:val="00BD1A35"/>
    <w:rsid w:val="00BD325F"/>
    <w:rsid w:val="00BD5035"/>
    <w:rsid w:val="00BD57EC"/>
    <w:rsid w:val="00BD5814"/>
    <w:rsid w:val="00BD6ED7"/>
    <w:rsid w:val="00BE18F7"/>
    <w:rsid w:val="00BE206A"/>
    <w:rsid w:val="00BE5810"/>
    <w:rsid w:val="00BE5AC1"/>
    <w:rsid w:val="00BE6133"/>
    <w:rsid w:val="00BE729E"/>
    <w:rsid w:val="00BE7970"/>
    <w:rsid w:val="00BF01C2"/>
    <w:rsid w:val="00BF1764"/>
    <w:rsid w:val="00BF4222"/>
    <w:rsid w:val="00BF4E8A"/>
    <w:rsid w:val="00BF545E"/>
    <w:rsid w:val="00BF6E38"/>
    <w:rsid w:val="00C01569"/>
    <w:rsid w:val="00C025DE"/>
    <w:rsid w:val="00C02B9F"/>
    <w:rsid w:val="00C0435F"/>
    <w:rsid w:val="00C07DF8"/>
    <w:rsid w:val="00C117CB"/>
    <w:rsid w:val="00C11CEC"/>
    <w:rsid w:val="00C1258C"/>
    <w:rsid w:val="00C1274E"/>
    <w:rsid w:val="00C1287C"/>
    <w:rsid w:val="00C12C1A"/>
    <w:rsid w:val="00C13A32"/>
    <w:rsid w:val="00C14E55"/>
    <w:rsid w:val="00C15D7E"/>
    <w:rsid w:val="00C216DB"/>
    <w:rsid w:val="00C21D5E"/>
    <w:rsid w:val="00C24B95"/>
    <w:rsid w:val="00C269F0"/>
    <w:rsid w:val="00C276FF"/>
    <w:rsid w:val="00C3180B"/>
    <w:rsid w:val="00C3234A"/>
    <w:rsid w:val="00C3654A"/>
    <w:rsid w:val="00C36958"/>
    <w:rsid w:val="00C36973"/>
    <w:rsid w:val="00C36D8A"/>
    <w:rsid w:val="00C40F75"/>
    <w:rsid w:val="00C4602C"/>
    <w:rsid w:val="00C46E38"/>
    <w:rsid w:val="00C5067F"/>
    <w:rsid w:val="00C51EA7"/>
    <w:rsid w:val="00C52894"/>
    <w:rsid w:val="00C5317F"/>
    <w:rsid w:val="00C5445D"/>
    <w:rsid w:val="00C55D6F"/>
    <w:rsid w:val="00C55FBC"/>
    <w:rsid w:val="00C57258"/>
    <w:rsid w:val="00C6253B"/>
    <w:rsid w:val="00C62541"/>
    <w:rsid w:val="00C63C9F"/>
    <w:rsid w:val="00C64D8C"/>
    <w:rsid w:val="00C65516"/>
    <w:rsid w:val="00C67992"/>
    <w:rsid w:val="00C70989"/>
    <w:rsid w:val="00C70ADF"/>
    <w:rsid w:val="00C717FA"/>
    <w:rsid w:val="00C721F6"/>
    <w:rsid w:val="00C753D0"/>
    <w:rsid w:val="00C76480"/>
    <w:rsid w:val="00C76741"/>
    <w:rsid w:val="00C77E5A"/>
    <w:rsid w:val="00C81C4F"/>
    <w:rsid w:val="00C84395"/>
    <w:rsid w:val="00C8595D"/>
    <w:rsid w:val="00C9129D"/>
    <w:rsid w:val="00C92318"/>
    <w:rsid w:val="00C94FE7"/>
    <w:rsid w:val="00C96C1A"/>
    <w:rsid w:val="00CA1ADC"/>
    <w:rsid w:val="00CA3FF9"/>
    <w:rsid w:val="00CB224A"/>
    <w:rsid w:val="00CB31BE"/>
    <w:rsid w:val="00CB48AD"/>
    <w:rsid w:val="00CB54D9"/>
    <w:rsid w:val="00CC0E05"/>
    <w:rsid w:val="00CC3606"/>
    <w:rsid w:val="00CC3866"/>
    <w:rsid w:val="00CC43C7"/>
    <w:rsid w:val="00CC48CB"/>
    <w:rsid w:val="00CC713C"/>
    <w:rsid w:val="00CC7823"/>
    <w:rsid w:val="00CD13CF"/>
    <w:rsid w:val="00CD1F96"/>
    <w:rsid w:val="00CD40A5"/>
    <w:rsid w:val="00CD487F"/>
    <w:rsid w:val="00CD4E89"/>
    <w:rsid w:val="00CD65BD"/>
    <w:rsid w:val="00CE06DB"/>
    <w:rsid w:val="00CE0A56"/>
    <w:rsid w:val="00CE2602"/>
    <w:rsid w:val="00CE5B01"/>
    <w:rsid w:val="00CE6210"/>
    <w:rsid w:val="00CE6AAE"/>
    <w:rsid w:val="00CE7917"/>
    <w:rsid w:val="00CF23C0"/>
    <w:rsid w:val="00CF375F"/>
    <w:rsid w:val="00CF3815"/>
    <w:rsid w:val="00CF6289"/>
    <w:rsid w:val="00D008CA"/>
    <w:rsid w:val="00D03C75"/>
    <w:rsid w:val="00D10736"/>
    <w:rsid w:val="00D10E12"/>
    <w:rsid w:val="00D11358"/>
    <w:rsid w:val="00D1192A"/>
    <w:rsid w:val="00D11ABF"/>
    <w:rsid w:val="00D11DF9"/>
    <w:rsid w:val="00D131F7"/>
    <w:rsid w:val="00D14BA8"/>
    <w:rsid w:val="00D20147"/>
    <w:rsid w:val="00D2625E"/>
    <w:rsid w:val="00D272E1"/>
    <w:rsid w:val="00D30F08"/>
    <w:rsid w:val="00D322E2"/>
    <w:rsid w:val="00D327F7"/>
    <w:rsid w:val="00D3391F"/>
    <w:rsid w:val="00D33A3F"/>
    <w:rsid w:val="00D359D7"/>
    <w:rsid w:val="00D37157"/>
    <w:rsid w:val="00D40455"/>
    <w:rsid w:val="00D40D33"/>
    <w:rsid w:val="00D435E1"/>
    <w:rsid w:val="00D43E7D"/>
    <w:rsid w:val="00D442CC"/>
    <w:rsid w:val="00D445FE"/>
    <w:rsid w:val="00D44E1B"/>
    <w:rsid w:val="00D47B42"/>
    <w:rsid w:val="00D50183"/>
    <w:rsid w:val="00D51B59"/>
    <w:rsid w:val="00D52DD5"/>
    <w:rsid w:val="00D531B6"/>
    <w:rsid w:val="00D5358E"/>
    <w:rsid w:val="00D54257"/>
    <w:rsid w:val="00D5462A"/>
    <w:rsid w:val="00D55E3E"/>
    <w:rsid w:val="00D566CB"/>
    <w:rsid w:val="00D56F1B"/>
    <w:rsid w:val="00D61B8E"/>
    <w:rsid w:val="00D629DD"/>
    <w:rsid w:val="00D62B49"/>
    <w:rsid w:val="00D63F70"/>
    <w:rsid w:val="00D64479"/>
    <w:rsid w:val="00D668D9"/>
    <w:rsid w:val="00D67DC5"/>
    <w:rsid w:val="00D70142"/>
    <w:rsid w:val="00D77F56"/>
    <w:rsid w:val="00D81C6C"/>
    <w:rsid w:val="00D81EFC"/>
    <w:rsid w:val="00D82FC9"/>
    <w:rsid w:val="00D84058"/>
    <w:rsid w:val="00D84F35"/>
    <w:rsid w:val="00D8676C"/>
    <w:rsid w:val="00D877BE"/>
    <w:rsid w:val="00D92C28"/>
    <w:rsid w:val="00D94ACC"/>
    <w:rsid w:val="00D95715"/>
    <w:rsid w:val="00D97922"/>
    <w:rsid w:val="00DA0874"/>
    <w:rsid w:val="00DA18A8"/>
    <w:rsid w:val="00DA1CC1"/>
    <w:rsid w:val="00DA2514"/>
    <w:rsid w:val="00DA3A71"/>
    <w:rsid w:val="00DA3CC2"/>
    <w:rsid w:val="00DA4B01"/>
    <w:rsid w:val="00DA6013"/>
    <w:rsid w:val="00DB03B8"/>
    <w:rsid w:val="00DB1904"/>
    <w:rsid w:val="00DB5F84"/>
    <w:rsid w:val="00DB6FD6"/>
    <w:rsid w:val="00DC2F64"/>
    <w:rsid w:val="00DC3C7F"/>
    <w:rsid w:val="00DC5383"/>
    <w:rsid w:val="00DC63D8"/>
    <w:rsid w:val="00DC6E06"/>
    <w:rsid w:val="00DD0D9E"/>
    <w:rsid w:val="00DD4066"/>
    <w:rsid w:val="00DD6537"/>
    <w:rsid w:val="00DE1146"/>
    <w:rsid w:val="00DE3B98"/>
    <w:rsid w:val="00DE48E5"/>
    <w:rsid w:val="00DE4F5B"/>
    <w:rsid w:val="00DE7B17"/>
    <w:rsid w:val="00DF1C05"/>
    <w:rsid w:val="00DF4173"/>
    <w:rsid w:val="00DF4A19"/>
    <w:rsid w:val="00DF706D"/>
    <w:rsid w:val="00DF7B8C"/>
    <w:rsid w:val="00E0198C"/>
    <w:rsid w:val="00E0307B"/>
    <w:rsid w:val="00E047CE"/>
    <w:rsid w:val="00E048D5"/>
    <w:rsid w:val="00E04ADF"/>
    <w:rsid w:val="00E075E9"/>
    <w:rsid w:val="00E076CE"/>
    <w:rsid w:val="00E105EE"/>
    <w:rsid w:val="00E113EA"/>
    <w:rsid w:val="00E13F5B"/>
    <w:rsid w:val="00E20A7F"/>
    <w:rsid w:val="00E22939"/>
    <w:rsid w:val="00E2591F"/>
    <w:rsid w:val="00E25C17"/>
    <w:rsid w:val="00E34EBD"/>
    <w:rsid w:val="00E35B93"/>
    <w:rsid w:val="00E36C31"/>
    <w:rsid w:val="00E372F8"/>
    <w:rsid w:val="00E37C8C"/>
    <w:rsid w:val="00E40AB9"/>
    <w:rsid w:val="00E41964"/>
    <w:rsid w:val="00E44B4C"/>
    <w:rsid w:val="00E472A0"/>
    <w:rsid w:val="00E529A8"/>
    <w:rsid w:val="00E52C53"/>
    <w:rsid w:val="00E53810"/>
    <w:rsid w:val="00E53C18"/>
    <w:rsid w:val="00E54BB7"/>
    <w:rsid w:val="00E619C1"/>
    <w:rsid w:val="00E619F5"/>
    <w:rsid w:val="00E63343"/>
    <w:rsid w:val="00E639CB"/>
    <w:rsid w:val="00E667F2"/>
    <w:rsid w:val="00E7093C"/>
    <w:rsid w:val="00E71E0C"/>
    <w:rsid w:val="00E72D7F"/>
    <w:rsid w:val="00E73429"/>
    <w:rsid w:val="00E7356A"/>
    <w:rsid w:val="00E73C9F"/>
    <w:rsid w:val="00E74742"/>
    <w:rsid w:val="00E80D57"/>
    <w:rsid w:val="00E826ED"/>
    <w:rsid w:val="00E8577D"/>
    <w:rsid w:val="00E926E3"/>
    <w:rsid w:val="00E93CFE"/>
    <w:rsid w:val="00E94E61"/>
    <w:rsid w:val="00E950C4"/>
    <w:rsid w:val="00E9524B"/>
    <w:rsid w:val="00E9587E"/>
    <w:rsid w:val="00E95B81"/>
    <w:rsid w:val="00E95D14"/>
    <w:rsid w:val="00EA0E20"/>
    <w:rsid w:val="00EA181E"/>
    <w:rsid w:val="00EA2AEA"/>
    <w:rsid w:val="00EA3FFE"/>
    <w:rsid w:val="00EA7148"/>
    <w:rsid w:val="00EB2DB0"/>
    <w:rsid w:val="00EB3667"/>
    <w:rsid w:val="00EB4C57"/>
    <w:rsid w:val="00EB60C7"/>
    <w:rsid w:val="00EC42F2"/>
    <w:rsid w:val="00EC4CD7"/>
    <w:rsid w:val="00EC50D6"/>
    <w:rsid w:val="00EC55A7"/>
    <w:rsid w:val="00EC688F"/>
    <w:rsid w:val="00ED0465"/>
    <w:rsid w:val="00ED149B"/>
    <w:rsid w:val="00ED1EEC"/>
    <w:rsid w:val="00ED58E9"/>
    <w:rsid w:val="00EE1EA4"/>
    <w:rsid w:val="00EE4942"/>
    <w:rsid w:val="00EE51EF"/>
    <w:rsid w:val="00EE6CCB"/>
    <w:rsid w:val="00EF126C"/>
    <w:rsid w:val="00EF2E43"/>
    <w:rsid w:val="00EF3B20"/>
    <w:rsid w:val="00EF4C88"/>
    <w:rsid w:val="00EF4CF9"/>
    <w:rsid w:val="00EF5640"/>
    <w:rsid w:val="00EF5EF4"/>
    <w:rsid w:val="00EF7D32"/>
    <w:rsid w:val="00F01AB4"/>
    <w:rsid w:val="00F01EC0"/>
    <w:rsid w:val="00F02359"/>
    <w:rsid w:val="00F027AC"/>
    <w:rsid w:val="00F030E5"/>
    <w:rsid w:val="00F03503"/>
    <w:rsid w:val="00F1087F"/>
    <w:rsid w:val="00F10FA5"/>
    <w:rsid w:val="00F12397"/>
    <w:rsid w:val="00F130CD"/>
    <w:rsid w:val="00F16E71"/>
    <w:rsid w:val="00F178C4"/>
    <w:rsid w:val="00F17B11"/>
    <w:rsid w:val="00F206D6"/>
    <w:rsid w:val="00F21C2A"/>
    <w:rsid w:val="00F2425E"/>
    <w:rsid w:val="00F259A7"/>
    <w:rsid w:val="00F26CF0"/>
    <w:rsid w:val="00F302AB"/>
    <w:rsid w:val="00F30BF1"/>
    <w:rsid w:val="00F30CB9"/>
    <w:rsid w:val="00F3239F"/>
    <w:rsid w:val="00F324AD"/>
    <w:rsid w:val="00F325A5"/>
    <w:rsid w:val="00F327DE"/>
    <w:rsid w:val="00F34974"/>
    <w:rsid w:val="00F34BFC"/>
    <w:rsid w:val="00F35EFE"/>
    <w:rsid w:val="00F36B5F"/>
    <w:rsid w:val="00F371AF"/>
    <w:rsid w:val="00F40063"/>
    <w:rsid w:val="00F41CD7"/>
    <w:rsid w:val="00F436AE"/>
    <w:rsid w:val="00F45709"/>
    <w:rsid w:val="00F45A1A"/>
    <w:rsid w:val="00F53266"/>
    <w:rsid w:val="00F54EEC"/>
    <w:rsid w:val="00F62A26"/>
    <w:rsid w:val="00F644C5"/>
    <w:rsid w:val="00F72DF3"/>
    <w:rsid w:val="00F73148"/>
    <w:rsid w:val="00F732E8"/>
    <w:rsid w:val="00F74F6D"/>
    <w:rsid w:val="00F83B8E"/>
    <w:rsid w:val="00F8454E"/>
    <w:rsid w:val="00F84959"/>
    <w:rsid w:val="00F85D4F"/>
    <w:rsid w:val="00F871DF"/>
    <w:rsid w:val="00F87D18"/>
    <w:rsid w:val="00F905D5"/>
    <w:rsid w:val="00F94BAA"/>
    <w:rsid w:val="00F96B43"/>
    <w:rsid w:val="00FA0019"/>
    <w:rsid w:val="00FA0438"/>
    <w:rsid w:val="00FA349F"/>
    <w:rsid w:val="00FA787A"/>
    <w:rsid w:val="00FB0366"/>
    <w:rsid w:val="00FB0440"/>
    <w:rsid w:val="00FB2CAE"/>
    <w:rsid w:val="00FB37AA"/>
    <w:rsid w:val="00FB3DC6"/>
    <w:rsid w:val="00FB5AD1"/>
    <w:rsid w:val="00FB6BED"/>
    <w:rsid w:val="00FB7D36"/>
    <w:rsid w:val="00FC083D"/>
    <w:rsid w:val="00FC1C29"/>
    <w:rsid w:val="00FC1E0F"/>
    <w:rsid w:val="00FC3AF7"/>
    <w:rsid w:val="00FC46FE"/>
    <w:rsid w:val="00FC7857"/>
    <w:rsid w:val="00FC7A29"/>
    <w:rsid w:val="00FD0A78"/>
    <w:rsid w:val="00FD1133"/>
    <w:rsid w:val="00FD1925"/>
    <w:rsid w:val="00FD1D6F"/>
    <w:rsid w:val="00FD23E3"/>
    <w:rsid w:val="00FD2CF4"/>
    <w:rsid w:val="00FD343C"/>
    <w:rsid w:val="00FD393F"/>
    <w:rsid w:val="00FD3A96"/>
    <w:rsid w:val="00FD6934"/>
    <w:rsid w:val="00FD7307"/>
    <w:rsid w:val="00FD7CCD"/>
    <w:rsid w:val="00FE0F02"/>
    <w:rsid w:val="00FE625D"/>
    <w:rsid w:val="00FF37E5"/>
    <w:rsid w:val="00FF5990"/>
    <w:rsid w:val="00FF6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22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E5"/>
  </w:style>
  <w:style w:type="paragraph" w:styleId="Heading1">
    <w:name w:val="heading 1"/>
    <w:basedOn w:val="Normal"/>
    <w:next w:val="Normal"/>
    <w:link w:val="Heading1Char"/>
    <w:autoRedefine/>
    <w:uiPriority w:val="9"/>
    <w:qFormat/>
    <w:rsid w:val="00384D3A"/>
    <w:pPr>
      <w:keepNext/>
      <w:keepLines/>
      <w:numPr>
        <w:numId w:val="2"/>
      </w:numPr>
      <w:spacing w:before="240" w:after="0"/>
      <w:outlineLvl w:val="0"/>
    </w:pPr>
    <w:rPr>
      <w:rFonts w:ascii="Century Gothic" w:eastAsiaTheme="majorEastAsia" w:hAnsi="Century Gothic" w:cstheme="majorBidi"/>
      <w:b/>
      <w:color w:val="5B57A4"/>
      <w:sz w:val="36"/>
      <w:szCs w:val="32"/>
    </w:rPr>
  </w:style>
  <w:style w:type="paragraph" w:styleId="Heading2">
    <w:name w:val="heading 2"/>
    <w:basedOn w:val="Heading1"/>
    <w:next w:val="Normal"/>
    <w:link w:val="Heading2Char"/>
    <w:autoRedefine/>
    <w:uiPriority w:val="9"/>
    <w:unhideWhenUsed/>
    <w:qFormat/>
    <w:rsid w:val="00384D3A"/>
    <w:pPr>
      <w:numPr>
        <w:ilvl w:val="1"/>
        <w:numId w:val="5"/>
      </w:numPr>
      <w:outlineLvl w:val="1"/>
    </w:pPr>
    <w:rPr>
      <w:rFonts w:asciiTheme="majorHAnsi" w:hAnsiTheme="majorHAnsi"/>
      <w:b w:val="0"/>
      <w:color w:val="4472C4" w:themeColor="accent5"/>
      <w:sz w:val="28"/>
    </w:rPr>
  </w:style>
  <w:style w:type="paragraph" w:styleId="Heading3">
    <w:name w:val="heading 3"/>
    <w:basedOn w:val="Normal"/>
    <w:next w:val="Normal"/>
    <w:link w:val="Heading3Char"/>
    <w:uiPriority w:val="9"/>
    <w:unhideWhenUsed/>
    <w:qFormat/>
    <w:rsid w:val="00A803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7E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3F1E73"/>
    <w:pPr>
      <w:ind w:left="720"/>
      <w:contextualSpacing/>
    </w:pPr>
  </w:style>
  <w:style w:type="character" w:styleId="Hyperlink">
    <w:name w:val="Hyperlink"/>
    <w:basedOn w:val="DefaultParagraphFont"/>
    <w:uiPriority w:val="99"/>
    <w:unhideWhenUsed/>
    <w:rsid w:val="003F1E73"/>
    <w:rPr>
      <w:color w:val="0563C1" w:themeColor="hyperlink"/>
      <w:u w:val="single"/>
    </w:rPr>
  </w:style>
  <w:style w:type="character" w:customStyle="1" w:styleId="Heading1Char">
    <w:name w:val="Heading 1 Char"/>
    <w:basedOn w:val="DefaultParagraphFont"/>
    <w:link w:val="Heading1"/>
    <w:uiPriority w:val="9"/>
    <w:rsid w:val="00384D3A"/>
    <w:rPr>
      <w:rFonts w:ascii="Century Gothic" w:eastAsiaTheme="majorEastAsia" w:hAnsi="Century Gothic" w:cstheme="majorBidi"/>
      <w:b/>
      <w:color w:val="5B57A4"/>
      <w:sz w:val="36"/>
      <w:szCs w:val="32"/>
    </w:rPr>
  </w:style>
  <w:style w:type="character" w:customStyle="1" w:styleId="Heading2Char">
    <w:name w:val="Heading 2 Char"/>
    <w:basedOn w:val="DefaultParagraphFont"/>
    <w:link w:val="Heading2"/>
    <w:uiPriority w:val="9"/>
    <w:rsid w:val="00384D3A"/>
    <w:rPr>
      <w:rFonts w:asciiTheme="majorHAnsi" w:eastAsiaTheme="majorEastAsia" w:hAnsiTheme="majorHAnsi" w:cstheme="majorBidi"/>
      <w:color w:val="4472C4" w:themeColor="accent5"/>
      <w:sz w:val="28"/>
      <w:szCs w:val="32"/>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3F1E73"/>
  </w:style>
  <w:style w:type="table" w:styleId="TableGrid">
    <w:name w:val="Table Grid"/>
    <w:basedOn w:val="TableNormal"/>
    <w:uiPriority w:val="59"/>
    <w:rsid w:val="0073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03C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7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ED"/>
  </w:style>
  <w:style w:type="paragraph" w:styleId="Footer">
    <w:name w:val="footer"/>
    <w:basedOn w:val="Normal"/>
    <w:link w:val="FooterChar"/>
    <w:uiPriority w:val="99"/>
    <w:unhideWhenUsed/>
    <w:rsid w:val="0087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ED"/>
  </w:style>
  <w:style w:type="paragraph" w:styleId="Title">
    <w:name w:val="Title"/>
    <w:basedOn w:val="Normal"/>
    <w:next w:val="Normal"/>
    <w:link w:val="TitleChar"/>
    <w:uiPriority w:val="10"/>
    <w:qFormat/>
    <w:rsid w:val="00871FED"/>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871FED"/>
    <w:rPr>
      <w:rFonts w:ascii="Century Gothic" w:eastAsiaTheme="majorEastAsia" w:hAnsi="Century Gothic" w:cstheme="majorBidi"/>
      <w:b/>
      <w:color w:val="5B57A4"/>
      <w:spacing w:val="5"/>
      <w:kern w:val="28"/>
      <w:sz w:val="40"/>
      <w:szCs w:val="52"/>
    </w:rPr>
  </w:style>
  <w:style w:type="character" w:styleId="CommentReference">
    <w:name w:val="annotation reference"/>
    <w:basedOn w:val="DefaultParagraphFont"/>
    <w:uiPriority w:val="99"/>
    <w:semiHidden/>
    <w:unhideWhenUsed/>
    <w:rsid w:val="0095070A"/>
    <w:rPr>
      <w:sz w:val="16"/>
      <w:szCs w:val="16"/>
    </w:rPr>
  </w:style>
  <w:style w:type="paragraph" w:styleId="CommentText">
    <w:name w:val="annotation text"/>
    <w:basedOn w:val="Normal"/>
    <w:link w:val="CommentTextChar"/>
    <w:uiPriority w:val="99"/>
    <w:semiHidden/>
    <w:unhideWhenUsed/>
    <w:rsid w:val="0095070A"/>
    <w:pPr>
      <w:spacing w:line="240" w:lineRule="auto"/>
    </w:pPr>
    <w:rPr>
      <w:sz w:val="20"/>
      <w:szCs w:val="20"/>
    </w:rPr>
  </w:style>
  <w:style w:type="character" w:customStyle="1" w:styleId="CommentTextChar">
    <w:name w:val="Comment Text Char"/>
    <w:basedOn w:val="DefaultParagraphFont"/>
    <w:link w:val="CommentText"/>
    <w:uiPriority w:val="99"/>
    <w:semiHidden/>
    <w:rsid w:val="0095070A"/>
    <w:rPr>
      <w:sz w:val="20"/>
      <w:szCs w:val="20"/>
    </w:rPr>
  </w:style>
  <w:style w:type="paragraph" w:styleId="CommentSubject">
    <w:name w:val="annotation subject"/>
    <w:basedOn w:val="CommentText"/>
    <w:next w:val="CommentText"/>
    <w:link w:val="CommentSubjectChar"/>
    <w:uiPriority w:val="99"/>
    <w:semiHidden/>
    <w:unhideWhenUsed/>
    <w:rsid w:val="0095070A"/>
    <w:rPr>
      <w:b/>
      <w:bCs/>
    </w:rPr>
  </w:style>
  <w:style w:type="character" w:customStyle="1" w:styleId="CommentSubjectChar">
    <w:name w:val="Comment Subject Char"/>
    <w:basedOn w:val="CommentTextChar"/>
    <w:link w:val="CommentSubject"/>
    <w:uiPriority w:val="99"/>
    <w:semiHidden/>
    <w:rsid w:val="0095070A"/>
    <w:rPr>
      <w:b/>
      <w:bCs/>
      <w:sz w:val="20"/>
      <w:szCs w:val="20"/>
    </w:rPr>
  </w:style>
  <w:style w:type="paragraph" w:styleId="BalloonText">
    <w:name w:val="Balloon Text"/>
    <w:basedOn w:val="Normal"/>
    <w:link w:val="BalloonTextChar"/>
    <w:uiPriority w:val="99"/>
    <w:semiHidden/>
    <w:unhideWhenUsed/>
    <w:rsid w:val="0095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A"/>
    <w:rPr>
      <w:rFonts w:ascii="Segoe UI" w:hAnsi="Segoe UI" w:cs="Segoe UI"/>
      <w:sz w:val="18"/>
      <w:szCs w:val="18"/>
    </w:rPr>
  </w:style>
  <w:style w:type="character" w:styleId="BookTitle">
    <w:name w:val="Book Title"/>
    <w:uiPriority w:val="33"/>
    <w:qFormat/>
    <w:rsid w:val="003B062C"/>
    <w:rPr>
      <w:i/>
      <w:iCs/>
      <w:smallCaps/>
      <w:spacing w:val="5"/>
    </w:rPr>
  </w:style>
  <w:style w:type="paragraph" w:styleId="TOCHeading">
    <w:name w:val="TOC Heading"/>
    <w:basedOn w:val="Heading1"/>
    <w:next w:val="Normal"/>
    <w:uiPriority w:val="39"/>
    <w:unhideWhenUsed/>
    <w:qFormat/>
    <w:rsid w:val="00C1287C"/>
    <w:pPr>
      <w:outlineLvl w:val="9"/>
    </w:pPr>
    <w:rPr>
      <w:lang w:val="en-US"/>
    </w:rPr>
  </w:style>
  <w:style w:type="paragraph" w:styleId="TOC1">
    <w:name w:val="toc 1"/>
    <w:basedOn w:val="Normal"/>
    <w:next w:val="Normal"/>
    <w:autoRedefine/>
    <w:uiPriority w:val="39"/>
    <w:unhideWhenUsed/>
    <w:rsid w:val="007A24A2"/>
    <w:pPr>
      <w:tabs>
        <w:tab w:val="right" w:leader="dot" w:pos="9017"/>
      </w:tabs>
      <w:spacing w:after="60" w:line="288" w:lineRule="auto"/>
    </w:pPr>
    <w:rPr>
      <w:b/>
      <w:noProof/>
    </w:rPr>
  </w:style>
  <w:style w:type="paragraph" w:styleId="TOC2">
    <w:name w:val="toc 2"/>
    <w:basedOn w:val="Normal"/>
    <w:next w:val="Normal"/>
    <w:autoRedefine/>
    <w:uiPriority w:val="39"/>
    <w:unhideWhenUsed/>
    <w:rsid w:val="00C1287C"/>
    <w:pPr>
      <w:spacing w:after="100"/>
      <w:ind w:left="220"/>
    </w:pPr>
  </w:style>
  <w:style w:type="paragraph" w:styleId="TOC3">
    <w:name w:val="toc 3"/>
    <w:basedOn w:val="Normal"/>
    <w:next w:val="Normal"/>
    <w:autoRedefine/>
    <w:uiPriority w:val="39"/>
    <w:unhideWhenUsed/>
    <w:rsid w:val="000E2599"/>
    <w:pPr>
      <w:tabs>
        <w:tab w:val="right" w:leader="dot" w:pos="9017"/>
      </w:tabs>
      <w:spacing w:after="100"/>
      <w:ind w:left="440"/>
    </w:pPr>
    <w:rPr>
      <w:rFonts w:ascii="Calibri" w:hAnsi="Calibri"/>
      <w:noProof/>
    </w:rPr>
  </w:style>
  <w:style w:type="paragraph" w:styleId="NoSpacing">
    <w:name w:val="No Spacing"/>
    <w:link w:val="NoSpacingChar"/>
    <w:uiPriority w:val="1"/>
    <w:qFormat/>
    <w:rsid w:val="005D4934"/>
    <w:pPr>
      <w:spacing w:after="0" w:line="240" w:lineRule="auto"/>
    </w:pPr>
  </w:style>
  <w:style w:type="paragraph" w:styleId="FootnoteText">
    <w:name w:val="footnote text"/>
    <w:basedOn w:val="Normal"/>
    <w:link w:val="FootnoteTextChar"/>
    <w:uiPriority w:val="99"/>
    <w:semiHidden/>
    <w:unhideWhenUsed/>
    <w:rsid w:val="00DA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14"/>
    <w:rPr>
      <w:sz w:val="20"/>
      <w:szCs w:val="20"/>
    </w:rPr>
  </w:style>
  <w:style w:type="character" w:styleId="FootnoteReference">
    <w:name w:val="footnote reference"/>
    <w:basedOn w:val="DefaultParagraphFont"/>
    <w:uiPriority w:val="99"/>
    <w:semiHidden/>
    <w:unhideWhenUsed/>
    <w:rsid w:val="00DA2514"/>
    <w:rPr>
      <w:vertAlign w:val="superscript"/>
    </w:rPr>
  </w:style>
  <w:style w:type="paragraph" w:styleId="Revision">
    <w:name w:val="Revision"/>
    <w:hidden/>
    <w:uiPriority w:val="99"/>
    <w:semiHidden/>
    <w:rsid w:val="00274C67"/>
    <w:pPr>
      <w:spacing w:after="0" w:line="240" w:lineRule="auto"/>
    </w:pPr>
  </w:style>
  <w:style w:type="character" w:styleId="FollowedHyperlink">
    <w:name w:val="FollowedHyperlink"/>
    <w:basedOn w:val="DefaultParagraphFont"/>
    <w:uiPriority w:val="99"/>
    <w:semiHidden/>
    <w:unhideWhenUsed/>
    <w:rsid w:val="00FD3A96"/>
    <w:rPr>
      <w:color w:val="954F72" w:themeColor="followedHyperlink"/>
      <w:u w:val="single"/>
    </w:rPr>
  </w:style>
  <w:style w:type="paragraph" w:styleId="Bibliography">
    <w:name w:val="Bibliography"/>
    <w:basedOn w:val="Normal"/>
    <w:next w:val="Normal"/>
    <w:uiPriority w:val="37"/>
    <w:unhideWhenUsed/>
    <w:rsid w:val="005722D5"/>
  </w:style>
  <w:style w:type="paragraph" w:customStyle="1" w:styleId="ICSSBodyText">
    <w:name w:val="ICSS Body Text"/>
    <w:basedOn w:val="BodyText"/>
    <w:qFormat/>
    <w:rsid w:val="00194133"/>
    <w:pPr>
      <w:spacing w:before="60" w:line="240" w:lineRule="auto"/>
    </w:pPr>
    <w:rPr>
      <w:lang w:eastAsia="en-AU"/>
    </w:rPr>
  </w:style>
  <w:style w:type="paragraph" w:styleId="BodyText">
    <w:name w:val="Body Text"/>
    <w:basedOn w:val="Normal"/>
    <w:link w:val="BodyTextChar"/>
    <w:uiPriority w:val="99"/>
    <w:semiHidden/>
    <w:unhideWhenUsed/>
    <w:rsid w:val="00194133"/>
    <w:pPr>
      <w:spacing w:after="120"/>
    </w:pPr>
  </w:style>
  <w:style w:type="character" w:customStyle="1" w:styleId="BodyTextChar">
    <w:name w:val="Body Text Char"/>
    <w:basedOn w:val="DefaultParagraphFont"/>
    <w:link w:val="BodyText"/>
    <w:uiPriority w:val="99"/>
    <w:semiHidden/>
    <w:rsid w:val="00194133"/>
  </w:style>
  <w:style w:type="paragraph" w:customStyle="1" w:styleId="ICSSDotPoint">
    <w:name w:val="ICSS Dot Point"/>
    <w:basedOn w:val="BodyText"/>
    <w:qFormat/>
    <w:rsid w:val="00194133"/>
    <w:pPr>
      <w:numPr>
        <w:numId w:val="1"/>
      </w:numPr>
    </w:pPr>
  </w:style>
  <w:style w:type="paragraph" w:customStyle="1" w:styleId="ReportDescription">
    <w:name w:val="ReportDescription"/>
    <w:basedOn w:val="Normal"/>
    <w:rsid w:val="004F6454"/>
    <w:pPr>
      <w:spacing w:before="120" w:after="0" w:line="240" w:lineRule="auto"/>
      <w:jc w:val="both"/>
    </w:pPr>
    <w:rPr>
      <w:rFonts w:ascii="Calibri" w:eastAsia="Times New Roman" w:hAnsi="Calibri" w:cs="Times New Roman"/>
      <w:sz w:val="32"/>
      <w:szCs w:val="24"/>
      <w:lang w:eastAsia="en-AU"/>
    </w:rPr>
  </w:style>
  <w:style w:type="character" w:customStyle="1" w:styleId="NoSpacingChar">
    <w:name w:val="No Spacing Char"/>
    <w:basedOn w:val="DefaultParagraphFont"/>
    <w:link w:val="NoSpacing"/>
    <w:uiPriority w:val="1"/>
    <w:locked/>
    <w:rsid w:val="00E53810"/>
  </w:style>
  <w:style w:type="paragraph" w:customStyle="1" w:styleId="Default">
    <w:name w:val="Default"/>
    <w:rsid w:val="0097582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AD7E6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E06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0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1514">
      <w:bodyDiv w:val="1"/>
      <w:marLeft w:val="0"/>
      <w:marRight w:val="0"/>
      <w:marTop w:val="0"/>
      <w:marBottom w:val="0"/>
      <w:divBdr>
        <w:top w:val="none" w:sz="0" w:space="0" w:color="auto"/>
        <w:left w:val="none" w:sz="0" w:space="0" w:color="auto"/>
        <w:bottom w:val="none" w:sz="0" w:space="0" w:color="auto"/>
        <w:right w:val="none" w:sz="0" w:space="0" w:color="auto"/>
      </w:divBdr>
    </w:div>
    <w:div w:id="448361613">
      <w:bodyDiv w:val="1"/>
      <w:marLeft w:val="0"/>
      <w:marRight w:val="0"/>
      <w:marTop w:val="0"/>
      <w:marBottom w:val="0"/>
      <w:divBdr>
        <w:top w:val="none" w:sz="0" w:space="0" w:color="auto"/>
        <w:left w:val="none" w:sz="0" w:space="0" w:color="auto"/>
        <w:bottom w:val="none" w:sz="0" w:space="0" w:color="auto"/>
        <w:right w:val="none" w:sz="0" w:space="0" w:color="auto"/>
      </w:divBdr>
    </w:div>
    <w:div w:id="472063589">
      <w:bodyDiv w:val="1"/>
      <w:marLeft w:val="0"/>
      <w:marRight w:val="0"/>
      <w:marTop w:val="0"/>
      <w:marBottom w:val="0"/>
      <w:divBdr>
        <w:top w:val="none" w:sz="0" w:space="0" w:color="auto"/>
        <w:left w:val="none" w:sz="0" w:space="0" w:color="auto"/>
        <w:bottom w:val="none" w:sz="0" w:space="0" w:color="auto"/>
        <w:right w:val="none" w:sz="0" w:space="0" w:color="auto"/>
      </w:divBdr>
    </w:div>
    <w:div w:id="566888614">
      <w:bodyDiv w:val="1"/>
      <w:marLeft w:val="0"/>
      <w:marRight w:val="0"/>
      <w:marTop w:val="0"/>
      <w:marBottom w:val="0"/>
      <w:divBdr>
        <w:top w:val="none" w:sz="0" w:space="0" w:color="auto"/>
        <w:left w:val="none" w:sz="0" w:space="0" w:color="auto"/>
        <w:bottom w:val="none" w:sz="0" w:space="0" w:color="auto"/>
        <w:right w:val="none" w:sz="0" w:space="0" w:color="auto"/>
      </w:divBdr>
    </w:div>
    <w:div w:id="982658841">
      <w:bodyDiv w:val="1"/>
      <w:marLeft w:val="0"/>
      <w:marRight w:val="0"/>
      <w:marTop w:val="0"/>
      <w:marBottom w:val="0"/>
      <w:divBdr>
        <w:top w:val="none" w:sz="0" w:space="0" w:color="auto"/>
        <w:left w:val="none" w:sz="0" w:space="0" w:color="auto"/>
        <w:bottom w:val="none" w:sz="0" w:space="0" w:color="auto"/>
        <w:right w:val="none" w:sz="0" w:space="0" w:color="auto"/>
      </w:divBdr>
    </w:div>
    <w:div w:id="12200977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sChild>
        <w:div w:id="1144128991">
          <w:marLeft w:val="0"/>
          <w:marRight w:val="0"/>
          <w:marTop w:val="0"/>
          <w:marBottom w:val="0"/>
          <w:divBdr>
            <w:top w:val="none" w:sz="0" w:space="0" w:color="auto"/>
            <w:left w:val="none" w:sz="0" w:space="0" w:color="auto"/>
            <w:bottom w:val="none" w:sz="0" w:space="0" w:color="auto"/>
            <w:right w:val="none" w:sz="0" w:space="0" w:color="auto"/>
          </w:divBdr>
        </w:div>
      </w:divsChild>
    </w:div>
    <w:div w:id="1384525765">
      <w:bodyDiv w:val="1"/>
      <w:marLeft w:val="0"/>
      <w:marRight w:val="0"/>
      <w:marTop w:val="0"/>
      <w:marBottom w:val="0"/>
      <w:divBdr>
        <w:top w:val="none" w:sz="0" w:space="0" w:color="auto"/>
        <w:left w:val="none" w:sz="0" w:space="0" w:color="auto"/>
        <w:bottom w:val="none" w:sz="0" w:space="0" w:color="auto"/>
        <w:right w:val="none" w:sz="0" w:space="0" w:color="auto"/>
      </w:divBdr>
    </w:div>
    <w:div w:id="1585915318">
      <w:bodyDiv w:val="1"/>
      <w:marLeft w:val="0"/>
      <w:marRight w:val="0"/>
      <w:marTop w:val="0"/>
      <w:marBottom w:val="0"/>
      <w:divBdr>
        <w:top w:val="none" w:sz="0" w:space="0" w:color="auto"/>
        <w:left w:val="none" w:sz="0" w:space="0" w:color="auto"/>
        <w:bottom w:val="none" w:sz="0" w:space="0" w:color="auto"/>
        <w:right w:val="none" w:sz="0" w:space="0" w:color="auto"/>
      </w:divBdr>
    </w:div>
    <w:div w:id="1735813144">
      <w:bodyDiv w:val="1"/>
      <w:marLeft w:val="0"/>
      <w:marRight w:val="0"/>
      <w:marTop w:val="0"/>
      <w:marBottom w:val="0"/>
      <w:divBdr>
        <w:top w:val="none" w:sz="0" w:space="0" w:color="auto"/>
        <w:left w:val="none" w:sz="0" w:space="0" w:color="auto"/>
        <w:bottom w:val="none" w:sz="0" w:space="0" w:color="auto"/>
        <w:right w:val="none" w:sz="0" w:space="0" w:color="auto"/>
      </w:divBdr>
    </w:div>
    <w:div w:id="1817338796">
      <w:bodyDiv w:val="1"/>
      <w:marLeft w:val="0"/>
      <w:marRight w:val="0"/>
      <w:marTop w:val="0"/>
      <w:marBottom w:val="0"/>
      <w:divBdr>
        <w:top w:val="none" w:sz="0" w:space="0" w:color="auto"/>
        <w:left w:val="none" w:sz="0" w:space="0" w:color="auto"/>
        <w:bottom w:val="none" w:sz="0" w:space="0" w:color="auto"/>
        <w:right w:val="none" w:sz="0" w:space="0" w:color="auto"/>
      </w:divBdr>
    </w:div>
    <w:div w:id="19122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3.0/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ngage.dss.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age.dss.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rergateway.com.au"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ngage.dss.gov.a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2937</Words>
  <Characters>16741</Characters>
  <Application>Microsoft Office Word</Application>
  <DocSecurity>0</DocSecurity>
  <Lines>139</Lines>
  <Paragraphs>39</Paragraphs>
  <ScaleCrop>false</ScaleCrop>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2018-09-13T23:11:00Z</dcterms:created>
  <dcterms:modified xsi:type="dcterms:W3CDTF">2018-09-13T23:11:00Z</dcterms:modified>
</cp:coreProperties>
</file>