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576C" w14:textId="77777777" w:rsidR="009C4EEB" w:rsidRDefault="003431FF" w:rsidP="00F16354">
      <w:pPr>
        <w:ind w:hanging="284"/>
      </w:pPr>
      <w:r w:rsidRPr="00926D59">
        <w:rPr>
          <w:noProof/>
          <w:lang w:eastAsia="en-AU"/>
        </w:rPr>
        <mc:AlternateContent>
          <mc:Choice Requires="wps">
            <w:drawing>
              <wp:inline distT="0" distB="0" distL="0" distR="0" wp14:anchorId="2709E1CA" wp14:editId="2C148525">
                <wp:extent cx="3559175" cy="2854325"/>
                <wp:effectExtent l="0" t="0" r="3175" b="31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7AA79" w14:textId="65A37821" w:rsidR="00BF724C" w:rsidRPr="00391F4B" w:rsidRDefault="00BB19F9" w:rsidP="00E42F8B">
                            <w:pPr>
                              <w:pStyle w:val="EYCoverTitle"/>
                              <w:spacing w:before="600" w:after="400"/>
                              <w:rPr>
                                <w:sz w:val="56"/>
                              </w:rPr>
                            </w:pPr>
                            <w:r w:rsidRPr="00391F4B">
                              <w:rPr>
                                <w:sz w:val="56"/>
                              </w:rPr>
                              <w:t>NDIS Thin Markets Project</w:t>
                            </w:r>
                          </w:p>
                          <w:p w14:paraId="0303CA03" w14:textId="77777777" w:rsidR="00BB19F9" w:rsidRPr="00391F4B" w:rsidRDefault="00A87724" w:rsidP="00E42F8B">
                            <w:pPr>
                              <w:pStyle w:val="EYCoverSubTitle"/>
                              <w:spacing w:before="600"/>
                              <w:rPr>
                                <w:sz w:val="36"/>
                              </w:rPr>
                            </w:pPr>
                            <w:r w:rsidRPr="00391F4B">
                              <w:rPr>
                                <w:sz w:val="36"/>
                              </w:rPr>
                              <w:t>Discussion paper</w:t>
                            </w:r>
                            <w:r w:rsidR="00BB19F9" w:rsidRPr="00391F4B">
                              <w:rPr>
                                <w:sz w:val="36"/>
                              </w:rPr>
                              <w:t xml:space="preserve"> to </w:t>
                            </w:r>
                            <w:r w:rsidRPr="00391F4B">
                              <w:rPr>
                                <w:sz w:val="36"/>
                              </w:rPr>
                              <w:t>inform consultation</w:t>
                            </w:r>
                          </w:p>
                          <w:p w14:paraId="44F359F8" w14:textId="77777777" w:rsidR="00AE7DE0" w:rsidRPr="00391F4B" w:rsidRDefault="009371A1" w:rsidP="00E42F8B">
                            <w:pPr>
                              <w:pStyle w:val="EYCoverDate"/>
                              <w:spacing w:before="600"/>
                              <w:rPr>
                                <w:sz w:val="32"/>
                              </w:rPr>
                            </w:pPr>
                            <w:r w:rsidRPr="00391F4B">
                              <w:rPr>
                                <w:sz w:val="32"/>
                              </w:rPr>
                              <w:t>April</w:t>
                            </w:r>
                            <w:r w:rsidR="007B0AF9" w:rsidRPr="00391F4B">
                              <w:rPr>
                                <w:sz w:val="32"/>
                              </w:rPr>
                              <w:t xml:space="preserve"> </w:t>
                            </w:r>
                            <w:r w:rsidR="00BB19F9" w:rsidRPr="00391F4B">
                              <w:rPr>
                                <w:sz w:val="32"/>
                              </w:rPr>
                              <w:t>2019</w:t>
                            </w:r>
                          </w:p>
                        </w:txbxContent>
                      </wps:txbx>
                      <wps:bodyPr rot="0" vert="horz" wrap="square" lIns="0" tIns="0" rIns="0" bIns="0" anchor="t" anchorCtr="0" upright="1">
                        <a:noAutofit/>
                      </wps:bodyPr>
                    </wps:wsp>
                  </a:graphicData>
                </a:graphic>
              </wp:inline>
            </w:drawing>
          </mc:Choice>
          <mc:Fallback>
            <w:pict>
              <v:shapetype w14:anchorId="2709E1CA" id="_x0000_t202" coordsize="21600,21600" o:spt="202" path="m,l,21600r21600,l21600,xe">
                <v:stroke joinstyle="miter"/>
                <v:path gradientshapeok="t" o:connecttype="rect"/>
              </v:shapetype>
              <v:shape id="Text Box 2" o:spid="_x0000_s1026" type="#_x0000_t202" style="width:280.25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Xt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" filled="f" stroked="f">
                <v:textbox inset="0,0,0,0">
                  <w:txbxContent>
                    <w:p w14:paraId="6B67AA79" w14:textId="65A37821" w:rsidR="00BF724C" w:rsidRPr="00391F4B" w:rsidRDefault="00BB19F9" w:rsidP="00E42F8B">
                      <w:pPr>
                        <w:pStyle w:val="EYCoverTitle"/>
                        <w:spacing w:before="600" w:after="400"/>
                        <w:rPr>
                          <w:sz w:val="56"/>
                        </w:rPr>
                      </w:pPr>
                      <w:r w:rsidRPr="00391F4B">
                        <w:rPr>
                          <w:sz w:val="56"/>
                        </w:rPr>
                        <w:t>NDIS Thin Markets Project</w:t>
                      </w:r>
                    </w:p>
                    <w:p w14:paraId="0303CA03" w14:textId="77777777" w:rsidR="00BB19F9" w:rsidRPr="00391F4B" w:rsidRDefault="00A87724" w:rsidP="00E42F8B">
                      <w:pPr>
                        <w:pStyle w:val="EYCoverSubTitle"/>
                        <w:spacing w:before="600"/>
                        <w:rPr>
                          <w:sz w:val="36"/>
                        </w:rPr>
                      </w:pPr>
                      <w:r w:rsidRPr="00391F4B">
                        <w:rPr>
                          <w:sz w:val="36"/>
                        </w:rPr>
                        <w:t>Discussion paper</w:t>
                      </w:r>
                      <w:r w:rsidR="00BB19F9" w:rsidRPr="00391F4B">
                        <w:rPr>
                          <w:sz w:val="36"/>
                        </w:rPr>
                        <w:t xml:space="preserve"> to </w:t>
                      </w:r>
                      <w:r w:rsidRPr="00391F4B">
                        <w:rPr>
                          <w:sz w:val="36"/>
                        </w:rPr>
                        <w:t>inform consultation</w:t>
                      </w:r>
                    </w:p>
                    <w:p w14:paraId="44F359F8" w14:textId="77777777" w:rsidR="00AE7DE0" w:rsidRPr="00391F4B" w:rsidRDefault="009371A1" w:rsidP="00E42F8B">
                      <w:pPr>
                        <w:pStyle w:val="EYCoverDate"/>
                        <w:spacing w:before="600"/>
                        <w:rPr>
                          <w:sz w:val="32"/>
                        </w:rPr>
                      </w:pPr>
                      <w:r w:rsidRPr="00391F4B">
                        <w:rPr>
                          <w:sz w:val="32"/>
                        </w:rPr>
                        <w:t>April</w:t>
                      </w:r>
                      <w:r w:rsidR="007B0AF9" w:rsidRPr="00391F4B">
                        <w:rPr>
                          <w:sz w:val="32"/>
                        </w:rPr>
                        <w:t xml:space="preserve"> </w:t>
                      </w:r>
                      <w:r w:rsidR="00BB19F9" w:rsidRPr="00391F4B">
                        <w:rPr>
                          <w:sz w:val="32"/>
                        </w:rPr>
                        <w:t>2019</w:t>
                      </w:r>
                    </w:p>
                  </w:txbxContent>
                </v:textbox>
                <w10:anchorlock/>
              </v:shape>
            </w:pict>
          </mc:Fallback>
        </mc:AlternateContent>
      </w:r>
    </w:p>
    <w:p w14:paraId="037539AE" w14:textId="77777777" w:rsidR="007B258A" w:rsidRPr="009C4EEB" w:rsidRDefault="007B258A" w:rsidP="009C4EEB">
      <w:pPr>
        <w:sectPr w:rsidR="007B258A" w:rsidRPr="009C4EEB" w:rsidSect="00664DE4">
          <w:headerReference w:type="default" r:id="rId8"/>
          <w:pgSz w:w="11909" w:h="16834" w:code="9"/>
          <w:pgMar w:top="1418" w:right="1134" w:bottom="851" w:left="1418" w:header="567" w:footer="567" w:gutter="0"/>
          <w:cols w:space="720"/>
          <w:docGrid w:linePitch="360"/>
        </w:sectPr>
      </w:pPr>
    </w:p>
    <w:p w14:paraId="4332880D" w14:textId="77777777" w:rsidR="00B264BF" w:rsidRPr="00926D59" w:rsidRDefault="00B264BF" w:rsidP="00B264BF">
      <w:pPr>
        <w:pStyle w:val="EYContents"/>
      </w:pPr>
      <w:r w:rsidRPr="00926D59">
        <w:lastRenderedPageBreak/>
        <w:t xml:space="preserve">Table of </w:t>
      </w:r>
      <w:r w:rsidR="00A21B51" w:rsidRPr="00926D59">
        <w:t>c</w:t>
      </w:r>
      <w:r w:rsidRPr="00926D59">
        <w:t>ontents</w:t>
      </w:r>
    </w:p>
    <w:p w14:paraId="74BB7A8F" w14:textId="66757848" w:rsidR="006A0DBC" w:rsidRDefault="0092622D">
      <w:pPr>
        <w:pStyle w:val="TOC1"/>
        <w:rPr>
          <w:rFonts w:asciiTheme="minorHAnsi" w:eastAsiaTheme="minorEastAsia" w:hAnsiTheme="minorHAnsi" w:cstheme="minorBidi"/>
          <w:noProof/>
          <w:szCs w:val="22"/>
          <w:lang w:eastAsia="en-AU"/>
        </w:rPr>
      </w:pPr>
      <w:r w:rsidRPr="00926D59">
        <w:fldChar w:fldCharType="begin"/>
      </w:r>
      <w:r w:rsidR="00B264BF" w:rsidRPr="00926D59">
        <w:instrText xml:space="preserve"> TOC \h \z \t "EY Heading 1,1,EY Heading 2,2,EY </w:instrText>
      </w:r>
      <w:r w:rsidR="0017281C" w:rsidRPr="00926D59">
        <w:instrText>Appendix</w:instrText>
      </w:r>
      <w:r w:rsidR="00B264BF" w:rsidRPr="00926D59">
        <w:instrText>,</w:instrText>
      </w:r>
      <w:r w:rsidR="0017281C" w:rsidRPr="00926D59">
        <w:instrText>1</w:instrText>
      </w:r>
      <w:r w:rsidR="00B264BF" w:rsidRPr="00926D59">
        <w:instrText xml:space="preserve">" </w:instrText>
      </w:r>
      <w:r w:rsidRPr="00926D59">
        <w:fldChar w:fldCharType="separate"/>
      </w:r>
      <w:hyperlink w:anchor="_Toc5285223" w:history="1">
        <w:r w:rsidR="006A0DBC" w:rsidRPr="00993D22">
          <w:rPr>
            <w:rStyle w:val="Hyperlink"/>
            <w:noProof/>
          </w:rPr>
          <w:t>1.</w:t>
        </w:r>
        <w:r w:rsidR="006A0DBC">
          <w:rPr>
            <w:rFonts w:asciiTheme="minorHAnsi" w:eastAsiaTheme="minorEastAsia" w:hAnsiTheme="minorHAnsi" w:cstheme="minorBidi"/>
            <w:noProof/>
            <w:szCs w:val="22"/>
            <w:lang w:eastAsia="en-AU"/>
          </w:rPr>
          <w:tab/>
        </w:r>
        <w:r w:rsidR="006A0DBC" w:rsidRPr="00993D22">
          <w:rPr>
            <w:rStyle w:val="Hyperlink"/>
            <w:noProof/>
          </w:rPr>
          <w:t>Introduction</w:t>
        </w:r>
        <w:r w:rsidR="006A0DBC">
          <w:rPr>
            <w:noProof/>
            <w:webHidden/>
          </w:rPr>
          <w:tab/>
        </w:r>
        <w:r w:rsidR="006A0DBC">
          <w:rPr>
            <w:noProof/>
            <w:webHidden/>
          </w:rPr>
          <w:fldChar w:fldCharType="begin"/>
        </w:r>
        <w:r w:rsidR="006A0DBC">
          <w:rPr>
            <w:noProof/>
            <w:webHidden/>
          </w:rPr>
          <w:instrText xml:space="preserve"> PAGEREF _Toc5285223 \h </w:instrText>
        </w:r>
        <w:r w:rsidR="006A0DBC">
          <w:rPr>
            <w:noProof/>
            <w:webHidden/>
          </w:rPr>
        </w:r>
        <w:r w:rsidR="006A0DBC">
          <w:rPr>
            <w:noProof/>
            <w:webHidden/>
          </w:rPr>
          <w:fldChar w:fldCharType="separate"/>
        </w:r>
        <w:r w:rsidR="00534353">
          <w:rPr>
            <w:noProof/>
            <w:webHidden/>
          </w:rPr>
          <w:t>1</w:t>
        </w:r>
        <w:r w:rsidR="006A0DBC">
          <w:rPr>
            <w:noProof/>
            <w:webHidden/>
          </w:rPr>
          <w:fldChar w:fldCharType="end"/>
        </w:r>
      </w:hyperlink>
    </w:p>
    <w:p w14:paraId="5759A57A" w14:textId="0E3E7201" w:rsidR="006A0DBC" w:rsidRDefault="002C6EAD">
      <w:pPr>
        <w:pStyle w:val="TOC2"/>
        <w:rPr>
          <w:rFonts w:asciiTheme="minorHAnsi" w:eastAsiaTheme="minorEastAsia" w:hAnsiTheme="minorHAnsi" w:cstheme="minorBidi"/>
          <w:noProof/>
          <w:szCs w:val="22"/>
          <w:lang w:eastAsia="en-AU"/>
        </w:rPr>
      </w:pPr>
      <w:hyperlink w:anchor="_Toc5285224" w:history="1">
        <w:r w:rsidR="006A0DBC" w:rsidRPr="00993D22">
          <w:rPr>
            <w:rStyle w:val="Hyperlink"/>
            <w:noProof/>
          </w:rPr>
          <w:t>1.1</w:t>
        </w:r>
        <w:r w:rsidR="006A0DBC">
          <w:rPr>
            <w:rFonts w:asciiTheme="minorHAnsi" w:eastAsiaTheme="minorEastAsia" w:hAnsiTheme="minorHAnsi" w:cstheme="minorBidi"/>
            <w:noProof/>
            <w:szCs w:val="22"/>
            <w:lang w:eastAsia="en-AU"/>
          </w:rPr>
          <w:tab/>
        </w:r>
        <w:r w:rsidR="006A0DBC" w:rsidRPr="00993D22">
          <w:rPr>
            <w:rStyle w:val="Hyperlink"/>
            <w:noProof/>
          </w:rPr>
          <w:t>Project background</w:t>
        </w:r>
        <w:r w:rsidR="006A0DBC">
          <w:rPr>
            <w:noProof/>
            <w:webHidden/>
          </w:rPr>
          <w:tab/>
        </w:r>
        <w:r w:rsidR="006A0DBC">
          <w:rPr>
            <w:noProof/>
            <w:webHidden/>
          </w:rPr>
          <w:fldChar w:fldCharType="begin"/>
        </w:r>
        <w:r w:rsidR="006A0DBC">
          <w:rPr>
            <w:noProof/>
            <w:webHidden/>
          </w:rPr>
          <w:instrText xml:space="preserve"> PAGEREF _Toc5285224 \h </w:instrText>
        </w:r>
        <w:r w:rsidR="006A0DBC">
          <w:rPr>
            <w:noProof/>
            <w:webHidden/>
          </w:rPr>
        </w:r>
        <w:r w:rsidR="006A0DBC">
          <w:rPr>
            <w:noProof/>
            <w:webHidden/>
          </w:rPr>
          <w:fldChar w:fldCharType="separate"/>
        </w:r>
        <w:r w:rsidR="00534353">
          <w:rPr>
            <w:noProof/>
            <w:webHidden/>
          </w:rPr>
          <w:t>1</w:t>
        </w:r>
        <w:r w:rsidR="006A0DBC">
          <w:rPr>
            <w:noProof/>
            <w:webHidden/>
          </w:rPr>
          <w:fldChar w:fldCharType="end"/>
        </w:r>
      </w:hyperlink>
    </w:p>
    <w:p w14:paraId="252E17F5" w14:textId="2C95F3EB" w:rsidR="006A0DBC" w:rsidRDefault="002C6EAD">
      <w:pPr>
        <w:pStyle w:val="TOC2"/>
        <w:rPr>
          <w:rFonts w:asciiTheme="minorHAnsi" w:eastAsiaTheme="minorEastAsia" w:hAnsiTheme="minorHAnsi" w:cstheme="minorBidi"/>
          <w:noProof/>
          <w:szCs w:val="22"/>
          <w:lang w:eastAsia="en-AU"/>
        </w:rPr>
      </w:pPr>
      <w:hyperlink w:anchor="_Toc5285225" w:history="1">
        <w:r w:rsidR="006A0DBC" w:rsidRPr="00993D22">
          <w:rPr>
            <w:rStyle w:val="Hyperlink"/>
            <w:noProof/>
          </w:rPr>
          <w:t>1.2</w:t>
        </w:r>
        <w:r w:rsidR="006A0DBC">
          <w:rPr>
            <w:rFonts w:asciiTheme="minorHAnsi" w:eastAsiaTheme="minorEastAsia" w:hAnsiTheme="minorHAnsi" w:cstheme="minorBidi"/>
            <w:noProof/>
            <w:szCs w:val="22"/>
            <w:lang w:eastAsia="en-AU"/>
          </w:rPr>
          <w:tab/>
        </w:r>
        <w:r w:rsidR="006A0DBC" w:rsidRPr="00993D22">
          <w:rPr>
            <w:rStyle w:val="Hyperlink"/>
            <w:noProof/>
          </w:rPr>
          <w:t>Purpose of this document</w:t>
        </w:r>
        <w:r w:rsidR="006A0DBC">
          <w:rPr>
            <w:noProof/>
            <w:webHidden/>
          </w:rPr>
          <w:tab/>
        </w:r>
        <w:r w:rsidR="006A0DBC">
          <w:rPr>
            <w:noProof/>
            <w:webHidden/>
          </w:rPr>
          <w:fldChar w:fldCharType="begin"/>
        </w:r>
        <w:r w:rsidR="006A0DBC">
          <w:rPr>
            <w:noProof/>
            <w:webHidden/>
          </w:rPr>
          <w:instrText xml:space="preserve"> PAGEREF _Toc5285225 \h </w:instrText>
        </w:r>
        <w:r w:rsidR="006A0DBC">
          <w:rPr>
            <w:noProof/>
            <w:webHidden/>
          </w:rPr>
        </w:r>
        <w:r w:rsidR="006A0DBC">
          <w:rPr>
            <w:noProof/>
            <w:webHidden/>
          </w:rPr>
          <w:fldChar w:fldCharType="separate"/>
        </w:r>
        <w:r w:rsidR="00534353">
          <w:rPr>
            <w:noProof/>
            <w:webHidden/>
          </w:rPr>
          <w:t>1</w:t>
        </w:r>
        <w:r w:rsidR="006A0DBC">
          <w:rPr>
            <w:noProof/>
            <w:webHidden/>
          </w:rPr>
          <w:fldChar w:fldCharType="end"/>
        </w:r>
      </w:hyperlink>
    </w:p>
    <w:p w14:paraId="7459D549" w14:textId="208D28CB" w:rsidR="006A0DBC" w:rsidRDefault="002C6EAD">
      <w:pPr>
        <w:pStyle w:val="TOC2"/>
        <w:rPr>
          <w:rFonts w:asciiTheme="minorHAnsi" w:eastAsiaTheme="minorEastAsia" w:hAnsiTheme="minorHAnsi" w:cstheme="minorBidi"/>
          <w:noProof/>
          <w:szCs w:val="22"/>
          <w:lang w:eastAsia="en-AU"/>
        </w:rPr>
      </w:pPr>
      <w:hyperlink w:anchor="_Toc5285226" w:history="1">
        <w:r w:rsidR="006A0DBC" w:rsidRPr="00993D22">
          <w:rPr>
            <w:rStyle w:val="Hyperlink"/>
            <w:noProof/>
          </w:rPr>
          <w:t>1.3</w:t>
        </w:r>
        <w:r w:rsidR="006A0DBC">
          <w:rPr>
            <w:rFonts w:asciiTheme="minorHAnsi" w:eastAsiaTheme="minorEastAsia" w:hAnsiTheme="minorHAnsi" w:cstheme="minorBidi"/>
            <w:noProof/>
            <w:szCs w:val="22"/>
            <w:lang w:eastAsia="en-AU"/>
          </w:rPr>
          <w:tab/>
        </w:r>
        <w:r w:rsidR="006A0DBC" w:rsidRPr="00993D22">
          <w:rPr>
            <w:rStyle w:val="Hyperlink"/>
            <w:noProof/>
          </w:rPr>
          <w:t>This consultation</w:t>
        </w:r>
        <w:r w:rsidR="006A0DBC">
          <w:rPr>
            <w:noProof/>
            <w:webHidden/>
          </w:rPr>
          <w:tab/>
        </w:r>
        <w:r w:rsidR="006A0DBC">
          <w:rPr>
            <w:noProof/>
            <w:webHidden/>
          </w:rPr>
          <w:fldChar w:fldCharType="begin"/>
        </w:r>
        <w:r w:rsidR="006A0DBC">
          <w:rPr>
            <w:noProof/>
            <w:webHidden/>
          </w:rPr>
          <w:instrText xml:space="preserve"> PAGEREF _Toc5285226 \h </w:instrText>
        </w:r>
        <w:r w:rsidR="006A0DBC">
          <w:rPr>
            <w:noProof/>
            <w:webHidden/>
          </w:rPr>
        </w:r>
        <w:r w:rsidR="006A0DBC">
          <w:rPr>
            <w:noProof/>
            <w:webHidden/>
          </w:rPr>
          <w:fldChar w:fldCharType="separate"/>
        </w:r>
        <w:r w:rsidR="00534353">
          <w:rPr>
            <w:noProof/>
            <w:webHidden/>
          </w:rPr>
          <w:t>2</w:t>
        </w:r>
        <w:r w:rsidR="006A0DBC">
          <w:rPr>
            <w:noProof/>
            <w:webHidden/>
          </w:rPr>
          <w:fldChar w:fldCharType="end"/>
        </w:r>
      </w:hyperlink>
    </w:p>
    <w:p w14:paraId="35585612" w14:textId="7EF7F8E4" w:rsidR="006A0DBC" w:rsidRDefault="002C6EAD">
      <w:pPr>
        <w:pStyle w:val="TOC1"/>
        <w:rPr>
          <w:rFonts w:asciiTheme="minorHAnsi" w:eastAsiaTheme="minorEastAsia" w:hAnsiTheme="minorHAnsi" w:cstheme="minorBidi"/>
          <w:noProof/>
          <w:szCs w:val="22"/>
          <w:lang w:eastAsia="en-AU"/>
        </w:rPr>
      </w:pPr>
      <w:hyperlink w:anchor="_Toc5285227" w:history="1">
        <w:r w:rsidR="006A0DBC" w:rsidRPr="00993D22">
          <w:rPr>
            <w:rStyle w:val="Hyperlink"/>
            <w:noProof/>
          </w:rPr>
          <w:t>2.</w:t>
        </w:r>
        <w:r w:rsidR="006A0DBC">
          <w:rPr>
            <w:rFonts w:asciiTheme="minorHAnsi" w:eastAsiaTheme="minorEastAsia" w:hAnsiTheme="minorHAnsi" w:cstheme="minorBidi"/>
            <w:noProof/>
            <w:szCs w:val="22"/>
            <w:lang w:eastAsia="en-AU"/>
          </w:rPr>
          <w:tab/>
        </w:r>
        <w:r w:rsidR="006A0DBC" w:rsidRPr="00993D22">
          <w:rPr>
            <w:rStyle w:val="Hyperlink"/>
            <w:noProof/>
          </w:rPr>
          <w:t>What ‘thin markets’ are, and why are they important?</w:t>
        </w:r>
        <w:r w:rsidR="006A0DBC">
          <w:rPr>
            <w:noProof/>
            <w:webHidden/>
          </w:rPr>
          <w:tab/>
        </w:r>
        <w:r w:rsidR="006A0DBC">
          <w:rPr>
            <w:noProof/>
            <w:webHidden/>
          </w:rPr>
          <w:fldChar w:fldCharType="begin"/>
        </w:r>
        <w:r w:rsidR="006A0DBC">
          <w:rPr>
            <w:noProof/>
            <w:webHidden/>
          </w:rPr>
          <w:instrText xml:space="preserve"> PAGEREF _Toc5285227 \h </w:instrText>
        </w:r>
        <w:r w:rsidR="006A0DBC">
          <w:rPr>
            <w:noProof/>
            <w:webHidden/>
          </w:rPr>
        </w:r>
        <w:r w:rsidR="006A0DBC">
          <w:rPr>
            <w:noProof/>
            <w:webHidden/>
          </w:rPr>
          <w:fldChar w:fldCharType="separate"/>
        </w:r>
        <w:r w:rsidR="00534353">
          <w:rPr>
            <w:noProof/>
            <w:webHidden/>
          </w:rPr>
          <w:t>3</w:t>
        </w:r>
        <w:r w:rsidR="006A0DBC">
          <w:rPr>
            <w:noProof/>
            <w:webHidden/>
          </w:rPr>
          <w:fldChar w:fldCharType="end"/>
        </w:r>
      </w:hyperlink>
    </w:p>
    <w:p w14:paraId="18EAB075" w14:textId="461D1E80" w:rsidR="006A0DBC" w:rsidRDefault="002C6EAD">
      <w:pPr>
        <w:pStyle w:val="TOC2"/>
        <w:rPr>
          <w:rFonts w:asciiTheme="minorHAnsi" w:eastAsiaTheme="minorEastAsia" w:hAnsiTheme="minorHAnsi" w:cstheme="minorBidi"/>
          <w:noProof/>
          <w:szCs w:val="22"/>
          <w:lang w:eastAsia="en-AU"/>
        </w:rPr>
      </w:pPr>
      <w:hyperlink w:anchor="_Toc5285228" w:history="1">
        <w:r w:rsidR="006A0DBC" w:rsidRPr="00993D22">
          <w:rPr>
            <w:rStyle w:val="Hyperlink"/>
            <w:noProof/>
          </w:rPr>
          <w:t>2.1</w:t>
        </w:r>
        <w:r w:rsidR="006A0DBC">
          <w:rPr>
            <w:rFonts w:asciiTheme="minorHAnsi" w:eastAsiaTheme="minorEastAsia" w:hAnsiTheme="minorHAnsi" w:cstheme="minorBidi"/>
            <w:noProof/>
            <w:szCs w:val="22"/>
            <w:lang w:eastAsia="en-AU"/>
          </w:rPr>
          <w:tab/>
        </w:r>
        <w:r w:rsidR="006A0DBC" w:rsidRPr="00993D22">
          <w:rPr>
            <w:rStyle w:val="Hyperlink"/>
            <w:noProof/>
          </w:rPr>
          <w:t>The NDIS vision</w:t>
        </w:r>
        <w:r w:rsidR="006A0DBC">
          <w:rPr>
            <w:noProof/>
            <w:webHidden/>
          </w:rPr>
          <w:tab/>
        </w:r>
        <w:r w:rsidR="006A0DBC">
          <w:rPr>
            <w:noProof/>
            <w:webHidden/>
          </w:rPr>
          <w:fldChar w:fldCharType="begin"/>
        </w:r>
        <w:r w:rsidR="006A0DBC">
          <w:rPr>
            <w:noProof/>
            <w:webHidden/>
          </w:rPr>
          <w:instrText xml:space="preserve"> PAGEREF _Toc5285228 \h </w:instrText>
        </w:r>
        <w:r w:rsidR="006A0DBC">
          <w:rPr>
            <w:noProof/>
            <w:webHidden/>
          </w:rPr>
        </w:r>
        <w:r w:rsidR="006A0DBC">
          <w:rPr>
            <w:noProof/>
            <w:webHidden/>
          </w:rPr>
          <w:fldChar w:fldCharType="separate"/>
        </w:r>
        <w:r w:rsidR="00534353">
          <w:rPr>
            <w:noProof/>
            <w:webHidden/>
          </w:rPr>
          <w:t>3</w:t>
        </w:r>
        <w:r w:rsidR="006A0DBC">
          <w:rPr>
            <w:noProof/>
            <w:webHidden/>
          </w:rPr>
          <w:fldChar w:fldCharType="end"/>
        </w:r>
      </w:hyperlink>
    </w:p>
    <w:p w14:paraId="7E8029A7" w14:textId="22405030" w:rsidR="006A0DBC" w:rsidRDefault="002C6EAD">
      <w:pPr>
        <w:pStyle w:val="TOC2"/>
        <w:rPr>
          <w:rFonts w:asciiTheme="minorHAnsi" w:eastAsiaTheme="minorEastAsia" w:hAnsiTheme="minorHAnsi" w:cstheme="minorBidi"/>
          <w:noProof/>
          <w:szCs w:val="22"/>
          <w:lang w:eastAsia="en-AU"/>
        </w:rPr>
      </w:pPr>
      <w:hyperlink w:anchor="_Toc5285229" w:history="1">
        <w:r w:rsidR="006A0DBC" w:rsidRPr="00993D22">
          <w:rPr>
            <w:rStyle w:val="Hyperlink"/>
            <w:noProof/>
          </w:rPr>
          <w:t>2.2</w:t>
        </w:r>
        <w:r w:rsidR="006A0DBC">
          <w:rPr>
            <w:rFonts w:asciiTheme="minorHAnsi" w:eastAsiaTheme="minorEastAsia" w:hAnsiTheme="minorHAnsi" w:cstheme="minorBidi"/>
            <w:noProof/>
            <w:szCs w:val="22"/>
            <w:lang w:eastAsia="en-AU"/>
          </w:rPr>
          <w:tab/>
        </w:r>
        <w:r w:rsidR="006A0DBC" w:rsidRPr="00993D22">
          <w:rPr>
            <w:rStyle w:val="Hyperlink"/>
            <w:noProof/>
          </w:rPr>
          <w:t>What are thin markets?</w:t>
        </w:r>
        <w:r w:rsidR="006A0DBC">
          <w:rPr>
            <w:noProof/>
            <w:webHidden/>
          </w:rPr>
          <w:tab/>
        </w:r>
        <w:r w:rsidR="006A0DBC">
          <w:rPr>
            <w:noProof/>
            <w:webHidden/>
          </w:rPr>
          <w:fldChar w:fldCharType="begin"/>
        </w:r>
        <w:r w:rsidR="006A0DBC">
          <w:rPr>
            <w:noProof/>
            <w:webHidden/>
          </w:rPr>
          <w:instrText xml:space="preserve"> PAGEREF _Toc5285229 \h </w:instrText>
        </w:r>
        <w:r w:rsidR="006A0DBC">
          <w:rPr>
            <w:noProof/>
            <w:webHidden/>
          </w:rPr>
        </w:r>
        <w:r w:rsidR="006A0DBC">
          <w:rPr>
            <w:noProof/>
            <w:webHidden/>
          </w:rPr>
          <w:fldChar w:fldCharType="separate"/>
        </w:r>
        <w:r w:rsidR="00534353">
          <w:rPr>
            <w:noProof/>
            <w:webHidden/>
          </w:rPr>
          <w:t>3</w:t>
        </w:r>
        <w:r w:rsidR="006A0DBC">
          <w:rPr>
            <w:noProof/>
            <w:webHidden/>
          </w:rPr>
          <w:fldChar w:fldCharType="end"/>
        </w:r>
      </w:hyperlink>
    </w:p>
    <w:p w14:paraId="15CAF1DE" w14:textId="789EFAD6" w:rsidR="006A0DBC" w:rsidRDefault="002C6EAD">
      <w:pPr>
        <w:pStyle w:val="TOC2"/>
        <w:rPr>
          <w:rFonts w:asciiTheme="minorHAnsi" w:eastAsiaTheme="minorEastAsia" w:hAnsiTheme="minorHAnsi" w:cstheme="minorBidi"/>
          <w:noProof/>
          <w:szCs w:val="22"/>
          <w:lang w:eastAsia="en-AU"/>
        </w:rPr>
      </w:pPr>
      <w:hyperlink w:anchor="_Toc5285230" w:history="1">
        <w:r w:rsidR="006A0DBC" w:rsidRPr="00993D22">
          <w:rPr>
            <w:rStyle w:val="Hyperlink"/>
            <w:noProof/>
          </w:rPr>
          <w:t>2.3</w:t>
        </w:r>
        <w:r w:rsidR="006A0DBC">
          <w:rPr>
            <w:rFonts w:asciiTheme="minorHAnsi" w:eastAsiaTheme="minorEastAsia" w:hAnsiTheme="minorHAnsi" w:cstheme="minorBidi"/>
            <w:noProof/>
            <w:szCs w:val="22"/>
            <w:lang w:eastAsia="en-AU"/>
          </w:rPr>
          <w:tab/>
        </w:r>
        <w:r w:rsidR="006A0DBC" w:rsidRPr="00993D22">
          <w:rPr>
            <w:rStyle w:val="Hyperlink"/>
            <w:noProof/>
          </w:rPr>
          <w:t>Thin market challenges</w:t>
        </w:r>
        <w:r w:rsidR="006A0DBC">
          <w:rPr>
            <w:noProof/>
            <w:webHidden/>
          </w:rPr>
          <w:tab/>
        </w:r>
        <w:r w:rsidR="006A0DBC">
          <w:rPr>
            <w:noProof/>
            <w:webHidden/>
          </w:rPr>
          <w:fldChar w:fldCharType="begin"/>
        </w:r>
        <w:r w:rsidR="006A0DBC">
          <w:rPr>
            <w:noProof/>
            <w:webHidden/>
          </w:rPr>
          <w:instrText xml:space="preserve"> PAGEREF _Toc5285230 \h </w:instrText>
        </w:r>
        <w:r w:rsidR="006A0DBC">
          <w:rPr>
            <w:noProof/>
            <w:webHidden/>
          </w:rPr>
        </w:r>
        <w:r w:rsidR="006A0DBC">
          <w:rPr>
            <w:noProof/>
            <w:webHidden/>
          </w:rPr>
          <w:fldChar w:fldCharType="separate"/>
        </w:r>
        <w:r w:rsidR="00534353">
          <w:rPr>
            <w:noProof/>
            <w:webHidden/>
          </w:rPr>
          <w:t>4</w:t>
        </w:r>
        <w:r w:rsidR="006A0DBC">
          <w:rPr>
            <w:noProof/>
            <w:webHidden/>
          </w:rPr>
          <w:fldChar w:fldCharType="end"/>
        </w:r>
      </w:hyperlink>
    </w:p>
    <w:p w14:paraId="25AD916A" w14:textId="420508E9" w:rsidR="006A0DBC" w:rsidRDefault="002C6EAD">
      <w:pPr>
        <w:pStyle w:val="TOC2"/>
        <w:rPr>
          <w:rFonts w:asciiTheme="minorHAnsi" w:eastAsiaTheme="minorEastAsia" w:hAnsiTheme="minorHAnsi" w:cstheme="minorBidi"/>
          <w:noProof/>
          <w:szCs w:val="22"/>
          <w:lang w:eastAsia="en-AU"/>
        </w:rPr>
      </w:pPr>
      <w:hyperlink w:anchor="_Toc5285231" w:history="1">
        <w:r w:rsidR="006A0DBC" w:rsidRPr="00993D22">
          <w:rPr>
            <w:rStyle w:val="Hyperlink"/>
            <w:noProof/>
          </w:rPr>
          <w:t>2.4</w:t>
        </w:r>
        <w:r w:rsidR="006A0DBC">
          <w:rPr>
            <w:rFonts w:asciiTheme="minorHAnsi" w:eastAsiaTheme="minorEastAsia" w:hAnsiTheme="minorHAnsi" w:cstheme="minorBidi"/>
            <w:noProof/>
            <w:szCs w:val="22"/>
            <w:lang w:eastAsia="en-AU"/>
          </w:rPr>
          <w:tab/>
        </w:r>
        <w:r w:rsidR="006A0DBC" w:rsidRPr="00993D22">
          <w:rPr>
            <w:rStyle w:val="Hyperlink"/>
            <w:noProof/>
          </w:rPr>
          <w:t>Potential responses to thin markets</w:t>
        </w:r>
        <w:r w:rsidR="006A0DBC">
          <w:rPr>
            <w:noProof/>
            <w:webHidden/>
          </w:rPr>
          <w:tab/>
        </w:r>
        <w:r w:rsidR="006A0DBC">
          <w:rPr>
            <w:noProof/>
            <w:webHidden/>
          </w:rPr>
          <w:fldChar w:fldCharType="begin"/>
        </w:r>
        <w:r w:rsidR="006A0DBC">
          <w:rPr>
            <w:noProof/>
            <w:webHidden/>
          </w:rPr>
          <w:instrText xml:space="preserve"> PAGEREF _Toc5285231 \h </w:instrText>
        </w:r>
        <w:r w:rsidR="006A0DBC">
          <w:rPr>
            <w:noProof/>
            <w:webHidden/>
          </w:rPr>
        </w:r>
        <w:r w:rsidR="006A0DBC">
          <w:rPr>
            <w:noProof/>
            <w:webHidden/>
          </w:rPr>
          <w:fldChar w:fldCharType="separate"/>
        </w:r>
        <w:r w:rsidR="00534353">
          <w:rPr>
            <w:noProof/>
            <w:webHidden/>
          </w:rPr>
          <w:t>4</w:t>
        </w:r>
        <w:r w:rsidR="006A0DBC">
          <w:rPr>
            <w:noProof/>
            <w:webHidden/>
          </w:rPr>
          <w:fldChar w:fldCharType="end"/>
        </w:r>
      </w:hyperlink>
    </w:p>
    <w:p w14:paraId="0EB05917" w14:textId="14A122EC" w:rsidR="006A0DBC" w:rsidRDefault="002C6EAD">
      <w:pPr>
        <w:pStyle w:val="TOC1"/>
        <w:rPr>
          <w:rFonts w:asciiTheme="minorHAnsi" w:eastAsiaTheme="minorEastAsia" w:hAnsiTheme="minorHAnsi" w:cstheme="minorBidi"/>
          <w:noProof/>
          <w:szCs w:val="22"/>
          <w:lang w:eastAsia="en-AU"/>
        </w:rPr>
      </w:pPr>
      <w:hyperlink w:anchor="_Toc5285232" w:history="1">
        <w:r w:rsidR="006A0DBC" w:rsidRPr="00993D22">
          <w:rPr>
            <w:rStyle w:val="Hyperlink"/>
            <w:noProof/>
          </w:rPr>
          <w:t>3.</w:t>
        </w:r>
        <w:r w:rsidR="006A0DBC">
          <w:rPr>
            <w:rFonts w:asciiTheme="minorHAnsi" w:eastAsiaTheme="minorEastAsia" w:hAnsiTheme="minorHAnsi" w:cstheme="minorBidi"/>
            <w:noProof/>
            <w:szCs w:val="22"/>
            <w:lang w:eastAsia="en-AU"/>
          </w:rPr>
          <w:tab/>
        </w:r>
        <w:r w:rsidR="006A0DBC" w:rsidRPr="00993D22">
          <w:rPr>
            <w:rStyle w:val="Hyperlink"/>
            <w:noProof/>
          </w:rPr>
          <w:t>Consultation participation</w:t>
        </w:r>
        <w:r w:rsidR="006A0DBC">
          <w:rPr>
            <w:noProof/>
            <w:webHidden/>
          </w:rPr>
          <w:tab/>
        </w:r>
        <w:r w:rsidR="006A0DBC">
          <w:rPr>
            <w:noProof/>
            <w:webHidden/>
          </w:rPr>
          <w:fldChar w:fldCharType="begin"/>
        </w:r>
        <w:r w:rsidR="006A0DBC">
          <w:rPr>
            <w:noProof/>
            <w:webHidden/>
          </w:rPr>
          <w:instrText xml:space="preserve"> PAGEREF _Toc5285232 \h </w:instrText>
        </w:r>
        <w:r w:rsidR="006A0DBC">
          <w:rPr>
            <w:noProof/>
            <w:webHidden/>
          </w:rPr>
        </w:r>
        <w:r w:rsidR="006A0DBC">
          <w:rPr>
            <w:noProof/>
            <w:webHidden/>
          </w:rPr>
          <w:fldChar w:fldCharType="separate"/>
        </w:r>
        <w:r w:rsidR="00534353">
          <w:rPr>
            <w:noProof/>
            <w:webHidden/>
          </w:rPr>
          <w:t>7</w:t>
        </w:r>
        <w:r w:rsidR="006A0DBC">
          <w:rPr>
            <w:noProof/>
            <w:webHidden/>
          </w:rPr>
          <w:fldChar w:fldCharType="end"/>
        </w:r>
      </w:hyperlink>
    </w:p>
    <w:p w14:paraId="1E568912" w14:textId="28EA7789" w:rsidR="006A0DBC" w:rsidRDefault="002C6EAD">
      <w:pPr>
        <w:pStyle w:val="TOC2"/>
        <w:rPr>
          <w:rFonts w:asciiTheme="minorHAnsi" w:eastAsiaTheme="minorEastAsia" w:hAnsiTheme="minorHAnsi" w:cstheme="minorBidi"/>
          <w:noProof/>
          <w:szCs w:val="22"/>
          <w:lang w:eastAsia="en-AU"/>
        </w:rPr>
      </w:pPr>
      <w:hyperlink w:anchor="_Toc5285233" w:history="1">
        <w:r w:rsidR="006A0DBC" w:rsidRPr="00993D22">
          <w:rPr>
            <w:rStyle w:val="Hyperlink"/>
            <w:noProof/>
          </w:rPr>
          <w:t>3.1</w:t>
        </w:r>
        <w:r w:rsidR="006A0DBC">
          <w:rPr>
            <w:rFonts w:asciiTheme="minorHAnsi" w:eastAsiaTheme="minorEastAsia" w:hAnsiTheme="minorHAnsi" w:cstheme="minorBidi"/>
            <w:noProof/>
            <w:szCs w:val="22"/>
            <w:lang w:eastAsia="en-AU"/>
          </w:rPr>
          <w:tab/>
        </w:r>
        <w:r w:rsidR="006A0DBC" w:rsidRPr="00993D22">
          <w:rPr>
            <w:rStyle w:val="Hyperlink"/>
            <w:noProof/>
          </w:rPr>
          <w:t>Consultation objectives</w:t>
        </w:r>
        <w:r w:rsidR="006A0DBC">
          <w:rPr>
            <w:noProof/>
            <w:webHidden/>
          </w:rPr>
          <w:tab/>
        </w:r>
        <w:r w:rsidR="006A0DBC">
          <w:rPr>
            <w:noProof/>
            <w:webHidden/>
          </w:rPr>
          <w:fldChar w:fldCharType="begin"/>
        </w:r>
        <w:r w:rsidR="006A0DBC">
          <w:rPr>
            <w:noProof/>
            <w:webHidden/>
          </w:rPr>
          <w:instrText xml:space="preserve"> PAGEREF _Toc5285233 \h </w:instrText>
        </w:r>
        <w:r w:rsidR="006A0DBC">
          <w:rPr>
            <w:noProof/>
            <w:webHidden/>
          </w:rPr>
        </w:r>
        <w:r w:rsidR="006A0DBC">
          <w:rPr>
            <w:noProof/>
            <w:webHidden/>
          </w:rPr>
          <w:fldChar w:fldCharType="separate"/>
        </w:r>
        <w:r w:rsidR="00534353">
          <w:rPr>
            <w:noProof/>
            <w:webHidden/>
          </w:rPr>
          <w:t>7</w:t>
        </w:r>
        <w:r w:rsidR="006A0DBC">
          <w:rPr>
            <w:noProof/>
            <w:webHidden/>
          </w:rPr>
          <w:fldChar w:fldCharType="end"/>
        </w:r>
      </w:hyperlink>
    </w:p>
    <w:p w14:paraId="78D5367A" w14:textId="6AAEA018" w:rsidR="006A0DBC" w:rsidRDefault="002C6EAD">
      <w:pPr>
        <w:pStyle w:val="TOC2"/>
        <w:rPr>
          <w:rFonts w:asciiTheme="minorHAnsi" w:eastAsiaTheme="minorEastAsia" w:hAnsiTheme="minorHAnsi" w:cstheme="minorBidi"/>
          <w:noProof/>
          <w:szCs w:val="22"/>
          <w:lang w:eastAsia="en-AU"/>
        </w:rPr>
      </w:pPr>
      <w:hyperlink w:anchor="_Toc5285234" w:history="1">
        <w:r w:rsidR="006A0DBC" w:rsidRPr="00993D22">
          <w:rPr>
            <w:rStyle w:val="Hyperlink"/>
            <w:noProof/>
          </w:rPr>
          <w:t>3.2</w:t>
        </w:r>
        <w:r w:rsidR="006A0DBC">
          <w:rPr>
            <w:rFonts w:asciiTheme="minorHAnsi" w:eastAsiaTheme="minorEastAsia" w:hAnsiTheme="minorHAnsi" w:cstheme="minorBidi"/>
            <w:noProof/>
            <w:szCs w:val="22"/>
            <w:lang w:eastAsia="en-AU"/>
          </w:rPr>
          <w:tab/>
        </w:r>
        <w:r w:rsidR="006A0DBC" w:rsidRPr="00993D22">
          <w:rPr>
            <w:rStyle w:val="Hyperlink"/>
            <w:noProof/>
          </w:rPr>
          <w:t>Consultation process – how to have your say</w:t>
        </w:r>
        <w:r w:rsidR="006A0DBC">
          <w:rPr>
            <w:noProof/>
            <w:webHidden/>
          </w:rPr>
          <w:tab/>
        </w:r>
        <w:r w:rsidR="006A0DBC">
          <w:rPr>
            <w:noProof/>
            <w:webHidden/>
          </w:rPr>
          <w:fldChar w:fldCharType="begin"/>
        </w:r>
        <w:r w:rsidR="006A0DBC">
          <w:rPr>
            <w:noProof/>
            <w:webHidden/>
          </w:rPr>
          <w:instrText xml:space="preserve"> PAGEREF _Toc5285234 \h </w:instrText>
        </w:r>
        <w:r w:rsidR="006A0DBC">
          <w:rPr>
            <w:noProof/>
            <w:webHidden/>
          </w:rPr>
        </w:r>
        <w:r w:rsidR="006A0DBC">
          <w:rPr>
            <w:noProof/>
            <w:webHidden/>
          </w:rPr>
          <w:fldChar w:fldCharType="separate"/>
        </w:r>
        <w:r w:rsidR="00534353">
          <w:rPr>
            <w:noProof/>
            <w:webHidden/>
          </w:rPr>
          <w:t>8</w:t>
        </w:r>
        <w:r w:rsidR="006A0DBC">
          <w:rPr>
            <w:noProof/>
            <w:webHidden/>
          </w:rPr>
          <w:fldChar w:fldCharType="end"/>
        </w:r>
      </w:hyperlink>
    </w:p>
    <w:p w14:paraId="2697D657" w14:textId="762865B9" w:rsidR="006A0DBC" w:rsidRDefault="002C6EAD">
      <w:pPr>
        <w:pStyle w:val="TOC2"/>
        <w:rPr>
          <w:rFonts w:asciiTheme="minorHAnsi" w:eastAsiaTheme="minorEastAsia" w:hAnsiTheme="minorHAnsi" w:cstheme="minorBidi"/>
          <w:noProof/>
          <w:szCs w:val="22"/>
          <w:lang w:eastAsia="en-AU"/>
        </w:rPr>
      </w:pPr>
      <w:hyperlink w:anchor="_Toc5285235" w:history="1">
        <w:r w:rsidR="006A0DBC" w:rsidRPr="00993D22">
          <w:rPr>
            <w:rStyle w:val="Hyperlink"/>
            <w:noProof/>
          </w:rPr>
          <w:t>3.3</w:t>
        </w:r>
        <w:r w:rsidR="006A0DBC">
          <w:rPr>
            <w:rFonts w:asciiTheme="minorHAnsi" w:eastAsiaTheme="minorEastAsia" w:hAnsiTheme="minorHAnsi" w:cstheme="minorBidi"/>
            <w:noProof/>
            <w:szCs w:val="22"/>
            <w:lang w:eastAsia="en-AU"/>
          </w:rPr>
          <w:tab/>
        </w:r>
        <w:r w:rsidR="006A0DBC" w:rsidRPr="00993D22">
          <w:rPr>
            <w:rStyle w:val="Hyperlink"/>
            <w:noProof/>
          </w:rPr>
          <w:t>Questions to guide submissions</w:t>
        </w:r>
        <w:r w:rsidR="006A0DBC">
          <w:rPr>
            <w:noProof/>
            <w:webHidden/>
          </w:rPr>
          <w:tab/>
        </w:r>
        <w:r w:rsidR="006A0DBC">
          <w:rPr>
            <w:noProof/>
            <w:webHidden/>
          </w:rPr>
          <w:fldChar w:fldCharType="begin"/>
        </w:r>
        <w:r w:rsidR="006A0DBC">
          <w:rPr>
            <w:noProof/>
            <w:webHidden/>
          </w:rPr>
          <w:instrText xml:space="preserve"> PAGEREF _Toc5285235 \h </w:instrText>
        </w:r>
        <w:r w:rsidR="006A0DBC">
          <w:rPr>
            <w:noProof/>
            <w:webHidden/>
          </w:rPr>
        </w:r>
        <w:r w:rsidR="006A0DBC">
          <w:rPr>
            <w:noProof/>
            <w:webHidden/>
          </w:rPr>
          <w:fldChar w:fldCharType="separate"/>
        </w:r>
        <w:r w:rsidR="00534353">
          <w:rPr>
            <w:noProof/>
            <w:webHidden/>
          </w:rPr>
          <w:t>8</w:t>
        </w:r>
        <w:r w:rsidR="006A0DBC">
          <w:rPr>
            <w:noProof/>
            <w:webHidden/>
          </w:rPr>
          <w:fldChar w:fldCharType="end"/>
        </w:r>
      </w:hyperlink>
    </w:p>
    <w:p w14:paraId="2A06905D" w14:textId="754D4AFE" w:rsidR="006A0DBC" w:rsidRDefault="002C6EAD">
      <w:pPr>
        <w:pStyle w:val="TOC1"/>
        <w:tabs>
          <w:tab w:val="left" w:pos="1540"/>
        </w:tabs>
        <w:rPr>
          <w:rFonts w:asciiTheme="minorHAnsi" w:eastAsiaTheme="minorEastAsia" w:hAnsiTheme="minorHAnsi" w:cstheme="minorBidi"/>
          <w:noProof/>
          <w:szCs w:val="22"/>
          <w:lang w:eastAsia="en-AU"/>
        </w:rPr>
      </w:pPr>
      <w:hyperlink w:anchor="_Toc5285236" w:history="1">
        <w:r w:rsidR="006A0DBC" w:rsidRPr="00993D22">
          <w:rPr>
            <w:rStyle w:val="Hyperlink"/>
            <w:noProof/>
          </w:rPr>
          <w:t>Appendix A</w:t>
        </w:r>
        <w:r w:rsidR="006A0DBC">
          <w:rPr>
            <w:rFonts w:asciiTheme="minorHAnsi" w:eastAsiaTheme="minorEastAsia" w:hAnsiTheme="minorHAnsi" w:cstheme="minorBidi"/>
            <w:noProof/>
            <w:szCs w:val="22"/>
            <w:lang w:eastAsia="en-AU"/>
          </w:rPr>
          <w:tab/>
        </w:r>
        <w:r w:rsidR="006A0DBC" w:rsidRPr="00993D22">
          <w:rPr>
            <w:rStyle w:val="Hyperlink"/>
            <w:noProof/>
          </w:rPr>
          <w:t>Precedent programs reviewed to date</w:t>
        </w:r>
        <w:r w:rsidR="006A0DBC">
          <w:rPr>
            <w:noProof/>
            <w:webHidden/>
          </w:rPr>
          <w:tab/>
        </w:r>
        <w:r w:rsidR="006A0DBC">
          <w:rPr>
            <w:noProof/>
            <w:webHidden/>
          </w:rPr>
          <w:fldChar w:fldCharType="begin"/>
        </w:r>
        <w:r w:rsidR="006A0DBC">
          <w:rPr>
            <w:noProof/>
            <w:webHidden/>
          </w:rPr>
          <w:instrText xml:space="preserve"> PAGEREF _Toc5285236 \h </w:instrText>
        </w:r>
        <w:r w:rsidR="006A0DBC">
          <w:rPr>
            <w:noProof/>
            <w:webHidden/>
          </w:rPr>
        </w:r>
        <w:r w:rsidR="006A0DBC">
          <w:rPr>
            <w:noProof/>
            <w:webHidden/>
          </w:rPr>
          <w:fldChar w:fldCharType="separate"/>
        </w:r>
        <w:r w:rsidR="00534353">
          <w:rPr>
            <w:noProof/>
            <w:webHidden/>
          </w:rPr>
          <w:t>10</w:t>
        </w:r>
        <w:r w:rsidR="006A0DBC">
          <w:rPr>
            <w:noProof/>
            <w:webHidden/>
          </w:rPr>
          <w:fldChar w:fldCharType="end"/>
        </w:r>
      </w:hyperlink>
    </w:p>
    <w:p w14:paraId="702AF763" w14:textId="039E80E0" w:rsidR="00F54977" w:rsidRDefault="0092622D" w:rsidP="0041330F">
      <w:r w:rsidRPr="00926D59">
        <w:fldChar w:fldCharType="end"/>
      </w:r>
      <w:bookmarkStart w:id="1" w:name="_Toc415078135"/>
      <w:bookmarkStart w:id="2" w:name="_Toc415078293"/>
      <w:bookmarkStart w:id="3" w:name="_Toc415134404"/>
      <w:bookmarkStart w:id="4" w:name="_Toc415134549"/>
      <w:bookmarkStart w:id="5" w:name="_Toc415140954"/>
      <w:bookmarkStart w:id="6" w:name="_Toc415240659"/>
      <w:bookmarkStart w:id="7" w:name="_Toc417642032"/>
      <w:bookmarkStart w:id="8" w:name="_Toc420318068"/>
      <w:bookmarkStart w:id="9" w:name="_Toc420332096"/>
      <w:r w:rsidR="00A85022" w:rsidRPr="00DE0047">
        <w:rPr>
          <w:noProof/>
          <w:lang w:eastAsia="en-AU"/>
        </w:rPr>
        <mc:AlternateContent>
          <mc:Choice Requires="wps">
            <w:drawing>
              <wp:inline distT="0" distB="0" distL="0" distR="0" wp14:anchorId="1FEBF123" wp14:editId="1BC94BB3">
                <wp:extent cx="6172200" cy="5358809"/>
                <wp:effectExtent l="0" t="0" r="0" b="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358809"/>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9B39019" w14:textId="77777777" w:rsidR="00A85022" w:rsidRPr="00664DE4" w:rsidRDefault="00A85022" w:rsidP="002C6EAD">
                            <w:pPr>
                              <w:pStyle w:val="EYTableText"/>
                              <w:spacing w:before="1560" w:after="120"/>
                              <w:rPr>
                                <w:szCs w:val="16"/>
                              </w:rPr>
                            </w:pPr>
                            <w:r w:rsidRPr="00664DE4">
                              <w:rPr>
                                <w:szCs w:val="16"/>
                              </w:rPr>
                              <w:t>© 2019 Ernst &amp; Young Australia</w:t>
                            </w:r>
                          </w:p>
                          <w:p w14:paraId="18ABBFCA" w14:textId="77777777" w:rsidR="00A85022" w:rsidRPr="00664DE4" w:rsidRDefault="00A85022" w:rsidP="00A85022">
                            <w:pPr>
                              <w:pStyle w:val="EYTableText"/>
                              <w:spacing w:before="0" w:after="120"/>
                              <w:rPr>
                                <w:szCs w:val="16"/>
                              </w:rPr>
                            </w:pPr>
                            <w:r w:rsidRPr="00664DE4">
                              <w:rPr>
                                <w:szCs w:val="16"/>
                              </w:rPr>
                              <w:t xml:space="preserve">This discussion paper was prepared at the request the Commonwealth Department of Social Services (hereafter “the Client”) solely for the purposes of facilitating consultations on National Disability Insurance Scheme (NDIS) Thin Markets and it is not appropriate for use for other purposes. The information is current as at </w:t>
                            </w:r>
                            <w:r w:rsidR="009371A1" w:rsidRPr="00664DE4">
                              <w:rPr>
                                <w:szCs w:val="16"/>
                              </w:rPr>
                              <w:t>April</w:t>
                            </w:r>
                            <w:r w:rsidRPr="00664DE4">
                              <w:rPr>
                                <w:szCs w:val="16"/>
                              </w:rPr>
                              <w:t xml:space="preserve"> 2019.</w:t>
                            </w:r>
                          </w:p>
                          <w:p w14:paraId="0FE95E69" w14:textId="77777777" w:rsidR="00A85022" w:rsidRPr="00664DE4" w:rsidRDefault="00A85022" w:rsidP="00A85022">
                            <w:pPr>
                              <w:pStyle w:val="EYTableText"/>
                              <w:spacing w:before="0" w:after="120"/>
                              <w:rPr>
                                <w:szCs w:val="16"/>
                              </w:rPr>
                            </w:pPr>
                            <w:r w:rsidRPr="00664DE4">
                              <w:rPr>
                                <w:szCs w:val="16"/>
                              </w:rPr>
                              <w:t>The Client and any other party other than the Client who access this discussion paper shall only do so for their general information</w:t>
                            </w:r>
                            <w:r w:rsidR="009371A1" w:rsidRPr="00664DE4">
                              <w:rPr>
                                <w:szCs w:val="16"/>
                              </w:rPr>
                              <w:t>,</w:t>
                            </w:r>
                            <w:r w:rsidRPr="00664DE4">
                              <w:rPr>
                                <w:szCs w:val="16"/>
                              </w:rPr>
                              <w:t xml:space="preserve"> and this discussion paper should not be taken as providing specific advice to those parties on any issue, nor may this discussion paper be relied upon in any way by any party other than the Client. A party other than the Client accessing this discussion paper should exercise its own skill and care with respect to use of this discussion paper, and obtain independent advice on any specific issues concerning it.</w:t>
                            </w:r>
                          </w:p>
                          <w:p w14:paraId="06D79433" w14:textId="77777777" w:rsidR="00A85022" w:rsidRPr="00664DE4" w:rsidRDefault="00A85022" w:rsidP="00A85022">
                            <w:pPr>
                              <w:pStyle w:val="EYTableText"/>
                              <w:spacing w:before="0" w:after="120"/>
                              <w:rPr>
                                <w:szCs w:val="16"/>
                              </w:rPr>
                            </w:pPr>
                            <w:r w:rsidRPr="00664DE4">
                              <w:rPr>
                                <w:szCs w:val="16"/>
                              </w:rPr>
                              <w:t xml:space="preserve">In carrying out our work and preparing this discussion paper, Ernst &amp; Young has worked solely on the instructions of the Client, and has not </w:t>
                            </w:r>
                            <w:proofErr w:type="gramStart"/>
                            <w:r w:rsidRPr="00664DE4">
                              <w:rPr>
                                <w:szCs w:val="16"/>
                              </w:rPr>
                              <w:t>taken into account</w:t>
                            </w:r>
                            <w:proofErr w:type="gramEnd"/>
                            <w:r w:rsidRPr="00664DE4">
                              <w:rPr>
                                <w:szCs w:val="16"/>
                              </w:rPr>
                              <w:t xml:space="preserve"> the interests of any party other than the Client. The discussion paper has been constructed based on information current as of </w:t>
                            </w:r>
                            <w:r w:rsidR="009371A1" w:rsidRPr="00664DE4">
                              <w:rPr>
                                <w:szCs w:val="16"/>
                              </w:rPr>
                              <w:t>April</w:t>
                            </w:r>
                            <w:r w:rsidRPr="00664DE4">
                              <w:rPr>
                                <w:szCs w:val="16"/>
                              </w:rPr>
                              <w:t xml:space="preserve"> 2019. Since this date, material events may have occurred since completion which is not reflected in the discussion paper. </w:t>
                            </w:r>
                          </w:p>
                          <w:p w14:paraId="175D28E5" w14:textId="77777777" w:rsidR="00A85022" w:rsidRPr="00664DE4" w:rsidRDefault="00A85022" w:rsidP="00A85022">
                            <w:pPr>
                              <w:pStyle w:val="EYTableText"/>
                              <w:spacing w:before="0" w:after="120"/>
                              <w:rPr>
                                <w:szCs w:val="16"/>
                              </w:rPr>
                            </w:pPr>
                            <w:r w:rsidRPr="00664DE4">
                              <w:rPr>
                                <w:szCs w:val="16"/>
                              </w:rPr>
                              <w:t>Except in respect of the Client, neither Ernst &amp; Young, nor the parties which have endorsed or been involved in the development of the discussion paper, accept any responsibility for use of the information contained in the discussion paper and make no guarantee nor accept any liability whatsoever arising from or connected to the accuracy, reliability, currency or completeness of any material contained in the discussion paper. Ernst &amp; Young and all other parties involved in the preparation and publication of this discussion paper expressly disclaim all liability for any costs, loss, damage, injury or other consequence which may arise directly or indirectly from use of, or reliance on, the discussion paper.</w:t>
                            </w:r>
                          </w:p>
                          <w:p w14:paraId="6BF68DCA" w14:textId="77777777" w:rsidR="00A85022" w:rsidRPr="00664DE4" w:rsidRDefault="00A85022" w:rsidP="00A85022">
                            <w:pPr>
                              <w:pStyle w:val="ListParagraph"/>
                              <w:numPr>
                                <w:ilvl w:val="0"/>
                                <w:numId w:val="48"/>
                              </w:numPr>
                              <w:autoSpaceDE/>
                              <w:autoSpaceDN/>
                              <w:adjustRightInd/>
                              <w:spacing w:after="120"/>
                              <w:jc w:val="both"/>
                              <w:rPr>
                                <w:sz w:val="16"/>
                                <w:szCs w:val="16"/>
                              </w:rPr>
                            </w:pPr>
                            <w:r w:rsidRPr="00664DE4">
                              <w:rPr>
                                <w:sz w:val="16"/>
                                <w:szCs w:val="16"/>
                              </w:rPr>
                              <w:t>No claim or demand or any actions or proceedings may be brought against Ernst &amp; Young arising from or connected with the contents of the discussion paper or the provision of the discussion paper to the Third Parties.  Ernst &amp; Young will be released and forever discharged from any such claims, demands, actions or proceedings.</w:t>
                            </w:r>
                          </w:p>
                          <w:p w14:paraId="6CAA6BDA" w14:textId="77777777" w:rsidR="00A85022" w:rsidRPr="00664DE4" w:rsidRDefault="00A85022" w:rsidP="00A85022">
                            <w:pPr>
                              <w:pStyle w:val="EYBodytextwithparaspace"/>
                              <w:numPr>
                                <w:ilvl w:val="4"/>
                                <w:numId w:val="48"/>
                              </w:numPr>
                              <w:autoSpaceDE/>
                              <w:autoSpaceDN/>
                              <w:adjustRightInd/>
                              <w:spacing w:after="120"/>
                              <w:rPr>
                                <w:rFonts w:cstheme="minorHAnsi"/>
                                <w:sz w:val="16"/>
                                <w:szCs w:val="16"/>
                              </w:rPr>
                            </w:pPr>
                            <w:r w:rsidRPr="00664DE4">
                              <w:rPr>
                                <w:rFonts w:cstheme="minorHAnsi"/>
                                <w:sz w:val="16"/>
                                <w:szCs w:val="16"/>
                              </w:rPr>
                              <w:t>Ernst &amp; Young have consented to the discussion paper being published electronically on the engage.dss.gov.au website for informational purposes only.  Ernst &amp; Young have not consented to distribution or disclosure beyond this.  The material contained in the discussion paper, including the Ernst &amp; Young logo, is copyright and copyright in the discussion paper itself vests in the Client. The discussion paper, including the Ernst &amp; Young logo, cannot be altered without prior written permission from Ernst &amp; Young.</w:t>
                            </w:r>
                          </w:p>
                          <w:p w14:paraId="60F87292" w14:textId="77777777" w:rsidR="00A85022" w:rsidRPr="00664DE4" w:rsidRDefault="00A85022" w:rsidP="00A85022">
                            <w:pPr>
                              <w:pStyle w:val="EYBodytextwithparaspace"/>
                              <w:numPr>
                                <w:ilvl w:val="4"/>
                                <w:numId w:val="48"/>
                              </w:numPr>
                              <w:autoSpaceDE/>
                              <w:autoSpaceDN/>
                              <w:adjustRightInd/>
                              <w:spacing w:after="120"/>
                              <w:rPr>
                                <w:rFonts w:cstheme="minorHAnsi"/>
                                <w:sz w:val="16"/>
                                <w:szCs w:val="16"/>
                              </w:rPr>
                            </w:pPr>
                            <w:r w:rsidRPr="00664DE4">
                              <w:rPr>
                                <w:rFonts w:cstheme="minorHAnsi"/>
                                <w:sz w:val="16"/>
                                <w:szCs w:val="16"/>
                              </w:rPr>
                              <w:t>Ernst &amp; Young’s liability is limited by a scheme approved under Professional Standards Legislation.</w:t>
                            </w:r>
                          </w:p>
                          <w:p w14:paraId="365025EE" w14:textId="5720328A" w:rsidR="00A85022" w:rsidRPr="00664DE4" w:rsidRDefault="00A85022" w:rsidP="00A85022">
                            <w:pPr>
                              <w:pStyle w:val="EYTableText"/>
                              <w:spacing w:before="0" w:after="120"/>
                              <w:rPr>
                                <w:szCs w:val="16"/>
                              </w:rPr>
                            </w:pPr>
                            <w:r w:rsidRPr="00664DE4">
                              <w:rPr>
                                <w:szCs w:val="16"/>
                              </w:rPr>
                              <w:t xml:space="preserve">This discussion paper (or any part of it) may not be copied or otherwise reproduced except with the written consent of </w:t>
                            </w:r>
                            <w:r w:rsidR="00EE5A3F">
                              <w:rPr>
                                <w:szCs w:val="16"/>
                              </w:rPr>
                              <w:br/>
                            </w:r>
                            <w:r w:rsidRPr="00664DE4">
                              <w:rPr>
                                <w:szCs w:val="16"/>
                              </w:rPr>
                              <w:t>Ernst &amp; Young.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EBF123" id="Text Box 7" o:spid="_x0000_s1027" type="#_x0000_t202" style="width:486pt;height:4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" filled="f" stroked="f">
                <v:textbox>
                  <w:txbxContent>
                    <w:p w14:paraId="19B39019" w14:textId="77777777" w:rsidR="00A85022" w:rsidRPr="00664DE4" w:rsidRDefault="00A85022" w:rsidP="002C6EAD">
                      <w:pPr>
                        <w:pStyle w:val="EYTableText"/>
                        <w:spacing w:before="1560" w:after="120"/>
                        <w:rPr>
                          <w:szCs w:val="16"/>
                        </w:rPr>
                      </w:pPr>
                      <w:r w:rsidRPr="00664DE4">
                        <w:rPr>
                          <w:szCs w:val="16"/>
                        </w:rPr>
                        <w:t>© 2019 Ernst &amp; Young Australia</w:t>
                      </w:r>
                    </w:p>
                    <w:p w14:paraId="18ABBFCA" w14:textId="77777777" w:rsidR="00A85022" w:rsidRPr="00664DE4" w:rsidRDefault="00A85022" w:rsidP="00A85022">
                      <w:pPr>
                        <w:pStyle w:val="EYTableText"/>
                        <w:spacing w:before="0" w:after="120"/>
                        <w:rPr>
                          <w:szCs w:val="16"/>
                        </w:rPr>
                      </w:pPr>
                      <w:r w:rsidRPr="00664DE4">
                        <w:rPr>
                          <w:szCs w:val="16"/>
                        </w:rPr>
                        <w:t xml:space="preserve">This discussion paper was prepared at the request the Commonwealth Department of Social Services (hereafter “the Client”) solely for the purposes of facilitating consultations on National Disability Insurance Scheme (NDIS) Thin Markets and it is not appropriate for use for other purposes. The information is current as at </w:t>
                      </w:r>
                      <w:r w:rsidR="009371A1" w:rsidRPr="00664DE4">
                        <w:rPr>
                          <w:szCs w:val="16"/>
                        </w:rPr>
                        <w:t>April</w:t>
                      </w:r>
                      <w:r w:rsidRPr="00664DE4">
                        <w:rPr>
                          <w:szCs w:val="16"/>
                        </w:rPr>
                        <w:t xml:space="preserve"> 2019.</w:t>
                      </w:r>
                    </w:p>
                    <w:p w14:paraId="0FE95E69" w14:textId="77777777" w:rsidR="00A85022" w:rsidRPr="00664DE4" w:rsidRDefault="00A85022" w:rsidP="00A85022">
                      <w:pPr>
                        <w:pStyle w:val="EYTableText"/>
                        <w:spacing w:before="0" w:after="120"/>
                        <w:rPr>
                          <w:szCs w:val="16"/>
                        </w:rPr>
                      </w:pPr>
                      <w:r w:rsidRPr="00664DE4">
                        <w:rPr>
                          <w:szCs w:val="16"/>
                        </w:rPr>
                        <w:t>The Client and any other party other than the Client who access this discussion paper shall only do so for their general information</w:t>
                      </w:r>
                      <w:r w:rsidR="009371A1" w:rsidRPr="00664DE4">
                        <w:rPr>
                          <w:szCs w:val="16"/>
                        </w:rPr>
                        <w:t>,</w:t>
                      </w:r>
                      <w:r w:rsidRPr="00664DE4">
                        <w:rPr>
                          <w:szCs w:val="16"/>
                        </w:rPr>
                        <w:t xml:space="preserve"> and this discussion paper should not be taken as providing specific advice to those parties on any issue, nor may this discussion paper be relied upon in any way by any party other than the Client. A party other than the Client accessing this discussion paper should exercise its own skill and care with respect to use of this discussion paper, and obtain independent advice on any specific issues concerning it.</w:t>
                      </w:r>
                    </w:p>
                    <w:p w14:paraId="06D79433" w14:textId="77777777" w:rsidR="00A85022" w:rsidRPr="00664DE4" w:rsidRDefault="00A85022" w:rsidP="00A85022">
                      <w:pPr>
                        <w:pStyle w:val="EYTableText"/>
                        <w:spacing w:before="0" w:after="120"/>
                        <w:rPr>
                          <w:szCs w:val="16"/>
                        </w:rPr>
                      </w:pPr>
                      <w:r w:rsidRPr="00664DE4">
                        <w:rPr>
                          <w:szCs w:val="16"/>
                        </w:rPr>
                        <w:t xml:space="preserve">In carrying out our work and preparing this discussion paper, Ernst &amp; Young has worked solely on the instructions of the Client, and has not </w:t>
                      </w:r>
                      <w:proofErr w:type="gramStart"/>
                      <w:r w:rsidRPr="00664DE4">
                        <w:rPr>
                          <w:szCs w:val="16"/>
                        </w:rPr>
                        <w:t>taken into account</w:t>
                      </w:r>
                      <w:proofErr w:type="gramEnd"/>
                      <w:r w:rsidRPr="00664DE4">
                        <w:rPr>
                          <w:szCs w:val="16"/>
                        </w:rPr>
                        <w:t xml:space="preserve"> the interests of any party other than the Client. The discussion paper has been constructed based on information current as of </w:t>
                      </w:r>
                      <w:r w:rsidR="009371A1" w:rsidRPr="00664DE4">
                        <w:rPr>
                          <w:szCs w:val="16"/>
                        </w:rPr>
                        <w:t>April</w:t>
                      </w:r>
                      <w:r w:rsidRPr="00664DE4">
                        <w:rPr>
                          <w:szCs w:val="16"/>
                        </w:rPr>
                        <w:t xml:space="preserve"> 2019. Since this date, material events may have occurred since completion which is not reflected in the discussion paper. </w:t>
                      </w:r>
                    </w:p>
                    <w:p w14:paraId="175D28E5" w14:textId="77777777" w:rsidR="00A85022" w:rsidRPr="00664DE4" w:rsidRDefault="00A85022" w:rsidP="00A85022">
                      <w:pPr>
                        <w:pStyle w:val="EYTableText"/>
                        <w:spacing w:before="0" w:after="120"/>
                        <w:rPr>
                          <w:szCs w:val="16"/>
                        </w:rPr>
                      </w:pPr>
                      <w:r w:rsidRPr="00664DE4">
                        <w:rPr>
                          <w:szCs w:val="16"/>
                        </w:rPr>
                        <w:t>Except in respect of the Client, neither Ernst &amp; Young, nor the parties which have endorsed or been involved in the development of the discussion paper, accept any responsibility for use of the information contained in the discussion paper and make no guarantee nor accept any liability whatsoever arising from or connected to the accuracy, reliability, currency or completeness of any material contained in the discussion paper. Ernst &amp; Young and all other parties involved in the preparation and publication of this discussion paper expressly disclaim all liability for any costs, loss, damage, injury or other consequence which may arise directly or indirectly from use of, or reliance on, the discussion paper.</w:t>
                      </w:r>
                    </w:p>
                    <w:p w14:paraId="6BF68DCA" w14:textId="77777777" w:rsidR="00A85022" w:rsidRPr="00664DE4" w:rsidRDefault="00A85022" w:rsidP="00A85022">
                      <w:pPr>
                        <w:pStyle w:val="ListParagraph"/>
                        <w:numPr>
                          <w:ilvl w:val="0"/>
                          <w:numId w:val="48"/>
                        </w:numPr>
                        <w:autoSpaceDE/>
                        <w:autoSpaceDN/>
                        <w:adjustRightInd/>
                        <w:spacing w:after="120"/>
                        <w:jc w:val="both"/>
                        <w:rPr>
                          <w:sz w:val="16"/>
                          <w:szCs w:val="16"/>
                        </w:rPr>
                      </w:pPr>
                      <w:r w:rsidRPr="00664DE4">
                        <w:rPr>
                          <w:sz w:val="16"/>
                          <w:szCs w:val="16"/>
                        </w:rPr>
                        <w:t>No claim or demand or any actions or proceedings may be brought against Ernst &amp; Young arising from or connected with the contents of the discussion paper or the provision of the discussion paper to the Third Parties.  Ernst &amp; Young will be released and forever discharged from any such claims, demands, actions or proceedings.</w:t>
                      </w:r>
                    </w:p>
                    <w:p w14:paraId="6CAA6BDA" w14:textId="77777777" w:rsidR="00A85022" w:rsidRPr="00664DE4" w:rsidRDefault="00A85022" w:rsidP="00A85022">
                      <w:pPr>
                        <w:pStyle w:val="EYBodytextwithparaspace"/>
                        <w:numPr>
                          <w:ilvl w:val="4"/>
                          <w:numId w:val="48"/>
                        </w:numPr>
                        <w:autoSpaceDE/>
                        <w:autoSpaceDN/>
                        <w:adjustRightInd/>
                        <w:spacing w:after="120"/>
                        <w:rPr>
                          <w:rFonts w:cstheme="minorHAnsi"/>
                          <w:sz w:val="16"/>
                          <w:szCs w:val="16"/>
                        </w:rPr>
                      </w:pPr>
                      <w:r w:rsidRPr="00664DE4">
                        <w:rPr>
                          <w:rFonts w:cstheme="minorHAnsi"/>
                          <w:sz w:val="16"/>
                          <w:szCs w:val="16"/>
                        </w:rPr>
                        <w:t>Ernst &amp; Young have consented to the discussion paper being published electronically on the engage.dss.gov.au website for informational purposes only.  Ernst &amp; Young have not consented to distribution or disclosure beyond this.  The material contained in the discussion paper, including the Ernst &amp; Young logo, is copyright and copyright in the discussion paper itself vests in the Client. The discussion paper, including the Ernst &amp; Young logo, cannot be altered without prior written permission from Ernst &amp; Young.</w:t>
                      </w:r>
                    </w:p>
                    <w:p w14:paraId="60F87292" w14:textId="77777777" w:rsidR="00A85022" w:rsidRPr="00664DE4" w:rsidRDefault="00A85022" w:rsidP="00A85022">
                      <w:pPr>
                        <w:pStyle w:val="EYBodytextwithparaspace"/>
                        <w:numPr>
                          <w:ilvl w:val="4"/>
                          <w:numId w:val="48"/>
                        </w:numPr>
                        <w:autoSpaceDE/>
                        <w:autoSpaceDN/>
                        <w:adjustRightInd/>
                        <w:spacing w:after="120"/>
                        <w:rPr>
                          <w:rFonts w:cstheme="minorHAnsi"/>
                          <w:sz w:val="16"/>
                          <w:szCs w:val="16"/>
                        </w:rPr>
                      </w:pPr>
                      <w:r w:rsidRPr="00664DE4">
                        <w:rPr>
                          <w:rFonts w:cstheme="minorHAnsi"/>
                          <w:sz w:val="16"/>
                          <w:szCs w:val="16"/>
                        </w:rPr>
                        <w:t>Ernst &amp; Young’s liability is limited by a scheme approved under Professional Standards Legislation.</w:t>
                      </w:r>
                    </w:p>
                    <w:p w14:paraId="365025EE" w14:textId="5720328A" w:rsidR="00A85022" w:rsidRPr="00664DE4" w:rsidRDefault="00A85022" w:rsidP="00A85022">
                      <w:pPr>
                        <w:pStyle w:val="EYTableText"/>
                        <w:spacing w:before="0" w:after="120"/>
                        <w:rPr>
                          <w:szCs w:val="16"/>
                        </w:rPr>
                      </w:pPr>
                      <w:r w:rsidRPr="00664DE4">
                        <w:rPr>
                          <w:szCs w:val="16"/>
                        </w:rPr>
                        <w:t xml:space="preserve">This discussion paper (or any part of it) may not be copied or otherwise reproduced except with the written consent of </w:t>
                      </w:r>
                      <w:r w:rsidR="00EE5A3F">
                        <w:rPr>
                          <w:szCs w:val="16"/>
                        </w:rPr>
                        <w:br/>
                      </w:r>
                      <w:r w:rsidRPr="00664DE4">
                        <w:rPr>
                          <w:szCs w:val="16"/>
                        </w:rPr>
                        <w:t>Ernst &amp; Young.</w:t>
                      </w:r>
                    </w:p>
                  </w:txbxContent>
                </v:textbox>
                <w10:anchorlock/>
              </v:shape>
            </w:pict>
          </mc:Fallback>
        </mc:AlternateContent>
      </w:r>
      <w:bookmarkEnd w:id="1"/>
      <w:bookmarkEnd w:id="2"/>
      <w:bookmarkEnd w:id="3"/>
      <w:bookmarkEnd w:id="4"/>
      <w:bookmarkEnd w:id="5"/>
      <w:bookmarkEnd w:id="6"/>
      <w:bookmarkEnd w:id="7"/>
      <w:bookmarkEnd w:id="8"/>
      <w:bookmarkEnd w:id="9"/>
    </w:p>
    <w:p w14:paraId="3B618E2C" w14:textId="77777777" w:rsidR="00F54977" w:rsidRDefault="00F54977" w:rsidP="0041330F"/>
    <w:p w14:paraId="2897F58B" w14:textId="77777777" w:rsidR="00A85022" w:rsidRDefault="00A85022" w:rsidP="0041330F">
      <w:pPr>
        <w:sectPr w:rsidR="00A85022" w:rsidSect="00664DE4">
          <w:headerReference w:type="even" r:id="rId9"/>
          <w:headerReference w:type="default" r:id="rId10"/>
          <w:footerReference w:type="default" r:id="rId11"/>
          <w:pgSz w:w="11909" w:h="16834" w:code="9"/>
          <w:pgMar w:top="1418" w:right="1134" w:bottom="851" w:left="1418" w:header="567" w:footer="567" w:gutter="0"/>
          <w:pgNumType w:fmt="lowerRoman" w:start="1"/>
          <w:cols w:space="720"/>
          <w:docGrid w:linePitch="360"/>
        </w:sectPr>
      </w:pPr>
    </w:p>
    <w:p w14:paraId="68B39AE1" w14:textId="77777777" w:rsidR="00B264BF" w:rsidRPr="00926D59" w:rsidRDefault="00BB19F9" w:rsidP="005E1349">
      <w:pPr>
        <w:pStyle w:val="EYHeading1"/>
      </w:pPr>
      <w:bookmarkStart w:id="10" w:name="_Toc5285223"/>
      <w:r>
        <w:t>Introduction</w:t>
      </w:r>
      <w:bookmarkEnd w:id="10"/>
    </w:p>
    <w:p w14:paraId="4D498B38" w14:textId="77777777" w:rsidR="00B264BF" w:rsidRPr="00926D59" w:rsidRDefault="00BB19F9" w:rsidP="00BB19F9">
      <w:pPr>
        <w:pStyle w:val="EYHeading2"/>
      </w:pPr>
      <w:bookmarkStart w:id="11" w:name="_Toc5285224"/>
      <w:r w:rsidRPr="00BB19F9">
        <w:t>Project background</w:t>
      </w:r>
      <w:bookmarkEnd w:id="11"/>
    </w:p>
    <w:p w14:paraId="196EC940" w14:textId="77777777" w:rsidR="00BB19F9" w:rsidRDefault="00BB19F9" w:rsidP="00BB19F9">
      <w:pPr>
        <w:pStyle w:val="EYBodytextwithparaspace"/>
      </w:pPr>
      <w:r>
        <w:t>The Department of Social Services (DSS) and the National Disability Insurance Agency (NDIA) have commissioned the NDIS Thin Markets</w:t>
      </w:r>
      <w:r w:rsidR="00E1787F">
        <w:rPr>
          <w:rStyle w:val="FootnoteReference"/>
        </w:rPr>
        <w:footnoteReference w:id="2"/>
      </w:r>
      <w:r>
        <w:t xml:space="preserve"> Project </w:t>
      </w:r>
      <w:r w:rsidR="00763B79">
        <w:t xml:space="preserve">(the “Project”) </w:t>
      </w:r>
      <w:r>
        <w:t xml:space="preserve">to develop a structured approach to responding to thin market challenges in the NDIS. The </w:t>
      </w:r>
      <w:r w:rsidR="0043465C">
        <w:t>P</w:t>
      </w:r>
      <w:r>
        <w:t xml:space="preserve">roject will consider the full suite of options to inform next steps. Noting that there is not necessarily a one-size-fits-all approach to addressing thin markets and related challenges, the ultimate focus of the </w:t>
      </w:r>
      <w:r w:rsidR="0043465C">
        <w:t>P</w:t>
      </w:r>
      <w:r>
        <w:t xml:space="preserve">roject is on making sure NDIS participants affected by ‘thin market’ challenges have access to the supports they </w:t>
      </w:r>
      <w:r w:rsidR="00537B79">
        <w:t>require.</w:t>
      </w:r>
      <w:r w:rsidR="00537B79">
        <w:rPr>
          <w:rStyle w:val="FootnoteReference"/>
        </w:rPr>
        <w:footnoteReference w:id="3"/>
      </w:r>
    </w:p>
    <w:p w14:paraId="4A2B50ED" w14:textId="77777777" w:rsidR="00BB19F9" w:rsidRDefault="00BB19F9" w:rsidP="00BB19F9">
      <w:pPr>
        <w:pStyle w:val="EYBodytextwithparaspace"/>
      </w:pPr>
      <w:r>
        <w:t xml:space="preserve">The outputs of the </w:t>
      </w:r>
      <w:r w:rsidR="00AE2442">
        <w:t>P</w:t>
      </w:r>
      <w:r>
        <w:t>roject will include (summarised in figure 1 below):</w:t>
      </w:r>
    </w:p>
    <w:p w14:paraId="7ACC622B" w14:textId="77777777" w:rsidR="00BB19F9" w:rsidRDefault="00BB19F9" w:rsidP="00391F4B">
      <w:pPr>
        <w:pStyle w:val="EYBulletedText1"/>
      </w:pPr>
      <w:r>
        <w:t>A framework for addressing thin market challenges</w:t>
      </w:r>
      <w:r w:rsidR="00391F4B">
        <w:t>.</w:t>
      </w:r>
    </w:p>
    <w:p w14:paraId="0DDF162B" w14:textId="77777777" w:rsidR="00856E5F" w:rsidRDefault="00BB19F9" w:rsidP="00391F4B">
      <w:pPr>
        <w:pStyle w:val="EYBulletedText1"/>
      </w:pPr>
      <w:r>
        <w:t xml:space="preserve">A roadmap for developing and </w:t>
      </w:r>
      <w:r w:rsidR="006B2134">
        <w:t>implementing reforms</w:t>
      </w:r>
      <w:r>
        <w:t>.</w:t>
      </w:r>
    </w:p>
    <w:p w14:paraId="42621D8D" w14:textId="77777777" w:rsidR="000C6787" w:rsidRDefault="00BB19F9" w:rsidP="00391F4B">
      <w:pPr>
        <w:pStyle w:val="Caption"/>
      </w:pPr>
      <w:r w:rsidRPr="00BB19F9">
        <w:t>Figure 1: The NDIS Thin Markets Project</w:t>
      </w:r>
    </w:p>
    <w:p w14:paraId="49149153" w14:textId="77777777" w:rsidR="00BB19F9" w:rsidRDefault="000C6787" w:rsidP="00537B79">
      <w:pPr>
        <w:pStyle w:val="EYBodytextwithoutparaspace"/>
      </w:pPr>
      <w:r>
        <w:rPr>
          <w:noProof/>
          <w:lang w:eastAsia="en-AU"/>
        </w:rPr>
        <w:drawing>
          <wp:inline distT="0" distB="0" distL="0" distR="0" wp14:anchorId="2C057D37" wp14:editId="69A16671">
            <wp:extent cx="6118075" cy="1533525"/>
            <wp:effectExtent l="0" t="0" r="0" b="0"/>
            <wp:docPr id="6" name="Picture 6" descr="This figure shows four steps. The first is the discussion paper (this paper). Step 2 is public consultation. Step 3 is the Thin Markets framework, and step 4 is the roadmap to reforms." title="Figure 1: The NDIS Thin Market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543" cy="1534394"/>
                    </a:xfrm>
                    <a:prstGeom prst="rect">
                      <a:avLst/>
                    </a:prstGeom>
                    <a:noFill/>
                  </pic:spPr>
                </pic:pic>
              </a:graphicData>
            </a:graphic>
          </wp:inline>
        </w:drawing>
      </w:r>
    </w:p>
    <w:p w14:paraId="3517F498" w14:textId="77777777" w:rsidR="000C6787" w:rsidRDefault="000C6787" w:rsidP="00537B79">
      <w:pPr>
        <w:pStyle w:val="EYBodytextwithoutparaspace"/>
      </w:pPr>
    </w:p>
    <w:p w14:paraId="730F4415" w14:textId="77777777" w:rsidR="00BB19F9" w:rsidRDefault="00BB19F9" w:rsidP="00BB19F9">
      <w:pPr>
        <w:pStyle w:val="EYHeading2"/>
      </w:pPr>
      <w:bookmarkStart w:id="12" w:name="_Toc5285225"/>
      <w:r>
        <w:t>Purpose of this document</w:t>
      </w:r>
      <w:bookmarkEnd w:id="12"/>
    </w:p>
    <w:p w14:paraId="2BB3C3CE" w14:textId="77777777" w:rsidR="00BB19F9" w:rsidRDefault="00BB19F9" w:rsidP="0047520B">
      <w:pPr>
        <w:pStyle w:val="EYBodytextwithparaspace"/>
        <w:spacing w:after="120"/>
      </w:pPr>
      <w:r>
        <w:t>This discussion paper is the first step in a br</w:t>
      </w:r>
      <w:r w:rsidR="009C40D7">
        <w:t>oad, national consultation on ‘thin m</w:t>
      </w:r>
      <w:r>
        <w:t>arket’ issues –</w:t>
      </w:r>
      <w:r w:rsidR="0066228B">
        <w:t xml:space="preserve"> how to identify them</w:t>
      </w:r>
      <w:r>
        <w:t xml:space="preserve"> and what should be done </w:t>
      </w:r>
      <w:r w:rsidR="0066228B">
        <w:t>to address market gaps to meet participants’ needs</w:t>
      </w:r>
      <w:r>
        <w:t>. It includes:</w:t>
      </w:r>
    </w:p>
    <w:p w14:paraId="2A6B7826" w14:textId="77777777" w:rsidR="00BB19F9" w:rsidRDefault="00BB19F9" w:rsidP="0047520B">
      <w:pPr>
        <w:pStyle w:val="EYBulletedText1"/>
        <w:spacing w:after="160"/>
      </w:pPr>
      <w:r>
        <w:t xml:space="preserve">A summary of the purpose of this </w:t>
      </w:r>
      <w:r w:rsidR="00E1787F">
        <w:t>Project</w:t>
      </w:r>
      <w:r>
        <w:t>, key stage</w:t>
      </w:r>
      <w:r w:rsidR="00391F4B">
        <w:t>s, and the consultation process.</w:t>
      </w:r>
    </w:p>
    <w:p w14:paraId="77ED1A20" w14:textId="77777777" w:rsidR="00BB19F9" w:rsidRDefault="00BB19F9" w:rsidP="0047520B">
      <w:pPr>
        <w:pStyle w:val="EYBulletedText1"/>
        <w:spacing w:after="160"/>
      </w:pPr>
      <w:r>
        <w:t xml:space="preserve">How thin markets are being defined for this </w:t>
      </w:r>
      <w:r w:rsidR="00E1787F">
        <w:t>Project</w:t>
      </w:r>
      <w:r>
        <w:t xml:space="preserve">, and why and how this </w:t>
      </w:r>
      <w:r w:rsidR="00E1787F">
        <w:t>Project</w:t>
      </w:r>
      <w:r>
        <w:t xml:space="preserve"> is looking at them</w:t>
      </w:r>
      <w:r w:rsidR="00391F4B">
        <w:t>.</w:t>
      </w:r>
    </w:p>
    <w:p w14:paraId="5E103309" w14:textId="77777777" w:rsidR="00BB19F9" w:rsidRDefault="00BB19F9" w:rsidP="0047520B">
      <w:pPr>
        <w:pStyle w:val="EYBulletedText1"/>
        <w:spacing w:after="160"/>
      </w:pPr>
      <w:r>
        <w:t xml:space="preserve">The broad suite of options available to address thin markets, for discussion and consultation through the first stage of this </w:t>
      </w:r>
      <w:r w:rsidR="00E1787F">
        <w:t>Project</w:t>
      </w:r>
      <w:r>
        <w:t>.</w:t>
      </w:r>
    </w:p>
    <w:p w14:paraId="2E82D263" w14:textId="77777777" w:rsidR="00BB19F9" w:rsidRDefault="00BB19F9" w:rsidP="006B224D">
      <w:pPr>
        <w:pStyle w:val="EYHeading2"/>
      </w:pPr>
      <w:bookmarkStart w:id="13" w:name="_Toc5285226"/>
      <w:r>
        <w:lastRenderedPageBreak/>
        <w:t>This consultation</w:t>
      </w:r>
      <w:bookmarkEnd w:id="13"/>
    </w:p>
    <w:p w14:paraId="6BCDEBF1" w14:textId="77777777" w:rsidR="00BB19F9" w:rsidRDefault="00BB19F9" w:rsidP="006B224D">
      <w:pPr>
        <w:pStyle w:val="EYBodytextwithparaspace"/>
        <w:keepNext/>
        <w:spacing w:after="120"/>
      </w:pPr>
      <w:r>
        <w:t xml:space="preserve">There have already been </w:t>
      </w:r>
      <w:proofErr w:type="gramStart"/>
      <w:r>
        <w:t>a number of</w:t>
      </w:r>
      <w:proofErr w:type="gramEnd"/>
      <w:r>
        <w:t xml:space="preserve"> inquiries and reviews of the NDIS that have considered the challenges with the NDIS, and the issue of thin markets have been raised. This consultation process is about:</w:t>
      </w:r>
    </w:p>
    <w:p w14:paraId="55E15D6F" w14:textId="77777777" w:rsidR="00BB19F9" w:rsidRDefault="00BB19F9" w:rsidP="006B224D">
      <w:pPr>
        <w:pStyle w:val="EYBulletedText1"/>
        <w:keepNext/>
        <w:spacing w:after="160"/>
      </w:pPr>
      <w:r>
        <w:t>C</w:t>
      </w:r>
      <w:r w:rsidR="009C40D7">
        <w:t>hecking that the full range of thin m</w:t>
      </w:r>
      <w:r>
        <w:t>arket challenges, including diversity across different service types, regions and cohorts of people, a</w:t>
      </w:r>
      <w:r w:rsidR="00391F4B">
        <w:t>re understood by government.</w:t>
      </w:r>
      <w:r>
        <w:t xml:space="preserve"> </w:t>
      </w:r>
    </w:p>
    <w:p w14:paraId="41CA3FEB" w14:textId="77777777" w:rsidR="00BB19F9" w:rsidRDefault="00BB19F9" w:rsidP="006B224D">
      <w:pPr>
        <w:pStyle w:val="EYBulletedText1"/>
        <w:keepNext/>
        <w:spacing w:after="160"/>
      </w:pPr>
      <w:r>
        <w:t>Consulting on which solutions can work to meet those challenges, in a way that meets the legislative objectives of the NDIS and the diverse needs of NDIS participants.</w:t>
      </w:r>
    </w:p>
    <w:p w14:paraId="0702F6FC" w14:textId="77777777" w:rsidR="00BB19F9" w:rsidRDefault="00BB19F9" w:rsidP="006B224D">
      <w:pPr>
        <w:pStyle w:val="EYBodytextwithparaspace"/>
        <w:keepNext/>
      </w:pPr>
      <w:r>
        <w:t xml:space="preserve">The insights gathered through consultation will inform the framework and the </w:t>
      </w:r>
      <w:r w:rsidR="006B2134">
        <w:t xml:space="preserve">implementation of initial reforms </w:t>
      </w:r>
      <w:r>
        <w:t>to be rolled out</w:t>
      </w:r>
      <w:r w:rsidR="00B17D2B">
        <w:t xml:space="preserve"> by the NDIA </w:t>
      </w:r>
      <w:r>
        <w:t>progressively in 2019.</w:t>
      </w:r>
    </w:p>
    <w:p w14:paraId="17C9E882" w14:textId="77777777" w:rsidR="00073930" w:rsidRDefault="00073930" w:rsidP="00073930">
      <w:pPr>
        <w:pStyle w:val="EYHeading1"/>
      </w:pPr>
      <w:bookmarkStart w:id="14" w:name="_Toc5285227"/>
      <w:r>
        <w:lastRenderedPageBreak/>
        <w:t>What ‘thin markets’ are, and why are they important?</w:t>
      </w:r>
      <w:bookmarkEnd w:id="14"/>
    </w:p>
    <w:p w14:paraId="37E9773A" w14:textId="77777777" w:rsidR="00073930" w:rsidRDefault="00073930" w:rsidP="00073930">
      <w:pPr>
        <w:pStyle w:val="EYHeading2"/>
      </w:pPr>
      <w:bookmarkStart w:id="15" w:name="_Toc5285228"/>
      <w:r>
        <w:t>The NDIS vision</w:t>
      </w:r>
      <w:bookmarkEnd w:id="15"/>
    </w:p>
    <w:p w14:paraId="128FC829" w14:textId="77777777" w:rsidR="00073930" w:rsidRDefault="00073930" w:rsidP="00073930">
      <w:pPr>
        <w:pStyle w:val="EYBodytextwithparaspace"/>
      </w:pPr>
      <w:r>
        <w:t>The NDIS represents transformational change for service providers, government, participants and their carers through the reform of disability services that places participants – the people who need disability services – at the centre of the system. Among the legislative objectives of the reforms are to:</w:t>
      </w:r>
    </w:p>
    <w:p w14:paraId="30FE8970" w14:textId="77777777" w:rsidR="00073930" w:rsidRDefault="00073930" w:rsidP="00073930">
      <w:pPr>
        <w:pStyle w:val="EY1Number"/>
      </w:pPr>
      <w:r>
        <w:t>Ensure access to reasonable and necessary supports for all Australians with a permanent</w:t>
      </w:r>
      <w:r w:rsidR="002D0189">
        <w:t xml:space="preserve"> and significant</w:t>
      </w:r>
      <w:r>
        <w:t xml:space="preserve"> disability</w:t>
      </w:r>
      <w:r w:rsidR="00391F4B">
        <w:t>.</w:t>
      </w:r>
    </w:p>
    <w:p w14:paraId="2FEB5E89" w14:textId="77777777" w:rsidR="00073930" w:rsidRDefault="00073930" w:rsidP="00073930">
      <w:pPr>
        <w:pStyle w:val="EY1Number"/>
      </w:pPr>
      <w:r>
        <w:t>Enable people with disability to exercise choice and control in the pursuit of their goals and the planning and delivery of their supports</w:t>
      </w:r>
      <w:r w:rsidR="00391F4B">
        <w:t>.</w:t>
      </w:r>
    </w:p>
    <w:p w14:paraId="7396873B" w14:textId="77777777" w:rsidR="00073930" w:rsidRDefault="00073930" w:rsidP="00073930">
      <w:pPr>
        <w:pStyle w:val="EY1Number"/>
      </w:pPr>
      <w:r>
        <w:t xml:space="preserve">Deliver the reforms </w:t>
      </w:r>
      <w:proofErr w:type="gramStart"/>
      <w:r>
        <w:t>with regard to</w:t>
      </w:r>
      <w:proofErr w:type="gramEnd"/>
      <w:r>
        <w:t xml:space="preserve"> the financial sustainability of the NDIS. </w:t>
      </w:r>
    </w:p>
    <w:p w14:paraId="70CEDDFD" w14:textId="77777777" w:rsidR="00073930" w:rsidRDefault="00073930" w:rsidP="00073930">
      <w:pPr>
        <w:pStyle w:val="EYBodytextwithparaspace"/>
      </w:pPr>
      <w:r>
        <w:t xml:space="preserve">Delivering on that vision requires both a significant ramp-up in the level of services delivered nationally, as well as national reform of how they are delivered. The </w:t>
      </w:r>
      <w:r w:rsidR="0066228B">
        <w:t>persistence of</w:t>
      </w:r>
      <w:r>
        <w:t xml:space="preserve"> ‘</w:t>
      </w:r>
      <w:r w:rsidR="002D0189">
        <w:t>thin markets</w:t>
      </w:r>
      <w:r>
        <w:t xml:space="preserve">’ can constrain the achievement of this vision. </w:t>
      </w:r>
    </w:p>
    <w:p w14:paraId="4B2720FB" w14:textId="77777777" w:rsidR="00073930" w:rsidRDefault="00073930" w:rsidP="00073930">
      <w:pPr>
        <w:pStyle w:val="EYHeading2"/>
      </w:pPr>
      <w:bookmarkStart w:id="16" w:name="_Toc5285229"/>
      <w:r>
        <w:t>What are thin markets?</w:t>
      </w:r>
      <w:bookmarkEnd w:id="16"/>
    </w:p>
    <w:p w14:paraId="37291094" w14:textId="4B53C445" w:rsidR="00BB19F9" w:rsidRDefault="00073930" w:rsidP="00073930">
      <w:pPr>
        <w:pStyle w:val="EYBodytextwithparaspace"/>
      </w:pPr>
      <w:r>
        <w:t xml:space="preserve">For the purposes of this </w:t>
      </w:r>
      <w:r w:rsidR="00E1787F">
        <w:t>Project</w:t>
      </w:r>
      <w:r>
        <w:t>, ‘</w:t>
      </w:r>
      <w:r w:rsidR="002D0189">
        <w:t>thin markets</w:t>
      </w:r>
      <w:r>
        <w:t xml:space="preserve">’ are quite broadly defined. This </w:t>
      </w:r>
      <w:r w:rsidR="009371A1">
        <w:t>keeps the focus on meeting NDIS</w:t>
      </w:r>
      <w:r w:rsidR="004B3F7B">
        <w:t xml:space="preserve"> </w:t>
      </w:r>
      <w:r>
        <w:t xml:space="preserve">participant needs, rather than </w:t>
      </w:r>
      <w:proofErr w:type="gramStart"/>
      <w:r>
        <w:t>particular causes</w:t>
      </w:r>
      <w:proofErr w:type="gramEnd"/>
      <w:r>
        <w:t xml:space="preserve"> for needs not being met (such as geographic isolation, population dispersion, lack of provider market depth).</w:t>
      </w:r>
    </w:p>
    <w:p w14:paraId="679D619B" w14:textId="41A32629" w:rsidR="00E46BD9" w:rsidRDefault="00E46BD9" w:rsidP="00E46BD9">
      <w:pPr>
        <w:pStyle w:val="Caption"/>
      </w:pPr>
      <w:r w:rsidRPr="00BB19F9">
        <w:t xml:space="preserve">Figure </w:t>
      </w:r>
      <w:r>
        <w:t>2</w:t>
      </w:r>
      <w:r w:rsidRPr="00BB19F9">
        <w:t xml:space="preserve">: </w:t>
      </w:r>
      <w:r>
        <w:t>Defining thin markets</w:t>
      </w:r>
    </w:p>
    <w:p w14:paraId="3D6DDDF9" w14:textId="1F08CEEF" w:rsidR="00391F4B" w:rsidRDefault="00391F4B" w:rsidP="00391F4B">
      <w:pPr>
        <w:pStyle w:val="Caption"/>
      </w:pPr>
      <w:r>
        <w:rPr>
          <w:noProof/>
          <w:lang w:eastAsia="en-AU"/>
        </w:rPr>
        <w:drawing>
          <wp:inline distT="0" distB="0" distL="0" distR="0" wp14:anchorId="6FE3F77B" wp14:editId="332B813A">
            <wp:extent cx="6086475" cy="1876425"/>
            <wp:effectExtent l="0" t="0" r="9525" b="9525"/>
            <wp:docPr id="9" name="Picture 9" descr="On the left the figure shows the question what are 'thin markets'? On the right it provides a definition: In the context of the NDIS, thin markets exist where there is a gap between the needs of participants and the services available in the market. &#10;This can occur in a particular location (where the services are needed), and/or for a particular service, and/or for certain cohorts of participants; and is driven by difficulties in servicing a client’s need or their location, such as high co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1876425"/>
                    </a:xfrm>
                    <a:prstGeom prst="rect">
                      <a:avLst/>
                    </a:prstGeom>
                    <a:noFill/>
                  </pic:spPr>
                </pic:pic>
              </a:graphicData>
            </a:graphic>
          </wp:inline>
        </w:drawing>
      </w:r>
    </w:p>
    <w:p w14:paraId="3AE97BFD" w14:textId="77777777" w:rsidR="00073930" w:rsidRDefault="00073930" w:rsidP="004D1D4A">
      <w:pPr>
        <w:pStyle w:val="EYBodytextwithoutparaspace"/>
      </w:pPr>
    </w:p>
    <w:p w14:paraId="2A466D48" w14:textId="77777777" w:rsidR="00664DE4" w:rsidRPr="00664DE4" w:rsidRDefault="00664DE4" w:rsidP="00664DE4">
      <w:r w:rsidRPr="00664DE4">
        <w:br w:type="page"/>
      </w:r>
    </w:p>
    <w:p w14:paraId="6ADB2ADC" w14:textId="77777777" w:rsidR="00073930" w:rsidRDefault="00073930" w:rsidP="00073930">
      <w:pPr>
        <w:pStyle w:val="EYHeading2"/>
      </w:pPr>
      <w:bookmarkStart w:id="17" w:name="_Toc5285230"/>
      <w:r>
        <w:lastRenderedPageBreak/>
        <w:t>Thin market challenges</w:t>
      </w:r>
      <w:bookmarkEnd w:id="17"/>
      <w:r>
        <w:t xml:space="preserve"> </w:t>
      </w:r>
    </w:p>
    <w:p w14:paraId="7508339A" w14:textId="77777777" w:rsidR="004D1D4A" w:rsidRDefault="00073930" w:rsidP="00073930">
      <w:pPr>
        <w:pStyle w:val="EYBodytextwithparaspace"/>
      </w:pPr>
      <w:proofErr w:type="gramStart"/>
      <w:r>
        <w:t>A number of</w:t>
      </w:r>
      <w:proofErr w:type="gramEnd"/>
      <w:r>
        <w:t xml:space="preserve"> consultation processes have already been undertaken to consider the challenges and issues associated with the transition to the NDIS including ongoing consultation by the NDIS Joint Standing </w:t>
      </w:r>
      <w:r w:rsidR="004D1D4A">
        <w:t>Committee</w:t>
      </w:r>
      <w:r w:rsidR="004D1D4A">
        <w:rPr>
          <w:rStyle w:val="FootnoteReference"/>
        </w:rPr>
        <w:footnoteReference w:id="4"/>
      </w:r>
      <w:r w:rsidR="004D1D4A">
        <w:t xml:space="preserve"> and </w:t>
      </w:r>
      <w:r>
        <w:t xml:space="preserve">the Productivity Commission’s 2017 NDIS Costs </w:t>
      </w:r>
      <w:r w:rsidR="004D1D4A">
        <w:t>Report.</w:t>
      </w:r>
      <w:r w:rsidR="004D1D4A">
        <w:rPr>
          <w:rStyle w:val="FootnoteReference"/>
        </w:rPr>
        <w:footnoteReference w:id="5"/>
      </w:r>
      <w:r w:rsidR="004D1D4A">
        <w:t xml:space="preserve"> </w:t>
      </w:r>
      <w:r>
        <w:t>Many of these issues are not new – they have been faced by service providers prior to the NDIS reforms, and are ongoing challenges in other sectors such as health and education. However, the shift to participant</w:t>
      </w:r>
      <w:r w:rsidR="006C56B3">
        <w:noBreakHyphen/>
      </w:r>
      <w:r>
        <w:t>directed funding has exacerbated some of these challenges (for example, in areas where providers have said there is not enough participant demand to support them to maintain a trained, skilled workforce).</w:t>
      </w:r>
      <w:r w:rsidR="002D0189">
        <w:t xml:space="preserve"> Figure </w:t>
      </w:r>
      <w:r w:rsidR="00A13DFD">
        <w:t>3</w:t>
      </w:r>
      <w:r w:rsidR="002D0189">
        <w:t xml:space="preserve"> summarises the challenges </w:t>
      </w:r>
      <w:r w:rsidR="00A85022">
        <w:t>and issues identified in these consultation</w:t>
      </w:r>
      <w:r w:rsidR="006C56B3">
        <w:t xml:space="preserve">s, which can lead to participants facing service gaps. </w:t>
      </w:r>
    </w:p>
    <w:p w14:paraId="56B09A8C" w14:textId="77777777" w:rsidR="00073930" w:rsidRDefault="004D1D4A" w:rsidP="00391F4B">
      <w:pPr>
        <w:pStyle w:val="Caption"/>
      </w:pPr>
      <w:r w:rsidRPr="004D1D4A">
        <w:t xml:space="preserve">Figure </w:t>
      </w:r>
      <w:r w:rsidR="00A13DFD">
        <w:t>3</w:t>
      </w:r>
      <w:r w:rsidRPr="004D1D4A">
        <w:t xml:space="preserve">: </w:t>
      </w:r>
      <w:proofErr w:type="gramStart"/>
      <w:r w:rsidRPr="004D1D4A">
        <w:t>Particular thin</w:t>
      </w:r>
      <w:proofErr w:type="gramEnd"/>
      <w:r w:rsidRPr="004D1D4A">
        <w:t xml:space="preserve"> market challenges</w:t>
      </w:r>
    </w:p>
    <w:p w14:paraId="5025D396" w14:textId="77777777" w:rsidR="007C00C8" w:rsidRDefault="00685C3D" w:rsidP="004D1D4A">
      <w:pPr>
        <w:pStyle w:val="EYTableHeading"/>
      </w:pPr>
      <w:r>
        <w:rPr>
          <w:noProof/>
        </w:rPr>
        <w:drawing>
          <wp:inline distT="0" distB="0" distL="0" distR="0" wp14:anchorId="0F208868" wp14:editId="67A0B3FD">
            <wp:extent cx="6292067" cy="3546557"/>
            <wp:effectExtent l="0" t="0" r="0" b="0"/>
            <wp:docPr id="44" name="Picture 44" descr="Left to right, this figure describes five thin market challenges: Geographic Isolation, Vulnerable Clients, Higher Operating Costs, Workforce and Temporary Supply Gaps During Transition&#10;Under Geographic Isolation it says: Physical distance and travel time results in higher costs for service delivery for isolated or highly dispersed communities.&#10;Under Vulnerable Clients it says: The communities that some providers serve may have complex and higher needs including isolation, complex disability support needs and challenges in self-determining their needs. These clients require more highly qualified staff to service their needs.&#10;Under Higher Operating Costs it says: Low client numbers (or difficulty in finding/connecting with clients that are in a region), and/or highly dispersed clients result in higher per-client costs than can be supported under existing NDIS staff utilisation.&#10;Under Workforce it says: Challenges in recruiting and retaining qualified workforces and providing learning and development opportunities.&#10;Under Temporary Supply Gaps During Transition it says: Temporary supply gaps during transition to full implementation of the NDIS, where some supports (such as certain specialist supports and Allied Health services) take time to reach levels required to meet de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5777" cy="3548648"/>
                    </a:xfrm>
                    <a:prstGeom prst="rect">
                      <a:avLst/>
                    </a:prstGeom>
                    <a:noFill/>
                  </pic:spPr>
                </pic:pic>
              </a:graphicData>
            </a:graphic>
          </wp:inline>
        </w:drawing>
      </w:r>
    </w:p>
    <w:p w14:paraId="5632FC74" w14:textId="77777777" w:rsidR="00073930" w:rsidRDefault="00073930" w:rsidP="004D1D4A">
      <w:pPr>
        <w:pStyle w:val="EYBodytextwithoutparaspace"/>
      </w:pPr>
    </w:p>
    <w:p w14:paraId="7D0BDB9C" w14:textId="77777777" w:rsidR="004D1D4A" w:rsidRDefault="004D1D4A" w:rsidP="004D1D4A">
      <w:pPr>
        <w:pStyle w:val="EYBodytextwithparaspace"/>
      </w:pPr>
      <w:r>
        <w:t>These issues not only present barriers to new providers entering the NDIS, they may also constrain the ability of current providers to deliver services.</w:t>
      </w:r>
    </w:p>
    <w:p w14:paraId="4AF4D7F9" w14:textId="77777777" w:rsidR="004D1D4A" w:rsidRDefault="004D1D4A" w:rsidP="004D1D4A">
      <w:pPr>
        <w:pStyle w:val="EYHeading2"/>
      </w:pPr>
      <w:bookmarkStart w:id="18" w:name="_Toc5285231"/>
      <w:r>
        <w:t>Potential responses to thin markets</w:t>
      </w:r>
      <w:bookmarkEnd w:id="18"/>
    </w:p>
    <w:p w14:paraId="2E0E3F4E" w14:textId="77777777" w:rsidR="004D1D4A" w:rsidRDefault="004D1D4A" w:rsidP="004D1D4A">
      <w:pPr>
        <w:pStyle w:val="EYBodytextwithparaspace"/>
      </w:pPr>
      <w:r>
        <w:t xml:space="preserve">Based on a review of the literature on thin markets and the NDIS, as well as the views offered in submissions to previous consultation </w:t>
      </w:r>
      <w:r w:rsidRPr="009A03BC">
        <w:t>processes</w:t>
      </w:r>
      <w:r>
        <w:t>,</w:t>
      </w:r>
      <w:r>
        <w:rPr>
          <w:rStyle w:val="FootnoteReference"/>
        </w:rPr>
        <w:footnoteReference w:id="6"/>
      </w:r>
      <w:r w:rsidRPr="009A03BC">
        <w:t xml:space="preserve"> a </w:t>
      </w:r>
      <w:r>
        <w:t xml:space="preserve">range of high level response options to address thin markets have been identified. These are highlighted in figure </w:t>
      </w:r>
      <w:r w:rsidR="00A13DFD">
        <w:t>4</w:t>
      </w:r>
      <w:r w:rsidR="009C40D7">
        <w:t>.</w:t>
      </w:r>
      <w:r>
        <w:t xml:space="preserve"> </w:t>
      </w:r>
    </w:p>
    <w:p w14:paraId="739F50A0" w14:textId="77777777" w:rsidR="00073930" w:rsidRDefault="004D1D4A" w:rsidP="004D1D4A">
      <w:pPr>
        <w:pStyle w:val="EYBodytextwithparaspace"/>
      </w:pPr>
      <w:r>
        <w:t xml:space="preserve">The spectrum illustrates the range of government involvement that is associated with the response options from limited government involvement on the left, to substantial on the </w:t>
      </w:r>
      <w:r>
        <w:lastRenderedPageBreak/>
        <w:t>right. All responses should aim to encourage positive market behaviour and development, and they must reflect the financial sustainability objective of the NDIS.</w:t>
      </w:r>
    </w:p>
    <w:p w14:paraId="41E4FA4B" w14:textId="77777777" w:rsidR="00073930" w:rsidRDefault="004D1D4A" w:rsidP="00391F4B">
      <w:pPr>
        <w:pStyle w:val="Caption"/>
      </w:pPr>
      <w:r w:rsidRPr="004D1D4A">
        <w:t xml:space="preserve">Figure </w:t>
      </w:r>
      <w:r w:rsidR="00A13DFD">
        <w:t>4</w:t>
      </w:r>
      <w:r w:rsidRPr="004D1D4A">
        <w:t xml:space="preserve">: Grouping possible policy and implementation responses to address thin </w:t>
      </w:r>
      <w:r w:rsidRPr="00643115">
        <w:t>markets</w:t>
      </w:r>
      <w:r>
        <w:rPr>
          <w:rStyle w:val="FootnoteReference"/>
        </w:rPr>
        <w:footnoteReference w:id="7"/>
      </w:r>
    </w:p>
    <w:p w14:paraId="0862E5F1" w14:textId="77777777" w:rsidR="00A13DFD" w:rsidRPr="00A13DFD" w:rsidRDefault="00A13DFD" w:rsidP="00A13DFD">
      <w:pPr>
        <w:pStyle w:val="EYBodytextwithparaspace"/>
      </w:pPr>
    </w:p>
    <w:p w14:paraId="551C0818" w14:textId="77777777" w:rsidR="00DD6D9E" w:rsidRDefault="00A8355F" w:rsidP="004D1D4A">
      <w:pPr>
        <w:pStyle w:val="EYTableHeading"/>
      </w:pPr>
      <w:r>
        <w:rPr>
          <w:noProof/>
          <w:lang w:eastAsia="en-AU"/>
        </w:rPr>
        <w:drawing>
          <wp:inline distT="0" distB="0" distL="0" distR="0" wp14:anchorId="04E0DA3F" wp14:editId="412156AA">
            <wp:extent cx="5991225" cy="4326975"/>
            <wp:effectExtent l="0" t="0" r="0" b="0"/>
            <wp:docPr id="7" name="Picture 7" descr="This figure shows a spectrum of government involvement in responding to thin markets. The left hand side represents light touch or limited government involvement. As you move to the right, options for responding involve progressively more governemnt involvement.&#10;Options for intervention are categorised into four groups, from left to right they are: Market Faciltiation, Market Deepening, Regulation, and Alternative Commissioning Models.&#10;Under Market Facilitation it says (in dot points): Demand-supply matching.&#10;Supply partnerships.&#10;Information provision (e.g. supply and demand data)&#10;e.g. NDIS e-market platforms, ‘My Aged Care’ portal, ‘MySkills’ website (education).&#10;Under Market Deepening it says (in dot points): Linking together / bundling of services.&#10;Input market deepening (e.g. training more workers).&#10;e.g. integration of services (such as paramedic and home case services in Canada), or placing allied health students in areas of workforce shortage (Australia).&#10;Under Regulation it says (in dot points): Regulation / setting of prices.&#10;Regulation of market access (competition for the market).&#10;e.g. NDIS price caps - additional loadings in remote areas within the regulated price regime.&#10;Under Alternative Commissioning Models it says (in dot points): Government provision of services.&#10;Direct commissioning of services.&#10;Community Led Partnerships.&#10;e.g. Mobile Black Spot Program (direct funding for improved mobile coverage in regional and remote areas).&#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020700" cy="4348262"/>
                    </a:xfrm>
                    <a:prstGeom prst="rect">
                      <a:avLst/>
                    </a:prstGeom>
                    <a:noFill/>
                    <a:ln>
                      <a:noFill/>
                    </a:ln>
                    <a:extLst>
                      <a:ext uri="{53640926-AAD7-44D8-BBD7-CCE9431645EC}">
                        <a14:shadowObscured xmlns:a14="http://schemas.microsoft.com/office/drawing/2010/main"/>
                      </a:ext>
                    </a:extLst>
                  </pic:spPr>
                </pic:pic>
              </a:graphicData>
            </a:graphic>
          </wp:inline>
        </w:drawing>
      </w:r>
    </w:p>
    <w:p w14:paraId="2F6F6DBE" w14:textId="77777777" w:rsidR="00391F4B" w:rsidRPr="00664DE4" w:rsidRDefault="00391F4B" w:rsidP="00664DE4"/>
    <w:p w14:paraId="60D1D083" w14:textId="77777777" w:rsidR="004D1D4A" w:rsidRDefault="004D1D4A" w:rsidP="004D1D4A">
      <w:pPr>
        <w:pStyle w:val="EYBodytextwithparaspace"/>
      </w:pPr>
      <w:r>
        <w:t>Response options can be broadly categorised into four types of responses (the full list of precedent programs reviewed to date is shown at Appendix A):</w:t>
      </w:r>
    </w:p>
    <w:p w14:paraId="6C391E29" w14:textId="77777777" w:rsidR="004D1D4A" w:rsidRDefault="004D1D4A" w:rsidP="004D1D4A">
      <w:pPr>
        <w:pStyle w:val="EY1Number"/>
        <w:numPr>
          <w:ilvl w:val="0"/>
          <w:numId w:val="39"/>
        </w:numPr>
      </w:pPr>
      <w:r w:rsidRPr="004D1D4A">
        <w:rPr>
          <w:b/>
        </w:rPr>
        <w:t>Market Facilitation</w:t>
      </w:r>
      <w:r>
        <w:t xml:space="preserve">: These responses seek to enable competitive markets, for example by giving participants information about the service options or providers available to them, or matching supply and demand through electronic platforms. Supply partnerships, such as place-based collaborative models, alternative business models, co-operatives or sharing infrastructure between providers, can also support providers to overcome their service delivery challenges. </w:t>
      </w:r>
    </w:p>
    <w:p w14:paraId="6646EC4D" w14:textId="77777777" w:rsidR="004D1D4A" w:rsidRDefault="00C43CBD" w:rsidP="004D1D4A">
      <w:pPr>
        <w:pStyle w:val="EYBulletedText2"/>
      </w:pPr>
      <w:r>
        <w:t>E</w:t>
      </w:r>
      <w:r w:rsidR="004D1D4A">
        <w:t xml:space="preserve">xamples that fall under this approach include the facilitation or provision of e-markets </w:t>
      </w:r>
      <w:r w:rsidR="00DC6CBE">
        <w:t xml:space="preserve">platforms </w:t>
      </w:r>
      <w:r w:rsidR="004D1D4A">
        <w:t xml:space="preserve">(e.g. </w:t>
      </w:r>
      <w:proofErr w:type="spellStart"/>
      <w:r w:rsidR="004D1D4A">
        <w:t>myAgedCare</w:t>
      </w:r>
      <w:proofErr w:type="spellEnd"/>
      <w:r w:rsidR="004D1D4A">
        <w:t>), or programs that aim to facilitate the growth or transition of the sector (e.g. the Sector Development Fund).</w:t>
      </w:r>
    </w:p>
    <w:p w14:paraId="49E424E8" w14:textId="77777777" w:rsidR="004D1D4A" w:rsidRDefault="004D1D4A" w:rsidP="004D1D4A">
      <w:pPr>
        <w:pStyle w:val="EY1Number"/>
      </w:pPr>
      <w:r w:rsidRPr="004D1D4A">
        <w:rPr>
          <w:b/>
        </w:rPr>
        <w:t>Market Deepening</w:t>
      </w:r>
      <w:r>
        <w:t xml:space="preserve">: These responses seek to encourage supply to meet needs, including by ‘bundling’ together demand for different services to enhance efficiency, where supplying one of the services is inefficient; by pooling individualised funding to ensure </w:t>
      </w:r>
      <w:r>
        <w:lastRenderedPageBreak/>
        <w:t>economies of scale for a provider; or by stimulating or providing direct supply inputs, such as by encouraging skilled workers into markets in need.</w:t>
      </w:r>
    </w:p>
    <w:p w14:paraId="5068B771" w14:textId="77777777" w:rsidR="004D1D4A" w:rsidRDefault="00C43CBD" w:rsidP="004D1D4A">
      <w:pPr>
        <w:pStyle w:val="EYBulletedText2"/>
      </w:pPr>
      <w:r>
        <w:t>E</w:t>
      </w:r>
      <w:r w:rsidR="004D1D4A">
        <w:t>xamples that fall under this approach include the mechanism used in the Multi-Purpose Services model to bundle aged care, disability and health services, or programs that encourage skilled workers to move to regional or remote areas (e.g. the Bonded Medical Places Scheme</w:t>
      </w:r>
      <w:r w:rsidR="00B50E4C">
        <w:t>, or the National Rural Health Student Network</w:t>
      </w:r>
      <w:r w:rsidR="004D1D4A">
        <w:t>).</w:t>
      </w:r>
    </w:p>
    <w:p w14:paraId="5C5237C0" w14:textId="77777777" w:rsidR="004D1D4A" w:rsidRDefault="004D1D4A" w:rsidP="004D1D4A">
      <w:pPr>
        <w:pStyle w:val="EY1Number"/>
      </w:pPr>
      <w:r w:rsidRPr="004D1D4A">
        <w:rPr>
          <w:b/>
        </w:rPr>
        <w:t>Regulation</w:t>
      </w:r>
      <w:r>
        <w:t xml:space="preserve">: These responses may control market operation to varying degrees through regulating or setting prices, controlling market access, or otherwise governing the operation of the markets to ensure it achieves service objectives. </w:t>
      </w:r>
    </w:p>
    <w:p w14:paraId="5931A873" w14:textId="77777777" w:rsidR="004D1D4A" w:rsidRDefault="00C43CBD" w:rsidP="004D1D4A">
      <w:pPr>
        <w:pStyle w:val="EYBulletedText2"/>
      </w:pPr>
      <w:r>
        <w:t>E</w:t>
      </w:r>
      <w:r w:rsidR="004D1D4A">
        <w:t xml:space="preserve">xamples that fall under this approach include: adding or modifying regional loadings within the regulated price regime (e.g. changes accepted as part of the Independent Pricing Review); </w:t>
      </w:r>
      <w:r w:rsidR="0066228B">
        <w:t>or selection of service providers who can deliver services within certain catchments.</w:t>
      </w:r>
    </w:p>
    <w:p w14:paraId="61182C9A" w14:textId="77777777" w:rsidR="004D1D4A" w:rsidRDefault="004D1D4A" w:rsidP="004D1D4A">
      <w:pPr>
        <w:pStyle w:val="EY1Number"/>
      </w:pPr>
      <w:r w:rsidRPr="00D37AB2">
        <w:rPr>
          <w:b/>
        </w:rPr>
        <w:t>Alternative commissioning models</w:t>
      </w:r>
      <w:r w:rsidR="007D1E1B">
        <w:rPr>
          <w:b/>
        </w:rPr>
        <w:t xml:space="preserve"> (incl. community led responses)</w:t>
      </w:r>
      <w:r>
        <w:t>: This includes options that involve direct commissioning or government provision of services</w:t>
      </w:r>
      <w:r w:rsidR="006C56B3">
        <w:t xml:space="preserve">, for example </w:t>
      </w:r>
      <w:r w:rsidR="0066228B">
        <w:t>regulated monopoly</w:t>
      </w:r>
      <w:r w:rsidR="006C56B3">
        <w:t xml:space="preserve"> (one service provider)</w:t>
      </w:r>
      <w:r w:rsidR="0066228B">
        <w:t xml:space="preserve"> or oligopoly </w:t>
      </w:r>
      <w:r w:rsidR="006C56B3">
        <w:t xml:space="preserve">(few service providers) </w:t>
      </w:r>
      <w:r w:rsidR="0066228B">
        <w:t>models</w:t>
      </w:r>
      <w:r w:rsidR="006C56B3">
        <w:t>. Options</w:t>
      </w:r>
      <w:r>
        <w:t xml:space="preserve"> would </w:t>
      </w:r>
      <w:r w:rsidR="006C56B3">
        <w:t xml:space="preserve">also </w:t>
      </w:r>
      <w:r>
        <w:t>include commissioning of community led responses (</w:t>
      </w:r>
      <w:proofErr w:type="gramStart"/>
      <w:r>
        <w:t>whether or not</w:t>
      </w:r>
      <w:proofErr w:type="gramEnd"/>
      <w:r>
        <w:t xml:space="preserve"> the financing would come from government). </w:t>
      </w:r>
    </w:p>
    <w:p w14:paraId="7773EE34" w14:textId="77777777" w:rsidR="004D1D4A" w:rsidRPr="00391F4B" w:rsidRDefault="00C43CBD" w:rsidP="00391F4B">
      <w:pPr>
        <w:pStyle w:val="EYBulletedText2"/>
      </w:pPr>
      <w:r w:rsidRPr="00391F4B">
        <w:t>E</w:t>
      </w:r>
      <w:r w:rsidR="004D1D4A" w:rsidRPr="00391F4B">
        <w:t>xamples that would fall under this approach include: directly contracting with a provider, or number of providers, to provide access to services</w:t>
      </w:r>
      <w:r w:rsidR="00781153" w:rsidRPr="00391F4B">
        <w:t>;</w:t>
      </w:r>
      <w:r w:rsidRPr="00391F4B">
        <w:t xml:space="preserve"> </w:t>
      </w:r>
      <w:r w:rsidR="004D1D4A" w:rsidRPr="00391F4B">
        <w:t>or providing seed funding for a community-led partnership</w:t>
      </w:r>
      <w:r w:rsidRPr="00391F4B">
        <w:t>.</w:t>
      </w:r>
    </w:p>
    <w:p w14:paraId="35862E10" w14:textId="77777777" w:rsidR="004D1D4A" w:rsidRDefault="004D1D4A" w:rsidP="004D1D4A">
      <w:pPr>
        <w:pStyle w:val="EYHeading1"/>
      </w:pPr>
      <w:bookmarkStart w:id="19" w:name="_Toc5285232"/>
      <w:r>
        <w:lastRenderedPageBreak/>
        <w:t>Consultation participation</w:t>
      </w:r>
      <w:bookmarkEnd w:id="19"/>
    </w:p>
    <w:p w14:paraId="77A1E850" w14:textId="77777777" w:rsidR="004D1D4A" w:rsidRDefault="004D1D4A" w:rsidP="004D1D4A">
      <w:pPr>
        <w:pStyle w:val="EYBodytextwithparaspace"/>
      </w:pPr>
      <w:r>
        <w:t xml:space="preserve">This section sets out the objectives of the consultation, the consultation process, and some key questions for each stakeholder group, to guide your feedback. </w:t>
      </w:r>
    </w:p>
    <w:p w14:paraId="195A305D" w14:textId="77777777" w:rsidR="004D1D4A" w:rsidRDefault="004D1D4A" w:rsidP="009E46E4">
      <w:pPr>
        <w:pStyle w:val="EYHeading2"/>
      </w:pPr>
      <w:bookmarkStart w:id="20" w:name="_Toc5285233"/>
      <w:r>
        <w:t>Consultation objectives</w:t>
      </w:r>
      <w:bookmarkEnd w:id="20"/>
    </w:p>
    <w:p w14:paraId="33FE1775" w14:textId="77777777" w:rsidR="004D1D4A" w:rsidRPr="009E46E4" w:rsidRDefault="004D1D4A" w:rsidP="009E46E4">
      <w:pPr>
        <w:pStyle w:val="EY1Number"/>
        <w:numPr>
          <w:ilvl w:val="0"/>
          <w:numId w:val="40"/>
        </w:numPr>
        <w:rPr>
          <w:b/>
        </w:rPr>
      </w:pPr>
      <w:r w:rsidRPr="009E46E4">
        <w:rPr>
          <w:b/>
        </w:rPr>
        <w:t>Agree on the problem definition for thin markets in the context of the NDIS</w:t>
      </w:r>
    </w:p>
    <w:p w14:paraId="35D6BBC5" w14:textId="77777777" w:rsidR="004D1D4A" w:rsidRDefault="004D1D4A" w:rsidP="009E46E4">
      <w:pPr>
        <w:pStyle w:val="EYBulletedText2"/>
      </w:pPr>
      <w:r>
        <w:t xml:space="preserve">Agree on </w:t>
      </w:r>
      <w:r w:rsidR="0066228B">
        <w:t xml:space="preserve">how to identify </w:t>
      </w:r>
      <w:r>
        <w:rPr>
          <w:rFonts w:cs="EYInterstate Light"/>
        </w:rPr>
        <w:t>‘</w:t>
      </w:r>
      <w:r>
        <w:t>thin markets</w:t>
      </w:r>
      <w:r>
        <w:rPr>
          <w:rFonts w:cs="EYInterstate Light"/>
        </w:rPr>
        <w:t>’</w:t>
      </w:r>
      <w:r>
        <w:t xml:space="preserve"> and understand how they are perceived and/or understood by providers, participants and peak bodies including key characteristics and market segments</w:t>
      </w:r>
      <w:r w:rsidR="00B50E4C">
        <w:t>.</w:t>
      </w:r>
    </w:p>
    <w:p w14:paraId="09EE4D5C" w14:textId="77777777" w:rsidR="004D1D4A" w:rsidRDefault="004D1D4A" w:rsidP="009E46E4">
      <w:pPr>
        <w:pStyle w:val="EYBulletedText2"/>
      </w:pPr>
      <w:r>
        <w:t>Understand the key causes, challenges and/or barriers that produce thin markets and whether these are temporary or persistent</w:t>
      </w:r>
      <w:r w:rsidR="00B50E4C">
        <w:t>.</w:t>
      </w:r>
    </w:p>
    <w:p w14:paraId="161A7F44" w14:textId="77777777" w:rsidR="004D1D4A" w:rsidRDefault="004D1D4A" w:rsidP="009E46E4">
      <w:pPr>
        <w:pStyle w:val="EYBulletedText2"/>
      </w:pPr>
      <w:r>
        <w:t>Identify the implications of thin market characteristics for achieving effective, efficient and equitable outcomes</w:t>
      </w:r>
      <w:r w:rsidR="00B50E4C">
        <w:t>.</w:t>
      </w:r>
    </w:p>
    <w:p w14:paraId="11911A10" w14:textId="77777777" w:rsidR="004D1D4A" w:rsidRPr="009E46E4" w:rsidRDefault="004D1D4A" w:rsidP="009E46E4">
      <w:pPr>
        <w:pStyle w:val="EY1Number"/>
        <w:rPr>
          <w:b/>
        </w:rPr>
      </w:pPr>
      <w:r w:rsidRPr="009E46E4">
        <w:rPr>
          <w:b/>
        </w:rPr>
        <w:t>Gather meaningful input on where and when the government should take a different approach to NDIS delivery</w:t>
      </w:r>
    </w:p>
    <w:p w14:paraId="06A1A0CC" w14:textId="77777777" w:rsidR="004D1D4A" w:rsidRDefault="004D1D4A" w:rsidP="009E46E4">
      <w:pPr>
        <w:pStyle w:val="EYBulletedText2"/>
      </w:pPr>
      <w:r>
        <w:t>Identify where providers, participants and peak bodies are observing and/or experiencing thin markets most acutely and where responses should be prioritised</w:t>
      </w:r>
      <w:r w:rsidR="00B50E4C">
        <w:t>.</w:t>
      </w:r>
    </w:p>
    <w:p w14:paraId="01A26271" w14:textId="77777777" w:rsidR="00B50E4C" w:rsidRDefault="00B50E4C" w:rsidP="009E46E4">
      <w:pPr>
        <w:pStyle w:val="EYBulletedText2"/>
      </w:pPr>
      <w:r>
        <w:t>Understand how thin markets are affecting people with disability.</w:t>
      </w:r>
    </w:p>
    <w:p w14:paraId="4DA74298" w14:textId="77777777" w:rsidR="004D1D4A" w:rsidRDefault="004D1D4A" w:rsidP="009E46E4">
      <w:pPr>
        <w:pStyle w:val="EYBulletedText2"/>
      </w:pPr>
      <w:r>
        <w:t>Establish indicators that signal when responses are required</w:t>
      </w:r>
      <w:r w:rsidR="00B50E4C">
        <w:t>, including where corrective action may be an urgent priority.</w:t>
      </w:r>
    </w:p>
    <w:p w14:paraId="24B2AE3E" w14:textId="77777777" w:rsidR="004D1D4A" w:rsidRPr="009E46E4" w:rsidRDefault="004D1D4A" w:rsidP="009E46E4">
      <w:pPr>
        <w:pStyle w:val="EY1Number"/>
        <w:rPr>
          <w:b/>
        </w:rPr>
      </w:pPr>
      <w:r w:rsidRPr="009E46E4">
        <w:rPr>
          <w:b/>
        </w:rPr>
        <w:t>Explore how the government should respond to address thin markets</w:t>
      </w:r>
    </w:p>
    <w:p w14:paraId="75D34A7A" w14:textId="77777777" w:rsidR="004D1D4A" w:rsidRDefault="004D1D4A" w:rsidP="009E46E4">
      <w:pPr>
        <w:pStyle w:val="EYBulletedText2"/>
      </w:pPr>
      <w:r>
        <w:t>Identify response options or models that could encourage the development of a functioning market</w:t>
      </w:r>
      <w:r w:rsidR="00B50E4C">
        <w:t>.</w:t>
      </w:r>
    </w:p>
    <w:p w14:paraId="45DD0EE0" w14:textId="77777777" w:rsidR="004D1D4A" w:rsidRDefault="004D1D4A" w:rsidP="009E46E4">
      <w:pPr>
        <w:pStyle w:val="EYBulletedText2"/>
      </w:pPr>
      <w:r>
        <w:t>Explore what is working in other sectors or community initiatives that could be leveraged to create a functioning market</w:t>
      </w:r>
      <w:r w:rsidR="00B50E4C">
        <w:t>.</w:t>
      </w:r>
    </w:p>
    <w:p w14:paraId="4C907839" w14:textId="77777777" w:rsidR="004D1D4A" w:rsidRDefault="004D1D4A" w:rsidP="009E46E4">
      <w:pPr>
        <w:pStyle w:val="EYBulletedText2"/>
      </w:pPr>
      <w:r>
        <w:t>Discuss the trade-offs inherent in different responses, including how to maintain financial sustainability</w:t>
      </w:r>
      <w:r w:rsidR="00B50E4C">
        <w:t>.</w:t>
      </w:r>
    </w:p>
    <w:p w14:paraId="5D60FC2C" w14:textId="77777777" w:rsidR="004D1D4A" w:rsidRDefault="004D1D4A" w:rsidP="009E46E4">
      <w:pPr>
        <w:pStyle w:val="EYBulletedText2"/>
      </w:pPr>
      <w:r>
        <w:t>Considering the most viable and appropriate option/s to address different thin markets</w:t>
      </w:r>
      <w:r w:rsidR="00B50E4C">
        <w:t>.</w:t>
      </w:r>
    </w:p>
    <w:p w14:paraId="6CB6F92D" w14:textId="77777777" w:rsidR="004D1D4A" w:rsidRDefault="004D1D4A" w:rsidP="009E46E4">
      <w:pPr>
        <w:pStyle w:val="EYBulletedText2"/>
      </w:pPr>
      <w:r>
        <w:t>Understand how responses should be tailored based on the market segment</w:t>
      </w:r>
      <w:r w:rsidR="00B50E4C">
        <w:t>.</w:t>
      </w:r>
    </w:p>
    <w:p w14:paraId="42822158" w14:textId="77777777" w:rsidR="00F54977" w:rsidRDefault="00F54977" w:rsidP="00F54977">
      <w:pPr>
        <w:pStyle w:val="EYBodytextwithparaspace"/>
      </w:pPr>
    </w:p>
    <w:p w14:paraId="1545F953" w14:textId="77777777" w:rsidR="00F54977" w:rsidRDefault="00F54977" w:rsidP="00F54977">
      <w:pPr>
        <w:pStyle w:val="EYBodytextwithparaspace"/>
      </w:pPr>
      <w:r>
        <w:br w:type="page"/>
      </w:r>
    </w:p>
    <w:p w14:paraId="387A9C27" w14:textId="77777777" w:rsidR="004D1D4A" w:rsidRDefault="004D1D4A" w:rsidP="009E46E4">
      <w:pPr>
        <w:pStyle w:val="EYHeading2"/>
      </w:pPr>
      <w:bookmarkStart w:id="21" w:name="_Toc5285234"/>
      <w:r>
        <w:lastRenderedPageBreak/>
        <w:t>Consultation process – how to have your say</w:t>
      </w:r>
      <w:bookmarkEnd w:id="21"/>
    </w:p>
    <w:tbl>
      <w:tblPr>
        <w:tblStyle w:val="TableGrid"/>
        <w:tblW w:w="5000" w:type="pct"/>
        <w:tblBorders>
          <w:top w:val="single" w:sz="2" w:space="0" w:color="FFE600"/>
          <w:left w:val="single" w:sz="2" w:space="0" w:color="FFE600"/>
          <w:bottom w:val="single" w:sz="2" w:space="0" w:color="FFE600"/>
          <w:right w:val="single" w:sz="2" w:space="0" w:color="FFE600"/>
          <w:insideH w:val="single" w:sz="2" w:space="0" w:color="FFE600"/>
          <w:insideV w:val="single" w:sz="2" w:space="0" w:color="FFE600"/>
        </w:tblBorders>
        <w:shd w:val="clear" w:color="auto" w:fill="FFE600"/>
        <w:tblCellMar>
          <w:top w:w="170" w:type="dxa"/>
          <w:left w:w="170" w:type="dxa"/>
          <w:bottom w:w="170" w:type="dxa"/>
          <w:right w:w="170" w:type="dxa"/>
        </w:tblCellMar>
        <w:tblLook w:val="04A0" w:firstRow="1" w:lastRow="0" w:firstColumn="1" w:lastColumn="0" w:noHBand="0" w:noVBand="1"/>
      </w:tblPr>
      <w:tblGrid>
        <w:gridCol w:w="9351"/>
      </w:tblGrid>
      <w:tr w:rsidR="00F54977" w14:paraId="35C57134" w14:textId="77777777" w:rsidTr="001E5190">
        <w:trPr>
          <w:trHeight w:val="4932"/>
        </w:trPr>
        <w:tc>
          <w:tcPr>
            <w:tcW w:w="9019" w:type="dxa"/>
            <w:shd w:val="clear" w:color="auto" w:fill="FFE600"/>
          </w:tcPr>
          <w:p w14:paraId="52C54415" w14:textId="77777777" w:rsidR="00F54977" w:rsidRDefault="00F54977" w:rsidP="00F54977">
            <w:pPr>
              <w:pStyle w:val="EY1Number"/>
              <w:numPr>
                <w:ilvl w:val="0"/>
                <w:numId w:val="43"/>
              </w:numPr>
            </w:pPr>
            <w:r>
              <w:t xml:space="preserve">Send a </w:t>
            </w:r>
            <w:r w:rsidRPr="001E5190">
              <w:rPr>
                <w:b/>
              </w:rPr>
              <w:t>written submission</w:t>
            </w:r>
            <w:r>
              <w:t xml:space="preserve"> by </w:t>
            </w:r>
            <w:r w:rsidR="009371A1">
              <w:t>31 May</w:t>
            </w:r>
            <w:r>
              <w:t xml:space="preserve"> 2019 through </w:t>
            </w:r>
            <w:hyperlink r:id="rId16" w:history="1">
              <w:r w:rsidRPr="00EB625F">
                <w:rPr>
                  <w:rStyle w:val="Hyperlink"/>
                  <w:sz w:val="22"/>
                </w:rPr>
                <w:t>the DSS engage website.</w:t>
              </w:r>
            </w:hyperlink>
            <w:r>
              <w:t xml:space="preserve"> Submissions will be made public, unless you ask us to keep your submission confidential.</w:t>
            </w:r>
          </w:p>
          <w:p w14:paraId="74D1B124" w14:textId="77777777" w:rsidR="00F54977" w:rsidRDefault="00F54977" w:rsidP="00F54977">
            <w:pPr>
              <w:pStyle w:val="EY1Number"/>
            </w:pPr>
            <w:r>
              <w:t xml:space="preserve">Fill in the </w:t>
            </w:r>
            <w:r w:rsidRPr="0048739C">
              <w:rPr>
                <w:b/>
              </w:rPr>
              <w:t xml:space="preserve">survey on the </w:t>
            </w:r>
            <w:hyperlink r:id="rId17" w:history="1">
              <w:r w:rsidRPr="00EB625F">
                <w:rPr>
                  <w:rStyle w:val="Hyperlink"/>
                  <w:sz w:val="22"/>
                </w:rPr>
                <w:t>DSS Engage Website</w:t>
              </w:r>
            </w:hyperlink>
            <w:r>
              <w:t xml:space="preserve"> by </w:t>
            </w:r>
            <w:r w:rsidR="009371A1" w:rsidRPr="009371A1">
              <w:t>31</w:t>
            </w:r>
            <w:r w:rsidR="009371A1">
              <w:t xml:space="preserve"> May</w:t>
            </w:r>
            <w:r>
              <w:t xml:space="preserve"> 2019. The survey is aimed at collecting more detailed information from </w:t>
            </w:r>
            <w:r w:rsidR="00984223">
              <w:t xml:space="preserve">two </w:t>
            </w:r>
            <w:r>
              <w:t>groups:</w:t>
            </w:r>
          </w:p>
          <w:p w14:paraId="2B85B847" w14:textId="77777777" w:rsidR="001E3367" w:rsidRPr="009371A1" w:rsidRDefault="00232346" w:rsidP="00DA7671">
            <w:pPr>
              <w:pStyle w:val="EY2Letter"/>
            </w:pPr>
            <w:r w:rsidRPr="009371A1">
              <w:rPr>
                <w:b/>
              </w:rPr>
              <w:t>ND</w:t>
            </w:r>
            <w:r w:rsidR="00A8355F">
              <w:rPr>
                <w:b/>
              </w:rPr>
              <w:t>I</w:t>
            </w:r>
            <w:r w:rsidRPr="009371A1">
              <w:rPr>
                <w:b/>
              </w:rPr>
              <w:t xml:space="preserve">S </w:t>
            </w:r>
            <w:r w:rsidR="001E3367" w:rsidRPr="009371A1">
              <w:rPr>
                <w:b/>
              </w:rPr>
              <w:t>Participant</w:t>
            </w:r>
            <w:r w:rsidRPr="009371A1">
              <w:rPr>
                <w:b/>
              </w:rPr>
              <w:t>s</w:t>
            </w:r>
            <w:r w:rsidR="00984223" w:rsidRPr="009371A1">
              <w:rPr>
                <w:b/>
              </w:rPr>
              <w:t xml:space="preserve"> and peak bodies representing participants</w:t>
            </w:r>
            <w:r w:rsidR="00DA7671" w:rsidRPr="009371A1">
              <w:rPr>
                <w:b/>
              </w:rPr>
              <w:t xml:space="preserve">. </w:t>
            </w:r>
            <w:r w:rsidR="00DA7671" w:rsidRPr="009371A1">
              <w:t xml:space="preserve">The survey focuses on where participants </w:t>
            </w:r>
            <w:r w:rsidR="00984223" w:rsidRPr="009371A1">
              <w:t xml:space="preserve">and peak bodies </w:t>
            </w:r>
            <w:r w:rsidR="00DA7671" w:rsidRPr="009371A1">
              <w:t xml:space="preserve">believe thin markets exist; what the drivers of thin markets are; views on different response options; and views on services not perceived to be experiencing thin markets. </w:t>
            </w:r>
          </w:p>
          <w:p w14:paraId="43FB3B8F" w14:textId="77777777" w:rsidR="00F54977" w:rsidRDefault="00F54977" w:rsidP="00F54977">
            <w:pPr>
              <w:pStyle w:val="EY2Letter"/>
            </w:pPr>
            <w:r w:rsidRPr="005F2373">
              <w:rPr>
                <w:b/>
              </w:rPr>
              <w:t>Providers (and peak bodies representing providers).</w:t>
            </w:r>
            <w:r>
              <w:t xml:space="preserve"> T</w:t>
            </w:r>
            <w:r w:rsidRPr="00B67731">
              <w:t xml:space="preserve">he </w:t>
            </w:r>
            <w:r>
              <w:t xml:space="preserve">survey focuses on the </w:t>
            </w:r>
            <w:r w:rsidRPr="00B67731">
              <w:t>types of thin markets</w:t>
            </w:r>
            <w:r>
              <w:t xml:space="preserve"> providers</w:t>
            </w:r>
            <w:r w:rsidRPr="00B67731">
              <w:t xml:space="preserve"> operate in</w:t>
            </w:r>
            <w:r>
              <w:t>; t</w:t>
            </w:r>
            <w:r w:rsidRPr="00F32E17">
              <w:t>he factors influencing their decision to operate in a thin market</w:t>
            </w:r>
            <w:r>
              <w:t>; and t</w:t>
            </w:r>
            <w:r w:rsidRPr="00F32E17">
              <w:t>he potential options for assisting providers to deliver servi</w:t>
            </w:r>
            <w:r w:rsidR="000A6D5F">
              <w:t>ces in thin markets.</w:t>
            </w:r>
          </w:p>
          <w:p w14:paraId="1828A688" w14:textId="77777777" w:rsidR="00F54977" w:rsidRPr="00391F4B" w:rsidRDefault="00F54977" w:rsidP="001E5190">
            <w:pPr>
              <w:pStyle w:val="EYSubheading"/>
              <w:rPr>
                <w:sz w:val="22"/>
                <w:szCs w:val="22"/>
              </w:rPr>
            </w:pPr>
            <w:r>
              <w:t xml:space="preserve">If </w:t>
            </w:r>
            <w:r w:rsidRPr="00391F4B">
              <w:rPr>
                <w:sz w:val="22"/>
                <w:szCs w:val="22"/>
              </w:rPr>
              <w:t>you are one of these groups</w:t>
            </w:r>
            <w:r w:rsidR="00EB625F">
              <w:rPr>
                <w:sz w:val="22"/>
                <w:szCs w:val="22"/>
              </w:rPr>
              <w:t xml:space="preserve">, you can access the survey tailored to you at </w:t>
            </w:r>
            <w:hyperlink r:id="rId18" w:history="1">
              <w:r w:rsidR="00EB625F" w:rsidRPr="00EB625F">
                <w:rPr>
                  <w:rStyle w:val="Hyperlink"/>
                  <w:sz w:val="22"/>
                  <w:szCs w:val="22"/>
                </w:rPr>
                <w:t>https://engage.dss.gov.au/</w:t>
              </w:r>
            </w:hyperlink>
          </w:p>
          <w:p w14:paraId="6A89711E" w14:textId="77777777" w:rsidR="00F54977" w:rsidRDefault="00F54977" w:rsidP="00217013">
            <w:pPr>
              <w:pStyle w:val="EY1Number"/>
            </w:pPr>
            <w:r>
              <w:t xml:space="preserve">From </w:t>
            </w:r>
            <w:r w:rsidR="009371A1">
              <w:t>April</w:t>
            </w:r>
            <w:r w:rsidR="0066228B">
              <w:t xml:space="preserve"> </w:t>
            </w:r>
            <w:r>
              <w:t>201</w:t>
            </w:r>
            <w:r w:rsidR="0066228B">
              <w:t>9</w:t>
            </w:r>
            <w:r>
              <w:t xml:space="preserve"> to </w:t>
            </w:r>
            <w:r w:rsidR="00217013">
              <w:t>July</w:t>
            </w:r>
            <w:r w:rsidR="0066228B">
              <w:t xml:space="preserve"> </w:t>
            </w:r>
            <w:r>
              <w:t xml:space="preserve">2019, </w:t>
            </w:r>
            <w:r w:rsidRPr="0048739C">
              <w:rPr>
                <w:b/>
              </w:rPr>
              <w:t xml:space="preserve">face-to-face workshops and meetings </w:t>
            </w:r>
            <w:r>
              <w:t xml:space="preserve">will be occurring around the country with service providers, as well as peak bodies and representative groups. If you will not be attending a session, you can </w:t>
            </w:r>
            <w:r w:rsidRPr="0048739C">
              <w:rPr>
                <w:b/>
              </w:rPr>
              <w:t>make your views known to your peak body representative</w:t>
            </w:r>
            <w:r>
              <w:t>.</w:t>
            </w:r>
          </w:p>
        </w:tc>
      </w:tr>
    </w:tbl>
    <w:p w14:paraId="7294A18B" w14:textId="77777777" w:rsidR="004D1D4A" w:rsidRDefault="004D1D4A" w:rsidP="00654C12">
      <w:pPr>
        <w:pStyle w:val="EYBodytextwithoutparaspace"/>
      </w:pPr>
    </w:p>
    <w:p w14:paraId="4B06408A" w14:textId="77777777" w:rsidR="001E5190" w:rsidRDefault="001E5190" w:rsidP="00654C12">
      <w:pPr>
        <w:pStyle w:val="EYHeading2"/>
      </w:pPr>
      <w:bookmarkStart w:id="22" w:name="_Toc5285235"/>
      <w:r>
        <w:t>Questions to guide submissions</w:t>
      </w:r>
      <w:bookmarkEnd w:id="22"/>
    </w:p>
    <w:p w14:paraId="49E6CF77" w14:textId="77777777" w:rsidR="001E5190" w:rsidRDefault="00C43CBD" w:rsidP="001E5190">
      <w:pPr>
        <w:pStyle w:val="EYBodytextwithparaspace"/>
      </w:pPr>
      <w:r w:rsidRPr="00301AD8">
        <w:rPr>
          <w:b/>
          <w:kern w:val="12"/>
          <w:lang w:eastAsia="en-AU"/>
        </w:rPr>
        <w:t xml:space="preserve">NDIS Scheme </w:t>
      </w:r>
      <w:r w:rsidR="001E5190" w:rsidRPr="00301AD8">
        <w:rPr>
          <w:b/>
          <w:kern w:val="12"/>
          <w:lang w:eastAsia="en-AU"/>
        </w:rPr>
        <w:t>Participants</w:t>
      </w:r>
      <w:r w:rsidR="001E5190">
        <w:t xml:space="preserve"> (remember, you can ask for your submission to be kept confidential):</w:t>
      </w:r>
    </w:p>
    <w:p w14:paraId="36B1E032" w14:textId="77777777" w:rsidR="001E5190" w:rsidRDefault="001E5190" w:rsidP="00654C12">
      <w:pPr>
        <w:pStyle w:val="EY1Number"/>
        <w:numPr>
          <w:ilvl w:val="0"/>
          <w:numId w:val="44"/>
        </w:numPr>
      </w:pPr>
      <w:r>
        <w:t>Where do you live, a</w:t>
      </w:r>
      <w:r w:rsidR="00645A48">
        <w:t>nd what are your support needs?</w:t>
      </w:r>
    </w:p>
    <w:p w14:paraId="60F2C171" w14:textId="77777777" w:rsidR="001E5190" w:rsidRDefault="006C56B3" w:rsidP="00654C12">
      <w:pPr>
        <w:pStyle w:val="EY1Number"/>
      </w:pPr>
      <w:r>
        <w:t>How is your NDIS Plan managed?</w:t>
      </w:r>
    </w:p>
    <w:p w14:paraId="5BF3FFBD" w14:textId="77777777" w:rsidR="001E5190" w:rsidRDefault="001E5190" w:rsidP="00654C12">
      <w:pPr>
        <w:pStyle w:val="EY1Number"/>
      </w:pPr>
      <w:r>
        <w:t>Are you able to access the services you need where you live? If not,</w:t>
      </w:r>
    </w:p>
    <w:p w14:paraId="3AA6E0E2" w14:textId="77777777" w:rsidR="001E5190" w:rsidRDefault="001E5190" w:rsidP="00654C12">
      <w:pPr>
        <w:pStyle w:val="EY2Letter"/>
      </w:pPr>
      <w:r>
        <w:t>Are you travelling to receive the services?</w:t>
      </w:r>
      <w:r w:rsidR="006C56B3">
        <w:t xml:space="preserve"> If you are travelling, how far are you travelling?</w:t>
      </w:r>
    </w:p>
    <w:p w14:paraId="2F0E152B" w14:textId="77777777" w:rsidR="001E5190" w:rsidRDefault="001E5190" w:rsidP="00654C12">
      <w:pPr>
        <w:pStyle w:val="EY2Letter"/>
      </w:pPr>
      <w:r>
        <w:t>Are the services travelling to you?</w:t>
      </w:r>
    </w:p>
    <w:p w14:paraId="4A4EEF02" w14:textId="77777777" w:rsidR="001E5190" w:rsidRDefault="001E5190" w:rsidP="00732095">
      <w:pPr>
        <w:pStyle w:val="EY2Letter"/>
        <w:spacing w:after="120"/>
        <w:ind w:left="850" w:hanging="425"/>
      </w:pPr>
      <w:r>
        <w:t>Are you unable to access services</w:t>
      </w:r>
      <w:r w:rsidR="006C56B3">
        <w:t xml:space="preserve"> you need or would use, if they were available</w:t>
      </w:r>
      <w:r>
        <w:t>?</w:t>
      </w:r>
    </w:p>
    <w:p w14:paraId="5133F824" w14:textId="77777777" w:rsidR="001E5190" w:rsidRDefault="001E5190" w:rsidP="00654C12">
      <w:pPr>
        <w:pStyle w:val="EY3Roman"/>
      </w:pPr>
      <w:r>
        <w:t>For any of these three cases, please be as specific as possible about the services you are describing and the situation.</w:t>
      </w:r>
    </w:p>
    <w:p w14:paraId="51C363CE" w14:textId="77777777" w:rsidR="001E5190" w:rsidRDefault="001E5190" w:rsidP="00654C12">
      <w:pPr>
        <w:pStyle w:val="EY1Number"/>
      </w:pPr>
      <w:r>
        <w:t xml:space="preserve">What short-term and long-term approaches do you believe would best address thin market issues for you? </w:t>
      </w:r>
    </w:p>
    <w:p w14:paraId="4FD8B0CC" w14:textId="77777777" w:rsidR="001E5190" w:rsidRDefault="001E5190" w:rsidP="005223EB">
      <w:pPr>
        <w:pStyle w:val="EYIndent1"/>
      </w:pPr>
      <w:r>
        <w:t xml:space="preserve">(e.g. </w:t>
      </w:r>
      <w:r w:rsidR="0066228B">
        <w:t xml:space="preserve">provision of more information to participants and providers about supply and demand, </w:t>
      </w:r>
      <w:r>
        <w:t xml:space="preserve">government directly paying a provider to make sure supports are available, </w:t>
      </w:r>
      <w:r>
        <w:lastRenderedPageBreak/>
        <w:t>bundling of services, different approach to pricing, establishment of an effective e-market etc.)? Are there approaches you would not support?</w:t>
      </w:r>
    </w:p>
    <w:p w14:paraId="47036F94" w14:textId="77777777" w:rsidR="001E5190" w:rsidRDefault="001E5190" w:rsidP="00654C12">
      <w:pPr>
        <w:pStyle w:val="EYSubheading"/>
      </w:pPr>
      <w:r>
        <w:t>Providers/peak bodies representing providers</w:t>
      </w:r>
    </w:p>
    <w:p w14:paraId="69DC6910" w14:textId="77777777" w:rsidR="001E5190" w:rsidRDefault="001E5190" w:rsidP="00654C12">
      <w:pPr>
        <w:pStyle w:val="EY1Number"/>
        <w:numPr>
          <w:ilvl w:val="0"/>
          <w:numId w:val="45"/>
        </w:numPr>
      </w:pPr>
      <w:r>
        <w:t>What role does your organisation undertake in the sector?</w:t>
      </w:r>
    </w:p>
    <w:p w14:paraId="47B78505" w14:textId="77777777" w:rsidR="001E5190" w:rsidRDefault="001E5190" w:rsidP="00654C12">
      <w:pPr>
        <w:pStyle w:val="EY1Number"/>
      </w:pPr>
      <w:r>
        <w:t>Where does your organisation operate and what services does it provide?</w:t>
      </w:r>
    </w:p>
    <w:p w14:paraId="6676F478" w14:textId="77777777" w:rsidR="001E5190" w:rsidRDefault="001E5190" w:rsidP="00654C12">
      <w:pPr>
        <w:pStyle w:val="EY1Number"/>
      </w:pPr>
      <w:r>
        <w:t>Has your organisation recently entered</w:t>
      </w:r>
      <w:r w:rsidR="0066228B">
        <w:t>, expanded</w:t>
      </w:r>
      <w:r>
        <w:t xml:space="preserve"> or </w:t>
      </w:r>
      <w:r w:rsidR="0066228B">
        <w:t xml:space="preserve">ceased service </w:t>
      </w:r>
      <w:r>
        <w:t xml:space="preserve">a thin market? </w:t>
      </w:r>
    </w:p>
    <w:p w14:paraId="7C8D8FC2" w14:textId="77777777" w:rsidR="001E5190" w:rsidRDefault="001E5190" w:rsidP="00654C12">
      <w:pPr>
        <w:pStyle w:val="EY1Number"/>
      </w:pPr>
      <w:r>
        <w:t>What information does your organisation require to assess the me</w:t>
      </w:r>
      <w:r w:rsidR="00645A48">
        <w:t>rits of entering a thin market?</w:t>
      </w:r>
    </w:p>
    <w:p w14:paraId="5DD10275" w14:textId="77777777" w:rsidR="001E5190" w:rsidRDefault="001E5190" w:rsidP="00654C12">
      <w:pPr>
        <w:pStyle w:val="EY1Number"/>
      </w:pPr>
      <w:r>
        <w:t>What are the most important factors which impact on your organisation’s ability to opera</w:t>
      </w:r>
      <w:r w:rsidR="00645A48">
        <w:t>te in a thin market</w:t>
      </w:r>
      <w:r w:rsidR="00E8465C">
        <w:t>, (including barriers you currently face)</w:t>
      </w:r>
      <w:r w:rsidR="00645A48">
        <w:t>?</w:t>
      </w:r>
    </w:p>
    <w:p w14:paraId="36581B72" w14:textId="77777777" w:rsidR="001E5190" w:rsidRDefault="001E5190" w:rsidP="00654C12">
      <w:pPr>
        <w:pStyle w:val="EY1Number"/>
      </w:pPr>
      <w:r>
        <w:t>What short-term and long-term approaches do you believe would best addr</w:t>
      </w:r>
      <w:r w:rsidR="00645A48">
        <w:t>ess thin market issues for you?</w:t>
      </w:r>
    </w:p>
    <w:p w14:paraId="6D21AF31" w14:textId="77777777" w:rsidR="001E5190" w:rsidRPr="00391F4B" w:rsidRDefault="001E5190" w:rsidP="005223EB">
      <w:pPr>
        <w:pStyle w:val="EYIndent1"/>
        <w:rPr>
          <w:szCs w:val="22"/>
        </w:rPr>
      </w:pPr>
      <w:r w:rsidRPr="00391F4B">
        <w:rPr>
          <w:szCs w:val="22"/>
        </w:rPr>
        <w:t xml:space="preserve">(e.g. </w:t>
      </w:r>
      <w:r w:rsidR="0066228B" w:rsidRPr="00391F4B">
        <w:rPr>
          <w:szCs w:val="22"/>
        </w:rPr>
        <w:t xml:space="preserve">provision of more information to participants and providers about supply and demand, </w:t>
      </w:r>
      <w:r w:rsidRPr="00391F4B">
        <w:rPr>
          <w:szCs w:val="22"/>
        </w:rPr>
        <w:t>government directly paying a provider to make sure supports are available, bundling of services, different approach to pricing, establishment of an effective e-market etc.)? Are there approaches you would not support?</w:t>
      </w:r>
    </w:p>
    <w:p w14:paraId="404ACF48" w14:textId="77777777" w:rsidR="001E5190" w:rsidRDefault="001E5190" w:rsidP="005223EB">
      <w:pPr>
        <w:pStyle w:val="EYSubheading"/>
      </w:pPr>
      <w:r>
        <w:t>Peak bodies representing participants</w:t>
      </w:r>
    </w:p>
    <w:p w14:paraId="10FEC6F7" w14:textId="77777777" w:rsidR="001E5190" w:rsidRDefault="001E5190" w:rsidP="005223EB">
      <w:pPr>
        <w:pStyle w:val="EY1Number"/>
        <w:numPr>
          <w:ilvl w:val="0"/>
          <w:numId w:val="46"/>
        </w:numPr>
      </w:pPr>
      <w:r>
        <w:t>What role does your organi</w:t>
      </w:r>
      <w:r w:rsidR="00645A48">
        <w:t>sation undertake in the sector?</w:t>
      </w:r>
    </w:p>
    <w:p w14:paraId="1923A1FD" w14:textId="77777777" w:rsidR="001E5190" w:rsidRDefault="001E5190" w:rsidP="005223EB">
      <w:pPr>
        <w:pStyle w:val="EY1Number"/>
      </w:pPr>
      <w:proofErr w:type="gramStart"/>
      <w:r>
        <w:t>Has</w:t>
      </w:r>
      <w:proofErr w:type="gramEnd"/>
      <w:r>
        <w:t xml:space="preserve"> your organisation recently supported participants wh</w:t>
      </w:r>
      <w:r w:rsidR="00645A48">
        <w:t>o are affected by thin markets?</w:t>
      </w:r>
    </w:p>
    <w:p w14:paraId="070A197E" w14:textId="77777777" w:rsidR="001E5190" w:rsidRDefault="001E5190" w:rsidP="005223EB">
      <w:pPr>
        <w:pStyle w:val="EY1Number"/>
      </w:pPr>
      <w:r>
        <w:t>Where do you anticipate your constituents will experience thin markets issues in the future? (by</w:t>
      </w:r>
      <w:r w:rsidR="00645A48">
        <w:t xml:space="preserve"> location and/or service type)?</w:t>
      </w:r>
    </w:p>
    <w:p w14:paraId="29809B31" w14:textId="77777777" w:rsidR="001E5190" w:rsidRDefault="001E5190" w:rsidP="005223EB">
      <w:pPr>
        <w:pStyle w:val="EY1Number"/>
      </w:pPr>
      <w:r>
        <w:t>In your organisation’s experience, what barriers are affecting the availability of services, and the ability of participants to access services? (e.g. access to information, diversity of services, location</w:t>
      </w:r>
      <w:r w:rsidR="00645A48">
        <w:t xml:space="preserve"> and travel, plan budget etc.)?</w:t>
      </w:r>
    </w:p>
    <w:p w14:paraId="45CE64EB" w14:textId="77777777" w:rsidR="001E5190" w:rsidRDefault="001E5190" w:rsidP="005223EB">
      <w:pPr>
        <w:pStyle w:val="EY1Number"/>
      </w:pPr>
      <w:r>
        <w:t>What short-term and long-term approaches do you believe would best address thin market issues for you?</w:t>
      </w:r>
    </w:p>
    <w:p w14:paraId="1A02551A" w14:textId="77777777" w:rsidR="00BB19F9" w:rsidRDefault="001E5190" w:rsidP="005223EB">
      <w:pPr>
        <w:pStyle w:val="EYIndent1"/>
      </w:pPr>
      <w:r>
        <w:t xml:space="preserve">(e.g. </w:t>
      </w:r>
      <w:r w:rsidR="0066228B" w:rsidRPr="0066228B">
        <w:t>provision of more information to participants and providers about supply and demand,</w:t>
      </w:r>
      <w:r w:rsidR="0066228B">
        <w:t xml:space="preserve"> </w:t>
      </w:r>
      <w:r>
        <w:t>government directly paying a provider to make sure supports are available, bundling of services, different approach to pricing, establishment of an effective e-market etc.)? Are there approaches you would not support?</w:t>
      </w:r>
    </w:p>
    <w:p w14:paraId="66879618" w14:textId="77777777" w:rsidR="00BB19F9" w:rsidRDefault="00BB19F9" w:rsidP="00BB19F9">
      <w:pPr>
        <w:pStyle w:val="EYBodytextwithparaspace"/>
      </w:pPr>
    </w:p>
    <w:p w14:paraId="7A95F3C7" w14:textId="77777777" w:rsidR="00645A48" w:rsidRDefault="00645A48" w:rsidP="00BB19F9">
      <w:pPr>
        <w:pStyle w:val="EYBodytextwithparaspace"/>
      </w:pPr>
    </w:p>
    <w:p w14:paraId="65B60A0F" w14:textId="77777777" w:rsidR="00645A48" w:rsidRDefault="00645A48" w:rsidP="00BB19F9">
      <w:pPr>
        <w:pStyle w:val="EYBodytextwithparaspace"/>
      </w:pPr>
      <w:r>
        <w:br w:type="page"/>
      </w:r>
    </w:p>
    <w:p w14:paraId="13ACC987" w14:textId="77777777" w:rsidR="00645A48" w:rsidRDefault="00645A48" w:rsidP="00645A48">
      <w:pPr>
        <w:pStyle w:val="EYAppendix"/>
      </w:pPr>
      <w:bookmarkStart w:id="23" w:name="_Toc5285236"/>
      <w:r>
        <w:lastRenderedPageBreak/>
        <w:t>Precedent programs reviewed to date</w:t>
      </w:r>
      <w:bookmarkEnd w:id="23"/>
    </w:p>
    <w:p w14:paraId="66BBFEFB" w14:textId="77777777" w:rsidR="00645A48" w:rsidRDefault="00645A48" w:rsidP="00645A48">
      <w:pPr>
        <w:pStyle w:val="EYBodytextwithparaspace"/>
      </w:pPr>
      <w:r>
        <w:t xml:space="preserve">Table A.1 </w:t>
      </w:r>
      <w:r w:rsidRPr="00645A48">
        <w:t>below</w:t>
      </w:r>
      <w:r>
        <w:t xml:space="preserve"> shows the precedent programs that have been reviewed to date, in informing the spectrum of response options</w:t>
      </w:r>
    </w:p>
    <w:p w14:paraId="5531D333" w14:textId="77777777" w:rsidR="00645A48" w:rsidRDefault="00645A48" w:rsidP="00391F4B">
      <w:pPr>
        <w:pStyle w:val="Caption"/>
      </w:pPr>
      <w:r>
        <w:t>Table A1: Precedents reviewed to date</w:t>
      </w:r>
    </w:p>
    <w:tbl>
      <w:tblPr>
        <w:tblStyle w:val="TableGrid"/>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30"/>
        <w:gridCol w:w="1610"/>
        <w:gridCol w:w="236"/>
      </w:tblGrid>
      <w:tr w:rsidR="00E46BD9" w:rsidRPr="00391F4B" w14:paraId="400158D0" w14:textId="77777777" w:rsidTr="00E46BD9">
        <w:trPr>
          <w:gridAfter w:val="1"/>
          <w:wAfter w:w="237" w:type="dxa"/>
          <w:trHeight w:val="57"/>
          <w:tblHeader/>
        </w:trPr>
        <w:tc>
          <w:tcPr>
            <w:tcW w:w="7230" w:type="dxa"/>
            <w:shd w:val="clear" w:color="auto" w:fill="808080"/>
            <w:noWrap/>
            <w:tcMar>
              <w:top w:w="28" w:type="dxa"/>
              <w:left w:w="28" w:type="dxa"/>
              <w:bottom w:w="28" w:type="dxa"/>
              <w:right w:w="28" w:type="dxa"/>
            </w:tcMar>
            <w:vAlign w:val="center"/>
            <w:hideMark/>
          </w:tcPr>
          <w:p w14:paraId="73803A91" w14:textId="77777777" w:rsidR="00E46BD9" w:rsidRPr="00391F4B" w:rsidRDefault="00E46BD9" w:rsidP="00D05FF2">
            <w:pPr>
              <w:pStyle w:val="EYTableHeadingWhite"/>
              <w:rPr>
                <w:sz w:val="22"/>
                <w:szCs w:val="22"/>
                <w:lang w:eastAsia="en-AU"/>
              </w:rPr>
            </w:pPr>
            <w:r w:rsidRPr="00391F4B">
              <w:rPr>
                <w:sz w:val="22"/>
                <w:szCs w:val="22"/>
                <w:lang w:eastAsia="en-AU"/>
              </w:rPr>
              <w:t>Program</w:t>
            </w:r>
          </w:p>
        </w:tc>
        <w:tc>
          <w:tcPr>
            <w:tcW w:w="1610" w:type="dxa"/>
            <w:shd w:val="clear" w:color="auto" w:fill="808080"/>
            <w:noWrap/>
            <w:tcMar>
              <w:top w:w="28" w:type="dxa"/>
              <w:left w:w="28" w:type="dxa"/>
              <w:bottom w:w="28" w:type="dxa"/>
              <w:right w:w="28" w:type="dxa"/>
            </w:tcMar>
            <w:vAlign w:val="center"/>
            <w:hideMark/>
          </w:tcPr>
          <w:p w14:paraId="3B83D542" w14:textId="77777777" w:rsidR="00E46BD9" w:rsidRPr="00391F4B" w:rsidRDefault="00E46BD9" w:rsidP="00E46BD9">
            <w:pPr>
              <w:pStyle w:val="EYTableHeadingWhite"/>
              <w:rPr>
                <w:sz w:val="22"/>
                <w:szCs w:val="22"/>
                <w:lang w:eastAsia="en-AU"/>
              </w:rPr>
            </w:pPr>
            <w:r w:rsidRPr="00391F4B">
              <w:rPr>
                <w:sz w:val="22"/>
                <w:szCs w:val="22"/>
                <w:lang w:eastAsia="en-AU"/>
              </w:rPr>
              <w:t>Response Type (General categorisation)</w:t>
            </w:r>
          </w:p>
        </w:tc>
      </w:tr>
      <w:tr w:rsidR="00E46BD9" w:rsidRPr="00391F4B" w14:paraId="36ABDBC1" w14:textId="77777777" w:rsidTr="00E46BD9">
        <w:trPr>
          <w:gridAfter w:val="1"/>
          <w:wAfter w:w="237" w:type="dxa"/>
          <w:trHeight w:val="304"/>
        </w:trPr>
        <w:tc>
          <w:tcPr>
            <w:tcW w:w="7230" w:type="dxa"/>
            <w:shd w:val="clear" w:color="auto" w:fill="auto"/>
            <w:tcMar>
              <w:top w:w="28" w:type="dxa"/>
              <w:left w:w="28" w:type="dxa"/>
              <w:bottom w:w="28" w:type="dxa"/>
              <w:right w:w="28" w:type="dxa"/>
            </w:tcMar>
            <w:vAlign w:val="center"/>
            <w:hideMark/>
          </w:tcPr>
          <w:p w14:paraId="0EB8EFB1" w14:textId="77777777" w:rsidR="00E46BD9" w:rsidRPr="00391F4B" w:rsidRDefault="00E46BD9" w:rsidP="00012428">
            <w:pPr>
              <w:pStyle w:val="EYTablebullet1"/>
              <w:numPr>
                <w:ilvl w:val="0"/>
                <w:numId w:val="0"/>
              </w:numPr>
              <w:spacing w:before="0" w:after="0"/>
              <w:rPr>
                <w:sz w:val="22"/>
                <w:szCs w:val="22"/>
              </w:rPr>
            </w:pPr>
            <w:r w:rsidRPr="00391F4B">
              <w:rPr>
                <w:sz w:val="22"/>
                <w:szCs w:val="22"/>
              </w:rPr>
              <w:t xml:space="preserve">Education </w:t>
            </w:r>
            <w:r>
              <w:rPr>
                <w:sz w:val="22"/>
                <w:szCs w:val="22"/>
              </w:rPr>
              <w:t xml:space="preserve">– </w:t>
            </w:r>
            <w:proofErr w:type="spellStart"/>
            <w:r>
              <w:rPr>
                <w:sz w:val="22"/>
                <w:szCs w:val="22"/>
              </w:rPr>
              <w:t>MySkills</w:t>
            </w:r>
            <w:proofErr w:type="spellEnd"/>
            <w:r>
              <w:rPr>
                <w:sz w:val="22"/>
                <w:szCs w:val="22"/>
              </w:rPr>
              <w:t xml:space="preserve"> and </w:t>
            </w:r>
            <w:proofErr w:type="spellStart"/>
            <w:r w:rsidRPr="00391F4B">
              <w:rPr>
                <w:sz w:val="22"/>
                <w:szCs w:val="22"/>
              </w:rPr>
              <w:t>MyFuture</w:t>
            </w:r>
            <w:proofErr w:type="spellEnd"/>
            <w:r w:rsidRPr="00391F4B">
              <w:rPr>
                <w:sz w:val="22"/>
                <w:szCs w:val="22"/>
              </w:rPr>
              <w:t xml:space="preserve"> (Australia)</w:t>
            </w:r>
          </w:p>
        </w:tc>
        <w:tc>
          <w:tcPr>
            <w:tcW w:w="1610" w:type="dxa"/>
            <w:shd w:val="clear" w:color="auto" w:fill="auto"/>
            <w:tcMar>
              <w:top w:w="28" w:type="dxa"/>
              <w:left w:w="28" w:type="dxa"/>
              <w:bottom w:w="28" w:type="dxa"/>
              <w:right w:w="28" w:type="dxa"/>
            </w:tcMar>
            <w:vAlign w:val="center"/>
            <w:hideMark/>
          </w:tcPr>
          <w:p w14:paraId="454A9EFD" w14:textId="77777777" w:rsidR="00E46BD9" w:rsidRPr="00391F4B" w:rsidRDefault="00E46BD9" w:rsidP="00F16354">
            <w:pPr>
              <w:pStyle w:val="EYTableText"/>
              <w:rPr>
                <w:sz w:val="22"/>
                <w:szCs w:val="22"/>
              </w:rPr>
            </w:pPr>
            <w:r w:rsidRPr="00391F4B">
              <w:rPr>
                <w:sz w:val="22"/>
                <w:szCs w:val="22"/>
              </w:rPr>
              <w:t>Market facilitation</w:t>
            </w:r>
          </w:p>
        </w:tc>
      </w:tr>
      <w:tr w:rsidR="00E46BD9" w:rsidRPr="00391F4B" w14:paraId="7A9E5D7A" w14:textId="77777777" w:rsidTr="00E46BD9">
        <w:trPr>
          <w:gridAfter w:val="1"/>
          <w:wAfter w:w="237" w:type="dxa"/>
          <w:trHeight w:val="57"/>
        </w:trPr>
        <w:tc>
          <w:tcPr>
            <w:tcW w:w="7230" w:type="dxa"/>
            <w:tcBorders>
              <w:bottom w:val="single" w:sz="8" w:space="0" w:color="auto"/>
            </w:tcBorders>
            <w:shd w:val="clear" w:color="auto" w:fill="auto"/>
            <w:noWrap/>
            <w:tcMar>
              <w:top w:w="28" w:type="dxa"/>
              <w:left w:w="28" w:type="dxa"/>
              <w:bottom w:w="28" w:type="dxa"/>
              <w:right w:w="28" w:type="dxa"/>
            </w:tcMar>
            <w:vAlign w:val="center"/>
            <w:hideMark/>
          </w:tcPr>
          <w:p w14:paraId="7A1A5181" w14:textId="77777777" w:rsidR="00E46BD9" w:rsidRPr="00391F4B" w:rsidRDefault="00E46BD9" w:rsidP="00F16354">
            <w:pPr>
              <w:pStyle w:val="EYTablebullet1"/>
              <w:numPr>
                <w:ilvl w:val="0"/>
                <w:numId w:val="0"/>
              </w:numPr>
              <w:spacing w:before="0" w:after="0"/>
              <w:rPr>
                <w:sz w:val="22"/>
                <w:szCs w:val="22"/>
              </w:rPr>
            </w:pPr>
            <w:r w:rsidRPr="00391F4B">
              <w:rPr>
                <w:sz w:val="22"/>
                <w:szCs w:val="22"/>
              </w:rPr>
              <w:t>My Aged Care website (Australia)</w:t>
            </w:r>
          </w:p>
        </w:tc>
        <w:tc>
          <w:tcPr>
            <w:tcW w:w="1610" w:type="dxa"/>
            <w:tcBorders>
              <w:bottom w:val="single" w:sz="8" w:space="0" w:color="auto"/>
            </w:tcBorders>
            <w:shd w:val="clear" w:color="auto" w:fill="auto"/>
            <w:tcMar>
              <w:top w:w="28" w:type="dxa"/>
              <w:left w:w="28" w:type="dxa"/>
              <w:bottom w:w="28" w:type="dxa"/>
              <w:right w:w="28" w:type="dxa"/>
            </w:tcMar>
            <w:vAlign w:val="center"/>
            <w:hideMark/>
          </w:tcPr>
          <w:p w14:paraId="3AA96EA6" w14:textId="321BDE1E" w:rsidR="00E46BD9" w:rsidRPr="00391F4B" w:rsidRDefault="00E46BD9" w:rsidP="00F16354">
            <w:pPr>
              <w:pStyle w:val="EYTableText"/>
              <w:rPr>
                <w:sz w:val="22"/>
                <w:szCs w:val="22"/>
              </w:rPr>
            </w:pPr>
            <w:r w:rsidRPr="00391F4B">
              <w:rPr>
                <w:sz w:val="22"/>
                <w:szCs w:val="22"/>
              </w:rPr>
              <w:t>Market facilitation</w:t>
            </w:r>
          </w:p>
        </w:tc>
      </w:tr>
      <w:tr w:rsidR="00E46BD9" w:rsidRPr="00391F4B" w14:paraId="31AF55CA" w14:textId="77777777" w:rsidTr="00E46BD9">
        <w:trPr>
          <w:gridAfter w:val="1"/>
          <w:wAfter w:w="237" w:type="dxa"/>
          <w:trHeight w:val="57"/>
        </w:trPr>
        <w:tc>
          <w:tcPr>
            <w:tcW w:w="7230" w:type="dxa"/>
            <w:tcBorders>
              <w:top w:val="single" w:sz="8" w:space="0" w:color="auto"/>
            </w:tcBorders>
            <w:shd w:val="clear" w:color="auto" w:fill="auto"/>
            <w:tcMar>
              <w:top w:w="28" w:type="dxa"/>
              <w:left w:w="28" w:type="dxa"/>
              <w:bottom w:w="28" w:type="dxa"/>
              <w:right w:w="28" w:type="dxa"/>
            </w:tcMar>
            <w:vAlign w:val="center"/>
            <w:hideMark/>
          </w:tcPr>
          <w:p w14:paraId="4F01E0C0" w14:textId="77777777" w:rsidR="00E46BD9" w:rsidRPr="00391F4B" w:rsidRDefault="00E46BD9" w:rsidP="00F16354">
            <w:pPr>
              <w:pStyle w:val="EYTablebullet1"/>
              <w:numPr>
                <w:ilvl w:val="0"/>
                <w:numId w:val="0"/>
              </w:numPr>
              <w:rPr>
                <w:sz w:val="22"/>
                <w:szCs w:val="22"/>
              </w:rPr>
            </w:pPr>
            <w:r w:rsidRPr="00391F4B">
              <w:rPr>
                <w:sz w:val="22"/>
                <w:szCs w:val="22"/>
              </w:rPr>
              <w:t>Multi-Purpose Services Program (Australia)</w:t>
            </w:r>
          </w:p>
        </w:tc>
        <w:tc>
          <w:tcPr>
            <w:tcW w:w="1610" w:type="dxa"/>
            <w:tcBorders>
              <w:top w:val="single" w:sz="8" w:space="0" w:color="auto"/>
            </w:tcBorders>
            <w:shd w:val="clear" w:color="auto" w:fill="auto"/>
            <w:tcMar>
              <w:top w:w="28" w:type="dxa"/>
              <w:left w:w="28" w:type="dxa"/>
              <w:bottom w:w="28" w:type="dxa"/>
              <w:right w:w="28" w:type="dxa"/>
            </w:tcMar>
            <w:vAlign w:val="center"/>
            <w:hideMark/>
          </w:tcPr>
          <w:p w14:paraId="500FE984" w14:textId="77777777" w:rsidR="00E46BD9" w:rsidRPr="00391F4B" w:rsidRDefault="00E46BD9" w:rsidP="00F16354">
            <w:pPr>
              <w:pStyle w:val="EYTableText"/>
              <w:rPr>
                <w:sz w:val="22"/>
                <w:szCs w:val="22"/>
              </w:rPr>
            </w:pPr>
            <w:r w:rsidRPr="00391F4B">
              <w:rPr>
                <w:sz w:val="22"/>
                <w:szCs w:val="22"/>
              </w:rPr>
              <w:t>Market deepening</w:t>
            </w:r>
          </w:p>
        </w:tc>
      </w:tr>
      <w:tr w:rsidR="00E46BD9" w:rsidRPr="00391F4B" w14:paraId="2AE00B3D"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2E7AE1A7" w14:textId="77777777" w:rsidR="00E46BD9" w:rsidRPr="00391F4B" w:rsidRDefault="00E46BD9" w:rsidP="00F16354">
            <w:pPr>
              <w:pStyle w:val="EYTablebullet1"/>
              <w:numPr>
                <w:ilvl w:val="0"/>
                <w:numId w:val="0"/>
              </w:numPr>
              <w:rPr>
                <w:sz w:val="22"/>
                <w:szCs w:val="22"/>
              </w:rPr>
            </w:pPr>
            <w:r w:rsidRPr="00391F4B">
              <w:rPr>
                <w:sz w:val="22"/>
                <w:szCs w:val="22"/>
              </w:rPr>
              <w:t>Social Care (UK Aged Care)</w:t>
            </w:r>
          </w:p>
        </w:tc>
        <w:tc>
          <w:tcPr>
            <w:tcW w:w="1610" w:type="dxa"/>
            <w:shd w:val="clear" w:color="auto" w:fill="auto"/>
            <w:tcMar>
              <w:top w:w="28" w:type="dxa"/>
              <w:left w:w="28" w:type="dxa"/>
              <w:bottom w:w="28" w:type="dxa"/>
              <w:right w:w="28" w:type="dxa"/>
            </w:tcMar>
            <w:vAlign w:val="center"/>
            <w:hideMark/>
          </w:tcPr>
          <w:p w14:paraId="6ED66218" w14:textId="1CAD1282" w:rsidR="00E46BD9" w:rsidRPr="00391F4B" w:rsidRDefault="00E46BD9" w:rsidP="00F16354">
            <w:pPr>
              <w:pStyle w:val="EYTableText"/>
              <w:rPr>
                <w:sz w:val="22"/>
                <w:szCs w:val="22"/>
              </w:rPr>
            </w:pPr>
            <w:r w:rsidRPr="00391F4B">
              <w:rPr>
                <w:sz w:val="22"/>
                <w:szCs w:val="22"/>
              </w:rPr>
              <w:t>Market deepening</w:t>
            </w:r>
          </w:p>
        </w:tc>
      </w:tr>
      <w:tr w:rsidR="00E46BD9" w:rsidRPr="00391F4B" w14:paraId="76286405"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701BF1FB" w14:textId="77777777" w:rsidR="00E46BD9" w:rsidRPr="00391F4B" w:rsidRDefault="00E46BD9" w:rsidP="00F16354">
            <w:pPr>
              <w:pStyle w:val="EYTablebullet1"/>
              <w:numPr>
                <w:ilvl w:val="0"/>
                <w:numId w:val="0"/>
              </w:numPr>
              <w:rPr>
                <w:sz w:val="22"/>
                <w:szCs w:val="22"/>
              </w:rPr>
            </w:pPr>
            <w:r w:rsidRPr="00391F4B">
              <w:rPr>
                <w:sz w:val="22"/>
                <w:szCs w:val="22"/>
              </w:rPr>
              <w:t>Integration of senior and disability services in (New Brunswick, Canada)</w:t>
            </w:r>
          </w:p>
        </w:tc>
        <w:tc>
          <w:tcPr>
            <w:tcW w:w="1610" w:type="dxa"/>
            <w:shd w:val="clear" w:color="auto" w:fill="auto"/>
            <w:tcMar>
              <w:top w:w="28" w:type="dxa"/>
              <w:left w:w="28" w:type="dxa"/>
              <w:bottom w:w="28" w:type="dxa"/>
              <w:right w:w="28" w:type="dxa"/>
            </w:tcMar>
            <w:vAlign w:val="center"/>
            <w:hideMark/>
          </w:tcPr>
          <w:p w14:paraId="3C7F5A56" w14:textId="18E013B5" w:rsidR="00E46BD9" w:rsidRPr="00391F4B" w:rsidRDefault="00E46BD9" w:rsidP="00F16354">
            <w:pPr>
              <w:pStyle w:val="EYTableText"/>
              <w:rPr>
                <w:sz w:val="22"/>
                <w:szCs w:val="22"/>
              </w:rPr>
            </w:pPr>
            <w:r w:rsidRPr="00391F4B">
              <w:rPr>
                <w:sz w:val="22"/>
                <w:szCs w:val="22"/>
              </w:rPr>
              <w:t>Market deepening</w:t>
            </w:r>
          </w:p>
        </w:tc>
      </w:tr>
      <w:tr w:rsidR="00E46BD9" w:rsidRPr="00391F4B" w14:paraId="09EE5CBA"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0691FEBE" w14:textId="77777777" w:rsidR="00E46BD9" w:rsidRPr="00391F4B" w:rsidRDefault="00E46BD9" w:rsidP="00F16354">
            <w:pPr>
              <w:pStyle w:val="EYTablebullet1"/>
              <w:numPr>
                <w:ilvl w:val="0"/>
                <w:numId w:val="0"/>
              </w:numPr>
              <w:rPr>
                <w:sz w:val="22"/>
                <w:szCs w:val="22"/>
              </w:rPr>
            </w:pPr>
            <w:r w:rsidRPr="00391F4B">
              <w:rPr>
                <w:sz w:val="22"/>
                <w:szCs w:val="22"/>
              </w:rPr>
              <w:t>Long-term care in Alberta (Canada)</w:t>
            </w:r>
          </w:p>
        </w:tc>
        <w:tc>
          <w:tcPr>
            <w:tcW w:w="1610" w:type="dxa"/>
            <w:shd w:val="clear" w:color="auto" w:fill="auto"/>
            <w:tcMar>
              <w:top w:w="28" w:type="dxa"/>
              <w:left w:w="28" w:type="dxa"/>
              <w:bottom w:w="28" w:type="dxa"/>
              <w:right w:w="28" w:type="dxa"/>
            </w:tcMar>
            <w:vAlign w:val="center"/>
            <w:hideMark/>
          </w:tcPr>
          <w:p w14:paraId="50D8DE61" w14:textId="4CED521B" w:rsidR="00E46BD9" w:rsidRPr="00391F4B" w:rsidRDefault="00E46BD9" w:rsidP="00F16354">
            <w:pPr>
              <w:pStyle w:val="EYTableText"/>
              <w:rPr>
                <w:sz w:val="22"/>
                <w:szCs w:val="22"/>
              </w:rPr>
            </w:pPr>
            <w:r w:rsidRPr="00391F4B">
              <w:rPr>
                <w:sz w:val="22"/>
                <w:szCs w:val="22"/>
              </w:rPr>
              <w:t>Market deepening</w:t>
            </w:r>
          </w:p>
        </w:tc>
      </w:tr>
      <w:tr w:rsidR="00E46BD9" w:rsidRPr="00391F4B" w14:paraId="4EE0C793"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1867F801" w14:textId="77777777" w:rsidR="00E46BD9" w:rsidRPr="00391F4B" w:rsidRDefault="00E46BD9" w:rsidP="00F16354">
            <w:pPr>
              <w:pStyle w:val="EYTablebullet1"/>
              <w:numPr>
                <w:ilvl w:val="0"/>
                <w:numId w:val="0"/>
              </w:numPr>
              <w:rPr>
                <w:sz w:val="22"/>
                <w:szCs w:val="22"/>
              </w:rPr>
            </w:pPr>
            <w:r w:rsidRPr="00391F4B">
              <w:rPr>
                <w:sz w:val="22"/>
                <w:szCs w:val="22"/>
              </w:rPr>
              <w:t>Preschool Readiness Program (PRP) (Australia)</w:t>
            </w:r>
          </w:p>
        </w:tc>
        <w:tc>
          <w:tcPr>
            <w:tcW w:w="1610" w:type="dxa"/>
            <w:shd w:val="clear" w:color="auto" w:fill="auto"/>
            <w:tcMar>
              <w:top w:w="28" w:type="dxa"/>
              <w:left w:w="28" w:type="dxa"/>
              <w:bottom w:w="28" w:type="dxa"/>
              <w:right w:w="28" w:type="dxa"/>
            </w:tcMar>
            <w:vAlign w:val="center"/>
            <w:hideMark/>
          </w:tcPr>
          <w:p w14:paraId="35554EDC" w14:textId="37485B5C" w:rsidR="00E46BD9" w:rsidRPr="00391F4B" w:rsidRDefault="00E46BD9" w:rsidP="00F16354">
            <w:pPr>
              <w:pStyle w:val="EYTableText"/>
              <w:rPr>
                <w:sz w:val="22"/>
                <w:szCs w:val="22"/>
              </w:rPr>
            </w:pPr>
            <w:r w:rsidRPr="00391F4B">
              <w:rPr>
                <w:sz w:val="22"/>
                <w:szCs w:val="22"/>
              </w:rPr>
              <w:t>Market deepening</w:t>
            </w:r>
          </w:p>
        </w:tc>
      </w:tr>
      <w:tr w:rsidR="00E46BD9" w:rsidRPr="00391F4B" w14:paraId="258B51E9"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205523C7" w14:textId="77777777" w:rsidR="00E46BD9" w:rsidRPr="00391F4B" w:rsidRDefault="00E46BD9" w:rsidP="00F16354">
            <w:pPr>
              <w:pStyle w:val="EYTablebullet1"/>
              <w:numPr>
                <w:ilvl w:val="0"/>
                <w:numId w:val="0"/>
              </w:numPr>
              <w:rPr>
                <w:sz w:val="22"/>
                <w:szCs w:val="22"/>
              </w:rPr>
            </w:pPr>
            <w:r w:rsidRPr="00391F4B">
              <w:rPr>
                <w:sz w:val="22"/>
                <w:szCs w:val="22"/>
              </w:rPr>
              <w:t>Integrating Preschool with the First Years of School (IPWS) trial (Australia)</w:t>
            </w:r>
          </w:p>
        </w:tc>
        <w:tc>
          <w:tcPr>
            <w:tcW w:w="1610" w:type="dxa"/>
            <w:shd w:val="clear" w:color="auto" w:fill="auto"/>
            <w:tcMar>
              <w:top w:w="28" w:type="dxa"/>
              <w:left w:w="28" w:type="dxa"/>
              <w:bottom w:w="28" w:type="dxa"/>
              <w:right w:w="28" w:type="dxa"/>
            </w:tcMar>
            <w:vAlign w:val="center"/>
            <w:hideMark/>
          </w:tcPr>
          <w:p w14:paraId="66E4EDD3" w14:textId="53170842" w:rsidR="00E46BD9" w:rsidRPr="00391F4B" w:rsidRDefault="00E46BD9" w:rsidP="00F16354">
            <w:pPr>
              <w:pStyle w:val="EYTableText"/>
              <w:rPr>
                <w:sz w:val="22"/>
                <w:szCs w:val="22"/>
              </w:rPr>
            </w:pPr>
            <w:r w:rsidRPr="00391F4B">
              <w:rPr>
                <w:sz w:val="22"/>
                <w:szCs w:val="22"/>
              </w:rPr>
              <w:t>Market deepening</w:t>
            </w:r>
          </w:p>
        </w:tc>
      </w:tr>
      <w:tr w:rsidR="00E46BD9" w:rsidRPr="00391F4B" w14:paraId="33B3EA20"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6CD221E5" w14:textId="77777777" w:rsidR="00E46BD9" w:rsidRPr="00391F4B" w:rsidRDefault="00E46BD9" w:rsidP="00F16354">
            <w:pPr>
              <w:pStyle w:val="EYTablebullet1"/>
              <w:numPr>
                <w:ilvl w:val="0"/>
                <w:numId w:val="0"/>
              </w:numPr>
              <w:rPr>
                <w:sz w:val="22"/>
                <w:szCs w:val="22"/>
              </w:rPr>
            </w:pPr>
            <w:r w:rsidRPr="00391F4B">
              <w:rPr>
                <w:sz w:val="22"/>
                <w:szCs w:val="22"/>
              </w:rPr>
              <w:t>Teach for Australia (TFA) Program (Australia)</w:t>
            </w:r>
          </w:p>
        </w:tc>
        <w:tc>
          <w:tcPr>
            <w:tcW w:w="1610" w:type="dxa"/>
            <w:shd w:val="clear" w:color="auto" w:fill="auto"/>
            <w:tcMar>
              <w:top w:w="28" w:type="dxa"/>
              <w:left w:w="28" w:type="dxa"/>
              <w:bottom w:w="28" w:type="dxa"/>
              <w:right w:w="28" w:type="dxa"/>
            </w:tcMar>
            <w:vAlign w:val="center"/>
            <w:hideMark/>
          </w:tcPr>
          <w:p w14:paraId="20F5A442" w14:textId="507F711D" w:rsidR="00E46BD9" w:rsidRPr="00391F4B" w:rsidRDefault="00E46BD9" w:rsidP="00F16354">
            <w:pPr>
              <w:pStyle w:val="EYTableText"/>
              <w:rPr>
                <w:sz w:val="22"/>
                <w:szCs w:val="22"/>
              </w:rPr>
            </w:pPr>
            <w:r w:rsidRPr="00391F4B">
              <w:rPr>
                <w:sz w:val="22"/>
                <w:szCs w:val="22"/>
              </w:rPr>
              <w:t>Market deepening</w:t>
            </w:r>
          </w:p>
        </w:tc>
      </w:tr>
      <w:tr w:rsidR="00E46BD9" w:rsidRPr="00391F4B" w14:paraId="4A1518AB"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1829A897" w14:textId="77777777" w:rsidR="00E46BD9" w:rsidRPr="00391F4B" w:rsidRDefault="00E46BD9" w:rsidP="00F16354">
            <w:pPr>
              <w:pStyle w:val="EYTablebullet1"/>
              <w:numPr>
                <w:ilvl w:val="0"/>
                <w:numId w:val="0"/>
              </w:numPr>
              <w:rPr>
                <w:sz w:val="22"/>
                <w:szCs w:val="22"/>
              </w:rPr>
            </w:pPr>
            <w:r w:rsidRPr="00391F4B">
              <w:rPr>
                <w:sz w:val="22"/>
                <w:szCs w:val="22"/>
              </w:rPr>
              <w:t>Distance Education Centres (Australia)</w:t>
            </w:r>
          </w:p>
        </w:tc>
        <w:tc>
          <w:tcPr>
            <w:tcW w:w="1610" w:type="dxa"/>
            <w:shd w:val="clear" w:color="auto" w:fill="auto"/>
            <w:tcMar>
              <w:top w:w="28" w:type="dxa"/>
              <w:left w:w="28" w:type="dxa"/>
              <w:bottom w:w="28" w:type="dxa"/>
              <w:right w:w="28" w:type="dxa"/>
            </w:tcMar>
            <w:vAlign w:val="center"/>
            <w:hideMark/>
          </w:tcPr>
          <w:p w14:paraId="4A792AB3" w14:textId="750F8E91" w:rsidR="00E46BD9" w:rsidRPr="00391F4B" w:rsidRDefault="00E46BD9" w:rsidP="00F16354">
            <w:pPr>
              <w:pStyle w:val="EYTableText"/>
              <w:rPr>
                <w:sz w:val="22"/>
                <w:szCs w:val="22"/>
              </w:rPr>
            </w:pPr>
            <w:r w:rsidRPr="00391F4B">
              <w:rPr>
                <w:sz w:val="22"/>
                <w:szCs w:val="22"/>
              </w:rPr>
              <w:t>Market deepening</w:t>
            </w:r>
          </w:p>
        </w:tc>
      </w:tr>
      <w:tr w:rsidR="00E46BD9" w:rsidRPr="00391F4B" w14:paraId="1AC74DC6"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26602BF8" w14:textId="77777777" w:rsidR="00E46BD9" w:rsidRPr="00391F4B" w:rsidRDefault="00E46BD9" w:rsidP="00F16354">
            <w:pPr>
              <w:pStyle w:val="EYTablebullet1"/>
              <w:numPr>
                <w:ilvl w:val="0"/>
                <w:numId w:val="0"/>
              </w:numPr>
              <w:rPr>
                <w:sz w:val="22"/>
                <w:szCs w:val="22"/>
              </w:rPr>
            </w:pPr>
            <w:r w:rsidRPr="00391F4B">
              <w:rPr>
                <w:sz w:val="22"/>
                <w:szCs w:val="22"/>
              </w:rPr>
              <w:t>Remote Teaching Service (WA, Australia)</w:t>
            </w:r>
          </w:p>
        </w:tc>
        <w:tc>
          <w:tcPr>
            <w:tcW w:w="1610" w:type="dxa"/>
            <w:shd w:val="clear" w:color="auto" w:fill="auto"/>
            <w:tcMar>
              <w:top w:w="28" w:type="dxa"/>
              <w:left w:w="28" w:type="dxa"/>
              <w:bottom w:w="28" w:type="dxa"/>
              <w:right w:w="28" w:type="dxa"/>
            </w:tcMar>
            <w:vAlign w:val="center"/>
            <w:hideMark/>
          </w:tcPr>
          <w:p w14:paraId="7390431F" w14:textId="5E92E3C5" w:rsidR="00E46BD9" w:rsidRPr="00391F4B" w:rsidRDefault="00E46BD9" w:rsidP="00F16354">
            <w:pPr>
              <w:pStyle w:val="EYTableText"/>
              <w:rPr>
                <w:sz w:val="22"/>
                <w:szCs w:val="22"/>
              </w:rPr>
            </w:pPr>
            <w:r w:rsidRPr="00391F4B">
              <w:rPr>
                <w:sz w:val="22"/>
                <w:szCs w:val="22"/>
              </w:rPr>
              <w:t>Market deepening</w:t>
            </w:r>
          </w:p>
        </w:tc>
      </w:tr>
      <w:tr w:rsidR="00E46BD9" w:rsidRPr="00391F4B" w14:paraId="5459F54E"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6AFF552E" w14:textId="77777777" w:rsidR="00E46BD9" w:rsidRPr="00391F4B" w:rsidRDefault="00E46BD9" w:rsidP="00F16354">
            <w:pPr>
              <w:pStyle w:val="EYTablebullet1"/>
              <w:numPr>
                <w:ilvl w:val="0"/>
                <w:numId w:val="0"/>
              </w:numPr>
              <w:rPr>
                <w:sz w:val="22"/>
                <w:szCs w:val="22"/>
              </w:rPr>
            </w:pPr>
            <w:r w:rsidRPr="00391F4B">
              <w:rPr>
                <w:sz w:val="22"/>
                <w:szCs w:val="22"/>
              </w:rPr>
              <w:t>Medical Intervention Support Program (VIC, Australia)</w:t>
            </w:r>
          </w:p>
        </w:tc>
        <w:tc>
          <w:tcPr>
            <w:tcW w:w="1610" w:type="dxa"/>
            <w:shd w:val="clear" w:color="auto" w:fill="auto"/>
            <w:tcMar>
              <w:top w:w="28" w:type="dxa"/>
              <w:left w:w="28" w:type="dxa"/>
              <w:bottom w:w="28" w:type="dxa"/>
              <w:right w:w="28" w:type="dxa"/>
            </w:tcMar>
            <w:vAlign w:val="center"/>
            <w:hideMark/>
          </w:tcPr>
          <w:p w14:paraId="21029AF0" w14:textId="204AA8AF" w:rsidR="00E46BD9" w:rsidRPr="00391F4B" w:rsidRDefault="00E46BD9" w:rsidP="00F16354">
            <w:pPr>
              <w:pStyle w:val="EYTableText"/>
              <w:rPr>
                <w:sz w:val="22"/>
                <w:szCs w:val="22"/>
              </w:rPr>
            </w:pPr>
            <w:r w:rsidRPr="00391F4B">
              <w:rPr>
                <w:sz w:val="22"/>
                <w:szCs w:val="22"/>
              </w:rPr>
              <w:t>Market deepening</w:t>
            </w:r>
          </w:p>
        </w:tc>
      </w:tr>
      <w:tr w:rsidR="00E46BD9" w:rsidRPr="00391F4B" w14:paraId="497C4083"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1A249CC9" w14:textId="77777777" w:rsidR="00E46BD9" w:rsidRPr="00391F4B" w:rsidRDefault="00E46BD9" w:rsidP="00F16354">
            <w:pPr>
              <w:pStyle w:val="EYTablebullet1"/>
              <w:numPr>
                <w:ilvl w:val="0"/>
                <w:numId w:val="0"/>
              </w:numPr>
              <w:rPr>
                <w:sz w:val="22"/>
                <w:szCs w:val="22"/>
              </w:rPr>
            </w:pPr>
            <w:r w:rsidRPr="00391F4B">
              <w:rPr>
                <w:sz w:val="22"/>
                <w:szCs w:val="22"/>
              </w:rPr>
              <w:t>Teacher Flying Squad (WA, Australia)</w:t>
            </w:r>
          </w:p>
        </w:tc>
        <w:tc>
          <w:tcPr>
            <w:tcW w:w="1610" w:type="dxa"/>
            <w:shd w:val="clear" w:color="auto" w:fill="auto"/>
            <w:tcMar>
              <w:top w:w="28" w:type="dxa"/>
              <w:left w:w="28" w:type="dxa"/>
              <w:bottom w:w="28" w:type="dxa"/>
              <w:right w:w="28" w:type="dxa"/>
            </w:tcMar>
            <w:vAlign w:val="center"/>
            <w:hideMark/>
          </w:tcPr>
          <w:p w14:paraId="4D94E130" w14:textId="1B10C50B" w:rsidR="00E46BD9" w:rsidRPr="00391F4B" w:rsidRDefault="00E46BD9" w:rsidP="00F16354">
            <w:pPr>
              <w:pStyle w:val="EYTableText"/>
              <w:rPr>
                <w:sz w:val="22"/>
                <w:szCs w:val="22"/>
              </w:rPr>
            </w:pPr>
            <w:r w:rsidRPr="00391F4B">
              <w:rPr>
                <w:sz w:val="22"/>
                <w:szCs w:val="22"/>
              </w:rPr>
              <w:t>Market deepening</w:t>
            </w:r>
          </w:p>
        </w:tc>
      </w:tr>
      <w:tr w:rsidR="00E46BD9" w:rsidRPr="00391F4B" w14:paraId="62DB44AD" w14:textId="77777777" w:rsidTr="00E46BD9">
        <w:trPr>
          <w:gridAfter w:val="1"/>
          <w:wAfter w:w="237" w:type="dxa"/>
          <w:trHeight w:val="57"/>
        </w:trPr>
        <w:tc>
          <w:tcPr>
            <w:tcW w:w="7230" w:type="dxa"/>
            <w:tcBorders>
              <w:bottom w:val="single" w:sz="8" w:space="0" w:color="auto"/>
            </w:tcBorders>
            <w:shd w:val="clear" w:color="auto" w:fill="auto"/>
            <w:noWrap/>
            <w:tcMar>
              <w:top w:w="28" w:type="dxa"/>
              <w:left w:w="28" w:type="dxa"/>
              <w:bottom w:w="28" w:type="dxa"/>
              <w:right w:w="28" w:type="dxa"/>
            </w:tcMar>
            <w:vAlign w:val="center"/>
            <w:hideMark/>
          </w:tcPr>
          <w:p w14:paraId="3EC3BB21" w14:textId="77777777" w:rsidR="00E46BD9" w:rsidRPr="00391F4B" w:rsidRDefault="00E46BD9" w:rsidP="00F16354">
            <w:pPr>
              <w:pStyle w:val="EYTablebullet1"/>
              <w:numPr>
                <w:ilvl w:val="0"/>
                <w:numId w:val="0"/>
              </w:numPr>
              <w:rPr>
                <w:sz w:val="22"/>
                <w:szCs w:val="22"/>
              </w:rPr>
            </w:pPr>
            <w:proofErr w:type="spellStart"/>
            <w:r w:rsidRPr="00391F4B">
              <w:rPr>
                <w:sz w:val="22"/>
                <w:szCs w:val="22"/>
              </w:rPr>
              <w:t>Schoolcare</w:t>
            </w:r>
            <w:proofErr w:type="spellEnd"/>
            <w:r w:rsidRPr="00391F4B">
              <w:rPr>
                <w:sz w:val="22"/>
                <w:szCs w:val="22"/>
              </w:rPr>
              <w:t xml:space="preserve"> Program (VIC, Australia)</w:t>
            </w:r>
          </w:p>
        </w:tc>
        <w:tc>
          <w:tcPr>
            <w:tcW w:w="1610" w:type="dxa"/>
            <w:tcBorders>
              <w:bottom w:val="single" w:sz="8" w:space="0" w:color="auto"/>
            </w:tcBorders>
            <w:shd w:val="clear" w:color="auto" w:fill="auto"/>
            <w:tcMar>
              <w:top w:w="28" w:type="dxa"/>
              <w:left w:w="28" w:type="dxa"/>
              <w:bottom w:w="28" w:type="dxa"/>
              <w:right w:w="28" w:type="dxa"/>
            </w:tcMar>
            <w:vAlign w:val="center"/>
            <w:hideMark/>
          </w:tcPr>
          <w:p w14:paraId="5BDCCAB7" w14:textId="7213B9F7" w:rsidR="00E46BD9" w:rsidRPr="00391F4B" w:rsidRDefault="00E46BD9" w:rsidP="00F16354">
            <w:pPr>
              <w:pStyle w:val="EYTableText"/>
              <w:rPr>
                <w:sz w:val="22"/>
                <w:szCs w:val="22"/>
              </w:rPr>
            </w:pPr>
            <w:r w:rsidRPr="00391F4B">
              <w:rPr>
                <w:sz w:val="22"/>
                <w:szCs w:val="22"/>
              </w:rPr>
              <w:t>Market deepening</w:t>
            </w:r>
          </w:p>
        </w:tc>
      </w:tr>
      <w:tr w:rsidR="00E46BD9" w:rsidRPr="00391F4B" w14:paraId="5DBF8A5C" w14:textId="77777777" w:rsidTr="00E46BD9">
        <w:trPr>
          <w:gridAfter w:val="1"/>
          <w:wAfter w:w="237" w:type="dxa"/>
          <w:trHeight w:val="57"/>
        </w:trPr>
        <w:tc>
          <w:tcPr>
            <w:tcW w:w="7230" w:type="dxa"/>
            <w:tcBorders>
              <w:top w:val="single" w:sz="8" w:space="0" w:color="auto"/>
            </w:tcBorders>
            <w:shd w:val="clear" w:color="auto" w:fill="auto"/>
            <w:tcMar>
              <w:top w:w="28" w:type="dxa"/>
              <w:left w:w="28" w:type="dxa"/>
              <w:bottom w:w="28" w:type="dxa"/>
              <w:right w:w="28" w:type="dxa"/>
            </w:tcMar>
            <w:vAlign w:val="center"/>
            <w:hideMark/>
          </w:tcPr>
          <w:p w14:paraId="745905A5" w14:textId="77777777" w:rsidR="00E46BD9" w:rsidRPr="00391F4B" w:rsidRDefault="00E46BD9" w:rsidP="00F16354">
            <w:pPr>
              <w:pStyle w:val="EYTablebullet1"/>
              <w:numPr>
                <w:ilvl w:val="0"/>
                <w:numId w:val="0"/>
              </w:numPr>
              <w:rPr>
                <w:sz w:val="22"/>
                <w:szCs w:val="22"/>
              </w:rPr>
            </w:pPr>
            <w:r w:rsidRPr="00391F4B">
              <w:rPr>
                <w:sz w:val="22"/>
                <w:szCs w:val="22"/>
              </w:rPr>
              <w:t>Activity Based Funding (hospitals, Australia)</w:t>
            </w:r>
          </w:p>
        </w:tc>
        <w:tc>
          <w:tcPr>
            <w:tcW w:w="1610" w:type="dxa"/>
            <w:tcBorders>
              <w:top w:val="single" w:sz="8" w:space="0" w:color="auto"/>
            </w:tcBorders>
            <w:shd w:val="clear" w:color="auto" w:fill="auto"/>
            <w:tcMar>
              <w:top w:w="28" w:type="dxa"/>
              <w:left w:w="28" w:type="dxa"/>
              <w:bottom w:w="28" w:type="dxa"/>
              <w:right w:w="28" w:type="dxa"/>
            </w:tcMar>
            <w:vAlign w:val="center"/>
            <w:hideMark/>
          </w:tcPr>
          <w:p w14:paraId="4C8997E4" w14:textId="77777777" w:rsidR="00E46BD9" w:rsidRPr="00391F4B" w:rsidRDefault="00E46BD9" w:rsidP="00F16354">
            <w:pPr>
              <w:pStyle w:val="EYTableText"/>
              <w:rPr>
                <w:sz w:val="22"/>
                <w:szCs w:val="22"/>
              </w:rPr>
            </w:pPr>
            <w:r w:rsidRPr="00391F4B">
              <w:rPr>
                <w:sz w:val="22"/>
                <w:szCs w:val="22"/>
              </w:rPr>
              <w:t>Regulation</w:t>
            </w:r>
          </w:p>
        </w:tc>
      </w:tr>
      <w:tr w:rsidR="00E46BD9" w:rsidRPr="00391F4B" w14:paraId="7758B816"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182BC796" w14:textId="77777777" w:rsidR="00E46BD9" w:rsidRPr="00391F4B" w:rsidRDefault="00E46BD9" w:rsidP="00F16354">
            <w:pPr>
              <w:pStyle w:val="EYTablebullet1"/>
              <w:numPr>
                <w:ilvl w:val="0"/>
                <w:numId w:val="0"/>
              </w:numPr>
              <w:rPr>
                <w:sz w:val="22"/>
                <w:szCs w:val="22"/>
              </w:rPr>
            </w:pPr>
            <w:r w:rsidRPr="00391F4B">
              <w:rPr>
                <w:sz w:val="22"/>
                <w:szCs w:val="22"/>
              </w:rPr>
              <w:t>Schooling Resource Standard (Australia)</w:t>
            </w:r>
          </w:p>
        </w:tc>
        <w:tc>
          <w:tcPr>
            <w:tcW w:w="1610" w:type="dxa"/>
            <w:shd w:val="clear" w:color="auto" w:fill="auto"/>
            <w:tcMar>
              <w:top w:w="28" w:type="dxa"/>
              <w:left w:w="28" w:type="dxa"/>
              <w:bottom w:w="28" w:type="dxa"/>
              <w:right w:w="28" w:type="dxa"/>
            </w:tcMar>
            <w:vAlign w:val="center"/>
            <w:hideMark/>
          </w:tcPr>
          <w:p w14:paraId="1876E38B" w14:textId="0067F9CD" w:rsidR="00E46BD9" w:rsidRPr="00391F4B" w:rsidRDefault="00E46BD9" w:rsidP="00F16354">
            <w:pPr>
              <w:pStyle w:val="EYTableText"/>
              <w:rPr>
                <w:sz w:val="22"/>
                <w:szCs w:val="22"/>
              </w:rPr>
            </w:pPr>
            <w:r w:rsidRPr="00391F4B">
              <w:rPr>
                <w:sz w:val="22"/>
                <w:szCs w:val="22"/>
              </w:rPr>
              <w:t>Regulation</w:t>
            </w:r>
          </w:p>
        </w:tc>
      </w:tr>
      <w:tr w:rsidR="00E46BD9" w:rsidRPr="00391F4B" w14:paraId="3DADC201" w14:textId="77777777" w:rsidTr="00E46BD9">
        <w:trPr>
          <w:gridAfter w:val="1"/>
          <w:wAfter w:w="237" w:type="dxa"/>
          <w:trHeight w:val="57"/>
        </w:trPr>
        <w:tc>
          <w:tcPr>
            <w:tcW w:w="7230" w:type="dxa"/>
            <w:shd w:val="clear" w:color="auto" w:fill="auto"/>
            <w:noWrap/>
            <w:tcMar>
              <w:top w:w="28" w:type="dxa"/>
              <w:left w:w="28" w:type="dxa"/>
              <w:bottom w:w="28" w:type="dxa"/>
              <w:right w:w="28" w:type="dxa"/>
            </w:tcMar>
            <w:vAlign w:val="center"/>
            <w:hideMark/>
          </w:tcPr>
          <w:p w14:paraId="219B2432" w14:textId="77777777" w:rsidR="00E46BD9" w:rsidRPr="00391F4B" w:rsidRDefault="00E46BD9" w:rsidP="00F16354">
            <w:pPr>
              <w:pStyle w:val="EYTablebullet1"/>
              <w:numPr>
                <w:ilvl w:val="0"/>
                <w:numId w:val="0"/>
              </w:numPr>
              <w:rPr>
                <w:sz w:val="22"/>
                <w:szCs w:val="22"/>
              </w:rPr>
            </w:pPr>
            <w:r w:rsidRPr="00391F4B">
              <w:rPr>
                <w:sz w:val="22"/>
                <w:szCs w:val="22"/>
              </w:rPr>
              <w:t>Department of Veterans’ Affairs (DVA) Gold Card (Australia)</w:t>
            </w:r>
          </w:p>
        </w:tc>
        <w:tc>
          <w:tcPr>
            <w:tcW w:w="1610" w:type="dxa"/>
            <w:shd w:val="clear" w:color="auto" w:fill="auto"/>
            <w:tcMar>
              <w:top w:w="28" w:type="dxa"/>
              <w:left w:w="28" w:type="dxa"/>
              <w:bottom w:w="28" w:type="dxa"/>
              <w:right w:w="28" w:type="dxa"/>
            </w:tcMar>
            <w:vAlign w:val="center"/>
            <w:hideMark/>
          </w:tcPr>
          <w:p w14:paraId="67377236" w14:textId="25D68383" w:rsidR="00E46BD9" w:rsidRPr="00391F4B" w:rsidRDefault="00E46BD9" w:rsidP="00F16354">
            <w:pPr>
              <w:pStyle w:val="EYTableText"/>
              <w:rPr>
                <w:sz w:val="22"/>
                <w:szCs w:val="22"/>
              </w:rPr>
            </w:pPr>
            <w:r w:rsidRPr="00391F4B">
              <w:rPr>
                <w:sz w:val="22"/>
                <w:szCs w:val="22"/>
              </w:rPr>
              <w:t>Regulation</w:t>
            </w:r>
          </w:p>
        </w:tc>
      </w:tr>
      <w:tr w:rsidR="00E46BD9" w:rsidRPr="00391F4B" w14:paraId="3B2E06AA" w14:textId="77777777" w:rsidTr="00E46BD9">
        <w:trPr>
          <w:gridAfter w:val="1"/>
          <w:wAfter w:w="237" w:type="dxa"/>
          <w:trHeight w:val="57"/>
        </w:trPr>
        <w:tc>
          <w:tcPr>
            <w:tcW w:w="7230" w:type="dxa"/>
            <w:tcBorders>
              <w:bottom w:val="single" w:sz="4" w:space="0" w:color="auto"/>
            </w:tcBorders>
            <w:shd w:val="clear" w:color="auto" w:fill="auto"/>
            <w:noWrap/>
            <w:tcMar>
              <w:top w:w="28" w:type="dxa"/>
              <w:left w:w="28" w:type="dxa"/>
              <w:bottom w:w="28" w:type="dxa"/>
              <w:right w:w="28" w:type="dxa"/>
            </w:tcMar>
            <w:vAlign w:val="center"/>
            <w:hideMark/>
          </w:tcPr>
          <w:p w14:paraId="4DF86A78" w14:textId="77777777" w:rsidR="00E46BD9" w:rsidRPr="00391F4B" w:rsidRDefault="00E46BD9" w:rsidP="00F16354">
            <w:pPr>
              <w:pStyle w:val="EYTablebullet1"/>
              <w:numPr>
                <w:ilvl w:val="0"/>
                <w:numId w:val="0"/>
              </w:numPr>
              <w:rPr>
                <w:sz w:val="22"/>
                <w:szCs w:val="22"/>
              </w:rPr>
            </w:pPr>
            <w:r w:rsidRPr="00391F4B">
              <w:rPr>
                <w:sz w:val="22"/>
                <w:szCs w:val="22"/>
              </w:rPr>
              <w:t>Vocational Education and Training (VET) FEE HELP – now VET Student Loans, and NSW Government VET Provision (Australia)</w:t>
            </w:r>
          </w:p>
        </w:tc>
        <w:tc>
          <w:tcPr>
            <w:tcW w:w="1610" w:type="dxa"/>
            <w:tcBorders>
              <w:bottom w:val="single" w:sz="4" w:space="0" w:color="auto"/>
            </w:tcBorders>
            <w:shd w:val="clear" w:color="auto" w:fill="auto"/>
            <w:tcMar>
              <w:top w:w="28" w:type="dxa"/>
              <w:left w:w="28" w:type="dxa"/>
              <w:bottom w:w="28" w:type="dxa"/>
              <w:right w:w="28" w:type="dxa"/>
            </w:tcMar>
            <w:vAlign w:val="center"/>
            <w:hideMark/>
          </w:tcPr>
          <w:p w14:paraId="055621A4" w14:textId="5F5D6C4D" w:rsidR="00E46BD9" w:rsidRPr="00391F4B" w:rsidRDefault="00E46BD9" w:rsidP="00F16354">
            <w:pPr>
              <w:pStyle w:val="EYTableText"/>
              <w:rPr>
                <w:sz w:val="22"/>
                <w:szCs w:val="22"/>
              </w:rPr>
            </w:pPr>
            <w:r w:rsidRPr="00391F4B">
              <w:rPr>
                <w:sz w:val="22"/>
                <w:szCs w:val="22"/>
              </w:rPr>
              <w:t>Regulation</w:t>
            </w:r>
          </w:p>
        </w:tc>
      </w:tr>
      <w:tr w:rsidR="00E46BD9" w:rsidRPr="00391F4B" w14:paraId="6D974DC9" w14:textId="77777777" w:rsidTr="00E46BD9">
        <w:trPr>
          <w:trHeight w:val="57"/>
        </w:trPr>
        <w:tc>
          <w:tcPr>
            <w:tcW w:w="7230" w:type="dxa"/>
            <w:tcBorders>
              <w:top w:val="single" w:sz="4" w:space="0" w:color="auto"/>
            </w:tcBorders>
            <w:shd w:val="clear" w:color="auto" w:fill="auto"/>
            <w:tcMar>
              <w:top w:w="28" w:type="dxa"/>
              <w:left w:w="28" w:type="dxa"/>
              <w:bottom w:w="28" w:type="dxa"/>
              <w:right w:w="28" w:type="dxa"/>
            </w:tcMar>
            <w:vAlign w:val="center"/>
            <w:hideMark/>
          </w:tcPr>
          <w:p w14:paraId="226276C3" w14:textId="77777777" w:rsidR="00E46BD9" w:rsidRPr="00391F4B" w:rsidRDefault="00E46BD9" w:rsidP="00F16354">
            <w:pPr>
              <w:pStyle w:val="EYTablebullet1"/>
              <w:numPr>
                <w:ilvl w:val="0"/>
                <w:numId w:val="0"/>
              </w:numPr>
              <w:rPr>
                <w:sz w:val="22"/>
                <w:szCs w:val="22"/>
              </w:rPr>
            </w:pPr>
            <w:r w:rsidRPr="00391F4B">
              <w:rPr>
                <w:sz w:val="22"/>
                <w:szCs w:val="22"/>
              </w:rPr>
              <w:t xml:space="preserve">General Practice healthcare (Australia) </w:t>
            </w:r>
          </w:p>
        </w:tc>
        <w:tc>
          <w:tcPr>
            <w:tcW w:w="1847" w:type="dxa"/>
            <w:gridSpan w:val="2"/>
            <w:tcBorders>
              <w:top w:val="single" w:sz="4" w:space="0" w:color="auto"/>
            </w:tcBorders>
            <w:shd w:val="clear" w:color="auto" w:fill="auto"/>
            <w:tcMar>
              <w:top w:w="28" w:type="dxa"/>
              <w:left w:w="28" w:type="dxa"/>
              <w:bottom w:w="28" w:type="dxa"/>
              <w:right w:w="28" w:type="dxa"/>
            </w:tcMar>
            <w:vAlign w:val="center"/>
            <w:hideMark/>
          </w:tcPr>
          <w:p w14:paraId="2216D3AF" w14:textId="77777777" w:rsidR="00E46BD9" w:rsidRPr="00391F4B" w:rsidRDefault="00E46BD9" w:rsidP="00F16354">
            <w:pPr>
              <w:pStyle w:val="EYTableText"/>
              <w:rPr>
                <w:sz w:val="22"/>
                <w:szCs w:val="22"/>
              </w:rPr>
            </w:pPr>
            <w:r w:rsidRPr="00391F4B">
              <w:rPr>
                <w:sz w:val="22"/>
                <w:szCs w:val="22"/>
              </w:rPr>
              <w:t>Alternative commissioning</w:t>
            </w:r>
          </w:p>
        </w:tc>
      </w:tr>
      <w:tr w:rsidR="00E46BD9" w:rsidRPr="00391F4B" w14:paraId="2B518444"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608FFB99" w14:textId="77777777" w:rsidR="00E46BD9" w:rsidRPr="00391F4B" w:rsidRDefault="00E46BD9" w:rsidP="00F16354">
            <w:pPr>
              <w:pStyle w:val="EYTablebullet1"/>
              <w:numPr>
                <w:ilvl w:val="0"/>
                <w:numId w:val="0"/>
              </w:numPr>
              <w:rPr>
                <w:sz w:val="22"/>
                <w:szCs w:val="22"/>
              </w:rPr>
            </w:pPr>
            <w:r w:rsidRPr="00391F4B">
              <w:rPr>
                <w:sz w:val="22"/>
                <w:szCs w:val="22"/>
              </w:rPr>
              <w:lastRenderedPageBreak/>
              <w:t>National Health Services – integrated personal budgets (England)</w:t>
            </w:r>
          </w:p>
        </w:tc>
        <w:tc>
          <w:tcPr>
            <w:tcW w:w="1847" w:type="dxa"/>
            <w:gridSpan w:val="2"/>
            <w:shd w:val="clear" w:color="auto" w:fill="auto"/>
            <w:tcMar>
              <w:top w:w="28" w:type="dxa"/>
              <w:left w:w="28" w:type="dxa"/>
              <w:bottom w:w="28" w:type="dxa"/>
              <w:right w:w="28" w:type="dxa"/>
            </w:tcMar>
            <w:vAlign w:val="center"/>
            <w:hideMark/>
          </w:tcPr>
          <w:p w14:paraId="63A022C7" w14:textId="1EA816C5"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02533F09"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714BF925" w14:textId="77777777" w:rsidR="00E46BD9" w:rsidRPr="00391F4B" w:rsidRDefault="00E46BD9" w:rsidP="00F16354">
            <w:pPr>
              <w:pStyle w:val="EYTablebullet1"/>
              <w:numPr>
                <w:ilvl w:val="0"/>
                <w:numId w:val="0"/>
              </w:numPr>
              <w:rPr>
                <w:sz w:val="22"/>
                <w:szCs w:val="22"/>
              </w:rPr>
            </w:pPr>
            <w:r w:rsidRPr="00391F4B">
              <w:rPr>
                <w:sz w:val="22"/>
                <w:szCs w:val="22"/>
              </w:rPr>
              <w:t>Royal Flying Doctor Service (Australia)</w:t>
            </w:r>
          </w:p>
        </w:tc>
        <w:tc>
          <w:tcPr>
            <w:tcW w:w="1847" w:type="dxa"/>
            <w:gridSpan w:val="2"/>
            <w:shd w:val="clear" w:color="auto" w:fill="auto"/>
            <w:tcMar>
              <w:top w:w="28" w:type="dxa"/>
              <w:left w:w="28" w:type="dxa"/>
              <w:bottom w:w="28" w:type="dxa"/>
              <w:right w:w="28" w:type="dxa"/>
            </w:tcMar>
            <w:vAlign w:val="center"/>
            <w:hideMark/>
          </w:tcPr>
          <w:p w14:paraId="076DBB8F" w14:textId="6F99E43C"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06F495D6"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4EA5FD75" w14:textId="77777777" w:rsidR="00E46BD9" w:rsidRPr="00391F4B" w:rsidRDefault="00E46BD9" w:rsidP="00F16354">
            <w:pPr>
              <w:pStyle w:val="EYTablebullet1"/>
              <w:numPr>
                <w:ilvl w:val="0"/>
                <w:numId w:val="0"/>
              </w:numPr>
              <w:rPr>
                <w:sz w:val="22"/>
                <w:szCs w:val="22"/>
              </w:rPr>
            </w:pPr>
            <w:r w:rsidRPr="00391F4B">
              <w:rPr>
                <w:sz w:val="22"/>
                <w:szCs w:val="22"/>
              </w:rPr>
              <w:t>Local government services (US)</w:t>
            </w:r>
          </w:p>
        </w:tc>
        <w:tc>
          <w:tcPr>
            <w:tcW w:w="1847" w:type="dxa"/>
            <w:gridSpan w:val="2"/>
            <w:shd w:val="clear" w:color="auto" w:fill="auto"/>
            <w:tcMar>
              <w:top w:w="28" w:type="dxa"/>
              <w:left w:w="28" w:type="dxa"/>
              <w:bottom w:w="28" w:type="dxa"/>
              <w:right w:w="28" w:type="dxa"/>
            </w:tcMar>
            <w:vAlign w:val="center"/>
            <w:hideMark/>
          </w:tcPr>
          <w:p w14:paraId="71C5F0B9" w14:textId="663AC6BC"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317B2F08"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7024EFBB" w14:textId="77777777" w:rsidR="00E46BD9" w:rsidRPr="00391F4B" w:rsidRDefault="00E46BD9" w:rsidP="00F16354">
            <w:pPr>
              <w:pStyle w:val="EYTablebullet1"/>
              <w:numPr>
                <w:ilvl w:val="0"/>
                <w:numId w:val="0"/>
              </w:numPr>
              <w:rPr>
                <w:sz w:val="22"/>
                <w:szCs w:val="22"/>
              </w:rPr>
            </w:pPr>
            <w:r w:rsidRPr="00391F4B">
              <w:rPr>
                <w:sz w:val="22"/>
                <w:szCs w:val="22"/>
              </w:rPr>
              <w:t>Comprehensive case management pilot program in Toronto (Canada)</w:t>
            </w:r>
          </w:p>
        </w:tc>
        <w:tc>
          <w:tcPr>
            <w:tcW w:w="1847" w:type="dxa"/>
            <w:gridSpan w:val="2"/>
            <w:shd w:val="clear" w:color="auto" w:fill="auto"/>
            <w:tcMar>
              <w:top w:w="28" w:type="dxa"/>
              <w:left w:w="28" w:type="dxa"/>
              <w:bottom w:w="28" w:type="dxa"/>
              <w:right w:w="28" w:type="dxa"/>
            </w:tcMar>
            <w:vAlign w:val="center"/>
            <w:hideMark/>
          </w:tcPr>
          <w:p w14:paraId="1910C025" w14:textId="6C46C35B"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68ADB82B"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5DC82450" w14:textId="77777777" w:rsidR="00E46BD9" w:rsidRPr="00391F4B" w:rsidRDefault="00E46BD9" w:rsidP="00F16354">
            <w:pPr>
              <w:pStyle w:val="EYTablebullet1"/>
              <w:numPr>
                <w:ilvl w:val="0"/>
                <w:numId w:val="0"/>
              </w:numPr>
              <w:rPr>
                <w:sz w:val="22"/>
                <w:szCs w:val="22"/>
              </w:rPr>
            </w:pPr>
            <w:r w:rsidRPr="00391F4B">
              <w:rPr>
                <w:sz w:val="22"/>
                <w:szCs w:val="22"/>
              </w:rPr>
              <w:t>Community Based Rehabilitation Programs (global, developing nations)</w:t>
            </w:r>
          </w:p>
        </w:tc>
        <w:tc>
          <w:tcPr>
            <w:tcW w:w="1847" w:type="dxa"/>
            <w:gridSpan w:val="2"/>
            <w:shd w:val="clear" w:color="auto" w:fill="auto"/>
            <w:tcMar>
              <w:top w:w="28" w:type="dxa"/>
              <w:left w:w="28" w:type="dxa"/>
              <w:bottom w:w="28" w:type="dxa"/>
              <w:right w:w="28" w:type="dxa"/>
            </w:tcMar>
            <w:vAlign w:val="center"/>
            <w:hideMark/>
          </w:tcPr>
          <w:p w14:paraId="5ED762B9" w14:textId="36A9D093"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7A218E1E"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6B7F2EB2" w14:textId="77777777" w:rsidR="00E46BD9" w:rsidRPr="00391F4B" w:rsidRDefault="00E46BD9" w:rsidP="00F16354">
            <w:pPr>
              <w:pStyle w:val="EYTablebullet1"/>
              <w:numPr>
                <w:ilvl w:val="0"/>
                <w:numId w:val="0"/>
              </w:numPr>
              <w:rPr>
                <w:sz w:val="22"/>
                <w:szCs w:val="22"/>
              </w:rPr>
            </w:pPr>
            <w:r w:rsidRPr="00391F4B">
              <w:rPr>
                <w:sz w:val="22"/>
                <w:szCs w:val="22"/>
              </w:rPr>
              <w:t>National Broadband Network (NBN) Australia</w:t>
            </w:r>
          </w:p>
        </w:tc>
        <w:tc>
          <w:tcPr>
            <w:tcW w:w="1847" w:type="dxa"/>
            <w:gridSpan w:val="2"/>
            <w:shd w:val="clear" w:color="auto" w:fill="auto"/>
            <w:tcMar>
              <w:top w:w="28" w:type="dxa"/>
              <w:left w:w="28" w:type="dxa"/>
              <w:bottom w:w="28" w:type="dxa"/>
              <w:right w:w="28" w:type="dxa"/>
            </w:tcMar>
            <w:vAlign w:val="center"/>
            <w:hideMark/>
          </w:tcPr>
          <w:p w14:paraId="67A094E7" w14:textId="54B77263"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r w:rsidR="00E46BD9" w:rsidRPr="00391F4B" w14:paraId="3C3F6508" w14:textId="77777777" w:rsidTr="00E46BD9">
        <w:trPr>
          <w:trHeight w:val="57"/>
        </w:trPr>
        <w:tc>
          <w:tcPr>
            <w:tcW w:w="7230" w:type="dxa"/>
            <w:shd w:val="clear" w:color="auto" w:fill="auto"/>
            <w:noWrap/>
            <w:tcMar>
              <w:top w:w="28" w:type="dxa"/>
              <w:left w:w="28" w:type="dxa"/>
              <w:bottom w:w="28" w:type="dxa"/>
              <w:right w:w="28" w:type="dxa"/>
            </w:tcMar>
            <w:vAlign w:val="center"/>
            <w:hideMark/>
          </w:tcPr>
          <w:p w14:paraId="74561B51" w14:textId="77777777" w:rsidR="00E46BD9" w:rsidRPr="00391F4B" w:rsidRDefault="00E46BD9" w:rsidP="00F16354">
            <w:pPr>
              <w:pStyle w:val="EYTablebullet1"/>
              <w:numPr>
                <w:ilvl w:val="0"/>
                <w:numId w:val="0"/>
              </w:numPr>
              <w:rPr>
                <w:sz w:val="22"/>
                <w:szCs w:val="22"/>
              </w:rPr>
            </w:pPr>
            <w:r w:rsidRPr="00391F4B">
              <w:rPr>
                <w:sz w:val="22"/>
                <w:szCs w:val="22"/>
              </w:rPr>
              <w:t>Mobile Black Spot Program (MBSP) Australia</w:t>
            </w:r>
          </w:p>
        </w:tc>
        <w:tc>
          <w:tcPr>
            <w:tcW w:w="1847" w:type="dxa"/>
            <w:gridSpan w:val="2"/>
            <w:shd w:val="clear" w:color="auto" w:fill="auto"/>
            <w:tcMar>
              <w:top w:w="28" w:type="dxa"/>
              <w:left w:w="28" w:type="dxa"/>
              <w:bottom w:w="28" w:type="dxa"/>
              <w:right w:w="28" w:type="dxa"/>
            </w:tcMar>
            <w:vAlign w:val="center"/>
            <w:hideMark/>
          </w:tcPr>
          <w:p w14:paraId="2036138E" w14:textId="10C649F2" w:rsidR="00E46BD9" w:rsidRPr="00391F4B" w:rsidRDefault="00E46BD9" w:rsidP="00F16354">
            <w:pPr>
              <w:pStyle w:val="EYTableText"/>
              <w:rPr>
                <w:rFonts w:cs="Arial"/>
                <w:b/>
                <w:bCs/>
                <w:sz w:val="22"/>
                <w:szCs w:val="22"/>
                <w:lang w:eastAsia="en-AU"/>
              </w:rPr>
            </w:pPr>
            <w:r w:rsidRPr="00391F4B">
              <w:rPr>
                <w:sz w:val="22"/>
                <w:szCs w:val="22"/>
              </w:rPr>
              <w:t>Alternative commissioning</w:t>
            </w:r>
          </w:p>
        </w:tc>
      </w:tr>
    </w:tbl>
    <w:p w14:paraId="6713A996" w14:textId="77777777" w:rsidR="00BB19F9" w:rsidRDefault="00BB19F9" w:rsidP="00BB19F9">
      <w:pPr>
        <w:pStyle w:val="EYBodytextwithparaspace"/>
      </w:pPr>
    </w:p>
    <w:p w14:paraId="785DDCD8" w14:textId="77777777" w:rsidR="00365032" w:rsidRPr="00365032" w:rsidRDefault="00365032" w:rsidP="00365032">
      <w:pPr>
        <w:sectPr w:rsidR="00365032" w:rsidRPr="00365032" w:rsidSect="00664DE4">
          <w:footerReference w:type="default" r:id="rId19"/>
          <w:pgSz w:w="11909" w:h="16834" w:code="9"/>
          <w:pgMar w:top="1418" w:right="1134" w:bottom="851" w:left="1418" w:header="567" w:footer="567" w:gutter="0"/>
          <w:pgNumType w:start="1"/>
          <w:cols w:space="720"/>
          <w:docGrid w:linePitch="360"/>
        </w:sectPr>
      </w:pPr>
    </w:p>
    <w:p w14:paraId="43EE4640" w14:textId="77777777" w:rsidR="003D1199" w:rsidRPr="00926D59" w:rsidRDefault="00365032" w:rsidP="00E46BD9">
      <w:pPr>
        <w:ind w:hanging="851"/>
      </w:pPr>
      <w:r>
        <w:rPr>
          <w:noProof/>
          <w:lang w:eastAsia="en-AU"/>
        </w:rPr>
        <w:lastRenderedPageBreak/>
        <mc:AlternateContent>
          <mc:Choice Requires="wps">
            <w:drawing>
              <wp:inline distT="0" distB="0" distL="0" distR="0" wp14:anchorId="0704FC72" wp14:editId="3B859439">
                <wp:extent cx="4622400" cy="508680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400" cy="50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6902" w14:textId="77777777" w:rsidR="00365032" w:rsidRPr="00757B51" w:rsidRDefault="00365032" w:rsidP="00365032">
                            <w:pPr>
                              <w:rPr>
                                <w:sz w:val="22"/>
                              </w:rPr>
                            </w:pPr>
                            <w:r w:rsidRPr="00757B51">
                              <w:rPr>
                                <w:b/>
                                <w:sz w:val="22"/>
                              </w:rPr>
                              <w:t>EY</w:t>
                            </w:r>
                            <w:r w:rsidRPr="00757B51">
                              <w:rPr>
                                <w:sz w:val="22"/>
                              </w:rPr>
                              <w:t xml:space="preserve"> | Assurance | Tax | Transactions | Advisory</w:t>
                            </w:r>
                          </w:p>
                          <w:p w14:paraId="222D1ED6" w14:textId="77777777" w:rsidR="00365032" w:rsidRPr="00757B51" w:rsidRDefault="00365032" w:rsidP="00365032">
                            <w:pPr>
                              <w:rPr>
                                <w:sz w:val="22"/>
                              </w:rPr>
                            </w:pPr>
                          </w:p>
                          <w:p w14:paraId="3804B88E" w14:textId="77777777" w:rsidR="00365032" w:rsidRPr="00757B51" w:rsidRDefault="00365032" w:rsidP="00365032">
                            <w:pPr>
                              <w:rPr>
                                <w:sz w:val="22"/>
                              </w:rPr>
                            </w:pPr>
                            <w:r w:rsidRPr="00757B51">
                              <w:rPr>
                                <w:sz w:val="22"/>
                              </w:rPr>
                              <w:t>About EY</w:t>
                            </w:r>
                          </w:p>
                          <w:p w14:paraId="2828FDFF" w14:textId="77777777" w:rsidR="00365032" w:rsidRPr="00757B51" w:rsidRDefault="00365032" w:rsidP="00365032">
                            <w:pPr>
                              <w:spacing w:after="105"/>
                              <w:rPr>
                                <w:rFonts w:cs="Arial"/>
                                <w:sz w:val="18"/>
                              </w:rPr>
                            </w:pPr>
                            <w:r w:rsidRPr="00757B51">
                              <w:rPr>
                                <w:rFonts w:cs="Arial"/>
                                <w:sz w:val="18"/>
                              </w:rPr>
                              <w:t xml:space="preserve">EY is a global leader in assurance, tax, transaction and advisory services. The insights and quality services we deliver help build trust and confidence in the capital markets and in economies the world over. We develop outstanding leaders who team to deliver on our promises to </w:t>
                            </w:r>
                            <w:proofErr w:type="gramStart"/>
                            <w:r w:rsidRPr="00757B51">
                              <w:rPr>
                                <w:rFonts w:cs="Arial"/>
                                <w:sz w:val="18"/>
                              </w:rPr>
                              <w:t>all of</w:t>
                            </w:r>
                            <w:proofErr w:type="gramEnd"/>
                            <w:r w:rsidRPr="00757B51">
                              <w:rPr>
                                <w:rFonts w:cs="Arial"/>
                                <w:sz w:val="18"/>
                              </w:rPr>
                              <w:t xml:space="preserve"> our stakeholders. In so doing, we play a critical role in building a better working world for our people, for our clients and for our communities.</w:t>
                            </w:r>
                          </w:p>
                          <w:p w14:paraId="47A4F461" w14:textId="77777777" w:rsidR="00365032" w:rsidRPr="00757B51" w:rsidRDefault="00365032" w:rsidP="00365032">
                            <w:pPr>
                              <w:spacing w:after="105"/>
                              <w:rPr>
                                <w:rFonts w:cs="Arial"/>
                                <w:sz w:val="18"/>
                              </w:rPr>
                            </w:pPr>
                            <w:r w:rsidRPr="00757B51">
                              <w:rPr>
                                <w:rFonts w:cs="Arial"/>
                                <w:sz w:val="18"/>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1E4017CA" w14:textId="77777777" w:rsidR="00365032" w:rsidRPr="00757B51" w:rsidRDefault="00365032" w:rsidP="00365032">
                            <w:pPr>
                              <w:spacing w:after="105"/>
                              <w:rPr>
                                <w:rFonts w:cs="Arial"/>
                                <w:sz w:val="18"/>
                              </w:rPr>
                            </w:pPr>
                            <w:r w:rsidRPr="00757B51">
                              <w:rPr>
                                <w:rFonts w:cs="Arial"/>
                                <w:sz w:val="18"/>
                              </w:rPr>
                              <w:t>© 2</w:t>
                            </w:r>
                            <w:r w:rsidR="00D05FF2" w:rsidRPr="00757B51">
                              <w:rPr>
                                <w:rFonts w:cs="Arial"/>
                                <w:sz w:val="18"/>
                              </w:rPr>
                              <w:t>019</w:t>
                            </w:r>
                            <w:r w:rsidRPr="00757B51">
                              <w:rPr>
                                <w:rFonts w:cs="Arial"/>
                                <w:sz w:val="18"/>
                              </w:rPr>
                              <w:t xml:space="preserve"> Ernst &amp; Young, Australia</w:t>
                            </w:r>
                            <w:r w:rsidRPr="00757B51">
                              <w:rPr>
                                <w:rFonts w:cs="Arial"/>
                                <w:sz w:val="18"/>
                              </w:rPr>
                              <w:br/>
                              <w:t>All Rights Reserved.</w:t>
                            </w:r>
                          </w:p>
                          <w:p w14:paraId="1BDD5F1A" w14:textId="77777777" w:rsidR="00365032" w:rsidRPr="00757B51" w:rsidRDefault="00365032" w:rsidP="00365032">
                            <w:pPr>
                              <w:spacing w:after="105"/>
                              <w:rPr>
                                <w:rFonts w:cs="Arial"/>
                                <w:sz w:val="18"/>
                              </w:rPr>
                            </w:pPr>
                            <w:r w:rsidRPr="00757B51">
                              <w:rPr>
                                <w:rFonts w:cs="Arial"/>
                                <w:sz w:val="18"/>
                              </w:rPr>
                              <w:t>In line with EY’s commitment to minimize its impact on the environment, this document has been printed on paper with a high recycled content.</w:t>
                            </w:r>
                          </w:p>
                          <w:p w14:paraId="16961D33" w14:textId="77777777" w:rsidR="00365032" w:rsidRPr="00757B51" w:rsidRDefault="00D05FF2" w:rsidP="00365032">
                            <w:pPr>
                              <w:spacing w:after="105"/>
                              <w:rPr>
                                <w:rFonts w:cs="Arial"/>
                                <w:sz w:val="18"/>
                                <w:szCs w:val="16"/>
                              </w:rPr>
                            </w:pPr>
                            <w:r w:rsidRPr="00757B51">
                              <w:rPr>
                                <w:rFonts w:cs="Arial"/>
                                <w:sz w:val="18"/>
                                <w:szCs w:val="16"/>
                              </w:rPr>
                              <w:t xml:space="preserve">Ernst &amp; Young is a registered trademark. This document may be relied upon </w:t>
                            </w:r>
                            <w:proofErr w:type="gramStart"/>
                            <w:r w:rsidRPr="00757B51">
                              <w:rPr>
                                <w:rFonts w:cs="Arial"/>
                                <w:sz w:val="18"/>
                                <w:szCs w:val="16"/>
                              </w:rPr>
                              <w:t>for the purpose of</w:t>
                            </w:r>
                            <w:proofErr w:type="gramEnd"/>
                            <w:r w:rsidRPr="00757B51">
                              <w:rPr>
                                <w:rFonts w:cs="Arial"/>
                                <w:sz w:val="18"/>
                                <w:szCs w:val="16"/>
                              </w:rPr>
                              <w:t xml:space="preserve"> the consulting on NDIS thin markets, pursuant to the terms of our engagement letter. We disclaim all responsibility to any other party for any loss or liability that the other party may suffer or incur arising from or relating to or in any way connected with the contents of our report, the provision of our report to the other party or the reliance upon our report by the other party.</w:t>
                            </w:r>
                          </w:p>
                          <w:p w14:paraId="17EADC36" w14:textId="77777777" w:rsidR="00365032" w:rsidRPr="00757B51" w:rsidRDefault="00365032" w:rsidP="00365032">
                            <w:pPr>
                              <w:spacing w:after="105"/>
                              <w:rPr>
                                <w:sz w:val="18"/>
                                <w:szCs w:val="16"/>
                              </w:rPr>
                            </w:pPr>
                            <w:r w:rsidRPr="00757B51">
                              <w:rPr>
                                <w:rFonts w:cs="Arial"/>
                                <w:sz w:val="18"/>
                                <w:szCs w:val="16"/>
                              </w:rPr>
                              <w:t>Liability limited by a scheme approved under Professional Standards Legislation.</w:t>
                            </w:r>
                          </w:p>
                          <w:p w14:paraId="280EBD50" w14:textId="77777777" w:rsidR="00365032" w:rsidRPr="00757B51" w:rsidRDefault="00365032" w:rsidP="00365032">
                            <w:pPr>
                              <w:rPr>
                                <w:sz w:val="22"/>
                              </w:rPr>
                            </w:pPr>
                            <w:r w:rsidRPr="00757B51">
                              <w:rPr>
                                <w:sz w:val="22"/>
                              </w:rPr>
                              <w:t>ey.com</w:t>
                            </w:r>
                          </w:p>
                        </w:txbxContent>
                      </wps:txbx>
                      <wps:bodyPr rot="0" vert="horz" wrap="square" lIns="685800" tIns="685800" rIns="91440" bIns="45720" anchor="t" anchorCtr="0" upright="1">
                        <a:noAutofit/>
                      </wps:bodyPr>
                    </wps:wsp>
                  </a:graphicData>
                </a:graphic>
              </wp:inline>
            </w:drawing>
          </mc:Choice>
          <mc:Fallback>
            <w:pict>
              <v:shape w14:anchorId="0704FC72" id="Text Box 5" o:spid="_x0000_s1028" type="#_x0000_t202" style="width:363.95pt;height:4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" filled="f" stroked="f">
                <v:textbox inset="54pt,54pt">
                  <w:txbxContent>
                    <w:p w14:paraId="16B46902" w14:textId="77777777" w:rsidR="00365032" w:rsidRPr="00757B51" w:rsidRDefault="00365032" w:rsidP="00365032">
                      <w:pPr>
                        <w:rPr>
                          <w:sz w:val="22"/>
                        </w:rPr>
                      </w:pPr>
                      <w:r w:rsidRPr="00757B51">
                        <w:rPr>
                          <w:b/>
                          <w:sz w:val="22"/>
                        </w:rPr>
                        <w:t>EY</w:t>
                      </w:r>
                      <w:r w:rsidRPr="00757B51">
                        <w:rPr>
                          <w:sz w:val="22"/>
                        </w:rPr>
                        <w:t xml:space="preserve"> | Assurance | Tax | Transactions | Advisory</w:t>
                      </w:r>
                    </w:p>
                    <w:p w14:paraId="222D1ED6" w14:textId="77777777" w:rsidR="00365032" w:rsidRPr="00757B51" w:rsidRDefault="00365032" w:rsidP="00365032">
                      <w:pPr>
                        <w:rPr>
                          <w:sz w:val="22"/>
                        </w:rPr>
                      </w:pPr>
                    </w:p>
                    <w:p w14:paraId="3804B88E" w14:textId="77777777" w:rsidR="00365032" w:rsidRPr="00757B51" w:rsidRDefault="00365032" w:rsidP="00365032">
                      <w:pPr>
                        <w:rPr>
                          <w:sz w:val="22"/>
                        </w:rPr>
                      </w:pPr>
                      <w:r w:rsidRPr="00757B51">
                        <w:rPr>
                          <w:sz w:val="22"/>
                        </w:rPr>
                        <w:t>About EY</w:t>
                      </w:r>
                    </w:p>
                    <w:p w14:paraId="2828FDFF" w14:textId="77777777" w:rsidR="00365032" w:rsidRPr="00757B51" w:rsidRDefault="00365032" w:rsidP="00365032">
                      <w:pPr>
                        <w:spacing w:after="105"/>
                        <w:rPr>
                          <w:rFonts w:cs="Arial"/>
                          <w:sz w:val="18"/>
                        </w:rPr>
                      </w:pPr>
                      <w:r w:rsidRPr="00757B51">
                        <w:rPr>
                          <w:rFonts w:cs="Arial"/>
                          <w:sz w:val="18"/>
                        </w:rPr>
                        <w:t xml:space="preserve">EY is a global leader in assurance, tax, transaction and advisory services. The insights and quality services we deliver help build trust and confidence in the capital markets and in economies the world over. We develop outstanding leaders who team to deliver on our promises to </w:t>
                      </w:r>
                      <w:proofErr w:type="gramStart"/>
                      <w:r w:rsidRPr="00757B51">
                        <w:rPr>
                          <w:rFonts w:cs="Arial"/>
                          <w:sz w:val="18"/>
                        </w:rPr>
                        <w:t>all of</w:t>
                      </w:r>
                      <w:proofErr w:type="gramEnd"/>
                      <w:r w:rsidRPr="00757B51">
                        <w:rPr>
                          <w:rFonts w:cs="Arial"/>
                          <w:sz w:val="18"/>
                        </w:rPr>
                        <w:t xml:space="preserve"> our stakeholders. In so doing, we play a critical role in building a better working world for our people, for our clients and for our communities.</w:t>
                      </w:r>
                    </w:p>
                    <w:p w14:paraId="47A4F461" w14:textId="77777777" w:rsidR="00365032" w:rsidRPr="00757B51" w:rsidRDefault="00365032" w:rsidP="00365032">
                      <w:pPr>
                        <w:spacing w:after="105"/>
                        <w:rPr>
                          <w:rFonts w:cs="Arial"/>
                          <w:sz w:val="18"/>
                        </w:rPr>
                      </w:pPr>
                      <w:r w:rsidRPr="00757B51">
                        <w:rPr>
                          <w:rFonts w:cs="Arial"/>
                          <w:sz w:val="18"/>
                        </w:rPr>
                        <w:t>EY refers to the global organisation and may refer to one or more of the member firms of Ernst &amp; Young Global Limited, each of which is a separate legal entity. Ernst &amp; Young Global Limited, a UK company limited by guarantee, does not provide services to clients. For more information about our organisation, please visit ey.com.</w:t>
                      </w:r>
                    </w:p>
                    <w:p w14:paraId="1E4017CA" w14:textId="77777777" w:rsidR="00365032" w:rsidRPr="00757B51" w:rsidRDefault="00365032" w:rsidP="00365032">
                      <w:pPr>
                        <w:spacing w:after="105"/>
                        <w:rPr>
                          <w:rFonts w:cs="Arial"/>
                          <w:sz w:val="18"/>
                        </w:rPr>
                      </w:pPr>
                      <w:r w:rsidRPr="00757B51">
                        <w:rPr>
                          <w:rFonts w:cs="Arial"/>
                          <w:sz w:val="18"/>
                        </w:rPr>
                        <w:t>© 2</w:t>
                      </w:r>
                      <w:r w:rsidR="00D05FF2" w:rsidRPr="00757B51">
                        <w:rPr>
                          <w:rFonts w:cs="Arial"/>
                          <w:sz w:val="18"/>
                        </w:rPr>
                        <w:t>019</w:t>
                      </w:r>
                      <w:r w:rsidRPr="00757B51">
                        <w:rPr>
                          <w:rFonts w:cs="Arial"/>
                          <w:sz w:val="18"/>
                        </w:rPr>
                        <w:t xml:space="preserve"> Ernst &amp; Young, Australia</w:t>
                      </w:r>
                      <w:r w:rsidRPr="00757B51">
                        <w:rPr>
                          <w:rFonts w:cs="Arial"/>
                          <w:sz w:val="18"/>
                        </w:rPr>
                        <w:br/>
                        <w:t>All Rights Reserved.</w:t>
                      </w:r>
                    </w:p>
                    <w:p w14:paraId="1BDD5F1A" w14:textId="77777777" w:rsidR="00365032" w:rsidRPr="00757B51" w:rsidRDefault="00365032" w:rsidP="00365032">
                      <w:pPr>
                        <w:spacing w:after="105"/>
                        <w:rPr>
                          <w:rFonts w:cs="Arial"/>
                          <w:sz w:val="18"/>
                        </w:rPr>
                      </w:pPr>
                      <w:r w:rsidRPr="00757B51">
                        <w:rPr>
                          <w:rFonts w:cs="Arial"/>
                          <w:sz w:val="18"/>
                        </w:rPr>
                        <w:t>In line with EY’s commitment to minimize its impact on the environment, this document has been printed on paper with a high recycled content.</w:t>
                      </w:r>
                    </w:p>
                    <w:p w14:paraId="16961D33" w14:textId="77777777" w:rsidR="00365032" w:rsidRPr="00757B51" w:rsidRDefault="00D05FF2" w:rsidP="00365032">
                      <w:pPr>
                        <w:spacing w:after="105"/>
                        <w:rPr>
                          <w:rFonts w:cs="Arial"/>
                          <w:sz w:val="18"/>
                          <w:szCs w:val="16"/>
                        </w:rPr>
                      </w:pPr>
                      <w:r w:rsidRPr="00757B51">
                        <w:rPr>
                          <w:rFonts w:cs="Arial"/>
                          <w:sz w:val="18"/>
                          <w:szCs w:val="16"/>
                        </w:rPr>
                        <w:t xml:space="preserve">Ernst &amp; Young is a registered trademark. This document may be relied upon </w:t>
                      </w:r>
                      <w:proofErr w:type="gramStart"/>
                      <w:r w:rsidRPr="00757B51">
                        <w:rPr>
                          <w:rFonts w:cs="Arial"/>
                          <w:sz w:val="18"/>
                          <w:szCs w:val="16"/>
                        </w:rPr>
                        <w:t>for the purpose of</w:t>
                      </w:r>
                      <w:proofErr w:type="gramEnd"/>
                      <w:r w:rsidRPr="00757B51">
                        <w:rPr>
                          <w:rFonts w:cs="Arial"/>
                          <w:sz w:val="18"/>
                          <w:szCs w:val="16"/>
                        </w:rPr>
                        <w:t xml:space="preserve"> the consulting on NDIS thin markets, pursuant to the terms of our engagement letter. We disclaim all responsibility to any other party for any loss or liability that the other party may suffer or incur arising from or relating to or in any way connected with the contents of our report, the provision of our report to the other party or the reliance upon our report by the other party.</w:t>
                      </w:r>
                    </w:p>
                    <w:p w14:paraId="17EADC36" w14:textId="77777777" w:rsidR="00365032" w:rsidRPr="00757B51" w:rsidRDefault="00365032" w:rsidP="00365032">
                      <w:pPr>
                        <w:spacing w:after="105"/>
                        <w:rPr>
                          <w:sz w:val="18"/>
                          <w:szCs w:val="16"/>
                        </w:rPr>
                      </w:pPr>
                      <w:r w:rsidRPr="00757B51">
                        <w:rPr>
                          <w:rFonts w:cs="Arial"/>
                          <w:sz w:val="18"/>
                          <w:szCs w:val="16"/>
                        </w:rPr>
                        <w:t>Liability limited by a scheme approved under Professional Standards Legislation.</w:t>
                      </w:r>
                    </w:p>
                    <w:p w14:paraId="280EBD50" w14:textId="77777777" w:rsidR="00365032" w:rsidRPr="00757B51" w:rsidRDefault="00365032" w:rsidP="00365032">
                      <w:pPr>
                        <w:rPr>
                          <w:sz w:val="22"/>
                        </w:rPr>
                      </w:pPr>
                      <w:r w:rsidRPr="00757B51">
                        <w:rPr>
                          <w:sz w:val="22"/>
                        </w:rPr>
                        <w:t>ey.com</w:t>
                      </w:r>
                    </w:p>
                  </w:txbxContent>
                </v:textbox>
                <w10:anchorlock/>
              </v:shape>
            </w:pict>
          </mc:Fallback>
        </mc:AlternateContent>
      </w:r>
    </w:p>
    <w:sectPr w:rsidR="003D1199" w:rsidRPr="00926D59" w:rsidSect="00664DE4">
      <w:headerReference w:type="default" r:id="rId20"/>
      <w:footerReference w:type="default" r:id="rId21"/>
      <w:pgSz w:w="11909" w:h="16834" w:code="9"/>
      <w:pgMar w:top="1418" w:right="1134" w:bottom="851"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9042" w14:textId="77777777" w:rsidR="005C2609" w:rsidRDefault="005C2609">
      <w:r>
        <w:separator/>
      </w:r>
    </w:p>
    <w:p w14:paraId="4E51F158" w14:textId="77777777" w:rsidR="005C2609" w:rsidRDefault="005C2609"/>
    <w:p w14:paraId="38A48DBE" w14:textId="77777777" w:rsidR="005C2609" w:rsidRDefault="005C2609"/>
    <w:p w14:paraId="1BDE8486" w14:textId="77777777" w:rsidR="005C2609" w:rsidRDefault="005C2609"/>
    <w:p w14:paraId="428EBBA2" w14:textId="77777777" w:rsidR="005C2609" w:rsidRDefault="005C2609"/>
    <w:p w14:paraId="78C0FD1B" w14:textId="77777777" w:rsidR="005C2609" w:rsidRDefault="005C2609"/>
    <w:p w14:paraId="1EBAEB0C" w14:textId="77777777" w:rsidR="005C2609" w:rsidRDefault="005C2609"/>
    <w:p w14:paraId="03D7F71E" w14:textId="77777777" w:rsidR="005C2609" w:rsidRDefault="005C2609"/>
  </w:endnote>
  <w:endnote w:type="continuationSeparator" w:id="0">
    <w:p w14:paraId="3A9E8579" w14:textId="77777777" w:rsidR="005C2609" w:rsidRDefault="005C2609">
      <w:r>
        <w:continuationSeparator/>
      </w:r>
      <w:bookmarkStart w:id="0" w:name="_GoBack"/>
    </w:p>
    <w:p w14:paraId="6E734779" w14:textId="77777777" w:rsidR="005C2609" w:rsidRDefault="005C2609"/>
    <w:p w14:paraId="5789E8F6" w14:textId="77777777" w:rsidR="005C2609" w:rsidRDefault="005C2609"/>
    <w:p w14:paraId="60BB16E2" w14:textId="77777777" w:rsidR="005C2609" w:rsidRDefault="005C2609"/>
    <w:p w14:paraId="0469BD10" w14:textId="77777777" w:rsidR="005C2609" w:rsidRDefault="005C2609"/>
    <w:p w14:paraId="6786C3EF" w14:textId="77777777" w:rsidR="005C2609" w:rsidRDefault="005C2609"/>
    <w:p w14:paraId="38179FB6" w14:textId="77777777" w:rsidR="005C2609" w:rsidRDefault="005C2609"/>
    <w:bookmarkEnd w:id="0"/>
    <w:p w14:paraId="7D56D491" w14:textId="77777777" w:rsidR="005C2609" w:rsidRDefault="005C2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YInterstate Light">
    <w:altName w:val="Franklin Gothic Medium Cond"/>
    <w:panose1 w:val="02000506000000020004"/>
    <w:charset w:val="00"/>
    <w:family w:val="auto"/>
    <w:pitch w:val="variable"/>
    <w:sig w:usb0="A00002AF"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Regular">
    <w:altName w:val="Corbel"/>
    <w:panose1 w:val="02000503020000020004"/>
    <w:charset w:val="00"/>
    <w:family w:val="auto"/>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640"/>
      <w:gridCol w:w="1717"/>
    </w:tblGrid>
    <w:tr w:rsidR="00E462BE" w14:paraId="2FEC5D38" w14:textId="77777777" w:rsidTr="00664DE4">
      <w:trPr>
        <w:trHeight w:val="142"/>
        <w:jc w:val="right"/>
      </w:trPr>
      <w:tc>
        <w:tcPr>
          <w:tcW w:w="7460" w:type="dxa"/>
        </w:tcPr>
        <w:p w14:paraId="3EAF602E" w14:textId="77777777" w:rsidR="00E462BE" w:rsidRPr="00063078" w:rsidRDefault="00A85022" w:rsidP="003B584E">
          <w:pPr>
            <w:pStyle w:val="Footer"/>
            <w:rPr>
              <w:szCs w:val="16"/>
            </w:rPr>
          </w:pPr>
          <w:r>
            <w:rPr>
              <w:szCs w:val="24"/>
            </w:rPr>
            <w:t>A member firm of Ernst &amp; Young Global Limited</w:t>
          </w:r>
        </w:p>
      </w:tc>
      <w:tc>
        <w:tcPr>
          <w:tcW w:w="1677" w:type="dxa"/>
        </w:tcPr>
        <w:p w14:paraId="690996D5" w14:textId="77777777" w:rsidR="00E462BE" w:rsidRPr="00625D2E" w:rsidRDefault="00E462BE" w:rsidP="003B584E">
          <w:pPr>
            <w:pStyle w:val="Footer"/>
            <w:rPr>
              <w:szCs w:val="16"/>
            </w:rPr>
          </w:pPr>
        </w:p>
      </w:tc>
    </w:tr>
    <w:tr w:rsidR="00E462BE" w14:paraId="59E7020D" w14:textId="77777777" w:rsidTr="003B584E">
      <w:trPr>
        <w:trHeight w:val="187"/>
        <w:jc w:val="right"/>
      </w:trPr>
      <w:tc>
        <w:tcPr>
          <w:tcW w:w="7460" w:type="dxa"/>
        </w:tcPr>
        <w:p w14:paraId="19C10024" w14:textId="77777777" w:rsidR="009C4EEB" w:rsidRPr="00063078" w:rsidRDefault="00A85022" w:rsidP="00F54977">
          <w:pPr>
            <w:pStyle w:val="Footer"/>
            <w:rPr>
              <w:szCs w:val="16"/>
            </w:rPr>
          </w:pPr>
          <w:r>
            <w:rPr>
              <w:szCs w:val="16"/>
            </w:rPr>
            <w:t>Liability limited by a scheme approved under Professional Standards Legislation</w:t>
          </w:r>
        </w:p>
      </w:tc>
      <w:tc>
        <w:tcPr>
          <w:tcW w:w="1677" w:type="dxa"/>
        </w:tcPr>
        <w:p w14:paraId="1C2F33E8" w14:textId="3F21558A" w:rsidR="00E462BE" w:rsidRDefault="00E462BE" w:rsidP="003B584E">
          <w:pPr>
            <w:pStyle w:val="Footer"/>
            <w:jc w:val="right"/>
            <w:rPr>
              <w:szCs w:val="16"/>
            </w:rPr>
          </w:pPr>
          <w:r>
            <w:rPr>
              <w:szCs w:val="16"/>
            </w:rPr>
            <w:t>EY</w:t>
          </w:r>
          <w:r w:rsidRPr="00625D2E">
            <w:rPr>
              <w:szCs w:val="16"/>
            </w:rPr>
            <w:t xml:space="preserve"> </w:t>
          </w:r>
          <w:r w:rsidRPr="00625D2E">
            <w:rPr>
              <w:szCs w:val="16"/>
            </w:rPr>
            <w:sym w:font="Symbol" w:char="F0F7"/>
          </w:r>
          <w:r w:rsidRPr="00625D2E">
            <w:rPr>
              <w:szCs w:val="16"/>
            </w:rPr>
            <w:t xml:space="preserve"> </w:t>
          </w:r>
          <w:r>
            <w:rPr>
              <w:szCs w:val="16"/>
            </w:rPr>
            <w:t xml:space="preserve"> </w:t>
          </w:r>
          <w:r w:rsidRPr="00D3139D">
            <w:rPr>
              <w:szCs w:val="16"/>
            </w:rPr>
            <w:fldChar w:fldCharType="begin"/>
          </w:r>
          <w:r w:rsidRPr="00D3139D">
            <w:rPr>
              <w:szCs w:val="16"/>
            </w:rPr>
            <w:instrText xml:space="preserve"> PAGE </w:instrText>
          </w:r>
          <w:r w:rsidRPr="00D3139D">
            <w:rPr>
              <w:szCs w:val="16"/>
            </w:rPr>
            <w:fldChar w:fldCharType="separate"/>
          </w:r>
          <w:r w:rsidR="002C6EAD">
            <w:rPr>
              <w:noProof/>
              <w:szCs w:val="16"/>
            </w:rPr>
            <w:t>i</w:t>
          </w:r>
          <w:r w:rsidRPr="00D3139D">
            <w:rPr>
              <w:szCs w:val="16"/>
            </w:rPr>
            <w:fldChar w:fldCharType="end"/>
          </w:r>
        </w:p>
      </w:tc>
    </w:tr>
  </w:tbl>
  <w:p w14:paraId="0E46A476" w14:textId="77777777" w:rsidR="00911300" w:rsidRPr="00E462BE" w:rsidRDefault="00911300" w:rsidP="00E462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Look w:val="0000" w:firstRow="0" w:lastRow="0" w:firstColumn="0" w:lastColumn="0" w:noHBand="0" w:noVBand="0"/>
    </w:tblPr>
    <w:tblGrid>
      <w:gridCol w:w="7637"/>
      <w:gridCol w:w="1720"/>
    </w:tblGrid>
    <w:tr w:rsidR="00A85022" w:rsidRPr="00391F4B" w14:paraId="16BBC67E" w14:textId="77777777" w:rsidTr="00664DE4">
      <w:trPr>
        <w:trHeight w:val="142"/>
        <w:jc w:val="right"/>
      </w:trPr>
      <w:tc>
        <w:tcPr>
          <w:tcW w:w="4081" w:type="pct"/>
        </w:tcPr>
        <w:p w14:paraId="31BB8E50" w14:textId="77777777" w:rsidR="00A85022" w:rsidRPr="00391F4B" w:rsidRDefault="00A85022" w:rsidP="003B584E">
          <w:pPr>
            <w:pStyle w:val="Footer"/>
            <w:rPr>
              <w:sz w:val="18"/>
              <w:szCs w:val="18"/>
            </w:rPr>
          </w:pPr>
          <w:r w:rsidRPr="00391F4B">
            <w:rPr>
              <w:sz w:val="18"/>
              <w:szCs w:val="18"/>
            </w:rPr>
            <w:t>Department of Social Services</w:t>
          </w:r>
        </w:p>
      </w:tc>
      <w:tc>
        <w:tcPr>
          <w:tcW w:w="919" w:type="pct"/>
        </w:tcPr>
        <w:p w14:paraId="034F5D52" w14:textId="77777777" w:rsidR="00A85022" w:rsidRPr="00391F4B" w:rsidRDefault="00A85022" w:rsidP="003B584E">
          <w:pPr>
            <w:pStyle w:val="Footer"/>
            <w:rPr>
              <w:sz w:val="18"/>
              <w:szCs w:val="18"/>
            </w:rPr>
          </w:pPr>
        </w:p>
      </w:tc>
    </w:tr>
    <w:tr w:rsidR="00A85022" w:rsidRPr="00391F4B" w14:paraId="2220A3D6" w14:textId="77777777" w:rsidTr="00664DE4">
      <w:trPr>
        <w:trHeight w:val="187"/>
        <w:jc w:val="right"/>
      </w:trPr>
      <w:tc>
        <w:tcPr>
          <w:tcW w:w="4081" w:type="pct"/>
        </w:tcPr>
        <w:p w14:paraId="3CBA8FFD" w14:textId="77777777" w:rsidR="00A85022" w:rsidRPr="00391F4B" w:rsidRDefault="00A85022" w:rsidP="009C40D7">
          <w:pPr>
            <w:pStyle w:val="Footer"/>
            <w:rPr>
              <w:sz w:val="18"/>
              <w:szCs w:val="18"/>
            </w:rPr>
          </w:pPr>
          <w:r w:rsidRPr="00391F4B">
            <w:rPr>
              <w:sz w:val="18"/>
              <w:szCs w:val="18"/>
            </w:rPr>
            <w:t xml:space="preserve">NDIS Thin Markets Project – </w:t>
          </w:r>
          <w:r w:rsidR="00241338" w:rsidRPr="00391F4B">
            <w:rPr>
              <w:sz w:val="18"/>
              <w:szCs w:val="18"/>
            </w:rPr>
            <w:t>Discussion paper</w:t>
          </w:r>
          <w:r w:rsidRPr="00391F4B">
            <w:rPr>
              <w:sz w:val="18"/>
              <w:szCs w:val="18"/>
            </w:rPr>
            <w:t xml:space="preserve"> to </w:t>
          </w:r>
          <w:r w:rsidR="00241338" w:rsidRPr="00391F4B">
            <w:rPr>
              <w:sz w:val="18"/>
              <w:szCs w:val="18"/>
            </w:rPr>
            <w:t>inform consultation</w:t>
          </w:r>
        </w:p>
      </w:tc>
      <w:tc>
        <w:tcPr>
          <w:tcW w:w="919" w:type="pct"/>
        </w:tcPr>
        <w:p w14:paraId="5C32C0F0" w14:textId="35C04284" w:rsidR="00A85022" w:rsidRPr="00391F4B" w:rsidRDefault="00A85022" w:rsidP="003B584E">
          <w:pPr>
            <w:pStyle w:val="Footer"/>
            <w:jc w:val="right"/>
            <w:rPr>
              <w:sz w:val="18"/>
              <w:szCs w:val="18"/>
            </w:rPr>
          </w:pPr>
          <w:r w:rsidRPr="00391F4B">
            <w:rPr>
              <w:sz w:val="18"/>
              <w:szCs w:val="18"/>
            </w:rPr>
            <w:t xml:space="preserve">EY </w:t>
          </w:r>
          <w:r w:rsidRPr="00391F4B">
            <w:rPr>
              <w:sz w:val="18"/>
              <w:szCs w:val="18"/>
            </w:rPr>
            <w:sym w:font="Symbol" w:char="F0F7"/>
          </w:r>
          <w:r w:rsidRPr="00391F4B">
            <w:rPr>
              <w:sz w:val="18"/>
              <w:szCs w:val="18"/>
            </w:rPr>
            <w:t xml:space="preserve">  </w:t>
          </w:r>
          <w:r w:rsidRPr="00391F4B">
            <w:rPr>
              <w:sz w:val="18"/>
              <w:szCs w:val="18"/>
            </w:rPr>
            <w:fldChar w:fldCharType="begin"/>
          </w:r>
          <w:r w:rsidRPr="00391F4B">
            <w:rPr>
              <w:sz w:val="18"/>
              <w:szCs w:val="18"/>
            </w:rPr>
            <w:instrText xml:space="preserve"> PAGE </w:instrText>
          </w:r>
          <w:r w:rsidRPr="00391F4B">
            <w:rPr>
              <w:sz w:val="18"/>
              <w:szCs w:val="18"/>
            </w:rPr>
            <w:fldChar w:fldCharType="separate"/>
          </w:r>
          <w:r w:rsidR="002C6EAD">
            <w:rPr>
              <w:noProof/>
              <w:sz w:val="18"/>
              <w:szCs w:val="18"/>
            </w:rPr>
            <w:t>11</w:t>
          </w:r>
          <w:r w:rsidRPr="00391F4B">
            <w:rPr>
              <w:sz w:val="18"/>
              <w:szCs w:val="18"/>
            </w:rPr>
            <w:fldChar w:fldCharType="end"/>
          </w:r>
        </w:p>
      </w:tc>
    </w:tr>
  </w:tbl>
  <w:p w14:paraId="593A0AC1" w14:textId="77777777" w:rsidR="00A85022" w:rsidRPr="00E462BE" w:rsidRDefault="00A85022" w:rsidP="00E462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F601" w14:textId="77777777" w:rsidR="00856E5F" w:rsidRPr="00856E5F" w:rsidRDefault="00856E5F" w:rsidP="0085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991B" w14:textId="77777777" w:rsidR="005C2609" w:rsidRPr="009F10D4" w:rsidRDefault="005C2609" w:rsidP="009F10D4">
      <w:r>
        <w:separator/>
      </w:r>
    </w:p>
  </w:footnote>
  <w:footnote w:type="continuationSeparator" w:id="0">
    <w:p w14:paraId="04E407F4" w14:textId="77777777" w:rsidR="005C2609" w:rsidRDefault="005C2609">
      <w:r>
        <w:continuationSeparator/>
      </w:r>
    </w:p>
  </w:footnote>
  <w:footnote w:type="continuationNotice" w:id="1">
    <w:p w14:paraId="331B9C67" w14:textId="77777777" w:rsidR="005C2609" w:rsidRDefault="005C2609"/>
  </w:footnote>
  <w:footnote w:id="2">
    <w:p w14:paraId="2841AF67" w14:textId="77777777" w:rsidR="00E1787F" w:rsidRDefault="00E1787F">
      <w:pPr>
        <w:pStyle w:val="FootnoteText"/>
      </w:pPr>
      <w:r>
        <w:rPr>
          <w:rStyle w:val="FootnoteReference"/>
        </w:rPr>
        <w:footnoteRef/>
      </w:r>
      <w:r>
        <w:t xml:space="preserve"> Refer section 2.2 of this </w:t>
      </w:r>
      <w:r w:rsidR="003D569E">
        <w:t>discussion paper</w:t>
      </w:r>
      <w:r>
        <w:t xml:space="preserve"> for the definition of thin markets applies </w:t>
      </w:r>
      <w:proofErr w:type="gramStart"/>
      <w:r>
        <w:t>for the purpose of</w:t>
      </w:r>
      <w:proofErr w:type="gramEnd"/>
      <w:r>
        <w:t xml:space="preserve"> this Project</w:t>
      </w:r>
    </w:p>
  </w:footnote>
  <w:footnote w:id="3">
    <w:p w14:paraId="7AF2C57A" w14:textId="77777777" w:rsidR="00537B79" w:rsidRDefault="00537B79" w:rsidP="00537B79">
      <w:pPr>
        <w:pStyle w:val="FootnoteText"/>
      </w:pPr>
      <w:r>
        <w:rPr>
          <w:rStyle w:val="FootnoteReference"/>
        </w:rPr>
        <w:footnoteRef/>
      </w:r>
      <w:r>
        <w:t xml:space="preserve"> Productivity Commission (2017), </w:t>
      </w:r>
      <w:r w:rsidRPr="00D71CA1">
        <w:rPr>
          <w:i/>
        </w:rPr>
        <w:t xml:space="preserve">NDIS </w:t>
      </w:r>
      <w:r>
        <w:rPr>
          <w:i/>
        </w:rPr>
        <w:t>Costs Report</w:t>
      </w:r>
    </w:p>
  </w:footnote>
  <w:footnote w:id="4">
    <w:p w14:paraId="4E8EC8F7" w14:textId="77777777" w:rsidR="004D1D4A" w:rsidRDefault="004D1D4A" w:rsidP="004D1D4A">
      <w:pPr>
        <w:pStyle w:val="FootnoteText"/>
      </w:pPr>
      <w:r>
        <w:rPr>
          <w:rStyle w:val="FootnoteReference"/>
        </w:rPr>
        <w:footnoteRef/>
      </w:r>
      <w:r>
        <w:t xml:space="preserve"> </w:t>
      </w:r>
      <w:r w:rsidRPr="00DF55AA">
        <w:rPr>
          <w:szCs w:val="16"/>
        </w:rPr>
        <w:t>Joint Standing Committee on the National Disability Insurance Scheme</w:t>
      </w:r>
      <w:r>
        <w:t xml:space="preserve">, </w:t>
      </w:r>
      <w:r w:rsidRPr="00D71CA1">
        <w:rPr>
          <w:i/>
        </w:rPr>
        <w:t>Market Readiness</w:t>
      </w:r>
      <w:r>
        <w:t xml:space="preserve"> (2018) and </w:t>
      </w:r>
      <w:r w:rsidRPr="00D71CA1">
        <w:rPr>
          <w:i/>
        </w:rPr>
        <w:t>General Issues</w:t>
      </w:r>
      <w:r>
        <w:t xml:space="preserve"> Consultations (2018).</w:t>
      </w:r>
    </w:p>
  </w:footnote>
  <w:footnote w:id="5">
    <w:p w14:paraId="56C07815" w14:textId="77777777" w:rsidR="004D1D4A" w:rsidRPr="00D71CA1" w:rsidRDefault="004D1D4A" w:rsidP="004D1D4A">
      <w:pPr>
        <w:pStyle w:val="FootnoteText"/>
      </w:pPr>
      <w:r>
        <w:rPr>
          <w:rStyle w:val="FootnoteReference"/>
        </w:rPr>
        <w:footnoteRef/>
      </w:r>
      <w:r>
        <w:t xml:space="preserve"> Productivity Commission (2017), </w:t>
      </w:r>
      <w:r>
        <w:rPr>
          <w:i/>
        </w:rPr>
        <w:t>NDIS Costs Report.</w:t>
      </w:r>
    </w:p>
  </w:footnote>
  <w:footnote w:id="6">
    <w:p w14:paraId="30CB9AFE" w14:textId="77777777" w:rsidR="004D1D4A" w:rsidRDefault="004D1D4A" w:rsidP="004D1D4A">
      <w:pPr>
        <w:pStyle w:val="FootnoteText"/>
      </w:pPr>
      <w:r>
        <w:rPr>
          <w:rStyle w:val="FootnoteReference"/>
        </w:rPr>
        <w:footnoteRef/>
      </w:r>
      <w:r>
        <w:t xml:space="preserve"> Productivity Commission (2017), </w:t>
      </w:r>
      <w:r w:rsidRPr="00D71CA1">
        <w:rPr>
          <w:i/>
        </w:rPr>
        <w:t>NDIS Costs Report</w:t>
      </w:r>
      <w:r>
        <w:t xml:space="preserve">, </w:t>
      </w:r>
      <w:r>
        <w:rPr>
          <w:szCs w:val="16"/>
        </w:rPr>
        <w:t>H</w:t>
      </w:r>
      <w:r w:rsidRPr="00DF55AA">
        <w:rPr>
          <w:szCs w:val="16"/>
        </w:rPr>
        <w:t>ouse of Representatives Joint Standing Committee on the National Disability Insurance Scheme</w:t>
      </w:r>
      <w:r>
        <w:t xml:space="preserve">, </w:t>
      </w:r>
      <w:r w:rsidRPr="00D71CA1">
        <w:rPr>
          <w:i/>
        </w:rPr>
        <w:t>Market Readiness</w:t>
      </w:r>
      <w:r>
        <w:t xml:space="preserve"> (2018) and </w:t>
      </w:r>
      <w:r w:rsidRPr="00D71CA1">
        <w:rPr>
          <w:i/>
        </w:rPr>
        <w:t>General Issues</w:t>
      </w:r>
      <w:r>
        <w:t xml:space="preserve"> Consultations (2018), and </w:t>
      </w:r>
      <w:r w:rsidRPr="00DF55AA">
        <w:rPr>
          <w:szCs w:val="16"/>
        </w:rPr>
        <w:t>McKinsey &amp; Company</w:t>
      </w:r>
      <w:r>
        <w:rPr>
          <w:szCs w:val="16"/>
        </w:rPr>
        <w:t xml:space="preserve"> (2018)</w:t>
      </w:r>
      <w:r w:rsidRPr="00DF55AA">
        <w:rPr>
          <w:szCs w:val="16"/>
        </w:rPr>
        <w:t>, ‘</w:t>
      </w:r>
      <w:r w:rsidRPr="00D71CA1">
        <w:rPr>
          <w:i/>
          <w:szCs w:val="16"/>
        </w:rPr>
        <w:t>Independent Pricing Review’</w:t>
      </w:r>
      <w:r w:rsidRPr="00DF55AA">
        <w:rPr>
          <w:szCs w:val="16"/>
        </w:rPr>
        <w:t>, Natio</w:t>
      </w:r>
      <w:r>
        <w:rPr>
          <w:szCs w:val="16"/>
        </w:rPr>
        <w:t>nal Disability Insurance Agency.</w:t>
      </w:r>
    </w:p>
  </w:footnote>
  <w:footnote w:id="7">
    <w:p w14:paraId="0E05C231" w14:textId="77777777" w:rsidR="004D1D4A" w:rsidRDefault="004D1D4A" w:rsidP="004D1D4A">
      <w:pPr>
        <w:pStyle w:val="FootnoteText"/>
      </w:pPr>
      <w:r>
        <w:rPr>
          <w:rStyle w:val="FootnoteReference"/>
        </w:rPr>
        <w:footnoteRef/>
      </w:r>
      <w:r>
        <w:t xml:space="preserve"> Note that there are exceptions to the general categorisation of intervention types along a ‘spectrum of government involvement’. For example, there are potentially lighter touch regulatory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3561" w14:textId="07A12CA0" w:rsidR="009048E5" w:rsidRPr="009048E5" w:rsidRDefault="00550616">
    <w:pPr>
      <w:pStyle w:val="Header"/>
    </w:pPr>
    <w:r>
      <w:rPr>
        <w:noProof/>
        <w:lang w:eastAsia="en-AU"/>
      </w:rPr>
      <mc:AlternateContent>
        <mc:Choice Requires="wps">
          <w:drawing>
            <wp:anchor distT="0" distB="0" distL="114300" distR="114300" simplePos="0" relativeHeight="251663360" behindDoc="1" locked="0" layoutInCell="1" allowOverlap="1" wp14:anchorId="06683116" wp14:editId="267A1432">
              <wp:simplePos x="0" y="0"/>
              <wp:positionH relativeFrom="page">
                <wp:posOffset>435610</wp:posOffset>
              </wp:positionH>
              <wp:positionV relativeFrom="page">
                <wp:posOffset>659130</wp:posOffset>
              </wp:positionV>
              <wp:extent cx="3668400" cy="4244400"/>
              <wp:effectExtent l="0" t="0" r="8255" b="381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8400" cy="4244400"/>
                      </a:xfrm>
                      <a:custGeom>
                        <a:avLst/>
                        <a:gdLst>
                          <a:gd name="T0" fmla="*/ 0 w 2074"/>
                          <a:gd name="T1" fmla="*/ 367 h 3182"/>
                          <a:gd name="T2" fmla="*/ 0 w 2074"/>
                          <a:gd name="T3" fmla="*/ 3182 h 3182"/>
                          <a:gd name="T4" fmla="*/ 2074 w 2074"/>
                          <a:gd name="T5" fmla="*/ 3182 h 3182"/>
                          <a:gd name="T6" fmla="*/ 2074 w 2074"/>
                          <a:gd name="T7" fmla="*/ 0 h 3182"/>
                          <a:gd name="T8" fmla="*/ 0 w 2074"/>
                          <a:gd name="T9" fmla="*/ 367 h 3182"/>
                          <a:gd name="connsiteX0" fmla="*/ 0 w 10000"/>
                          <a:gd name="connsiteY0" fmla="*/ 1153 h 10000"/>
                          <a:gd name="connsiteX1" fmla="*/ 0 w 10000"/>
                          <a:gd name="connsiteY1" fmla="*/ 8036 h 10000"/>
                          <a:gd name="connsiteX2" fmla="*/ 10000 w 10000"/>
                          <a:gd name="connsiteY2" fmla="*/ 10000 h 10000"/>
                          <a:gd name="connsiteX3" fmla="*/ 10000 w 10000"/>
                          <a:gd name="connsiteY3" fmla="*/ 0 h 10000"/>
                          <a:gd name="connsiteX4" fmla="*/ 0 w 10000"/>
                          <a:gd name="connsiteY4" fmla="*/ 1153 h 10000"/>
                          <a:gd name="connsiteX0" fmla="*/ 0 w 10000"/>
                          <a:gd name="connsiteY0" fmla="*/ 1153 h 8085"/>
                          <a:gd name="connsiteX1" fmla="*/ 0 w 10000"/>
                          <a:gd name="connsiteY1" fmla="*/ 8036 h 8085"/>
                          <a:gd name="connsiteX2" fmla="*/ 10000 w 10000"/>
                          <a:gd name="connsiteY2" fmla="*/ 8085 h 8085"/>
                          <a:gd name="connsiteX3" fmla="*/ 10000 w 10000"/>
                          <a:gd name="connsiteY3" fmla="*/ 0 h 8085"/>
                          <a:gd name="connsiteX4" fmla="*/ 0 w 10000"/>
                          <a:gd name="connsiteY4" fmla="*/ 1153 h 8085"/>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 name="connsiteX0" fmla="*/ 0 w 10000"/>
                          <a:gd name="connsiteY0" fmla="*/ 1426 h 10000"/>
                          <a:gd name="connsiteX1" fmla="*/ 0 w 10000"/>
                          <a:gd name="connsiteY1" fmla="*/ 9939 h 10000"/>
                          <a:gd name="connsiteX2" fmla="*/ 10000 w 10000"/>
                          <a:gd name="connsiteY2" fmla="*/ 10000 h 10000"/>
                          <a:gd name="connsiteX3" fmla="*/ 10000 w 10000"/>
                          <a:gd name="connsiteY3" fmla="*/ 0 h 10000"/>
                          <a:gd name="connsiteX4" fmla="*/ 0 w 10000"/>
                          <a:gd name="connsiteY4" fmla="*/ 142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1426"/>
                            </a:moveTo>
                            <a:lnTo>
                              <a:pt x="0" y="9939"/>
                            </a:lnTo>
                            <a:lnTo>
                              <a:pt x="10000" y="10000"/>
                            </a:lnTo>
                            <a:lnTo>
                              <a:pt x="10000" y="0"/>
                            </a:lnTo>
                            <a:lnTo>
                              <a:pt x="0" y="1426"/>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D433B9" id="Freeform 23" o:spid="_x0000_s1026" style="position:absolute;margin-left:34.3pt;margin-top:51.9pt;width:288.85pt;height:33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" path="m,1426l,9939r10000,61l10000,,,1426xe" fillcolor="#ffe600" stroked="f">
              <v:path arrowok="t" o:connecttype="custom" o:connectlocs="0,605251;0,4218509;3668400,4244400;3668400,0;0,605251"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78A7" w14:textId="77777777" w:rsidR="008A2FCB" w:rsidRDefault="008A2FCB"/>
  <w:p w14:paraId="66E47030" w14:textId="77777777" w:rsidR="008A2FCB" w:rsidRDefault="008A2FCB"/>
  <w:p w14:paraId="64B0D340" w14:textId="77777777" w:rsidR="008A2FCB" w:rsidRDefault="008A2FCB">
    <w:r w:rsidRPr="00151E1C">
      <w:rPr>
        <w:i/>
        <w:color w:val="333333"/>
      </w:rPr>
      <w:t>Tax Advisor/Client Communication</w:t>
    </w:r>
    <w:r w:rsidRPr="00151E1C">
      <w:rPr>
        <w:i/>
        <w:color w:val="333333"/>
      </w:rPr>
      <w:tab/>
    </w:r>
    <w:r w:rsidR="0092622D" w:rsidRPr="00151E1C">
      <w:rPr>
        <w:color w:val="333333"/>
      </w:rPr>
      <w:fldChar w:fldCharType="begin"/>
    </w:r>
    <w:r w:rsidRPr="00151E1C">
      <w:rPr>
        <w:color w:val="333333"/>
      </w:rPr>
      <w:instrText xml:space="preserve"> PAGE </w:instrText>
    </w:r>
    <w:r w:rsidR="0092622D" w:rsidRPr="00151E1C">
      <w:rPr>
        <w:color w:val="333333"/>
      </w:rPr>
      <w:fldChar w:fldCharType="separate"/>
    </w:r>
    <w:r>
      <w:rPr>
        <w:color w:val="333333"/>
      </w:rPr>
      <w:t>34</w:t>
    </w:r>
    <w:r w:rsidR="0092622D" w:rsidRPr="00151E1C">
      <w:rPr>
        <w:color w:val="333333"/>
      </w:rPr>
      <w:fldChar w:fldCharType="end"/>
    </w:r>
    <w:r w:rsidRPr="00151E1C">
      <w:rPr>
        <w:i/>
        <w:color w:val="333333"/>
      </w:rPr>
      <w:br/>
      <w:t xml:space="preserve">Privileged </w:t>
    </w:r>
    <w:proofErr w:type="gramStart"/>
    <w:r w:rsidRPr="00151E1C">
      <w:rPr>
        <w:i/>
        <w:color w:val="333333"/>
      </w:rPr>
      <w:t>And</w:t>
    </w:r>
    <w:proofErr w:type="gramEnd"/>
    <w:r w:rsidRPr="00151E1C">
      <w:rPr>
        <w:i/>
        <w:color w:val="333333"/>
      </w:rPr>
      <w:t xml:space="preserve"> Confidential</w:t>
    </w:r>
  </w:p>
  <w:p w14:paraId="6EA53B14" w14:textId="77777777" w:rsidR="008A2FCB" w:rsidRDefault="008A2FCB">
    <w:r w:rsidRPr="00151E1C">
      <w:rPr>
        <w:i/>
        <w:color w:val="333333"/>
      </w:rPr>
      <w:t>Tax Advisor/Client Communication</w:t>
    </w:r>
    <w:r w:rsidRPr="00151E1C">
      <w:rPr>
        <w:i/>
        <w:color w:val="333333"/>
      </w:rPr>
      <w:tab/>
    </w:r>
    <w:r w:rsidR="0092622D" w:rsidRPr="00151E1C">
      <w:rPr>
        <w:color w:val="333333"/>
      </w:rPr>
      <w:fldChar w:fldCharType="begin"/>
    </w:r>
    <w:r w:rsidRPr="00151E1C">
      <w:rPr>
        <w:color w:val="333333"/>
      </w:rPr>
      <w:instrText xml:space="preserve"> PAGE </w:instrText>
    </w:r>
    <w:r w:rsidR="0092622D" w:rsidRPr="00151E1C">
      <w:rPr>
        <w:color w:val="333333"/>
      </w:rPr>
      <w:fldChar w:fldCharType="separate"/>
    </w:r>
    <w:r>
      <w:rPr>
        <w:color w:val="333333"/>
      </w:rPr>
      <w:t>54</w:t>
    </w:r>
    <w:r w:rsidR="0092622D" w:rsidRPr="00151E1C">
      <w:rPr>
        <w:color w:val="333333"/>
      </w:rPr>
      <w:fldChar w:fldCharType="end"/>
    </w:r>
    <w:r w:rsidRPr="00151E1C">
      <w:rPr>
        <w:i/>
        <w:color w:val="333333"/>
      </w:rPr>
      <w:br/>
      <w:t xml:space="preserve">Privileged </w:t>
    </w:r>
    <w:proofErr w:type="gramStart"/>
    <w:r w:rsidRPr="00151E1C">
      <w:rPr>
        <w:i/>
        <w:color w:val="333333"/>
      </w:rPr>
      <w:t>And</w:t>
    </w:r>
    <w:proofErr w:type="gramEnd"/>
    <w:r w:rsidRPr="00151E1C">
      <w:rPr>
        <w:i/>
        <w:color w:val="333333"/>
      </w:rPr>
      <w:t xml:space="preserve"> Confidential</w:t>
    </w:r>
  </w:p>
  <w:p w14:paraId="53D85FA2" w14:textId="77777777" w:rsidR="008A2FCB" w:rsidRDefault="008A2FCB">
    <w:r w:rsidRPr="00151E1C">
      <w:rPr>
        <w:i/>
        <w:color w:val="333333"/>
      </w:rPr>
      <w:t>Tax Advisor/Client Communication</w:t>
    </w:r>
    <w:r w:rsidRPr="00151E1C">
      <w:rPr>
        <w:i/>
        <w:color w:val="333333"/>
      </w:rPr>
      <w:tab/>
    </w:r>
    <w:r w:rsidR="0092622D" w:rsidRPr="00151E1C">
      <w:rPr>
        <w:color w:val="333333"/>
      </w:rPr>
      <w:fldChar w:fldCharType="begin"/>
    </w:r>
    <w:r w:rsidRPr="00151E1C">
      <w:rPr>
        <w:color w:val="333333"/>
      </w:rPr>
      <w:instrText xml:space="preserve"> PAGE </w:instrText>
    </w:r>
    <w:r w:rsidR="0092622D" w:rsidRPr="00151E1C">
      <w:rPr>
        <w:color w:val="333333"/>
      </w:rPr>
      <w:fldChar w:fldCharType="separate"/>
    </w:r>
    <w:r>
      <w:rPr>
        <w:color w:val="333333"/>
      </w:rPr>
      <w:t>59</w:t>
    </w:r>
    <w:r w:rsidR="0092622D" w:rsidRPr="00151E1C">
      <w:rPr>
        <w:color w:val="333333"/>
      </w:rPr>
      <w:fldChar w:fldCharType="end"/>
    </w:r>
    <w:r w:rsidRPr="00151E1C">
      <w:rPr>
        <w:i/>
        <w:color w:val="333333"/>
      </w:rPr>
      <w:br/>
      <w:t xml:space="preserve">Privileged </w:t>
    </w:r>
    <w:proofErr w:type="gramStart"/>
    <w:r w:rsidRPr="00151E1C">
      <w:rPr>
        <w:i/>
        <w:color w:val="333333"/>
      </w:rPr>
      <w:t>And</w:t>
    </w:r>
    <w:proofErr w:type="gramEnd"/>
    <w:r w:rsidRPr="00151E1C">
      <w:rPr>
        <w:i/>
        <w:color w:val="333333"/>
      </w:rPr>
      <w:t xml:space="preserve"> Confidential</w:t>
    </w:r>
  </w:p>
  <w:p w14:paraId="2ED99CF3" w14:textId="77777777" w:rsidR="008A2FCB" w:rsidRDefault="008A2FCB">
    <w:r w:rsidRPr="00151E1C">
      <w:rPr>
        <w:i/>
        <w:color w:val="333333"/>
      </w:rPr>
      <w:t>Tax Advisor/Client Communication</w:t>
    </w:r>
    <w:r w:rsidRPr="00151E1C">
      <w:rPr>
        <w:i/>
        <w:color w:val="333333"/>
      </w:rPr>
      <w:tab/>
    </w:r>
    <w:r w:rsidR="0092622D" w:rsidRPr="00151E1C">
      <w:rPr>
        <w:color w:val="333333"/>
      </w:rPr>
      <w:fldChar w:fldCharType="begin"/>
    </w:r>
    <w:r w:rsidRPr="00151E1C">
      <w:rPr>
        <w:color w:val="333333"/>
      </w:rPr>
      <w:instrText xml:space="preserve"> PAGE </w:instrText>
    </w:r>
    <w:r w:rsidR="0092622D" w:rsidRPr="00151E1C">
      <w:rPr>
        <w:color w:val="333333"/>
      </w:rPr>
      <w:fldChar w:fldCharType="separate"/>
    </w:r>
    <w:r>
      <w:rPr>
        <w:color w:val="333333"/>
      </w:rPr>
      <w:t>60</w:t>
    </w:r>
    <w:r w:rsidR="0092622D" w:rsidRPr="00151E1C">
      <w:rPr>
        <w:color w:val="333333"/>
      </w:rPr>
      <w:fldChar w:fldCharType="end"/>
    </w:r>
    <w:r w:rsidRPr="00151E1C">
      <w:rPr>
        <w:i/>
        <w:color w:val="333333"/>
      </w:rPr>
      <w:br/>
      <w:t xml:space="preserve">Privileged </w:t>
    </w:r>
    <w:proofErr w:type="gramStart"/>
    <w:r w:rsidRPr="00151E1C">
      <w:rPr>
        <w:i/>
        <w:color w:val="333333"/>
      </w:rPr>
      <w:t>And</w:t>
    </w:r>
    <w:proofErr w:type="gramEnd"/>
    <w:r w:rsidRPr="00151E1C">
      <w:rPr>
        <w:i/>
        <w:color w:val="333333"/>
      </w:rPr>
      <w:t xml:space="preserve"> Confidential</w:t>
    </w:r>
  </w:p>
  <w:p w14:paraId="6D66DA9C" w14:textId="77777777" w:rsidR="008A2FCB" w:rsidRDefault="008A2FCB">
    <w:r w:rsidRPr="00151E1C">
      <w:rPr>
        <w:i/>
        <w:color w:val="333333"/>
      </w:rPr>
      <w:t>Tax Advisor/Client Communication</w:t>
    </w:r>
    <w:r w:rsidRPr="00151E1C">
      <w:rPr>
        <w:i/>
        <w:color w:val="333333"/>
      </w:rPr>
      <w:tab/>
    </w:r>
    <w:r w:rsidR="0092622D" w:rsidRPr="00151E1C">
      <w:rPr>
        <w:color w:val="333333"/>
      </w:rPr>
      <w:fldChar w:fldCharType="begin"/>
    </w:r>
    <w:r w:rsidRPr="00151E1C">
      <w:rPr>
        <w:color w:val="333333"/>
      </w:rPr>
      <w:instrText xml:space="preserve"> PAGE </w:instrText>
    </w:r>
    <w:r w:rsidR="0092622D" w:rsidRPr="00151E1C">
      <w:rPr>
        <w:color w:val="333333"/>
      </w:rPr>
      <w:fldChar w:fldCharType="separate"/>
    </w:r>
    <w:r>
      <w:rPr>
        <w:color w:val="333333"/>
      </w:rPr>
      <w:t>2</w:t>
    </w:r>
    <w:r w:rsidR="0092622D" w:rsidRPr="00151E1C">
      <w:rPr>
        <w:color w:val="333333"/>
      </w:rPr>
      <w:fldChar w:fldCharType="end"/>
    </w:r>
    <w:r w:rsidRPr="00151E1C">
      <w:rPr>
        <w:i/>
        <w:color w:val="333333"/>
      </w:rPr>
      <w:br/>
      <w:t xml:space="preserve">Privileged </w:t>
    </w:r>
    <w:proofErr w:type="gramStart"/>
    <w:r w:rsidRPr="00151E1C">
      <w:rPr>
        <w:i/>
        <w:color w:val="333333"/>
      </w:rPr>
      <w:t>And</w:t>
    </w:r>
    <w:proofErr w:type="gramEnd"/>
    <w:r w:rsidRPr="00151E1C">
      <w:rPr>
        <w:i/>
        <w:color w:val="333333"/>
      </w:rPr>
      <w:t xml:space="preserve">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83E2" w14:textId="77777777" w:rsidR="00911300" w:rsidRPr="00E462BE" w:rsidRDefault="00911300" w:rsidP="00E462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2BA3" w14:textId="77777777" w:rsidR="00856E5F" w:rsidRPr="00856E5F" w:rsidRDefault="00856E5F" w:rsidP="00856E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4A8"/>
    <w:multiLevelType w:val="multilevel"/>
    <w:tmpl w:val="D8B669F2"/>
    <w:lvl w:ilvl="0">
      <w:start w:val="1"/>
      <w:numFmt w:val="decimal"/>
      <w:lvlRestart w:val="0"/>
      <w:pStyle w:val="EYHeading1"/>
      <w:lvlText w:val="%1."/>
      <w:lvlJc w:val="left"/>
      <w:pPr>
        <w:ind w:left="851" w:hanging="851"/>
      </w:pPr>
      <w:rPr>
        <w:rFonts w:ascii="EYInterstate Light" w:hAnsi="EYInterstate Light" w:hint="default"/>
        <w:b/>
        <w:i w:val="0"/>
        <w:color w:val="7F7E82"/>
        <w:sz w:val="36"/>
        <w:szCs w:val="36"/>
      </w:rPr>
    </w:lvl>
    <w:lvl w:ilvl="1">
      <w:start w:val="1"/>
      <w:numFmt w:val="decimal"/>
      <w:pStyle w:val="EYHeading2"/>
      <w:lvlText w:val="%1.%2"/>
      <w:lvlJc w:val="left"/>
      <w:pPr>
        <w:tabs>
          <w:tab w:val="num" w:pos="0"/>
        </w:tabs>
        <w:ind w:left="851" w:hanging="851"/>
      </w:pPr>
      <w:rPr>
        <w:rFonts w:ascii="EYInterstate Light" w:hAnsi="EYInterstate Light" w:hint="default"/>
        <w:b/>
        <w:i w:val="0"/>
        <w:color w:val="000000"/>
        <w:sz w:val="32"/>
        <w:szCs w:val="32"/>
      </w:rPr>
    </w:lvl>
    <w:lvl w:ilvl="2">
      <w:start w:val="1"/>
      <w:numFmt w:val="decimal"/>
      <w:pStyle w:val="EYHeading3"/>
      <w:lvlText w:val="%1.%2.%3"/>
      <w:lvlJc w:val="left"/>
      <w:pPr>
        <w:tabs>
          <w:tab w:val="num" w:pos="0"/>
        </w:tabs>
        <w:ind w:left="851" w:hanging="851"/>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851" w:hanging="851"/>
      </w:pPr>
      <w:rPr>
        <w:rFonts w:ascii="EYInterstate Light" w:hAnsi="EYInterstate Light" w:hint="default"/>
        <w:b/>
        <w:i w:val="0"/>
        <w:color w:val="000000"/>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 w15:restartNumberingAfterBreak="0">
    <w:nsid w:val="1C43653B"/>
    <w:multiLevelType w:val="multilevel"/>
    <w:tmpl w:val="B1884DD8"/>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 w15:restartNumberingAfterBreak="0">
    <w:nsid w:val="214A3C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F97D75"/>
    <w:multiLevelType w:val="hybridMultilevel"/>
    <w:tmpl w:val="0FB0104E"/>
    <w:lvl w:ilvl="0" w:tplc="7388CD34">
      <w:start w:val="1"/>
      <w:numFmt w:val="decimal"/>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A0F1D"/>
    <w:multiLevelType w:val="multilevel"/>
    <w:tmpl w:val="15F80EE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D003F5"/>
    <w:multiLevelType w:val="multilevel"/>
    <w:tmpl w:val="909639F8"/>
    <w:numStyleLink w:val="EYBulletList"/>
  </w:abstractNum>
  <w:abstractNum w:abstractNumId="6" w15:restartNumberingAfterBreak="0">
    <w:nsid w:val="3CA017FA"/>
    <w:multiLevelType w:val="multilevel"/>
    <w:tmpl w:val="D0A4CE3C"/>
    <w:lvl w:ilvl="0">
      <w:start w:val="1"/>
      <w:numFmt w:val="decimal"/>
      <w:lvlText w:val="%1."/>
      <w:lvlJc w:val="left"/>
      <w:pPr>
        <w:ind w:left="425" w:hanging="425"/>
      </w:pPr>
      <w:rPr>
        <w:rFonts w:hint="default"/>
        <w:b w:val="0"/>
        <w:bCs/>
        <w:color w:val="auto"/>
      </w:rPr>
    </w:lvl>
    <w:lvl w:ilvl="1">
      <w:start w:val="1"/>
      <w:numFmt w:val="lowerLetter"/>
      <w:lvlText w:val="%2."/>
      <w:lvlJc w:val="left"/>
      <w:pPr>
        <w:ind w:left="851" w:hanging="426"/>
      </w:pPr>
      <w:rPr>
        <w:rFonts w:hint="default"/>
        <w:b w:val="0"/>
        <w:i w:val="0"/>
        <w:color w:val="auto"/>
      </w:rPr>
    </w:lvl>
    <w:lvl w:ilvl="2">
      <w:start w:val="1"/>
      <w:numFmt w:val="lowerRoman"/>
      <w:lvlText w:val="%3."/>
      <w:lvlJc w:val="left"/>
      <w:pPr>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7" w15:restartNumberingAfterBreak="0">
    <w:nsid w:val="3CAD7C82"/>
    <w:multiLevelType w:val="multilevel"/>
    <w:tmpl w:val="6AE2E898"/>
    <w:lvl w:ilvl="0">
      <w:start w:val="1"/>
      <w:numFmt w:val="bullet"/>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8" w15:restartNumberingAfterBreak="0">
    <w:nsid w:val="447E4E06"/>
    <w:multiLevelType w:val="multilevel"/>
    <w:tmpl w:val="909639F8"/>
    <w:styleLink w:val="EYBulletList"/>
    <w:lvl w:ilvl="0">
      <w:start w:val="1"/>
      <w:numFmt w:val="bullet"/>
      <w:pStyle w:val="EYBulletedText1"/>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9" w15:restartNumberingAfterBreak="0">
    <w:nsid w:val="4BF52D58"/>
    <w:multiLevelType w:val="multilevel"/>
    <w:tmpl w:val="9DD221BA"/>
    <w:styleLink w:val="ParaNumberingArial"/>
    <w:lvl w:ilvl="0">
      <w:start w:val="1"/>
      <w:numFmt w:val="decimal"/>
      <w:lvlRestart w:val="0"/>
      <w:lvlText w:val=""/>
      <w:lvlJc w:val="left"/>
      <w:pPr>
        <w:tabs>
          <w:tab w:val="num" w:pos="0"/>
        </w:tabs>
        <w:ind w:left="0" w:firstLine="0"/>
      </w:pPr>
      <w:rPr>
        <w:rFonts w:ascii="Arial" w:hAnsi="Arial"/>
        <w:b/>
        <w:color w:val="7F7E82"/>
        <w:sz w:val="32"/>
      </w:rPr>
    </w:lvl>
    <w:lvl w:ilvl="1">
      <w:start w:val="1"/>
      <w:numFmt w:val="decimal"/>
      <w:lvlText w:val=""/>
      <w:lvlJc w:val="left"/>
      <w:pPr>
        <w:tabs>
          <w:tab w:val="num" w:pos="0"/>
        </w:tabs>
        <w:ind w:left="0" w:firstLine="0"/>
      </w:pPr>
      <w:rPr>
        <w:rFonts w:ascii="Arial" w:hAnsi="Arial" w:hint="default"/>
        <w:b/>
        <w:color w:val="000000"/>
        <w:sz w:val="28"/>
      </w:rPr>
    </w:lvl>
    <w:lvl w:ilvl="2">
      <w:start w:val="1"/>
      <w:numFmt w:val="decimal"/>
      <w:lvlRestart w:val="1"/>
      <w:lvlText w:val=""/>
      <w:lvlJc w:val="left"/>
      <w:pPr>
        <w:tabs>
          <w:tab w:val="num" w:pos="0"/>
        </w:tabs>
        <w:ind w:left="0" w:firstLine="0"/>
      </w:pPr>
      <w:rPr>
        <w:rFonts w:ascii="Arial" w:hAnsi="Arial" w:hint="default"/>
        <w:b/>
        <w:color w:val="000000"/>
        <w:sz w:val="24"/>
      </w:rPr>
    </w:lvl>
    <w:lvl w:ilvl="3">
      <w:start w:val="1"/>
      <w:numFmt w:val="decimal"/>
      <w:lvlRestart w:val="1"/>
      <w:lvlText w:val=""/>
      <w:lvlJc w:val="left"/>
      <w:pPr>
        <w:tabs>
          <w:tab w:val="num" w:pos="0"/>
        </w:tabs>
        <w:ind w:left="0" w:firstLine="0"/>
      </w:pPr>
      <w:rPr>
        <w:rFonts w:ascii="Arial" w:hAnsi="Arial" w:hint="default"/>
        <w:b/>
        <w:color w:val="000000"/>
        <w:sz w:val="20"/>
      </w:rPr>
    </w:lvl>
    <w:lvl w:ilvl="4">
      <w:start w:val="1"/>
      <w:numFmt w:val="decimal"/>
      <w:lvlRestart w:val="1"/>
      <w:lvlText w:val=""/>
      <w:lvlJc w:val="left"/>
      <w:pPr>
        <w:tabs>
          <w:tab w:val="num" w:pos="0"/>
        </w:tabs>
        <w:ind w:left="0" w:firstLine="0"/>
      </w:pPr>
      <w:rPr>
        <w:rFonts w:ascii="Arial" w:hAnsi="Arial" w:hint="default"/>
        <w:b w:val="0"/>
        <w:color w:val="000000"/>
        <w:sz w:val="20"/>
      </w:rPr>
    </w:lvl>
    <w:lvl w:ilvl="5">
      <w:start w:val="1"/>
      <w:numFmt w:val="none"/>
      <w:lvlText w:val=""/>
      <w:lvlJc w:val="left"/>
      <w:pPr>
        <w:tabs>
          <w:tab w:val="num" w:pos="0"/>
        </w:tabs>
        <w:ind w:left="0" w:firstLine="0"/>
      </w:pPr>
      <w:rPr>
        <w:rFonts w:ascii="Arial" w:hAnsi="Arial" w:hint="default"/>
      </w:rPr>
    </w:lvl>
    <w:lvl w:ilvl="6">
      <w:start w:val="1"/>
      <w:numFmt w:val="none"/>
      <w:lvlText w:val=""/>
      <w:lvlJc w:val="left"/>
      <w:pPr>
        <w:tabs>
          <w:tab w:val="num" w:pos="0"/>
        </w:tabs>
        <w:ind w:left="0" w:firstLine="0"/>
      </w:pPr>
      <w:rPr>
        <w:rFonts w:ascii="Arial" w:hAnsi="Arial" w:hint="default"/>
      </w:rPr>
    </w:lvl>
    <w:lvl w:ilvl="7">
      <w:start w:val="1"/>
      <w:numFmt w:val="none"/>
      <w:lvlText w:val=""/>
      <w:lvlJc w:val="left"/>
      <w:pPr>
        <w:tabs>
          <w:tab w:val="num" w:pos="0"/>
        </w:tabs>
        <w:ind w:left="0" w:firstLine="0"/>
      </w:pPr>
      <w:rPr>
        <w:rFonts w:ascii="Arial" w:hAnsi="Arial" w:hint="default"/>
      </w:rPr>
    </w:lvl>
    <w:lvl w:ilvl="8">
      <w:start w:val="1"/>
      <w:numFmt w:val="none"/>
      <w:lvlText w:val=""/>
      <w:lvlJc w:val="left"/>
      <w:pPr>
        <w:tabs>
          <w:tab w:val="num" w:pos="0"/>
        </w:tabs>
        <w:ind w:left="0" w:firstLine="0"/>
      </w:pPr>
      <w:rPr>
        <w:rFonts w:ascii="Arial" w:hAnsi="Arial" w:hint="default"/>
      </w:rPr>
    </w:lvl>
  </w:abstractNum>
  <w:abstractNum w:abstractNumId="10"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01D3CEE"/>
    <w:multiLevelType w:val="multilevel"/>
    <w:tmpl w:val="DE26DC9E"/>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12" w15:restartNumberingAfterBreak="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13" w15:restartNumberingAfterBreak="0">
    <w:nsid w:val="5C02073D"/>
    <w:multiLevelType w:val="hybridMultilevel"/>
    <w:tmpl w:val="F81604CA"/>
    <w:lvl w:ilvl="0" w:tplc="A024ED5E">
      <w:start w:val="1"/>
      <w:numFmt w:val="bullet"/>
      <w:lvlText w:val="►"/>
      <w:lvlJc w:val="left"/>
      <w:pPr>
        <w:tabs>
          <w:tab w:val="num" w:pos="1512"/>
        </w:tabs>
        <w:ind w:left="1512" w:hanging="360"/>
      </w:pPr>
      <w:rPr>
        <w:rFonts w:ascii="Arial" w:hAnsi="Arial" w:hint="default"/>
        <w:color w:val="FFE6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F4D93"/>
    <w:multiLevelType w:val="multilevel"/>
    <w:tmpl w:val="1D1AD854"/>
    <w:lvl w:ilvl="0">
      <w:start w:val="1"/>
      <w:numFmt w:val="bullet"/>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5" w15:restartNumberingAfterBreak="0">
    <w:nsid w:val="5FC37E25"/>
    <w:multiLevelType w:val="hybridMultilevel"/>
    <w:tmpl w:val="735608E6"/>
    <w:lvl w:ilvl="0" w:tplc="E1FC0D44">
      <w:start w:val="1"/>
      <w:numFmt w:val="bullet"/>
      <w:lvlText w:val="►"/>
      <w:lvlJc w:val="left"/>
      <w:pPr>
        <w:tabs>
          <w:tab w:val="num" w:pos="1440"/>
        </w:tabs>
        <w:ind w:left="1440" w:hanging="360"/>
      </w:pPr>
      <w:rPr>
        <w:rFonts w:ascii="Arial" w:hAnsi="Arial" w:hint="default"/>
        <w:color w:val="FFE600"/>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7" w15:restartNumberingAfterBreak="0">
    <w:nsid w:val="645E327E"/>
    <w:multiLevelType w:val="hybridMultilevel"/>
    <w:tmpl w:val="9AF4F8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B11342"/>
    <w:multiLevelType w:val="multilevel"/>
    <w:tmpl w:val="F51A9086"/>
    <w:lvl w:ilvl="0">
      <w:start w:val="1"/>
      <w:numFmt w:val="bullet"/>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lvlText w:val="•"/>
      <w:lvlJc w:val="left"/>
      <w:pPr>
        <w:tabs>
          <w:tab w:val="num" w:pos="576"/>
        </w:tabs>
        <w:ind w:left="576" w:hanging="288"/>
      </w:pPr>
      <w:rPr>
        <w:rFonts w:ascii="EYInterstate Light" w:hAnsi="EYInterstate Light" w:hint="default"/>
        <w:b w:val="0"/>
        <w:i w:val="0"/>
        <w:color w:val="FFE600"/>
        <w:sz w:val="20"/>
        <w:szCs w:val="16"/>
      </w:rPr>
    </w:lvl>
    <w:lvl w:ilvl="2">
      <w:start w:val="1"/>
      <w:numFmt w:val="bullet"/>
      <w:lvlText w:val="•"/>
      <w:lvlJc w:val="left"/>
      <w:pPr>
        <w:tabs>
          <w:tab w:val="num" w:pos="864"/>
        </w:tabs>
        <w:ind w:left="864" w:hanging="288"/>
      </w:pPr>
      <w:rPr>
        <w:rFonts w:ascii="EYInterstate Light" w:hAnsi="EYInterstate Light" w:hint="default"/>
        <w:color w:val="FFE600"/>
        <w:sz w:val="20"/>
        <w:szCs w:val="24"/>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9"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0" w15:restartNumberingAfterBreak="0">
    <w:nsid w:val="758A7094"/>
    <w:multiLevelType w:val="multilevel"/>
    <w:tmpl w:val="391C5D92"/>
    <w:lvl w:ilvl="0">
      <w:start w:val="1"/>
      <w:numFmt w:val="bullet"/>
      <w:lvlText w:val="►"/>
      <w:lvlJc w:val="left"/>
      <w:pPr>
        <w:ind w:left="425" w:hanging="425"/>
      </w:pPr>
      <w:rPr>
        <w:rFonts w:ascii="Arial" w:hAnsi="Arial" w:hint="default"/>
        <w:color w:val="auto"/>
        <w:sz w:val="16"/>
        <w:szCs w:val="20"/>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1"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2"/>
  </w:num>
  <w:num w:numId="2">
    <w:abstractNumId w:val="11"/>
  </w:num>
  <w:num w:numId="3">
    <w:abstractNumId w:val="15"/>
  </w:num>
  <w:num w:numId="4">
    <w:abstractNumId w:val="13"/>
  </w:num>
  <w:num w:numId="5">
    <w:abstractNumId w:val="16"/>
  </w:num>
  <w:num w:numId="6">
    <w:abstractNumId w:val="0"/>
  </w:num>
  <w:num w:numId="7">
    <w:abstractNumId w:val="4"/>
  </w:num>
  <w:num w:numId="8">
    <w:abstractNumId w:val="3"/>
  </w:num>
  <w:num w:numId="9">
    <w:abstractNumId w:val="21"/>
  </w:num>
  <w:num w:numId="10">
    <w:abstractNumId w:val="18"/>
  </w:num>
  <w:num w:numId="11">
    <w:abstractNumId w:val="7"/>
  </w:num>
  <w:num w:numId="12">
    <w:abstractNumId w:val="6"/>
  </w:num>
  <w:num w:numId="13">
    <w:abstractNumId w:val="19"/>
  </w:num>
  <w:num w:numId="14">
    <w:abstractNumId w:val="3"/>
  </w:num>
  <w:num w:numId="15">
    <w:abstractNumId w:val="22"/>
  </w:num>
  <w:num w:numId="16">
    <w:abstractNumId w:val="7"/>
  </w:num>
  <w:num w:numId="17">
    <w:abstractNumId w:val="7"/>
  </w:num>
  <w:num w:numId="18">
    <w:abstractNumId w:val="7"/>
  </w:num>
  <w:num w:numId="19">
    <w:abstractNumId w:val="14"/>
  </w:num>
  <w:num w:numId="20">
    <w:abstractNumId w:val="20"/>
  </w:num>
  <w:num w:numId="21">
    <w:abstractNumId w:val="20"/>
  </w:num>
  <w:num w:numId="22">
    <w:abstractNumId w:val="6"/>
  </w:num>
  <w:num w:numId="23">
    <w:abstractNumId w:val="6"/>
  </w:num>
  <w:num w:numId="24">
    <w:abstractNumId w:val="6"/>
  </w:num>
  <w:num w:numId="25">
    <w:abstractNumId w:val="8"/>
  </w:num>
  <w:num w:numId="26">
    <w:abstractNumId w:val="1"/>
  </w:num>
  <w:num w:numId="27">
    <w:abstractNumId w:val="5"/>
  </w:num>
  <w:num w:numId="28">
    <w:abstractNumId w:val="19"/>
  </w:num>
  <w:num w:numId="29">
    <w:abstractNumId w:val="19"/>
  </w:num>
  <w:num w:numId="30">
    <w:abstractNumId w:val="16"/>
  </w:num>
  <w:num w:numId="31">
    <w:abstractNumId w:val="0"/>
  </w:num>
  <w:num w:numId="32">
    <w:abstractNumId w:val="0"/>
  </w:num>
  <w:num w:numId="33">
    <w:abstractNumId w:val="0"/>
  </w:num>
  <w:num w:numId="34">
    <w:abstractNumId w:val="0"/>
  </w:num>
  <w:num w:numId="35">
    <w:abstractNumId w:val="10"/>
  </w:num>
  <w:num w:numId="36">
    <w:abstractNumId w:val="10"/>
  </w:num>
  <w:num w:numId="37">
    <w:abstractNumId w:val="10"/>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0A"/>
    <w:rsid w:val="000003B9"/>
    <w:rsid w:val="00001D9C"/>
    <w:rsid w:val="00001F56"/>
    <w:rsid w:val="00005E9E"/>
    <w:rsid w:val="0000786F"/>
    <w:rsid w:val="000102DB"/>
    <w:rsid w:val="00012428"/>
    <w:rsid w:val="000144D2"/>
    <w:rsid w:val="00015020"/>
    <w:rsid w:val="000155E9"/>
    <w:rsid w:val="00017560"/>
    <w:rsid w:val="00021AD2"/>
    <w:rsid w:val="000220ED"/>
    <w:rsid w:val="00022738"/>
    <w:rsid w:val="00024463"/>
    <w:rsid w:val="000253BD"/>
    <w:rsid w:val="000261F5"/>
    <w:rsid w:val="00026F9D"/>
    <w:rsid w:val="00031645"/>
    <w:rsid w:val="00031FB0"/>
    <w:rsid w:val="00032A27"/>
    <w:rsid w:val="000349AE"/>
    <w:rsid w:val="00035588"/>
    <w:rsid w:val="00036D6E"/>
    <w:rsid w:val="000376D1"/>
    <w:rsid w:val="00045196"/>
    <w:rsid w:val="000454E9"/>
    <w:rsid w:val="000458E5"/>
    <w:rsid w:val="000510D0"/>
    <w:rsid w:val="0005269A"/>
    <w:rsid w:val="00052869"/>
    <w:rsid w:val="00052D27"/>
    <w:rsid w:val="00052DD1"/>
    <w:rsid w:val="0005452B"/>
    <w:rsid w:val="00055290"/>
    <w:rsid w:val="000579FD"/>
    <w:rsid w:val="000609FE"/>
    <w:rsid w:val="00060DF0"/>
    <w:rsid w:val="0006308C"/>
    <w:rsid w:val="00063C31"/>
    <w:rsid w:val="00072636"/>
    <w:rsid w:val="00073746"/>
    <w:rsid w:val="00073930"/>
    <w:rsid w:val="00081121"/>
    <w:rsid w:val="00085EE5"/>
    <w:rsid w:val="00092B20"/>
    <w:rsid w:val="00093D20"/>
    <w:rsid w:val="000946B9"/>
    <w:rsid w:val="000A0639"/>
    <w:rsid w:val="000A13D0"/>
    <w:rsid w:val="000A1969"/>
    <w:rsid w:val="000A27C6"/>
    <w:rsid w:val="000A39F7"/>
    <w:rsid w:val="000A49E5"/>
    <w:rsid w:val="000A5C4C"/>
    <w:rsid w:val="000A6D5F"/>
    <w:rsid w:val="000A773A"/>
    <w:rsid w:val="000B40B2"/>
    <w:rsid w:val="000B499D"/>
    <w:rsid w:val="000C0239"/>
    <w:rsid w:val="000C21F9"/>
    <w:rsid w:val="000C477F"/>
    <w:rsid w:val="000C59A5"/>
    <w:rsid w:val="000C5CA6"/>
    <w:rsid w:val="000C6787"/>
    <w:rsid w:val="000C714A"/>
    <w:rsid w:val="000D1D32"/>
    <w:rsid w:val="000D2274"/>
    <w:rsid w:val="000D7126"/>
    <w:rsid w:val="000E3478"/>
    <w:rsid w:val="000E479C"/>
    <w:rsid w:val="000E4EBB"/>
    <w:rsid w:val="000E4FDE"/>
    <w:rsid w:val="000F0555"/>
    <w:rsid w:val="000F0894"/>
    <w:rsid w:val="000F42A3"/>
    <w:rsid w:val="000F5438"/>
    <w:rsid w:val="000F7276"/>
    <w:rsid w:val="001013E2"/>
    <w:rsid w:val="00104996"/>
    <w:rsid w:val="001053EB"/>
    <w:rsid w:val="001056D0"/>
    <w:rsid w:val="0010571E"/>
    <w:rsid w:val="001076BF"/>
    <w:rsid w:val="00111B7C"/>
    <w:rsid w:val="00111DAA"/>
    <w:rsid w:val="00111FD0"/>
    <w:rsid w:val="0011226B"/>
    <w:rsid w:val="00113FFC"/>
    <w:rsid w:val="0011539F"/>
    <w:rsid w:val="00126F62"/>
    <w:rsid w:val="0013328E"/>
    <w:rsid w:val="001343BE"/>
    <w:rsid w:val="00136130"/>
    <w:rsid w:val="00142A17"/>
    <w:rsid w:val="001445E2"/>
    <w:rsid w:val="00144BA5"/>
    <w:rsid w:val="00150B53"/>
    <w:rsid w:val="00150BF1"/>
    <w:rsid w:val="00151E1C"/>
    <w:rsid w:val="00153EE9"/>
    <w:rsid w:val="001547A8"/>
    <w:rsid w:val="00156127"/>
    <w:rsid w:val="00156151"/>
    <w:rsid w:val="0016197A"/>
    <w:rsid w:val="001620B6"/>
    <w:rsid w:val="00165767"/>
    <w:rsid w:val="0017183E"/>
    <w:rsid w:val="0017281C"/>
    <w:rsid w:val="00173BC9"/>
    <w:rsid w:val="0017417A"/>
    <w:rsid w:val="00176793"/>
    <w:rsid w:val="00176F85"/>
    <w:rsid w:val="00180B71"/>
    <w:rsid w:val="001822DF"/>
    <w:rsid w:val="001830BA"/>
    <w:rsid w:val="00183DC1"/>
    <w:rsid w:val="00187B22"/>
    <w:rsid w:val="00190488"/>
    <w:rsid w:val="00194F49"/>
    <w:rsid w:val="001968D9"/>
    <w:rsid w:val="001A2F73"/>
    <w:rsid w:val="001A4190"/>
    <w:rsid w:val="001B1577"/>
    <w:rsid w:val="001B4388"/>
    <w:rsid w:val="001B47B7"/>
    <w:rsid w:val="001B7413"/>
    <w:rsid w:val="001C2D30"/>
    <w:rsid w:val="001C316D"/>
    <w:rsid w:val="001C5D11"/>
    <w:rsid w:val="001C7291"/>
    <w:rsid w:val="001D4D59"/>
    <w:rsid w:val="001D4FD4"/>
    <w:rsid w:val="001D5301"/>
    <w:rsid w:val="001D682A"/>
    <w:rsid w:val="001E3367"/>
    <w:rsid w:val="001E5190"/>
    <w:rsid w:val="001E5C2C"/>
    <w:rsid w:val="002033B9"/>
    <w:rsid w:val="00205632"/>
    <w:rsid w:val="0020747D"/>
    <w:rsid w:val="00207730"/>
    <w:rsid w:val="00210B4E"/>
    <w:rsid w:val="0021298C"/>
    <w:rsid w:val="00214FFE"/>
    <w:rsid w:val="00215B69"/>
    <w:rsid w:val="002166AA"/>
    <w:rsid w:val="00217013"/>
    <w:rsid w:val="002172EB"/>
    <w:rsid w:val="0022349A"/>
    <w:rsid w:val="00225D67"/>
    <w:rsid w:val="002267BD"/>
    <w:rsid w:val="00230E89"/>
    <w:rsid w:val="00232346"/>
    <w:rsid w:val="002338A9"/>
    <w:rsid w:val="0023639D"/>
    <w:rsid w:val="00241338"/>
    <w:rsid w:val="0024153D"/>
    <w:rsid w:val="0024156E"/>
    <w:rsid w:val="002472AF"/>
    <w:rsid w:val="00247F4A"/>
    <w:rsid w:val="002502BD"/>
    <w:rsid w:val="0025407A"/>
    <w:rsid w:val="002551DD"/>
    <w:rsid w:val="002555B9"/>
    <w:rsid w:val="00255E09"/>
    <w:rsid w:val="00255E47"/>
    <w:rsid w:val="00257E15"/>
    <w:rsid w:val="00261387"/>
    <w:rsid w:val="002619F4"/>
    <w:rsid w:val="00263421"/>
    <w:rsid w:val="00266626"/>
    <w:rsid w:val="002667DD"/>
    <w:rsid w:val="00266E43"/>
    <w:rsid w:val="0028214F"/>
    <w:rsid w:val="00282CA5"/>
    <w:rsid w:val="002862B3"/>
    <w:rsid w:val="00287D09"/>
    <w:rsid w:val="00292B41"/>
    <w:rsid w:val="0029531F"/>
    <w:rsid w:val="002A1B62"/>
    <w:rsid w:val="002A2308"/>
    <w:rsid w:val="002A298E"/>
    <w:rsid w:val="002A3075"/>
    <w:rsid w:val="002A5CE0"/>
    <w:rsid w:val="002A7CCF"/>
    <w:rsid w:val="002B03D5"/>
    <w:rsid w:val="002B0437"/>
    <w:rsid w:val="002B0B1E"/>
    <w:rsid w:val="002B10A0"/>
    <w:rsid w:val="002B4332"/>
    <w:rsid w:val="002C1B3B"/>
    <w:rsid w:val="002C4069"/>
    <w:rsid w:val="002C57BD"/>
    <w:rsid w:val="002C6EAD"/>
    <w:rsid w:val="002D0189"/>
    <w:rsid w:val="002D0866"/>
    <w:rsid w:val="002D2D8C"/>
    <w:rsid w:val="002D54E4"/>
    <w:rsid w:val="002E0A70"/>
    <w:rsid w:val="002E22C3"/>
    <w:rsid w:val="002E7163"/>
    <w:rsid w:val="002E7B5D"/>
    <w:rsid w:val="002F07B9"/>
    <w:rsid w:val="002F13A0"/>
    <w:rsid w:val="002F2E35"/>
    <w:rsid w:val="002F2FF1"/>
    <w:rsid w:val="002F4983"/>
    <w:rsid w:val="002F579A"/>
    <w:rsid w:val="002F5970"/>
    <w:rsid w:val="002F6766"/>
    <w:rsid w:val="002F6EEC"/>
    <w:rsid w:val="00301AD8"/>
    <w:rsid w:val="003026EE"/>
    <w:rsid w:val="00302A2F"/>
    <w:rsid w:val="00303DF2"/>
    <w:rsid w:val="00303E76"/>
    <w:rsid w:val="00311EA7"/>
    <w:rsid w:val="00312578"/>
    <w:rsid w:val="0031314C"/>
    <w:rsid w:val="0031393B"/>
    <w:rsid w:val="003148DF"/>
    <w:rsid w:val="00317823"/>
    <w:rsid w:val="00317B53"/>
    <w:rsid w:val="00320967"/>
    <w:rsid w:val="00320FAB"/>
    <w:rsid w:val="0032250C"/>
    <w:rsid w:val="0032337B"/>
    <w:rsid w:val="003237C1"/>
    <w:rsid w:val="00323D82"/>
    <w:rsid w:val="00323F8D"/>
    <w:rsid w:val="00324522"/>
    <w:rsid w:val="00332B5A"/>
    <w:rsid w:val="00334C3D"/>
    <w:rsid w:val="0034028D"/>
    <w:rsid w:val="0034249A"/>
    <w:rsid w:val="003431FF"/>
    <w:rsid w:val="00343366"/>
    <w:rsid w:val="00344D1A"/>
    <w:rsid w:val="00346AD0"/>
    <w:rsid w:val="003567B3"/>
    <w:rsid w:val="00357480"/>
    <w:rsid w:val="00357677"/>
    <w:rsid w:val="00361A09"/>
    <w:rsid w:val="00365032"/>
    <w:rsid w:val="00367CEB"/>
    <w:rsid w:val="00371B43"/>
    <w:rsid w:val="00371E1E"/>
    <w:rsid w:val="003748DC"/>
    <w:rsid w:val="00375E1A"/>
    <w:rsid w:val="00376D4E"/>
    <w:rsid w:val="00377E29"/>
    <w:rsid w:val="00381C13"/>
    <w:rsid w:val="00382788"/>
    <w:rsid w:val="003846E2"/>
    <w:rsid w:val="0038678D"/>
    <w:rsid w:val="00386A82"/>
    <w:rsid w:val="00391F4B"/>
    <w:rsid w:val="00395BD7"/>
    <w:rsid w:val="00397640"/>
    <w:rsid w:val="003A227B"/>
    <w:rsid w:val="003A2B0D"/>
    <w:rsid w:val="003A302D"/>
    <w:rsid w:val="003A7134"/>
    <w:rsid w:val="003B0068"/>
    <w:rsid w:val="003B01DB"/>
    <w:rsid w:val="003B41FA"/>
    <w:rsid w:val="003C01E6"/>
    <w:rsid w:val="003C087C"/>
    <w:rsid w:val="003C169B"/>
    <w:rsid w:val="003C2B11"/>
    <w:rsid w:val="003C64BC"/>
    <w:rsid w:val="003D1199"/>
    <w:rsid w:val="003D195D"/>
    <w:rsid w:val="003D1EEB"/>
    <w:rsid w:val="003D22D2"/>
    <w:rsid w:val="003D557E"/>
    <w:rsid w:val="003D569E"/>
    <w:rsid w:val="003D5ED1"/>
    <w:rsid w:val="003D71CC"/>
    <w:rsid w:val="003E14A8"/>
    <w:rsid w:val="003E2120"/>
    <w:rsid w:val="003E5A77"/>
    <w:rsid w:val="003E64D0"/>
    <w:rsid w:val="003E713A"/>
    <w:rsid w:val="003E7DCD"/>
    <w:rsid w:val="003F02D1"/>
    <w:rsid w:val="003F02D5"/>
    <w:rsid w:val="003F035A"/>
    <w:rsid w:val="003F49F6"/>
    <w:rsid w:val="004021A6"/>
    <w:rsid w:val="004021AC"/>
    <w:rsid w:val="004041AD"/>
    <w:rsid w:val="004044F8"/>
    <w:rsid w:val="00404BD7"/>
    <w:rsid w:val="00412093"/>
    <w:rsid w:val="0041330F"/>
    <w:rsid w:val="00416750"/>
    <w:rsid w:val="00420E23"/>
    <w:rsid w:val="00421FE7"/>
    <w:rsid w:val="00422183"/>
    <w:rsid w:val="00423445"/>
    <w:rsid w:val="0042434B"/>
    <w:rsid w:val="0042631D"/>
    <w:rsid w:val="0042751D"/>
    <w:rsid w:val="00430ABB"/>
    <w:rsid w:val="0043465C"/>
    <w:rsid w:val="00435400"/>
    <w:rsid w:val="0043594B"/>
    <w:rsid w:val="00440CE9"/>
    <w:rsid w:val="004415C4"/>
    <w:rsid w:val="0044550B"/>
    <w:rsid w:val="004516BE"/>
    <w:rsid w:val="004524E1"/>
    <w:rsid w:val="00453601"/>
    <w:rsid w:val="00454367"/>
    <w:rsid w:val="004546D4"/>
    <w:rsid w:val="00464323"/>
    <w:rsid w:val="00464ACD"/>
    <w:rsid w:val="0047520B"/>
    <w:rsid w:val="00475D42"/>
    <w:rsid w:val="00477DFB"/>
    <w:rsid w:val="0048292F"/>
    <w:rsid w:val="004837FE"/>
    <w:rsid w:val="00484608"/>
    <w:rsid w:val="00486FBF"/>
    <w:rsid w:val="00487C3A"/>
    <w:rsid w:val="00490270"/>
    <w:rsid w:val="00490577"/>
    <w:rsid w:val="00490FDA"/>
    <w:rsid w:val="00491361"/>
    <w:rsid w:val="004913A3"/>
    <w:rsid w:val="004927BF"/>
    <w:rsid w:val="00494522"/>
    <w:rsid w:val="00496EEA"/>
    <w:rsid w:val="004A031C"/>
    <w:rsid w:val="004A135E"/>
    <w:rsid w:val="004A31AE"/>
    <w:rsid w:val="004A4F72"/>
    <w:rsid w:val="004A65B2"/>
    <w:rsid w:val="004A6EF3"/>
    <w:rsid w:val="004B21FA"/>
    <w:rsid w:val="004B3D56"/>
    <w:rsid w:val="004B3F7B"/>
    <w:rsid w:val="004B419C"/>
    <w:rsid w:val="004B658E"/>
    <w:rsid w:val="004C254E"/>
    <w:rsid w:val="004C6F2C"/>
    <w:rsid w:val="004D1D4A"/>
    <w:rsid w:val="004D2C0A"/>
    <w:rsid w:val="004D7EDC"/>
    <w:rsid w:val="004E010E"/>
    <w:rsid w:val="004E1D9D"/>
    <w:rsid w:val="004E3320"/>
    <w:rsid w:val="004E426A"/>
    <w:rsid w:val="004E6464"/>
    <w:rsid w:val="004E7908"/>
    <w:rsid w:val="004F0C6B"/>
    <w:rsid w:val="004F22EC"/>
    <w:rsid w:val="004F44BF"/>
    <w:rsid w:val="0050040E"/>
    <w:rsid w:val="00500A35"/>
    <w:rsid w:val="00504137"/>
    <w:rsid w:val="00510953"/>
    <w:rsid w:val="005113E9"/>
    <w:rsid w:val="00511700"/>
    <w:rsid w:val="00513398"/>
    <w:rsid w:val="00513722"/>
    <w:rsid w:val="00514D8E"/>
    <w:rsid w:val="005223EB"/>
    <w:rsid w:val="00525B8D"/>
    <w:rsid w:val="00525CA5"/>
    <w:rsid w:val="00527B6E"/>
    <w:rsid w:val="00527D58"/>
    <w:rsid w:val="00534353"/>
    <w:rsid w:val="00535CD3"/>
    <w:rsid w:val="00537280"/>
    <w:rsid w:val="00537B79"/>
    <w:rsid w:val="005415B6"/>
    <w:rsid w:val="00541E60"/>
    <w:rsid w:val="00543A69"/>
    <w:rsid w:val="005458D0"/>
    <w:rsid w:val="00550616"/>
    <w:rsid w:val="005534D9"/>
    <w:rsid w:val="005579AB"/>
    <w:rsid w:val="00557C07"/>
    <w:rsid w:val="00563D18"/>
    <w:rsid w:val="00580D7C"/>
    <w:rsid w:val="00581FBE"/>
    <w:rsid w:val="00582CB3"/>
    <w:rsid w:val="0058659F"/>
    <w:rsid w:val="00590D0E"/>
    <w:rsid w:val="005938A7"/>
    <w:rsid w:val="005949BD"/>
    <w:rsid w:val="005A36C3"/>
    <w:rsid w:val="005B007F"/>
    <w:rsid w:val="005B0A3E"/>
    <w:rsid w:val="005B3645"/>
    <w:rsid w:val="005B3973"/>
    <w:rsid w:val="005B3E29"/>
    <w:rsid w:val="005B54FE"/>
    <w:rsid w:val="005C0AEE"/>
    <w:rsid w:val="005C11A3"/>
    <w:rsid w:val="005C1BC2"/>
    <w:rsid w:val="005C2609"/>
    <w:rsid w:val="005C2DA6"/>
    <w:rsid w:val="005C4320"/>
    <w:rsid w:val="005C65BE"/>
    <w:rsid w:val="005D40A7"/>
    <w:rsid w:val="005D4419"/>
    <w:rsid w:val="005D7B1A"/>
    <w:rsid w:val="005E1349"/>
    <w:rsid w:val="005E2AE6"/>
    <w:rsid w:val="005E6AEF"/>
    <w:rsid w:val="005F15C9"/>
    <w:rsid w:val="005F2C6B"/>
    <w:rsid w:val="005F2CC9"/>
    <w:rsid w:val="005F2DF6"/>
    <w:rsid w:val="005F39A3"/>
    <w:rsid w:val="005F6B03"/>
    <w:rsid w:val="00600C74"/>
    <w:rsid w:val="00602D80"/>
    <w:rsid w:val="00604610"/>
    <w:rsid w:val="00613E0A"/>
    <w:rsid w:val="006155C8"/>
    <w:rsid w:val="00615A4A"/>
    <w:rsid w:val="00615CA6"/>
    <w:rsid w:val="00622DC9"/>
    <w:rsid w:val="0062399F"/>
    <w:rsid w:val="00626775"/>
    <w:rsid w:val="00631FC1"/>
    <w:rsid w:val="006357EB"/>
    <w:rsid w:val="00636E6A"/>
    <w:rsid w:val="00640FB7"/>
    <w:rsid w:val="006456BF"/>
    <w:rsid w:val="00645A48"/>
    <w:rsid w:val="00645B78"/>
    <w:rsid w:val="00645D25"/>
    <w:rsid w:val="00651DE8"/>
    <w:rsid w:val="00654C12"/>
    <w:rsid w:val="00655F2A"/>
    <w:rsid w:val="006560CE"/>
    <w:rsid w:val="00657160"/>
    <w:rsid w:val="006577F7"/>
    <w:rsid w:val="0066228B"/>
    <w:rsid w:val="0066419D"/>
    <w:rsid w:val="00664943"/>
    <w:rsid w:val="00664DE4"/>
    <w:rsid w:val="00665E1A"/>
    <w:rsid w:val="00667C2A"/>
    <w:rsid w:val="006741C1"/>
    <w:rsid w:val="0067532D"/>
    <w:rsid w:val="0067779D"/>
    <w:rsid w:val="006811BD"/>
    <w:rsid w:val="00683941"/>
    <w:rsid w:val="00685C3D"/>
    <w:rsid w:val="00686F6A"/>
    <w:rsid w:val="0068792C"/>
    <w:rsid w:val="0069471D"/>
    <w:rsid w:val="00695921"/>
    <w:rsid w:val="00695FD9"/>
    <w:rsid w:val="006963F6"/>
    <w:rsid w:val="006A0DBC"/>
    <w:rsid w:val="006A3C9F"/>
    <w:rsid w:val="006A6791"/>
    <w:rsid w:val="006A700A"/>
    <w:rsid w:val="006B0E1D"/>
    <w:rsid w:val="006B2134"/>
    <w:rsid w:val="006B224D"/>
    <w:rsid w:val="006B7AB5"/>
    <w:rsid w:val="006C1210"/>
    <w:rsid w:val="006C22D8"/>
    <w:rsid w:val="006C2DBC"/>
    <w:rsid w:val="006C30AC"/>
    <w:rsid w:val="006C42DF"/>
    <w:rsid w:val="006C56B3"/>
    <w:rsid w:val="006C6E85"/>
    <w:rsid w:val="006C7DF7"/>
    <w:rsid w:val="006E3F5D"/>
    <w:rsid w:val="006E4A8E"/>
    <w:rsid w:val="006E59B7"/>
    <w:rsid w:val="006E6658"/>
    <w:rsid w:val="006E7BFF"/>
    <w:rsid w:val="006F02BC"/>
    <w:rsid w:val="006F5D04"/>
    <w:rsid w:val="007008C2"/>
    <w:rsid w:val="00700B24"/>
    <w:rsid w:val="007013BC"/>
    <w:rsid w:val="0070149F"/>
    <w:rsid w:val="00702F51"/>
    <w:rsid w:val="00703E8A"/>
    <w:rsid w:val="00704498"/>
    <w:rsid w:val="00714CBC"/>
    <w:rsid w:val="00715640"/>
    <w:rsid w:val="00715C33"/>
    <w:rsid w:val="007207EB"/>
    <w:rsid w:val="007211BA"/>
    <w:rsid w:val="00721E33"/>
    <w:rsid w:val="00724E51"/>
    <w:rsid w:val="00726A57"/>
    <w:rsid w:val="00730569"/>
    <w:rsid w:val="00732095"/>
    <w:rsid w:val="0073223F"/>
    <w:rsid w:val="0073420D"/>
    <w:rsid w:val="00737D4E"/>
    <w:rsid w:val="00741457"/>
    <w:rsid w:val="0074254D"/>
    <w:rsid w:val="007433FB"/>
    <w:rsid w:val="007441D7"/>
    <w:rsid w:val="00744202"/>
    <w:rsid w:val="007460C1"/>
    <w:rsid w:val="007475D5"/>
    <w:rsid w:val="007477DB"/>
    <w:rsid w:val="00750FED"/>
    <w:rsid w:val="0075437D"/>
    <w:rsid w:val="007552B7"/>
    <w:rsid w:val="00756128"/>
    <w:rsid w:val="00757B51"/>
    <w:rsid w:val="007604B5"/>
    <w:rsid w:val="00760FAC"/>
    <w:rsid w:val="00761F22"/>
    <w:rsid w:val="00762F0C"/>
    <w:rsid w:val="00763232"/>
    <w:rsid w:val="00763B79"/>
    <w:rsid w:val="00765396"/>
    <w:rsid w:val="007654B8"/>
    <w:rsid w:val="007659D3"/>
    <w:rsid w:val="0077101A"/>
    <w:rsid w:val="00771628"/>
    <w:rsid w:val="007777A1"/>
    <w:rsid w:val="00780EEF"/>
    <w:rsid w:val="00781153"/>
    <w:rsid w:val="00783C13"/>
    <w:rsid w:val="00784C12"/>
    <w:rsid w:val="00786D10"/>
    <w:rsid w:val="00787239"/>
    <w:rsid w:val="00787509"/>
    <w:rsid w:val="007912D1"/>
    <w:rsid w:val="00791486"/>
    <w:rsid w:val="00793A70"/>
    <w:rsid w:val="00794FA3"/>
    <w:rsid w:val="00796164"/>
    <w:rsid w:val="007A22D4"/>
    <w:rsid w:val="007A2BD8"/>
    <w:rsid w:val="007A4FB0"/>
    <w:rsid w:val="007A5244"/>
    <w:rsid w:val="007B01CE"/>
    <w:rsid w:val="007B0AF9"/>
    <w:rsid w:val="007B258A"/>
    <w:rsid w:val="007B5D77"/>
    <w:rsid w:val="007C00C8"/>
    <w:rsid w:val="007C18A0"/>
    <w:rsid w:val="007C21BB"/>
    <w:rsid w:val="007C3A6A"/>
    <w:rsid w:val="007C3DC6"/>
    <w:rsid w:val="007C4898"/>
    <w:rsid w:val="007C4E38"/>
    <w:rsid w:val="007C757F"/>
    <w:rsid w:val="007D1E1B"/>
    <w:rsid w:val="007D3397"/>
    <w:rsid w:val="007E016A"/>
    <w:rsid w:val="007E0B9C"/>
    <w:rsid w:val="007E16CD"/>
    <w:rsid w:val="007E6A4E"/>
    <w:rsid w:val="007F2A1F"/>
    <w:rsid w:val="007F3B8C"/>
    <w:rsid w:val="007F66DD"/>
    <w:rsid w:val="008003CC"/>
    <w:rsid w:val="008005C1"/>
    <w:rsid w:val="00800C59"/>
    <w:rsid w:val="0080218D"/>
    <w:rsid w:val="008128CE"/>
    <w:rsid w:val="00820A85"/>
    <w:rsid w:val="00822F3A"/>
    <w:rsid w:val="00822F52"/>
    <w:rsid w:val="008260CB"/>
    <w:rsid w:val="008312CA"/>
    <w:rsid w:val="008318E7"/>
    <w:rsid w:val="00832F9C"/>
    <w:rsid w:val="008377B1"/>
    <w:rsid w:val="00837FE4"/>
    <w:rsid w:val="008408F1"/>
    <w:rsid w:val="0084190A"/>
    <w:rsid w:val="00841A0C"/>
    <w:rsid w:val="00843556"/>
    <w:rsid w:val="00844F25"/>
    <w:rsid w:val="00846BD6"/>
    <w:rsid w:val="008475C3"/>
    <w:rsid w:val="008524B2"/>
    <w:rsid w:val="0085466B"/>
    <w:rsid w:val="008552E7"/>
    <w:rsid w:val="00856E5F"/>
    <w:rsid w:val="00857ED0"/>
    <w:rsid w:val="008702BF"/>
    <w:rsid w:val="00874BE0"/>
    <w:rsid w:val="008761FD"/>
    <w:rsid w:val="00876AFE"/>
    <w:rsid w:val="00876E99"/>
    <w:rsid w:val="008771A7"/>
    <w:rsid w:val="00880590"/>
    <w:rsid w:val="008817B8"/>
    <w:rsid w:val="00882737"/>
    <w:rsid w:val="008900EA"/>
    <w:rsid w:val="008912B9"/>
    <w:rsid w:val="008A2959"/>
    <w:rsid w:val="008A2B83"/>
    <w:rsid w:val="008A2FCB"/>
    <w:rsid w:val="008A3AC9"/>
    <w:rsid w:val="008A4F8B"/>
    <w:rsid w:val="008A6206"/>
    <w:rsid w:val="008A6E00"/>
    <w:rsid w:val="008B1342"/>
    <w:rsid w:val="008B187D"/>
    <w:rsid w:val="008B457A"/>
    <w:rsid w:val="008B4B5A"/>
    <w:rsid w:val="008C4150"/>
    <w:rsid w:val="008C5434"/>
    <w:rsid w:val="008C670E"/>
    <w:rsid w:val="008C6EA9"/>
    <w:rsid w:val="008D194C"/>
    <w:rsid w:val="008D52D8"/>
    <w:rsid w:val="008E3D43"/>
    <w:rsid w:val="008E6077"/>
    <w:rsid w:val="008E7C8E"/>
    <w:rsid w:val="008F08C7"/>
    <w:rsid w:val="008F11FA"/>
    <w:rsid w:val="008F1929"/>
    <w:rsid w:val="008F2FB3"/>
    <w:rsid w:val="008F7E98"/>
    <w:rsid w:val="00900CA2"/>
    <w:rsid w:val="009024D2"/>
    <w:rsid w:val="009048E5"/>
    <w:rsid w:val="00904C4A"/>
    <w:rsid w:val="00906387"/>
    <w:rsid w:val="00910FE5"/>
    <w:rsid w:val="00911300"/>
    <w:rsid w:val="009115AA"/>
    <w:rsid w:val="00914F84"/>
    <w:rsid w:val="00915481"/>
    <w:rsid w:val="00916875"/>
    <w:rsid w:val="0092092B"/>
    <w:rsid w:val="0092622D"/>
    <w:rsid w:val="00926BB1"/>
    <w:rsid w:val="00926D59"/>
    <w:rsid w:val="00930147"/>
    <w:rsid w:val="00930B25"/>
    <w:rsid w:val="0093148F"/>
    <w:rsid w:val="00933744"/>
    <w:rsid w:val="00933F8B"/>
    <w:rsid w:val="009371A1"/>
    <w:rsid w:val="00940054"/>
    <w:rsid w:val="009405BC"/>
    <w:rsid w:val="00940ABA"/>
    <w:rsid w:val="00943064"/>
    <w:rsid w:val="00944184"/>
    <w:rsid w:val="009474A6"/>
    <w:rsid w:val="00952875"/>
    <w:rsid w:val="0095528D"/>
    <w:rsid w:val="00955E63"/>
    <w:rsid w:val="009578DF"/>
    <w:rsid w:val="00961C63"/>
    <w:rsid w:val="0096301B"/>
    <w:rsid w:val="0096309E"/>
    <w:rsid w:val="009649E6"/>
    <w:rsid w:val="00967D6E"/>
    <w:rsid w:val="0097010D"/>
    <w:rsid w:val="00970583"/>
    <w:rsid w:val="00971C8C"/>
    <w:rsid w:val="009729DA"/>
    <w:rsid w:val="009730C9"/>
    <w:rsid w:val="00981C21"/>
    <w:rsid w:val="00982A8A"/>
    <w:rsid w:val="009831BA"/>
    <w:rsid w:val="00983891"/>
    <w:rsid w:val="00984223"/>
    <w:rsid w:val="00985E52"/>
    <w:rsid w:val="0099129A"/>
    <w:rsid w:val="009A15E7"/>
    <w:rsid w:val="009A1609"/>
    <w:rsid w:val="009A605D"/>
    <w:rsid w:val="009A6611"/>
    <w:rsid w:val="009B39E7"/>
    <w:rsid w:val="009B43B7"/>
    <w:rsid w:val="009B53CF"/>
    <w:rsid w:val="009B6A06"/>
    <w:rsid w:val="009C40D7"/>
    <w:rsid w:val="009C411E"/>
    <w:rsid w:val="009C4EEB"/>
    <w:rsid w:val="009C6EA1"/>
    <w:rsid w:val="009D08DA"/>
    <w:rsid w:val="009D36FF"/>
    <w:rsid w:val="009D4375"/>
    <w:rsid w:val="009D4650"/>
    <w:rsid w:val="009D6A94"/>
    <w:rsid w:val="009E00ED"/>
    <w:rsid w:val="009E1556"/>
    <w:rsid w:val="009E28AD"/>
    <w:rsid w:val="009E2DA8"/>
    <w:rsid w:val="009E46E4"/>
    <w:rsid w:val="009E6F2C"/>
    <w:rsid w:val="009F10D4"/>
    <w:rsid w:val="009F499C"/>
    <w:rsid w:val="009F5057"/>
    <w:rsid w:val="009F536D"/>
    <w:rsid w:val="009F73F4"/>
    <w:rsid w:val="009F7DFD"/>
    <w:rsid w:val="00A00415"/>
    <w:rsid w:val="00A02C4C"/>
    <w:rsid w:val="00A02C7C"/>
    <w:rsid w:val="00A10DAA"/>
    <w:rsid w:val="00A119C3"/>
    <w:rsid w:val="00A11FAB"/>
    <w:rsid w:val="00A13DFD"/>
    <w:rsid w:val="00A143B0"/>
    <w:rsid w:val="00A1446D"/>
    <w:rsid w:val="00A20B49"/>
    <w:rsid w:val="00A21B51"/>
    <w:rsid w:val="00A23C40"/>
    <w:rsid w:val="00A256E6"/>
    <w:rsid w:val="00A263F8"/>
    <w:rsid w:val="00A3126E"/>
    <w:rsid w:val="00A32650"/>
    <w:rsid w:val="00A34601"/>
    <w:rsid w:val="00A363B5"/>
    <w:rsid w:val="00A371D7"/>
    <w:rsid w:val="00A53054"/>
    <w:rsid w:val="00A5524E"/>
    <w:rsid w:val="00A60E16"/>
    <w:rsid w:val="00A67F20"/>
    <w:rsid w:val="00A71C6C"/>
    <w:rsid w:val="00A738E7"/>
    <w:rsid w:val="00A73C10"/>
    <w:rsid w:val="00A75BED"/>
    <w:rsid w:val="00A81358"/>
    <w:rsid w:val="00A831F3"/>
    <w:rsid w:val="00A8355F"/>
    <w:rsid w:val="00A85022"/>
    <w:rsid w:val="00A85F5C"/>
    <w:rsid w:val="00A86EA6"/>
    <w:rsid w:val="00A87724"/>
    <w:rsid w:val="00A87EB2"/>
    <w:rsid w:val="00A96DB4"/>
    <w:rsid w:val="00A972BE"/>
    <w:rsid w:val="00AA437D"/>
    <w:rsid w:val="00AA5571"/>
    <w:rsid w:val="00AA565D"/>
    <w:rsid w:val="00AA60CB"/>
    <w:rsid w:val="00AA6276"/>
    <w:rsid w:val="00AA6ABF"/>
    <w:rsid w:val="00AB2B51"/>
    <w:rsid w:val="00AB2CFA"/>
    <w:rsid w:val="00AC0824"/>
    <w:rsid w:val="00AC19A6"/>
    <w:rsid w:val="00AC2C0B"/>
    <w:rsid w:val="00AC523F"/>
    <w:rsid w:val="00AC589B"/>
    <w:rsid w:val="00AC70B4"/>
    <w:rsid w:val="00AD083A"/>
    <w:rsid w:val="00AD1A91"/>
    <w:rsid w:val="00AD336D"/>
    <w:rsid w:val="00AD4084"/>
    <w:rsid w:val="00AD5F16"/>
    <w:rsid w:val="00AE03E5"/>
    <w:rsid w:val="00AE1D29"/>
    <w:rsid w:val="00AE2442"/>
    <w:rsid w:val="00AE3645"/>
    <w:rsid w:val="00AE5BE1"/>
    <w:rsid w:val="00AE7DE0"/>
    <w:rsid w:val="00AF67C0"/>
    <w:rsid w:val="00B01530"/>
    <w:rsid w:val="00B02CD6"/>
    <w:rsid w:val="00B105D9"/>
    <w:rsid w:val="00B114AE"/>
    <w:rsid w:val="00B117C4"/>
    <w:rsid w:val="00B12C43"/>
    <w:rsid w:val="00B12F00"/>
    <w:rsid w:val="00B15109"/>
    <w:rsid w:val="00B15D22"/>
    <w:rsid w:val="00B15DD6"/>
    <w:rsid w:val="00B160BE"/>
    <w:rsid w:val="00B17A91"/>
    <w:rsid w:val="00B17D2B"/>
    <w:rsid w:val="00B25837"/>
    <w:rsid w:val="00B25F0F"/>
    <w:rsid w:val="00B264BF"/>
    <w:rsid w:val="00B314BD"/>
    <w:rsid w:val="00B35A56"/>
    <w:rsid w:val="00B35CFF"/>
    <w:rsid w:val="00B36553"/>
    <w:rsid w:val="00B37D5E"/>
    <w:rsid w:val="00B417E9"/>
    <w:rsid w:val="00B47186"/>
    <w:rsid w:val="00B477DD"/>
    <w:rsid w:val="00B50E4C"/>
    <w:rsid w:val="00B51483"/>
    <w:rsid w:val="00B51AC8"/>
    <w:rsid w:val="00B552BA"/>
    <w:rsid w:val="00B562B7"/>
    <w:rsid w:val="00B60918"/>
    <w:rsid w:val="00B61747"/>
    <w:rsid w:val="00B6716A"/>
    <w:rsid w:val="00B737F1"/>
    <w:rsid w:val="00B80809"/>
    <w:rsid w:val="00B8093B"/>
    <w:rsid w:val="00B83C6E"/>
    <w:rsid w:val="00B84E0A"/>
    <w:rsid w:val="00B866E0"/>
    <w:rsid w:val="00B87979"/>
    <w:rsid w:val="00B9052F"/>
    <w:rsid w:val="00B9218B"/>
    <w:rsid w:val="00B92301"/>
    <w:rsid w:val="00B92858"/>
    <w:rsid w:val="00B966B0"/>
    <w:rsid w:val="00B96BF6"/>
    <w:rsid w:val="00BA036E"/>
    <w:rsid w:val="00BA29D3"/>
    <w:rsid w:val="00BA2D2F"/>
    <w:rsid w:val="00BA35C6"/>
    <w:rsid w:val="00BA4402"/>
    <w:rsid w:val="00BA501F"/>
    <w:rsid w:val="00BA5AA8"/>
    <w:rsid w:val="00BA62DA"/>
    <w:rsid w:val="00BB19F9"/>
    <w:rsid w:val="00BB4FA8"/>
    <w:rsid w:val="00BB704C"/>
    <w:rsid w:val="00BC011B"/>
    <w:rsid w:val="00BC1C0C"/>
    <w:rsid w:val="00BC2093"/>
    <w:rsid w:val="00BC514C"/>
    <w:rsid w:val="00BC5499"/>
    <w:rsid w:val="00BC5E40"/>
    <w:rsid w:val="00BC75CE"/>
    <w:rsid w:val="00BC7D79"/>
    <w:rsid w:val="00BD106A"/>
    <w:rsid w:val="00BD2936"/>
    <w:rsid w:val="00BD3E52"/>
    <w:rsid w:val="00BD46EC"/>
    <w:rsid w:val="00BD52F4"/>
    <w:rsid w:val="00BD5E2C"/>
    <w:rsid w:val="00BE0D8B"/>
    <w:rsid w:val="00BE1AB8"/>
    <w:rsid w:val="00BE4C72"/>
    <w:rsid w:val="00BE742C"/>
    <w:rsid w:val="00BE7CCA"/>
    <w:rsid w:val="00BF09DB"/>
    <w:rsid w:val="00BF221B"/>
    <w:rsid w:val="00BF33E1"/>
    <w:rsid w:val="00BF4CE3"/>
    <w:rsid w:val="00BF5591"/>
    <w:rsid w:val="00BF724C"/>
    <w:rsid w:val="00C0274F"/>
    <w:rsid w:val="00C109E6"/>
    <w:rsid w:val="00C13467"/>
    <w:rsid w:val="00C13F76"/>
    <w:rsid w:val="00C1510A"/>
    <w:rsid w:val="00C17158"/>
    <w:rsid w:val="00C17CB4"/>
    <w:rsid w:val="00C2362A"/>
    <w:rsid w:val="00C2706B"/>
    <w:rsid w:val="00C319C2"/>
    <w:rsid w:val="00C32D54"/>
    <w:rsid w:val="00C35865"/>
    <w:rsid w:val="00C40283"/>
    <w:rsid w:val="00C42061"/>
    <w:rsid w:val="00C43CBD"/>
    <w:rsid w:val="00C44E32"/>
    <w:rsid w:val="00C46871"/>
    <w:rsid w:val="00C46FE2"/>
    <w:rsid w:val="00C544D5"/>
    <w:rsid w:val="00C60E59"/>
    <w:rsid w:val="00C6299E"/>
    <w:rsid w:val="00C636C3"/>
    <w:rsid w:val="00C649E7"/>
    <w:rsid w:val="00C664DF"/>
    <w:rsid w:val="00C67D83"/>
    <w:rsid w:val="00C7078A"/>
    <w:rsid w:val="00C738F2"/>
    <w:rsid w:val="00C7403D"/>
    <w:rsid w:val="00C75272"/>
    <w:rsid w:val="00C81EC5"/>
    <w:rsid w:val="00C836FC"/>
    <w:rsid w:val="00C8512F"/>
    <w:rsid w:val="00C85977"/>
    <w:rsid w:val="00C87697"/>
    <w:rsid w:val="00C929E2"/>
    <w:rsid w:val="00C94B77"/>
    <w:rsid w:val="00C96570"/>
    <w:rsid w:val="00CA0FE4"/>
    <w:rsid w:val="00CA0FED"/>
    <w:rsid w:val="00CA6517"/>
    <w:rsid w:val="00CA78A8"/>
    <w:rsid w:val="00CB1828"/>
    <w:rsid w:val="00CB24AD"/>
    <w:rsid w:val="00CB2568"/>
    <w:rsid w:val="00CB3B17"/>
    <w:rsid w:val="00CB4E29"/>
    <w:rsid w:val="00CB5A62"/>
    <w:rsid w:val="00CC0198"/>
    <w:rsid w:val="00CC06EB"/>
    <w:rsid w:val="00CC20F6"/>
    <w:rsid w:val="00CC31AE"/>
    <w:rsid w:val="00CC7F03"/>
    <w:rsid w:val="00CD0AE9"/>
    <w:rsid w:val="00CD45F6"/>
    <w:rsid w:val="00CD4D1C"/>
    <w:rsid w:val="00CD6B7C"/>
    <w:rsid w:val="00CE0CD5"/>
    <w:rsid w:val="00CE28EB"/>
    <w:rsid w:val="00CF6CD9"/>
    <w:rsid w:val="00D05C81"/>
    <w:rsid w:val="00D05FF2"/>
    <w:rsid w:val="00D10082"/>
    <w:rsid w:val="00D11840"/>
    <w:rsid w:val="00D1710F"/>
    <w:rsid w:val="00D20957"/>
    <w:rsid w:val="00D22EE9"/>
    <w:rsid w:val="00D30961"/>
    <w:rsid w:val="00D31C92"/>
    <w:rsid w:val="00D324B0"/>
    <w:rsid w:val="00D32DFC"/>
    <w:rsid w:val="00D332A9"/>
    <w:rsid w:val="00D36F18"/>
    <w:rsid w:val="00D37AB2"/>
    <w:rsid w:val="00D37DBE"/>
    <w:rsid w:val="00D4484C"/>
    <w:rsid w:val="00D44E9D"/>
    <w:rsid w:val="00D44EAB"/>
    <w:rsid w:val="00D470FA"/>
    <w:rsid w:val="00D47DF5"/>
    <w:rsid w:val="00D5257D"/>
    <w:rsid w:val="00D54521"/>
    <w:rsid w:val="00D5601E"/>
    <w:rsid w:val="00D629B2"/>
    <w:rsid w:val="00D643E4"/>
    <w:rsid w:val="00D653E3"/>
    <w:rsid w:val="00D6597E"/>
    <w:rsid w:val="00D74E68"/>
    <w:rsid w:val="00D8268D"/>
    <w:rsid w:val="00D82A45"/>
    <w:rsid w:val="00D8675B"/>
    <w:rsid w:val="00D92254"/>
    <w:rsid w:val="00D94D10"/>
    <w:rsid w:val="00D95D7E"/>
    <w:rsid w:val="00D96058"/>
    <w:rsid w:val="00D9645D"/>
    <w:rsid w:val="00DA11EF"/>
    <w:rsid w:val="00DA3168"/>
    <w:rsid w:val="00DA3368"/>
    <w:rsid w:val="00DA34A2"/>
    <w:rsid w:val="00DA4BE0"/>
    <w:rsid w:val="00DA5B47"/>
    <w:rsid w:val="00DA7671"/>
    <w:rsid w:val="00DB0177"/>
    <w:rsid w:val="00DB09D9"/>
    <w:rsid w:val="00DB48B1"/>
    <w:rsid w:val="00DB5796"/>
    <w:rsid w:val="00DB679C"/>
    <w:rsid w:val="00DB7F37"/>
    <w:rsid w:val="00DC592C"/>
    <w:rsid w:val="00DC6CBE"/>
    <w:rsid w:val="00DD08F5"/>
    <w:rsid w:val="00DD1257"/>
    <w:rsid w:val="00DD1848"/>
    <w:rsid w:val="00DD1EF0"/>
    <w:rsid w:val="00DD2F14"/>
    <w:rsid w:val="00DD6A42"/>
    <w:rsid w:val="00DD6C88"/>
    <w:rsid w:val="00DD6D9E"/>
    <w:rsid w:val="00DD7E5A"/>
    <w:rsid w:val="00DE1FF0"/>
    <w:rsid w:val="00DE2A5D"/>
    <w:rsid w:val="00DE2F73"/>
    <w:rsid w:val="00DE4AB2"/>
    <w:rsid w:val="00DE6B62"/>
    <w:rsid w:val="00DF24DC"/>
    <w:rsid w:val="00DF268E"/>
    <w:rsid w:val="00DF3494"/>
    <w:rsid w:val="00DF4183"/>
    <w:rsid w:val="00DF67E6"/>
    <w:rsid w:val="00DF715C"/>
    <w:rsid w:val="00E00432"/>
    <w:rsid w:val="00E03725"/>
    <w:rsid w:val="00E03786"/>
    <w:rsid w:val="00E06F1C"/>
    <w:rsid w:val="00E07254"/>
    <w:rsid w:val="00E0769C"/>
    <w:rsid w:val="00E16C73"/>
    <w:rsid w:val="00E1787F"/>
    <w:rsid w:val="00E207E7"/>
    <w:rsid w:val="00E2237F"/>
    <w:rsid w:val="00E255FF"/>
    <w:rsid w:val="00E341A3"/>
    <w:rsid w:val="00E35916"/>
    <w:rsid w:val="00E37B5F"/>
    <w:rsid w:val="00E42851"/>
    <w:rsid w:val="00E42C27"/>
    <w:rsid w:val="00E42F8B"/>
    <w:rsid w:val="00E44AE8"/>
    <w:rsid w:val="00E44D78"/>
    <w:rsid w:val="00E4581D"/>
    <w:rsid w:val="00E45A03"/>
    <w:rsid w:val="00E46178"/>
    <w:rsid w:val="00E462BE"/>
    <w:rsid w:val="00E46BD9"/>
    <w:rsid w:val="00E51EA1"/>
    <w:rsid w:val="00E53FBA"/>
    <w:rsid w:val="00E550E7"/>
    <w:rsid w:val="00E55936"/>
    <w:rsid w:val="00E5594F"/>
    <w:rsid w:val="00E55BC7"/>
    <w:rsid w:val="00E60099"/>
    <w:rsid w:val="00E60ACC"/>
    <w:rsid w:val="00E648D0"/>
    <w:rsid w:val="00E65772"/>
    <w:rsid w:val="00E71FB0"/>
    <w:rsid w:val="00E7252E"/>
    <w:rsid w:val="00E74E0D"/>
    <w:rsid w:val="00E75A57"/>
    <w:rsid w:val="00E75F6E"/>
    <w:rsid w:val="00E76164"/>
    <w:rsid w:val="00E804A6"/>
    <w:rsid w:val="00E83A4B"/>
    <w:rsid w:val="00E8465C"/>
    <w:rsid w:val="00E8526A"/>
    <w:rsid w:val="00E85F87"/>
    <w:rsid w:val="00E901E7"/>
    <w:rsid w:val="00E91D4D"/>
    <w:rsid w:val="00E9638D"/>
    <w:rsid w:val="00E9644F"/>
    <w:rsid w:val="00EA07CD"/>
    <w:rsid w:val="00EA08BA"/>
    <w:rsid w:val="00EB3006"/>
    <w:rsid w:val="00EB369F"/>
    <w:rsid w:val="00EB43CE"/>
    <w:rsid w:val="00EB625F"/>
    <w:rsid w:val="00EB6CC2"/>
    <w:rsid w:val="00EB7138"/>
    <w:rsid w:val="00EC04DC"/>
    <w:rsid w:val="00EC166D"/>
    <w:rsid w:val="00EC1E36"/>
    <w:rsid w:val="00EC3B24"/>
    <w:rsid w:val="00EC5885"/>
    <w:rsid w:val="00ED390C"/>
    <w:rsid w:val="00ED51F7"/>
    <w:rsid w:val="00ED5BB3"/>
    <w:rsid w:val="00EE0AEA"/>
    <w:rsid w:val="00EE13CF"/>
    <w:rsid w:val="00EE4667"/>
    <w:rsid w:val="00EE5A3F"/>
    <w:rsid w:val="00EE6264"/>
    <w:rsid w:val="00EE7778"/>
    <w:rsid w:val="00EF29C2"/>
    <w:rsid w:val="00EF2D6F"/>
    <w:rsid w:val="00EF74BF"/>
    <w:rsid w:val="00F0085E"/>
    <w:rsid w:val="00F01BAE"/>
    <w:rsid w:val="00F01DF5"/>
    <w:rsid w:val="00F03D9B"/>
    <w:rsid w:val="00F043C3"/>
    <w:rsid w:val="00F075ED"/>
    <w:rsid w:val="00F119E3"/>
    <w:rsid w:val="00F14E77"/>
    <w:rsid w:val="00F16354"/>
    <w:rsid w:val="00F16BBF"/>
    <w:rsid w:val="00F17E92"/>
    <w:rsid w:val="00F20193"/>
    <w:rsid w:val="00F2020A"/>
    <w:rsid w:val="00F2027F"/>
    <w:rsid w:val="00F20424"/>
    <w:rsid w:val="00F20B5B"/>
    <w:rsid w:val="00F24082"/>
    <w:rsid w:val="00F27656"/>
    <w:rsid w:val="00F30D6A"/>
    <w:rsid w:val="00F3171D"/>
    <w:rsid w:val="00F34484"/>
    <w:rsid w:val="00F348F5"/>
    <w:rsid w:val="00F35241"/>
    <w:rsid w:val="00F36DE0"/>
    <w:rsid w:val="00F401AB"/>
    <w:rsid w:val="00F40B78"/>
    <w:rsid w:val="00F45823"/>
    <w:rsid w:val="00F47412"/>
    <w:rsid w:val="00F50151"/>
    <w:rsid w:val="00F5024F"/>
    <w:rsid w:val="00F502AA"/>
    <w:rsid w:val="00F51218"/>
    <w:rsid w:val="00F51DC4"/>
    <w:rsid w:val="00F547E0"/>
    <w:rsid w:val="00F54977"/>
    <w:rsid w:val="00F56424"/>
    <w:rsid w:val="00F61791"/>
    <w:rsid w:val="00F62FF2"/>
    <w:rsid w:val="00F637D2"/>
    <w:rsid w:val="00F64661"/>
    <w:rsid w:val="00F64E01"/>
    <w:rsid w:val="00F672D8"/>
    <w:rsid w:val="00F67A0B"/>
    <w:rsid w:val="00F7091D"/>
    <w:rsid w:val="00F714AE"/>
    <w:rsid w:val="00F7597B"/>
    <w:rsid w:val="00F76ACE"/>
    <w:rsid w:val="00F76E3C"/>
    <w:rsid w:val="00F77EE8"/>
    <w:rsid w:val="00F81277"/>
    <w:rsid w:val="00F83378"/>
    <w:rsid w:val="00F87259"/>
    <w:rsid w:val="00F90755"/>
    <w:rsid w:val="00F90F50"/>
    <w:rsid w:val="00F9218C"/>
    <w:rsid w:val="00F92ABD"/>
    <w:rsid w:val="00F933A6"/>
    <w:rsid w:val="00F947A2"/>
    <w:rsid w:val="00F94812"/>
    <w:rsid w:val="00FA23EC"/>
    <w:rsid w:val="00FA73C0"/>
    <w:rsid w:val="00FA7812"/>
    <w:rsid w:val="00FB4262"/>
    <w:rsid w:val="00FB6C06"/>
    <w:rsid w:val="00FC1706"/>
    <w:rsid w:val="00FC3C02"/>
    <w:rsid w:val="00FC4193"/>
    <w:rsid w:val="00FC42E0"/>
    <w:rsid w:val="00FC786C"/>
    <w:rsid w:val="00FD241B"/>
    <w:rsid w:val="00FD3C0D"/>
    <w:rsid w:val="00FD4708"/>
    <w:rsid w:val="00FD6552"/>
    <w:rsid w:val="00FD7097"/>
    <w:rsid w:val="00FD786A"/>
    <w:rsid w:val="00FE03AF"/>
    <w:rsid w:val="00FE088A"/>
    <w:rsid w:val="00FE17CE"/>
    <w:rsid w:val="00FE1F90"/>
    <w:rsid w:val="00FF0320"/>
    <w:rsid w:val="00FF0814"/>
    <w:rsid w:val="00FF0FB6"/>
    <w:rsid w:val="00FF3A0C"/>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24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0769C"/>
    <w:pPr>
      <w:autoSpaceDE w:val="0"/>
      <w:autoSpaceDN w:val="0"/>
      <w:adjustRightInd w:val="0"/>
    </w:pPr>
    <w:rPr>
      <w:rFonts w:ascii="EYInterstate Light" w:hAnsi="EYInterstate Light"/>
      <w:lang w:val="en-AU"/>
    </w:rPr>
  </w:style>
  <w:style w:type="paragraph" w:styleId="Heading1">
    <w:name w:val="heading 1"/>
    <w:basedOn w:val="Normal"/>
    <w:next w:val="EYBodytextwithparaspace"/>
    <w:rsid w:val="00E60099"/>
    <w:pPr>
      <w:keepNext/>
      <w:tabs>
        <w:tab w:val="left" w:pos="720"/>
      </w:tabs>
      <w:spacing w:after="240"/>
      <w:outlineLvl w:val="0"/>
    </w:pPr>
    <w:rPr>
      <w:b/>
      <w:bCs/>
      <w:sz w:val="32"/>
      <w:szCs w:val="24"/>
    </w:rPr>
  </w:style>
  <w:style w:type="paragraph" w:styleId="Heading2">
    <w:name w:val="heading 2"/>
    <w:basedOn w:val="Normal"/>
    <w:next w:val="EYBodytextwithparaspace"/>
    <w:rsid w:val="00E60099"/>
    <w:pPr>
      <w:keepNext/>
      <w:spacing w:after="120"/>
      <w:outlineLvl w:val="1"/>
    </w:pPr>
    <w:rPr>
      <w:rFonts w:cs="Arial"/>
      <w:b/>
      <w:bCs/>
      <w:iCs/>
      <w:sz w:val="28"/>
    </w:rPr>
  </w:style>
  <w:style w:type="paragraph" w:styleId="Heading3">
    <w:name w:val="heading 3"/>
    <w:basedOn w:val="Normal"/>
    <w:next w:val="EYBodytextwithparaspace"/>
    <w:rsid w:val="00E60099"/>
    <w:pPr>
      <w:keepNext/>
      <w:spacing w:after="120"/>
      <w:outlineLvl w:val="2"/>
    </w:pPr>
    <w:rPr>
      <w:rFonts w:cs="Arial"/>
      <w:b/>
      <w:bCs/>
      <w:sz w:val="24"/>
    </w:rPr>
  </w:style>
  <w:style w:type="paragraph" w:styleId="Heading4">
    <w:name w:val="heading 4"/>
    <w:basedOn w:val="Normal"/>
    <w:next w:val="EYBodytextwithparaspace"/>
    <w:rsid w:val="00926BB1"/>
    <w:pPr>
      <w:spacing w:after="120"/>
      <w:outlineLvl w:val="3"/>
    </w:pPr>
    <w:rPr>
      <w:color w:val="000000"/>
      <w:sz w:val="24"/>
    </w:rPr>
  </w:style>
  <w:style w:type="paragraph" w:styleId="Heading5">
    <w:name w:val="heading 5"/>
    <w:basedOn w:val="Normal"/>
    <w:next w:val="EYBodytextwithparaspace"/>
    <w:rsid w:val="00926BB1"/>
    <w:pPr>
      <w:spacing w:after="120"/>
      <w:outlineLvl w:val="4"/>
    </w:pPr>
    <w:rPr>
      <w:b/>
      <w:sz w:val="22"/>
    </w:rPr>
  </w:style>
  <w:style w:type="paragraph" w:styleId="Heading6">
    <w:name w:val="heading 6"/>
    <w:basedOn w:val="Normal"/>
    <w:next w:val="EYBodytextwithparaspace"/>
    <w:rsid w:val="00926BB1"/>
    <w:pPr>
      <w:outlineLvl w:val="5"/>
    </w:pPr>
    <w:rPr>
      <w:sz w:val="22"/>
    </w:rPr>
  </w:style>
  <w:style w:type="paragraph" w:styleId="Heading7">
    <w:name w:val="heading 7"/>
    <w:basedOn w:val="Normal"/>
    <w:next w:val="EYBodytextwithparaspace"/>
    <w:rsid w:val="00E60099"/>
    <w:pPr>
      <w:spacing w:after="120"/>
      <w:outlineLvl w:val="6"/>
    </w:pPr>
    <w:rPr>
      <w:b/>
    </w:rPr>
  </w:style>
  <w:style w:type="paragraph" w:styleId="Heading8">
    <w:name w:val="heading 8"/>
    <w:basedOn w:val="Normal"/>
    <w:next w:val="EYBodytextwithparaspace"/>
    <w:rsid w:val="00E60099"/>
    <w:pPr>
      <w:spacing w:after="120"/>
      <w:outlineLvl w:val="7"/>
    </w:pPr>
  </w:style>
  <w:style w:type="paragraph" w:styleId="Heading9">
    <w:name w:val="heading 9"/>
    <w:basedOn w:val="Normal"/>
    <w:next w:val="EYBodytextwithparaspace"/>
    <w:rsid w:val="001547A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dytextwithparaspace">
    <w:name w:val="EY Body text (with para space)"/>
    <w:basedOn w:val="EYNormal"/>
    <w:link w:val="EYBodytextwithparaspaceChar"/>
    <w:qFormat/>
    <w:rsid w:val="00391F4B"/>
    <w:pPr>
      <w:spacing w:after="240"/>
    </w:pPr>
    <w:rPr>
      <w:sz w:val="22"/>
    </w:rPr>
  </w:style>
  <w:style w:type="paragraph" w:customStyle="1" w:styleId="EYBodytextwithoutparaspace">
    <w:name w:val="EY Body text (without para space)"/>
    <w:basedOn w:val="EYNormal"/>
    <w:qFormat/>
    <w:rsid w:val="00391F4B"/>
    <w:rPr>
      <w:sz w:val="22"/>
    </w:rPr>
  </w:style>
  <w:style w:type="paragraph" w:customStyle="1" w:styleId="EYNormal">
    <w:name w:val="EY Normal"/>
    <w:basedOn w:val="Normal"/>
    <w:qFormat/>
    <w:rsid w:val="003D557E"/>
    <w:rPr>
      <w:szCs w:val="24"/>
    </w:rPr>
  </w:style>
  <w:style w:type="paragraph" w:customStyle="1" w:styleId="EYLeader">
    <w:name w:val="EY Leader"/>
    <w:basedOn w:val="EYNormal"/>
    <w:next w:val="EYBodytextwithparaspace"/>
    <w:qFormat/>
    <w:rsid w:val="00CC31AE"/>
    <w:pPr>
      <w:spacing w:after="280" w:line="280" w:lineRule="atLeast"/>
    </w:pPr>
    <w:rPr>
      <w:color w:val="808080"/>
      <w:sz w:val="24"/>
      <w:szCs w:val="20"/>
    </w:rPr>
  </w:style>
  <w:style w:type="paragraph" w:customStyle="1" w:styleId="EYAppendix">
    <w:name w:val="EY Appendix"/>
    <w:basedOn w:val="EYNormal"/>
    <w:next w:val="EYBodytextwithparaspace"/>
    <w:qFormat/>
    <w:rsid w:val="00664DE4"/>
    <w:pPr>
      <w:numPr>
        <w:numId w:val="30"/>
      </w:numPr>
      <w:autoSpaceDE/>
      <w:autoSpaceDN/>
      <w:adjustRightInd/>
      <w:spacing w:after="360"/>
      <w:outlineLvl w:val="0"/>
    </w:pPr>
    <w:rPr>
      <w:b/>
      <w:color w:val="808080"/>
      <w:sz w:val="36"/>
    </w:rPr>
  </w:style>
  <w:style w:type="paragraph" w:customStyle="1" w:styleId="EYAppendixHeading2">
    <w:name w:val="EY Appendix Heading 2"/>
    <w:basedOn w:val="EYNormal"/>
    <w:next w:val="EYBodytextwithparaspace"/>
    <w:qFormat/>
    <w:rsid w:val="00CC31AE"/>
    <w:pPr>
      <w:keepNext/>
      <w:autoSpaceDE/>
      <w:autoSpaceDN/>
      <w:adjustRightInd/>
      <w:spacing w:after="120"/>
    </w:pPr>
    <w:rPr>
      <w:b/>
      <w:sz w:val="28"/>
    </w:rPr>
  </w:style>
  <w:style w:type="paragraph" w:customStyle="1" w:styleId="EYAppendixHeading3">
    <w:name w:val="EY Appendix Heading 3"/>
    <w:basedOn w:val="EYNormal"/>
    <w:next w:val="EYBodytextwithparaspace"/>
    <w:qFormat/>
    <w:rsid w:val="00CC31AE"/>
    <w:pPr>
      <w:keepNext/>
      <w:autoSpaceDE/>
      <w:autoSpaceDN/>
      <w:adjustRightInd/>
      <w:spacing w:after="120"/>
    </w:pPr>
    <w:rPr>
      <w:b/>
      <w:sz w:val="26"/>
    </w:rPr>
  </w:style>
  <w:style w:type="paragraph" w:customStyle="1" w:styleId="EYBulletedText3">
    <w:name w:val="EY Bulleted Text 3"/>
    <w:basedOn w:val="EYNormal"/>
    <w:qFormat/>
    <w:rsid w:val="000C21F9"/>
    <w:pPr>
      <w:numPr>
        <w:ilvl w:val="2"/>
        <w:numId w:val="27"/>
      </w:numPr>
      <w:spacing w:after="240"/>
    </w:pPr>
  </w:style>
  <w:style w:type="character" w:customStyle="1" w:styleId="FooterChar">
    <w:name w:val="Footer Char"/>
    <w:aliases w:val="EY Footer Char"/>
    <w:basedOn w:val="DefaultParagraphFont"/>
    <w:link w:val="Footer"/>
    <w:rsid w:val="00E462BE"/>
    <w:rPr>
      <w:rFonts w:ascii="EYInterstate Light" w:hAnsi="EYInterstate Light"/>
      <w:sz w:val="16"/>
    </w:rPr>
  </w:style>
  <w:style w:type="paragraph" w:styleId="Caption">
    <w:name w:val="caption"/>
    <w:basedOn w:val="EYNormal"/>
    <w:next w:val="EYBodytextwithparaspace"/>
    <w:unhideWhenUsed/>
    <w:qFormat/>
    <w:rsid w:val="00664DE4"/>
    <w:pPr>
      <w:spacing w:after="60"/>
    </w:pPr>
    <w:rPr>
      <w:b/>
      <w:bCs/>
      <w:color w:val="808080"/>
      <w:sz w:val="22"/>
      <w:szCs w:val="18"/>
    </w:rPr>
  </w:style>
  <w:style w:type="paragraph" w:styleId="Header">
    <w:name w:val="header"/>
    <w:basedOn w:val="Normal"/>
    <w:link w:val="HeaderChar"/>
    <w:rsid w:val="005F2DF6"/>
    <w:pPr>
      <w:tabs>
        <w:tab w:val="center" w:pos="4513"/>
        <w:tab w:val="right" w:pos="9026"/>
      </w:tabs>
    </w:pPr>
  </w:style>
  <w:style w:type="character" w:customStyle="1" w:styleId="HeaderChar">
    <w:name w:val="Header Char"/>
    <w:basedOn w:val="DefaultParagraphFont"/>
    <w:link w:val="Header"/>
    <w:rsid w:val="005F2DF6"/>
    <w:rPr>
      <w:rFonts w:ascii="EYInterstate Light" w:hAnsi="EYInterstate Light"/>
    </w:rPr>
  </w:style>
  <w:style w:type="paragraph" w:customStyle="1" w:styleId="EYBusinessaddress">
    <w:name w:val="EY Business address"/>
    <w:basedOn w:val="Normal"/>
    <w:rsid w:val="003D557E"/>
    <w:pPr>
      <w:autoSpaceDE/>
      <w:autoSpaceDN/>
      <w:adjustRightInd/>
      <w:spacing w:line="170" w:lineRule="atLeast"/>
    </w:pPr>
    <w:rPr>
      <w:color w:val="666666"/>
      <w:sz w:val="15"/>
      <w:szCs w:val="24"/>
    </w:rPr>
  </w:style>
  <w:style w:type="paragraph" w:customStyle="1" w:styleId="EYBusinessaddressbold">
    <w:name w:val="EY Business address (bold)"/>
    <w:basedOn w:val="EYBusinessaddress"/>
    <w:next w:val="EYBusinessaddress"/>
    <w:rsid w:val="00FA23EC"/>
    <w:rPr>
      <w:b/>
    </w:rPr>
  </w:style>
  <w:style w:type="paragraph" w:customStyle="1" w:styleId="EYContents">
    <w:name w:val="EY Contents"/>
    <w:basedOn w:val="EYNormal"/>
    <w:next w:val="Normal"/>
    <w:rsid w:val="00B15D22"/>
    <w:pPr>
      <w:keepNext/>
      <w:autoSpaceDE/>
      <w:autoSpaceDN/>
      <w:adjustRightInd/>
      <w:spacing w:after="240"/>
    </w:pPr>
    <w:rPr>
      <w:rFonts w:ascii="EYInterstate Regular" w:hAnsi="EYInterstate Regular"/>
      <w:color w:val="808080"/>
      <w:sz w:val="28"/>
    </w:rPr>
  </w:style>
  <w:style w:type="paragraph" w:customStyle="1" w:styleId="EYCoverTitle">
    <w:name w:val="EY Cover Title"/>
    <w:basedOn w:val="EYNormal"/>
    <w:rsid w:val="00AE7DE0"/>
    <w:pPr>
      <w:tabs>
        <w:tab w:val="right" w:pos="6750"/>
      </w:tabs>
      <w:spacing w:line="560" w:lineRule="atLeast"/>
    </w:pPr>
    <w:rPr>
      <w:rFonts w:ascii="EYInterstate Regular" w:hAnsi="EYInterstate Regular"/>
      <w:color w:val="333333"/>
      <w:sz w:val="48"/>
      <w:szCs w:val="48"/>
    </w:rPr>
  </w:style>
  <w:style w:type="paragraph" w:customStyle="1" w:styleId="EYHeading1">
    <w:name w:val="EY Heading 1"/>
    <w:basedOn w:val="EYNormal"/>
    <w:next w:val="EYBodytextwithparaspace"/>
    <w:qFormat/>
    <w:rsid w:val="00391F4B"/>
    <w:pPr>
      <w:pageBreakBefore/>
      <w:numPr>
        <w:numId w:val="34"/>
      </w:numPr>
      <w:autoSpaceDE/>
      <w:autoSpaceDN/>
      <w:adjustRightInd/>
      <w:spacing w:after="360"/>
      <w:outlineLvl w:val="0"/>
    </w:pPr>
    <w:rPr>
      <w:b/>
      <w:color w:val="808080"/>
      <w:sz w:val="36"/>
    </w:rPr>
  </w:style>
  <w:style w:type="paragraph" w:customStyle="1" w:styleId="EYHeading2">
    <w:name w:val="EY Heading 2"/>
    <w:basedOn w:val="EYNormal"/>
    <w:next w:val="EYBodytextwithparaspace"/>
    <w:qFormat/>
    <w:rsid w:val="00391F4B"/>
    <w:pPr>
      <w:keepNext/>
      <w:numPr>
        <w:ilvl w:val="1"/>
        <w:numId w:val="34"/>
      </w:numPr>
      <w:tabs>
        <w:tab w:val="clear" w:pos="0"/>
      </w:tabs>
      <w:spacing w:before="120" w:after="120"/>
      <w:outlineLvl w:val="1"/>
    </w:pPr>
    <w:rPr>
      <w:b/>
      <w:sz w:val="32"/>
    </w:rPr>
  </w:style>
  <w:style w:type="paragraph" w:customStyle="1" w:styleId="EYHeading3">
    <w:name w:val="EY Heading 3"/>
    <w:basedOn w:val="EYNormal"/>
    <w:next w:val="EYBodytextwithparaspace"/>
    <w:qFormat/>
    <w:rsid w:val="009E00ED"/>
    <w:pPr>
      <w:keepNext/>
      <w:numPr>
        <w:ilvl w:val="2"/>
        <w:numId w:val="34"/>
      </w:numPr>
      <w:tabs>
        <w:tab w:val="clear" w:pos="0"/>
      </w:tabs>
      <w:spacing w:before="120" w:after="120"/>
      <w:outlineLvl w:val="2"/>
    </w:pPr>
    <w:rPr>
      <w:b/>
      <w:sz w:val="26"/>
    </w:rPr>
  </w:style>
  <w:style w:type="paragraph" w:customStyle="1" w:styleId="EYHeading4">
    <w:name w:val="EY Heading 4"/>
    <w:basedOn w:val="EYNormal"/>
    <w:next w:val="EYBodytextwithparaspace"/>
    <w:qFormat/>
    <w:rsid w:val="009E00ED"/>
    <w:pPr>
      <w:keepNext/>
      <w:numPr>
        <w:ilvl w:val="3"/>
        <w:numId w:val="34"/>
      </w:numPr>
      <w:tabs>
        <w:tab w:val="clear" w:pos="0"/>
      </w:tabs>
      <w:spacing w:after="120"/>
      <w:outlineLvl w:val="3"/>
    </w:pPr>
    <w:rPr>
      <w:b/>
      <w:sz w:val="22"/>
    </w:rPr>
  </w:style>
  <w:style w:type="paragraph" w:customStyle="1" w:styleId="EYIndent1">
    <w:name w:val="EY Indent 1"/>
    <w:basedOn w:val="EYNormal"/>
    <w:qFormat/>
    <w:rsid w:val="00391F4B"/>
    <w:pPr>
      <w:autoSpaceDE/>
      <w:autoSpaceDN/>
      <w:adjustRightInd/>
      <w:spacing w:after="240"/>
      <w:ind w:left="425"/>
    </w:pPr>
    <w:rPr>
      <w:kern w:val="12"/>
      <w:sz w:val="22"/>
      <w:lang w:eastAsia="en-AU"/>
    </w:rPr>
  </w:style>
  <w:style w:type="paragraph" w:customStyle="1" w:styleId="EYIndent2">
    <w:name w:val="EY Indent 2"/>
    <w:basedOn w:val="EYIndent1"/>
    <w:qFormat/>
    <w:rsid w:val="003D557E"/>
    <w:pPr>
      <w:ind w:left="851"/>
    </w:pPr>
  </w:style>
  <w:style w:type="paragraph" w:customStyle="1" w:styleId="EYIndent3">
    <w:name w:val="EY Indent 3"/>
    <w:basedOn w:val="EYIndent1"/>
    <w:qFormat/>
    <w:rsid w:val="003D557E"/>
    <w:pPr>
      <w:ind w:left="1276"/>
    </w:pPr>
  </w:style>
  <w:style w:type="paragraph" w:customStyle="1" w:styleId="EYSubheading">
    <w:name w:val="EY Subheading"/>
    <w:basedOn w:val="EYNormal"/>
    <w:next w:val="EYBodytextwithparaspace"/>
    <w:qFormat/>
    <w:rsid w:val="00391F4B"/>
    <w:pPr>
      <w:keepNext/>
      <w:autoSpaceDE/>
      <w:autoSpaceDN/>
      <w:adjustRightInd/>
      <w:spacing w:after="120"/>
    </w:pPr>
    <w:rPr>
      <w:b/>
      <w:kern w:val="12"/>
      <w:sz w:val="24"/>
      <w:lang w:eastAsia="en-AU"/>
    </w:rPr>
  </w:style>
  <w:style w:type="paragraph" w:customStyle="1" w:styleId="EYSource">
    <w:name w:val="EY Source"/>
    <w:basedOn w:val="EYNormal"/>
    <w:next w:val="EYBodytextwithparaspace"/>
    <w:qFormat/>
    <w:rsid w:val="00CC31AE"/>
    <w:pPr>
      <w:autoSpaceDE/>
      <w:autoSpaceDN/>
      <w:adjustRightInd/>
      <w:spacing w:before="60" w:after="60"/>
    </w:pPr>
    <w:rPr>
      <w:i/>
      <w:sz w:val="16"/>
    </w:rPr>
  </w:style>
  <w:style w:type="paragraph" w:customStyle="1" w:styleId="EYTableNormal">
    <w:name w:val="EY Table Normal"/>
    <w:basedOn w:val="EYNormal"/>
    <w:rsid w:val="00525CA5"/>
    <w:pPr>
      <w:autoSpaceDE/>
      <w:autoSpaceDN/>
      <w:adjustRightInd/>
    </w:pPr>
    <w:rPr>
      <w:sz w:val="16"/>
    </w:rPr>
  </w:style>
  <w:style w:type="paragraph" w:customStyle="1" w:styleId="EYTableText">
    <w:name w:val="EY Table Text"/>
    <w:basedOn w:val="EYTableNormal"/>
    <w:qFormat/>
    <w:rsid w:val="00525CA5"/>
    <w:pPr>
      <w:spacing w:before="20" w:after="20"/>
    </w:pPr>
  </w:style>
  <w:style w:type="paragraph" w:customStyle="1" w:styleId="EYTablebullet1">
    <w:name w:val="EY Table bullet 1"/>
    <w:basedOn w:val="EYTableNormal"/>
    <w:qFormat/>
    <w:rsid w:val="00B15D22"/>
    <w:pPr>
      <w:numPr>
        <w:numId w:val="29"/>
      </w:numPr>
      <w:spacing w:before="20" w:after="20"/>
    </w:pPr>
    <w:rPr>
      <w:lang w:eastAsia="en-AU"/>
    </w:rPr>
  </w:style>
  <w:style w:type="paragraph" w:customStyle="1" w:styleId="EYTablebullet2">
    <w:name w:val="EY Table bullet 2"/>
    <w:basedOn w:val="EYTableNormal"/>
    <w:qFormat/>
    <w:rsid w:val="00525CA5"/>
    <w:pPr>
      <w:numPr>
        <w:ilvl w:val="1"/>
        <w:numId w:val="29"/>
      </w:numPr>
      <w:spacing w:before="20" w:after="20"/>
      <w:ind w:left="568" w:hanging="284"/>
    </w:pPr>
  </w:style>
  <w:style w:type="paragraph" w:customStyle="1" w:styleId="EYTableHeading">
    <w:name w:val="EY Table Heading"/>
    <w:basedOn w:val="EYTableNormal"/>
    <w:qFormat/>
    <w:rsid w:val="00525CA5"/>
    <w:pPr>
      <w:spacing w:before="60" w:after="60"/>
    </w:pPr>
    <w:rPr>
      <w:b/>
      <w:color w:val="808080"/>
    </w:rPr>
  </w:style>
  <w:style w:type="paragraph" w:customStyle="1" w:styleId="EYTabletextbold">
    <w:name w:val="EY Table text bold"/>
    <w:basedOn w:val="EYTableNormal"/>
    <w:next w:val="EYTableText"/>
    <w:rsid w:val="00525CA5"/>
    <w:pPr>
      <w:spacing w:before="20" w:after="20"/>
    </w:pPr>
    <w:rPr>
      <w:b/>
    </w:rPr>
  </w:style>
  <w:style w:type="paragraph" w:styleId="Footer">
    <w:name w:val="footer"/>
    <w:aliases w:val="EY Footer"/>
    <w:basedOn w:val="Normal"/>
    <w:link w:val="FooterChar"/>
    <w:rsid w:val="00E462BE"/>
    <w:pPr>
      <w:widowControl w:val="0"/>
      <w:tabs>
        <w:tab w:val="center" w:pos="4320"/>
        <w:tab w:val="right" w:pos="8640"/>
      </w:tabs>
    </w:pPr>
    <w:rPr>
      <w:sz w:val="16"/>
    </w:rPr>
  </w:style>
  <w:style w:type="character" w:styleId="Hyperlink">
    <w:name w:val="Hyperlink"/>
    <w:basedOn w:val="DefaultParagraphFont"/>
    <w:uiPriority w:val="99"/>
    <w:rsid w:val="000C59A5"/>
    <w:rPr>
      <w:rFonts w:ascii="EYInterstate Light" w:hAnsi="EYInterstate Light"/>
      <w:color w:val="336699"/>
      <w:sz w:val="20"/>
      <w:u w:val="single"/>
    </w:rPr>
  </w:style>
  <w:style w:type="paragraph" w:styleId="TOC1">
    <w:name w:val="toc 1"/>
    <w:basedOn w:val="Normal"/>
    <w:next w:val="Normal"/>
    <w:uiPriority w:val="39"/>
    <w:rsid w:val="00391F4B"/>
    <w:pPr>
      <w:tabs>
        <w:tab w:val="left" w:pos="600"/>
        <w:tab w:val="right" w:leader="dot" w:pos="9000"/>
      </w:tabs>
      <w:autoSpaceDE/>
      <w:autoSpaceDN/>
      <w:adjustRightInd/>
      <w:snapToGrid w:val="0"/>
      <w:spacing w:before="120"/>
    </w:pPr>
    <w:rPr>
      <w:rFonts w:cs="Arial"/>
      <w:sz w:val="22"/>
      <w:szCs w:val="24"/>
      <w:lang w:eastAsia="en-GB"/>
    </w:rPr>
  </w:style>
  <w:style w:type="paragraph" w:styleId="TOC2">
    <w:name w:val="toc 2"/>
    <w:basedOn w:val="Normal"/>
    <w:next w:val="Normal"/>
    <w:uiPriority w:val="39"/>
    <w:rsid w:val="00391F4B"/>
    <w:pPr>
      <w:tabs>
        <w:tab w:val="left" w:pos="960"/>
        <w:tab w:val="right" w:leader="dot" w:pos="9000"/>
      </w:tabs>
      <w:autoSpaceDE/>
      <w:autoSpaceDN/>
      <w:adjustRightInd/>
      <w:snapToGrid w:val="0"/>
      <w:spacing w:before="60"/>
      <w:ind w:left="198"/>
    </w:pPr>
    <w:rPr>
      <w:rFonts w:cs="Arial"/>
      <w:sz w:val="22"/>
      <w:szCs w:val="24"/>
      <w:lang w:eastAsia="en-GB"/>
    </w:rPr>
  </w:style>
  <w:style w:type="paragraph" w:styleId="TOC3">
    <w:name w:val="toc 3"/>
    <w:basedOn w:val="Normal"/>
    <w:next w:val="Normal"/>
    <w:uiPriority w:val="39"/>
    <w:rsid w:val="008377B1"/>
    <w:pPr>
      <w:tabs>
        <w:tab w:val="left" w:pos="1200"/>
        <w:tab w:val="right" w:leader="dot" w:pos="9000"/>
      </w:tabs>
      <w:autoSpaceDE/>
      <w:autoSpaceDN/>
      <w:adjustRightInd/>
      <w:snapToGrid w:val="0"/>
      <w:spacing w:before="60"/>
      <w:ind w:left="403"/>
    </w:pPr>
    <w:rPr>
      <w:rFonts w:cs="Arial"/>
      <w:szCs w:val="24"/>
      <w:lang w:eastAsia="en-GB"/>
    </w:rPr>
  </w:style>
  <w:style w:type="paragraph" w:styleId="TOC4">
    <w:name w:val="toc 4"/>
    <w:basedOn w:val="Normal"/>
    <w:next w:val="Normal"/>
    <w:uiPriority w:val="39"/>
    <w:rsid w:val="008377B1"/>
    <w:pPr>
      <w:tabs>
        <w:tab w:val="left" w:pos="1680"/>
        <w:tab w:val="right" w:leader="dot" w:pos="9000"/>
      </w:tabs>
      <w:autoSpaceDE/>
      <w:autoSpaceDN/>
      <w:adjustRightInd/>
      <w:snapToGrid w:val="0"/>
      <w:spacing w:before="60"/>
      <w:ind w:left="601"/>
    </w:pPr>
    <w:rPr>
      <w:rFonts w:cs="Arial"/>
      <w:szCs w:val="24"/>
      <w:lang w:eastAsia="en-GB"/>
    </w:rPr>
  </w:style>
  <w:style w:type="paragraph" w:styleId="BalloonText">
    <w:name w:val="Balloon Text"/>
    <w:basedOn w:val="Normal"/>
    <w:semiHidden/>
    <w:rsid w:val="00664943"/>
    <w:rPr>
      <w:rFonts w:ascii="Tahoma" w:hAnsi="Tahoma" w:cs="Tahoma"/>
      <w:sz w:val="16"/>
      <w:szCs w:val="16"/>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EYNormal"/>
    <w:rsid w:val="00AE7DE0"/>
    <w:pPr>
      <w:autoSpaceDE/>
      <w:autoSpaceDN/>
      <w:adjustRightInd/>
      <w:spacing w:line="420" w:lineRule="atLeast"/>
    </w:pPr>
    <w:rPr>
      <w:rFonts w:ascii="EYInterstate Regular" w:hAnsi="EYInterstate Regular"/>
      <w:color w:val="333333"/>
      <w:sz w:val="24"/>
    </w:rPr>
  </w:style>
  <w:style w:type="paragraph" w:customStyle="1" w:styleId="EYCoverSubTitle">
    <w:name w:val="EY Cover SubTitle"/>
    <w:basedOn w:val="EYNormal"/>
    <w:rsid w:val="00AE7DE0"/>
    <w:pPr>
      <w:spacing w:line="420" w:lineRule="atLeast"/>
    </w:pPr>
    <w:rPr>
      <w:rFonts w:ascii="EYInterstate Regular" w:hAnsi="EYInterstate Regular"/>
      <w:color w:val="333333"/>
      <w:sz w:val="28"/>
    </w:rPr>
  </w:style>
  <w:style w:type="character" w:styleId="FootnoteReference">
    <w:name w:val="footnote reference"/>
    <w:aliases w:val="fr"/>
    <w:basedOn w:val="DefaultParagraphFont"/>
    <w:semiHidden/>
    <w:rsid w:val="00F40B78"/>
    <w:rPr>
      <w:rFonts w:ascii="EYInterstate Light" w:hAnsi="EYInterstate Light"/>
      <w:position w:val="0"/>
      <w:sz w:val="20"/>
      <w:szCs w:val="20"/>
      <w:vertAlign w:val="superscript"/>
    </w:rPr>
  </w:style>
  <w:style w:type="character" w:customStyle="1" w:styleId="FootnoteTextChar">
    <w:name w:val="Footnote Text Char"/>
    <w:aliases w:val="fn Char,FT Char,ft Char,SD Footnote Text Char,Footnote Text AG Char"/>
    <w:basedOn w:val="DefaultParagraphFont"/>
    <w:link w:val="FootnoteText"/>
    <w:semiHidden/>
    <w:rsid w:val="00D44EAB"/>
    <w:rPr>
      <w:rFonts w:ascii="EYInterstate Light" w:hAnsi="EYInterstate Light"/>
      <w:sz w:val="16"/>
    </w:rPr>
  </w:style>
  <w:style w:type="paragraph" w:styleId="FootnoteText">
    <w:name w:val="footnote text"/>
    <w:aliases w:val="fn,FT,ft,SD Footnote Text,Footnote Text AG"/>
    <w:basedOn w:val="Normal"/>
    <w:link w:val="FootnoteTextChar"/>
    <w:semiHidden/>
    <w:rsid w:val="00D44EAB"/>
    <w:pPr>
      <w:keepNext/>
      <w:keepLines/>
    </w:pPr>
    <w:rPr>
      <w:sz w:val="16"/>
    </w:rPr>
  </w:style>
  <w:style w:type="numbering" w:customStyle="1" w:styleId="StyleNumbered">
    <w:name w:val="Style Numbered"/>
    <w:basedOn w:val="NoList"/>
    <w:rsid w:val="00664943"/>
    <w:pPr>
      <w:numPr>
        <w:numId w:val="9"/>
      </w:numPr>
    </w:pPr>
  </w:style>
  <w:style w:type="paragraph" w:customStyle="1" w:styleId="EYTableHeadingWhite">
    <w:name w:val="EY Table Heading (White)"/>
    <w:basedOn w:val="EYTableNormal"/>
    <w:qFormat/>
    <w:rsid w:val="00525CA5"/>
    <w:pPr>
      <w:spacing w:before="60" w:after="60"/>
    </w:pPr>
    <w:rPr>
      <w:b/>
      <w:bCs/>
      <w:color w:val="FFFFFF"/>
    </w:rPr>
  </w:style>
  <w:style w:type="paragraph" w:customStyle="1" w:styleId="EYBulletnoparaspace">
    <w:name w:val="EY Bullet (no para space)"/>
    <w:basedOn w:val="EYNormal"/>
    <w:qFormat/>
    <w:rsid w:val="003D557E"/>
    <w:pPr>
      <w:numPr>
        <w:numId w:val="26"/>
      </w:numPr>
      <w:autoSpaceDE/>
      <w:autoSpaceDN/>
      <w:adjustRightInd/>
      <w:spacing w:after="240"/>
      <w:contextualSpacing/>
    </w:pPr>
  </w:style>
  <w:style w:type="paragraph" w:customStyle="1" w:styleId="EYBulletedText1">
    <w:name w:val="EY Bulleted Text 1"/>
    <w:basedOn w:val="EYNormal"/>
    <w:qFormat/>
    <w:rsid w:val="00391F4B"/>
    <w:pPr>
      <w:numPr>
        <w:numId w:val="27"/>
      </w:numPr>
      <w:autoSpaceDE/>
      <w:autoSpaceDN/>
      <w:adjustRightInd/>
      <w:spacing w:after="240"/>
    </w:pPr>
    <w:rPr>
      <w:sz w:val="22"/>
    </w:rPr>
  </w:style>
  <w:style w:type="paragraph" w:customStyle="1" w:styleId="EYBulletedText2">
    <w:name w:val="EY Bulleted Text 2"/>
    <w:basedOn w:val="EYNormal"/>
    <w:qFormat/>
    <w:rsid w:val="00391F4B"/>
    <w:pPr>
      <w:numPr>
        <w:ilvl w:val="1"/>
        <w:numId w:val="27"/>
      </w:numPr>
      <w:suppressAutoHyphens/>
      <w:autoSpaceDE/>
      <w:autoSpaceDN/>
      <w:adjustRightInd/>
      <w:spacing w:after="240"/>
    </w:pPr>
    <w:rPr>
      <w:kern w:val="12"/>
      <w:sz w:val="22"/>
    </w:rPr>
  </w:style>
  <w:style w:type="paragraph" w:customStyle="1" w:styleId="EY1Number">
    <w:name w:val="EY1 ( Number)"/>
    <w:basedOn w:val="EYNormal"/>
    <w:qFormat/>
    <w:rsid w:val="00391F4B"/>
    <w:pPr>
      <w:numPr>
        <w:numId w:val="38"/>
      </w:numPr>
      <w:autoSpaceDE/>
      <w:autoSpaceDN/>
      <w:adjustRightInd/>
      <w:spacing w:after="240"/>
    </w:pPr>
    <w:rPr>
      <w:kern w:val="12"/>
      <w:sz w:val="22"/>
      <w:lang w:eastAsia="en-AU"/>
    </w:rPr>
  </w:style>
  <w:style w:type="paragraph" w:customStyle="1" w:styleId="EY2Letter">
    <w:name w:val="EY2 ( Letter)"/>
    <w:basedOn w:val="EY1Number"/>
    <w:qFormat/>
    <w:rsid w:val="00D653E3"/>
    <w:pPr>
      <w:numPr>
        <w:ilvl w:val="1"/>
      </w:numPr>
    </w:pPr>
  </w:style>
  <w:style w:type="paragraph" w:customStyle="1" w:styleId="EY3Roman">
    <w:name w:val="EY3 (Roman)"/>
    <w:basedOn w:val="EY1Number"/>
    <w:qFormat/>
    <w:rsid w:val="00D653E3"/>
    <w:pPr>
      <w:numPr>
        <w:ilvl w:val="2"/>
      </w:numPr>
    </w:pPr>
  </w:style>
  <w:style w:type="numbering" w:customStyle="1" w:styleId="EYBulletList">
    <w:name w:val="EYBulletList"/>
    <w:uiPriority w:val="99"/>
    <w:rsid w:val="000C21F9"/>
    <w:pPr>
      <w:numPr>
        <w:numId w:val="25"/>
      </w:numPr>
    </w:pPr>
  </w:style>
  <w:style w:type="numbering" w:customStyle="1" w:styleId="EYPlainBulletList">
    <w:name w:val="EYPlainBulletList"/>
    <w:uiPriority w:val="99"/>
    <w:rsid w:val="003D557E"/>
    <w:pPr>
      <w:numPr>
        <w:numId w:val="26"/>
      </w:numPr>
    </w:pPr>
  </w:style>
  <w:style w:type="numbering" w:customStyle="1" w:styleId="EYAlphaNumList">
    <w:name w:val="EYAlphaNumList"/>
    <w:uiPriority w:val="99"/>
    <w:rsid w:val="00D653E3"/>
    <w:pPr>
      <w:numPr>
        <w:numId w:val="35"/>
      </w:numPr>
    </w:pPr>
  </w:style>
  <w:style w:type="paragraph" w:customStyle="1" w:styleId="Disclaimer">
    <w:name w:val="Disclaimer"/>
    <w:basedOn w:val="Footer"/>
    <w:qFormat/>
    <w:rsid w:val="00F54977"/>
    <w:pPr>
      <w:widowControl/>
      <w:autoSpaceDE/>
      <w:autoSpaceDN/>
      <w:adjustRightInd/>
      <w:spacing w:before="100" w:after="30" w:line="200" w:lineRule="exact"/>
    </w:pPr>
    <w:rPr>
      <w:rFonts w:ascii="Arial" w:eastAsiaTheme="minorEastAsia" w:hAnsi="Arial" w:cstheme="minorBidi"/>
      <w:color w:val="808080"/>
      <w:spacing w:val="-10"/>
      <w:szCs w:val="16"/>
      <w:lang w:val="en-US"/>
      <w14:textFill>
        <w14:solidFill>
          <w14:srgbClr w14:val="808080">
            <w14:lumMod w14:val="50000"/>
          </w14:srgbClr>
        </w14:solidFill>
      </w14:textFill>
    </w:rPr>
  </w:style>
  <w:style w:type="table" w:styleId="TableGrid">
    <w:name w:val="Table Grid"/>
    <w:basedOn w:val="TableNormal"/>
    <w:rsid w:val="00F5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977"/>
    <w:pPr>
      <w:ind w:left="720"/>
      <w:contextualSpacing/>
    </w:pPr>
  </w:style>
  <w:style w:type="character" w:customStyle="1" w:styleId="EYBodytextwithparaspaceChar">
    <w:name w:val="EY Body text (with para space) Char"/>
    <w:basedOn w:val="DefaultParagraphFont"/>
    <w:link w:val="EYBodytextwithparaspace"/>
    <w:rsid w:val="00391F4B"/>
    <w:rPr>
      <w:rFonts w:ascii="EYInterstate Light" w:hAnsi="EYInterstate Light"/>
      <w:sz w:val="22"/>
      <w:szCs w:val="24"/>
      <w:lang w:val="en-AU"/>
    </w:rPr>
  </w:style>
  <w:style w:type="character" w:styleId="CommentReference">
    <w:name w:val="annotation reference"/>
    <w:basedOn w:val="DefaultParagraphFont"/>
    <w:semiHidden/>
    <w:unhideWhenUsed/>
    <w:rsid w:val="00F77EE8"/>
    <w:rPr>
      <w:sz w:val="16"/>
      <w:szCs w:val="16"/>
    </w:rPr>
  </w:style>
  <w:style w:type="paragraph" w:styleId="CommentText">
    <w:name w:val="annotation text"/>
    <w:basedOn w:val="Normal"/>
    <w:link w:val="CommentTextChar"/>
    <w:semiHidden/>
    <w:unhideWhenUsed/>
    <w:rsid w:val="00F77EE8"/>
  </w:style>
  <w:style w:type="character" w:customStyle="1" w:styleId="CommentTextChar">
    <w:name w:val="Comment Text Char"/>
    <w:basedOn w:val="DefaultParagraphFont"/>
    <w:link w:val="CommentText"/>
    <w:semiHidden/>
    <w:rsid w:val="00F77EE8"/>
    <w:rPr>
      <w:rFonts w:ascii="EYInterstate Light" w:hAnsi="EYInterstate Light"/>
      <w:lang w:val="en-AU"/>
    </w:rPr>
  </w:style>
  <w:style w:type="paragraph" w:styleId="CommentSubject">
    <w:name w:val="annotation subject"/>
    <w:basedOn w:val="CommentText"/>
    <w:next w:val="CommentText"/>
    <w:link w:val="CommentSubjectChar"/>
    <w:semiHidden/>
    <w:unhideWhenUsed/>
    <w:rsid w:val="00F77EE8"/>
    <w:rPr>
      <w:b/>
      <w:bCs/>
    </w:rPr>
  </w:style>
  <w:style w:type="character" w:customStyle="1" w:styleId="CommentSubjectChar">
    <w:name w:val="Comment Subject Char"/>
    <w:basedOn w:val="CommentTextChar"/>
    <w:link w:val="CommentSubject"/>
    <w:semiHidden/>
    <w:rsid w:val="00F77EE8"/>
    <w:rPr>
      <w:rFonts w:ascii="EYInterstate Light" w:hAnsi="EYInterstate Light"/>
      <w:b/>
      <w:bCs/>
      <w:lang w:val="en-AU"/>
    </w:rPr>
  </w:style>
  <w:style w:type="numbering" w:customStyle="1" w:styleId="ParaNumberingArial">
    <w:name w:val="ParaNumbering Arial"/>
    <w:basedOn w:val="NoList"/>
    <w:rsid w:val="000510D0"/>
    <w:pPr>
      <w:numPr>
        <w:numId w:val="47"/>
      </w:numPr>
    </w:pPr>
  </w:style>
  <w:style w:type="paragraph" w:styleId="Revision">
    <w:name w:val="Revision"/>
    <w:hidden/>
    <w:uiPriority w:val="99"/>
    <w:semiHidden/>
    <w:rsid w:val="00D4484C"/>
    <w:rPr>
      <w:rFonts w:ascii="EYInterstate Light" w:hAnsi="EYInterstate Light"/>
      <w:lang w:val="en-AU"/>
    </w:rPr>
  </w:style>
  <w:style w:type="character" w:styleId="UnresolvedMention">
    <w:name w:val="Unresolved Mention"/>
    <w:basedOn w:val="DefaultParagraphFont"/>
    <w:uiPriority w:val="99"/>
    <w:semiHidden/>
    <w:unhideWhenUsed/>
    <w:rsid w:val="00EB62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22426">
      <w:bodyDiv w:val="1"/>
      <w:marLeft w:val="0"/>
      <w:marRight w:val="0"/>
      <w:marTop w:val="0"/>
      <w:marBottom w:val="0"/>
      <w:divBdr>
        <w:top w:val="none" w:sz="0" w:space="0" w:color="auto"/>
        <w:left w:val="none" w:sz="0" w:space="0" w:color="auto"/>
        <w:bottom w:val="none" w:sz="0" w:space="0" w:color="auto"/>
        <w:right w:val="none" w:sz="0" w:space="0" w:color="auto"/>
      </w:divBdr>
    </w:div>
    <w:div w:id="1242370143">
      <w:bodyDiv w:val="1"/>
      <w:marLeft w:val="0"/>
      <w:marRight w:val="0"/>
      <w:marTop w:val="0"/>
      <w:marBottom w:val="0"/>
      <w:divBdr>
        <w:top w:val="none" w:sz="0" w:space="0" w:color="auto"/>
        <w:left w:val="none" w:sz="0" w:space="0" w:color="auto"/>
        <w:bottom w:val="none" w:sz="0" w:space="0" w:color="auto"/>
        <w:right w:val="none" w:sz="0" w:space="0" w:color="auto"/>
      </w:divBdr>
    </w:div>
    <w:div w:id="1998727523">
      <w:bodyDiv w:val="1"/>
      <w:marLeft w:val="0"/>
      <w:marRight w:val="0"/>
      <w:marTop w:val="0"/>
      <w:marBottom w:val="0"/>
      <w:divBdr>
        <w:top w:val="none" w:sz="0" w:space="0" w:color="auto"/>
        <w:left w:val="none" w:sz="0" w:space="0" w:color="auto"/>
        <w:bottom w:val="none" w:sz="0" w:space="0" w:color="auto"/>
        <w:right w:val="none" w:sz="0" w:space="0" w:color="auto"/>
      </w:divBdr>
    </w:div>
    <w:div w:id="20680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s://engage.dss.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ngage.dss.gov.au/" TargetMode="External"/><Relationship Id="rId2" Type="http://schemas.openxmlformats.org/officeDocument/2006/relationships/numbering" Target="numbering.xml"/><Relationship Id="rId16" Type="http://schemas.openxmlformats.org/officeDocument/2006/relationships/hyperlink" Target="https://engage.dss.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60B3-D7DD-4DBE-A03A-1C722D3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2019-04-05T03:48:00Z</dcterms:created>
  <dcterms:modified xsi:type="dcterms:W3CDTF">2019-04-05T04:11:00Z</dcterms:modified>
</cp:coreProperties>
</file>