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1818" w14:textId="506B356D" w:rsidR="00C57001" w:rsidRPr="00FC143A" w:rsidRDefault="00B64092" w:rsidP="00F30908">
      <w:pPr>
        <w:pStyle w:val="Title"/>
        <w:ind w:left="-709"/>
        <w:rPr>
          <w:i/>
          <w:iCs/>
          <w:smallCaps/>
          <w:spacing w:val="0"/>
        </w:rPr>
      </w:pPr>
      <w:r>
        <w:rPr>
          <w:spacing w:val="0"/>
        </w:rPr>
        <w:t xml:space="preserve">Information </w:t>
      </w:r>
      <w:r w:rsidR="001F437B">
        <w:rPr>
          <w:spacing w:val="0"/>
        </w:rPr>
        <w:t xml:space="preserve">paper: </w:t>
      </w:r>
      <w:r w:rsidR="007F3A31">
        <w:rPr>
          <w:spacing w:val="0"/>
        </w:rPr>
        <w:t>E</w:t>
      </w:r>
      <w:r w:rsidR="00AB0461">
        <w:rPr>
          <w:spacing w:val="0"/>
        </w:rPr>
        <w:t>stablish</w:t>
      </w:r>
      <w:r w:rsidR="007F3A31">
        <w:rPr>
          <w:spacing w:val="0"/>
        </w:rPr>
        <w:t xml:space="preserve">ing </w:t>
      </w:r>
      <w:r w:rsidR="00AB0461">
        <w:rPr>
          <w:spacing w:val="0"/>
        </w:rPr>
        <w:t xml:space="preserve">the </w:t>
      </w:r>
      <w:r w:rsidR="008668D6">
        <w:rPr>
          <w:spacing w:val="0"/>
        </w:rPr>
        <w:t xml:space="preserve">National Centre for the Prevention of Child Sexual Abuse </w:t>
      </w:r>
    </w:p>
    <w:p w14:paraId="1E5076C5" w14:textId="77777777" w:rsidR="004871C2" w:rsidRDefault="004871C2" w:rsidP="00911516">
      <w:pPr>
        <w:sectPr w:rsidR="004871C2"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0FE91B05" w14:textId="77777777" w:rsidR="00487E19" w:rsidRDefault="00487E19">
      <w:pPr>
        <w:spacing w:before="0" w:after="200" w:line="276" w:lineRule="auto"/>
        <w:rPr>
          <w:rFonts w:ascii="Georgia" w:eastAsiaTheme="majorEastAsia" w:hAnsi="Georgia" w:cstheme="majorBidi"/>
          <w:bCs/>
          <w:color w:val="24596E"/>
          <w:sz w:val="32"/>
          <w:szCs w:val="28"/>
        </w:rPr>
      </w:pPr>
      <w:bookmarkStart w:id="0" w:name="_Toc395536189"/>
    </w:p>
    <w:sdt>
      <w:sdtPr>
        <w:rPr>
          <w:rFonts w:ascii="Arial" w:eastAsia="Times New Roman" w:hAnsi="Arial" w:cs="Times New Roman"/>
          <w:bCs w:val="0"/>
          <w:color w:val="auto"/>
          <w:sz w:val="24"/>
          <w:szCs w:val="24"/>
          <w:lang w:bidi="ar-SA"/>
        </w:rPr>
        <w:id w:val="1647471938"/>
        <w:docPartObj>
          <w:docPartGallery w:val="Table of Contents"/>
          <w:docPartUnique/>
        </w:docPartObj>
      </w:sdtPr>
      <w:sdtEndPr>
        <w:rPr>
          <w:b/>
          <w:noProof/>
        </w:rPr>
      </w:sdtEndPr>
      <w:sdtContent>
        <w:p w14:paraId="7CBE42D0" w14:textId="77777777" w:rsidR="006769AE" w:rsidRDefault="006769AE">
          <w:pPr>
            <w:pStyle w:val="TOCHeading"/>
            <w:rPr>
              <w:rFonts w:ascii="Arial" w:eastAsia="Times New Roman" w:hAnsi="Arial" w:cs="Times New Roman"/>
              <w:bCs w:val="0"/>
              <w:color w:val="auto"/>
              <w:sz w:val="24"/>
              <w:szCs w:val="24"/>
              <w:lang w:bidi="ar-SA"/>
            </w:rPr>
          </w:pPr>
        </w:p>
        <w:p w14:paraId="2A162804" w14:textId="77777777" w:rsidR="006769AE" w:rsidRDefault="006769AE">
          <w:pPr>
            <w:pStyle w:val="TOCHeading"/>
            <w:rPr>
              <w:rFonts w:ascii="Arial" w:eastAsia="Times New Roman" w:hAnsi="Arial" w:cs="Times New Roman"/>
              <w:bCs w:val="0"/>
              <w:color w:val="auto"/>
              <w:sz w:val="24"/>
              <w:szCs w:val="24"/>
              <w:lang w:bidi="ar-SA"/>
            </w:rPr>
          </w:pPr>
        </w:p>
        <w:p w14:paraId="2F09DE12" w14:textId="77777777" w:rsidR="006769AE" w:rsidRDefault="006769AE">
          <w:pPr>
            <w:pStyle w:val="TOCHeading"/>
            <w:rPr>
              <w:rFonts w:ascii="Arial" w:eastAsia="Times New Roman" w:hAnsi="Arial" w:cs="Times New Roman"/>
              <w:bCs w:val="0"/>
              <w:color w:val="auto"/>
              <w:sz w:val="24"/>
              <w:szCs w:val="24"/>
              <w:lang w:bidi="ar-SA"/>
            </w:rPr>
          </w:pPr>
        </w:p>
        <w:p w14:paraId="2899305B" w14:textId="77777777" w:rsidR="006769AE" w:rsidRDefault="006769AE">
          <w:pPr>
            <w:pStyle w:val="TOCHeading"/>
            <w:rPr>
              <w:rFonts w:ascii="Arial" w:eastAsia="Times New Roman" w:hAnsi="Arial" w:cs="Times New Roman"/>
              <w:bCs w:val="0"/>
              <w:color w:val="auto"/>
              <w:sz w:val="24"/>
              <w:szCs w:val="24"/>
              <w:lang w:bidi="ar-SA"/>
            </w:rPr>
          </w:pPr>
        </w:p>
        <w:p w14:paraId="17E0E868" w14:textId="77777777" w:rsidR="00FF606E" w:rsidRDefault="00FF606E">
          <w:pPr>
            <w:pStyle w:val="TOCHeading"/>
          </w:pPr>
          <w:r>
            <w:t>Table of Contents</w:t>
          </w:r>
        </w:p>
        <w:p w14:paraId="5B21683A" w14:textId="0C6849B5" w:rsidR="00C50321" w:rsidRDefault="00FF606E">
          <w:pPr>
            <w:pStyle w:val="TOC1"/>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30775973" w:history="1">
            <w:r w:rsidR="00C50321" w:rsidRPr="00324792">
              <w:rPr>
                <w:rStyle w:val="Hyperlink"/>
                <w:rFonts w:eastAsiaTheme="majorEastAsia"/>
                <w:noProof/>
              </w:rPr>
              <w:t>Part One: Introduction</w:t>
            </w:r>
            <w:r w:rsidR="00C50321">
              <w:rPr>
                <w:noProof/>
                <w:webHidden/>
              </w:rPr>
              <w:tab/>
            </w:r>
            <w:r w:rsidR="00C50321">
              <w:rPr>
                <w:noProof/>
                <w:webHidden/>
              </w:rPr>
              <w:fldChar w:fldCharType="begin"/>
            </w:r>
            <w:r w:rsidR="00C50321">
              <w:rPr>
                <w:noProof/>
                <w:webHidden/>
              </w:rPr>
              <w:instrText xml:space="preserve"> PAGEREF _Toc30775973 \h </w:instrText>
            </w:r>
            <w:r w:rsidR="00C50321">
              <w:rPr>
                <w:noProof/>
                <w:webHidden/>
              </w:rPr>
            </w:r>
            <w:r w:rsidR="00C50321">
              <w:rPr>
                <w:noProof/>
                <w:webHidden/>
              </w:rPr>
              <w:fldChar w:fldCharType="separate"/>
            </w:r>
            <w:r w:rsidR="00AE5536">
              <w:rPr>
                <w:noProof/>
                <w:webHidden/>
              </w:rPr>
              <w:t>1</w:t>
            </w:r>
            <w:r w:rsidR="00C50321">
              <w:rPr>
                <w:noProof/>
                <w:webHidden/>
              </w:rPr>
              <w:fldChar w:fldCharType="end"/>
            </w:r>
          </w:hyperlink>
        </w:p>
        <w:p w14:paraId="2BA850F6" w14:textId="489F99EB"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74" w:history="1">
            <w:r w:rsidR="00C50321" w:rsidRPr="00324792">
              <w:rPr>
                <w:rStyle w:val="Hyperlink"/>
                <w:rFonts w:eastAsiaTheme="majorEastAsia"/>
                <w:noProof/>
              </w:rPr>
              <w:t>Opening statement</w:t>
            </w:r>
            <w:r w:rsidR="00C50321">
              <w:rPr>
                <w:noProof/>
                <w:webHidden/>
              </w:rPr>
              <w:tab/>
            </w:r>
            <w:r w:rsidR="00C50321">
              <w:rPr>
                <w:noProof/>
                <w:webHidden/>
              </w:rPr>
              <w:fldChar w:fldCharType="begin"/>
            </w:r>
            <w:r w:rsidR="00C50321">
              <w:rPr>
                <w:noProof/>
                <w:webHidden/>
              </w:rPr>
              <w:instrText xml:space="preserve"> PAGEREF _Toc30775974 \h </w:instrText>
            </w:r>
            <w:r w:rsidR="00C50321">
              <w:rPr>
                <w:noProof/>
                <w:webHidden/>
              </w:rPr>
            </w:r>
            <w:r w:rsidR="00C50321">
              <w:rPr>
                <w:noProof/>
                <w:webHidden/>
              </w:rPr>
              <w:fldChar w:fldCharType="separate"/>
            </w:r>
            <w:r w:rsidR="00AE5536">
              <w:rPr>
                <w:noProof/>
                <w:webHidden/>
              </w:rPr>
              <w:t>1</w:t>
            </w:r>
            <w:r w:rsidR="00C50321">
              <w:rPr>
                <w:noProof/>
                <w:webHidden/>
              </w:rPr>
              <w:fldChar w:fldCharType="end"/>
            </w:r>
          </w:hyperlink>
        </w:p>
        <w:p w14:paraId="7336C9AD" w14:textId="21465568"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75" w:history="1">
            <w:r w:rsidR="00C50321" w:rsidRPr="00324792">
              <w:rPr>
                <w:rStyle w:val="Hyperlink"/>
                <w:rFonts w:eastAsiaTheme="majorEastAsia"/>
                <w:noProof/>
              </w:rPr>
              <w:t>History of the National Centre</w:t>
            </w:r>
            <w:r w:rsidR="00C50321">
              <w:rPr>
                <w:noProof/>
                <w:webHidden/>
              </w:rPr>
              <w:tab/>
            </w:r>
            <w:r w:rsidR="00C50321">
              <w:rPr>
                <w:noProof/>
                <w:webHidden/>
              </w:rPr>
              <w:fldChar w:fldCharType="begin"/>
            </w:r>
            <w:r w:rsidR="00C50321">
              <w:rPr>
                <w:noProof/>
                <w:webHidden/>
              </w:rPr>
              <w:instrText xml:space="preserve"> PAGEREF _Toc30775975 \h </w:instrText>
            </w:r>
            <w:r w:rsidR="00C50321">
              <w:rPr>
                <w:noProof/>
                <w:webHidden/>
              </w:rPr>
            </w:r>
            <w:r w:rsidR="00C50321">
              <w:rPr>
                <w:noProof/>
                <w:webHidden/>
              </w:rPr>
              <w:fldChar w:fldCharType="separate"/>
            </w:r>
            <w:r w:rsidR="00AE5536">
              <w:rPr>
                <w:noProof/>
                <w:webHidden/>
              </w:rPr>
              <w:t>1</w:t>
            </w:r>
            <w:r w:rsidR="00C50321">
              <w:rPr>
                <w:noProof/>
                <w:webHidden/>
              </w:rPr>
              <w:fldChar w:fldCharType="end"/>
            </w:r>
          </w:hyperlink>
        </w:p>
        <w:p w14:paraId="17E3E9A9" w14:textId="2406BFC8" w:rsidR="00C50321" w:rsidRDefault="00CE779F">
          <w:pPr>
            <w:pStyle w:val="TOC3"/>
            <w:tabs>
              <w:tab w:val="right" w:leader="dot" w:pos="9628"/>
            </w:tabs>
            <w:rPr>
              <w:rFonts w:asciiTheme="minorHAnsi" w:eastAsiaTheme="minorEastAsia" w:hAnsiTheme="minorHAnsi" w:cstheme="minorBidi"/>
              <w:noProof/>
              <w:spacing w:val="0"/>
              <w:sz w:val="22"/>
              <w:szCs w:val="22"/>
            </w:rPr>
          </w:pPr>
          <w:hyperlink w:anchor="_Toc30775976" w:history="1">
            <w:r w:rsidR="00C50321" w:rsidRPr="00324792">
              <w:rPr>
                <w:rStyle w:val="Hyperlink"/>
                <w:rFonts w:eastAsiaTheme="majorEastAsia"/>
                <w:noProof/>
              </w:rPr>
              <w:t>The Royal Commission into Institutional Responses to Child Sexual Abuse</w:t>
            </w:r>
            <w:r w:rsidR="00C50321">
              <w:rPr>
                <w:noProof/>
                <w:webHidden/>
              </w:rPr>
              <w:tab/>
            </w:r>
            <w:r w:rsidR="00C50321">
              <w:rPr>
                <w:noProof/>
                <w:webHidden/>
              </w:rPr>
              <w:fldChar w:fldCharType="begin"/>
            </w:r>
            <w:r w:rsidR="00C50321">
              <w:rPr>
                <w:noProof/>
                <w:webHidden/>
              </w:rPr>
              <w:instrText xml:space="preserve"> PAGEREF _Toc30775976 \h </w:instrText>
            </w:r>
            <w:r w:rsidR="00C50321">
              <w:rPr>
                <w:noProof/>
                <w:webHidden/>
              </w:rPr>
            </w:r>
            <w:r w:rsidR="00C50321">
              <w:rPr>
                <w:noProof/>
                <w:webHidden/>
              </w:rPr>
              <w:fldChar w:fldCharType="separate"/>
            </w:r>
            <w:r w:rsidR="00AE5536">
              <w:rPr>
                <w:noProof/>
                <w:webHidden/>
              </w:rPr>
              <w:t>1</w:t>
            </w:r>
            <w:r w:rsidR="00C50321">
              <w:rPr>
                <w:noProof/>
                <w:webHidden/>
              </w:rPr>
              <w:fldChar w:fldCharType="end"/>
            </w:r>
          </w:hyperlink>
        </w:p>
        <w:p w14:paraId="1D87BCF5" w14:textId="17C1F67D"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77" w:history="1">
            <w:r w:rsidR="00C50321" w:rsidRPr="00324792">
              <w:rPr>
                <w:rStyle w:val="Hyperlink"/>
                <w:rFonts w:eastAsiaTheme="majorEastAsia"/>
                <w:noProof/>
              </w:rPr>
              <w:t>The Australian Government’s Commitment to Establish the National Centre for the Prevention of Child Sexual Abuse</w:t>
            </w:r>
            <w:r w:rsidR="00C50321">
              <w:rPr>
                <w:noProof/>
                <w:webHidden/>
              </w:rPr>
              <w:tab/>
            </w:r>
            <w:r w:rsidR="00C50321">
              <w:rPr>
                <w:noProof/>
                <w:webHidden/>
              </w:rPr>
              <w:fldChar w:fldCharType="begin"/>
            </w:r>
            <w:r w:rsidR="00C50321">
              <w:rPr>
                <w:noProof/>
                <w:webHidden/>
              </w:rPr>
              <w:instrText xml:space="preserve"> PAGEREF _Toc30775977 \h </w:instrText>
            </w:r>
            <w:r w:rsidR="00C50321">
              <w:rPr>
                <w:noProof/>
                <w:webHidden/>
              </w:rPr>
            </w:r>
            <w:r w:rsidR="00C50321">
              <w:rPr>
                <w:noProof/>
                <w:webHidden/>
              </w:rPr>
              <w:fldChar w:fldCharType="separate"/>
            </w:r>
            <w:r w:rsidR="00AE5536">
              <w:rPr>
                <w:noProof/>
                <w:webHidden/>
              </w:rPr>
              <w:t>1</w:t>
            </w:r>
            <w:r w:rsidR="00C50321">
              <w:rPr>
                <w:noProof/>
                <w:webHidden/>
              </w:rPr>
              <w:fldChar w:fldCharType="end"/>
            </w:r>
          </w:hyperlink>
        </w:p>
        <w:p w14:paraId="7B68BE32" w14:textId="03B373B1"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78" w:history="1">
            <w:r w:rsidR="00C50321" w:rsidRPr="00324792">
              <w:rPr>
                <w:rStyle w:val="Hyperlink"/>
                <w:rFonts w:eastAsiaTheme="majorEastAsia"/>
                <w:noProof/>
              </w:rPr>
              <w:t>Why is a National Centre for the Prevention of Child Sexual Abuse important?</w:t>
            </w:r>
            <w:r w:rsidR="00C50321">
              <w:rPr>
                <w:noProof/>
                <w:webHidden/>
              </w:rPr>
              <w:tab/>
            </w:r>
            <w:r w:rsidR="00C50321">
              <w:rPr>
                <w:noProof/>
                <w:webHidden/>
              </w:rPr>
              <w:fldChar w:fldCharType="begin"/>
            </w:r>
            <w:r w:rsidR="00C50321">
              <w:rPr>
                <w:noProof/>
                <w:webHidden/>
              </w:rPr>
              <w:instrText xml:space="preserve"> PAGEREF _Toc30775978 \h </w:instrText>
            </w:r>
            <w:r w:rsidR="00C50321">
              <w:rPr>
                <w:noProof/>
                <w:webHidden/>
              </w:rPr>
            </w:r>
            <w:r w:rsidR="00C50321">
              <w:rPr>
                <w:noProof/>
                <w:webHidden/>
              </w:rPr>
              <w:fldChar w:fldCharType="separate"/>
            </w:r>
            <w:r w:rsidR="00AE5536">
              <w:rPr>
                <w:noProof/>
                <w:webHidden/>
              </w:rPr>
              <w:t>2</w:t>
            </w:r>
            <w:r w:rsidR="00C50321">
              <w:rPr>
                <w:noProof/>
                <w:webHidden/>
              </w:rPr>
              <w:fldChar w:fldCharType="end"/>
            </w:r>
          </w:hyperlink>
        </w:p>
        <w:p w14:paraId="7C557108" w14:textId="7D44D199"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79" w:history="1">
            <w:r w:rsidR="00C50321" w:rsidRPr="00324792">
              <w:rPr>
                <w:rStyle w:val="Hyperlink"/>
                <w:rFonts w:eastAsiaTheme="majorEastAsia"/>
                <w:noProof/>
              </w:rPr>
              <w:t>Why prevention of child sexual abuse?</w:t>
            </w:r>
            <w:r w:rsidR="00C50321">
              <w:rPr>
                <w:noProof/>
                <w:webHidden/>
              </w:rPr>
              <w:tab/>
            </w:r>
            <w:r w:rsidR="00C50321">
              <w:rPr>
                <w:noProof/>
                <w:webHidden/>
              </w:rPr>
              <w:fldChar w:fldCharType="begin"/>
            </w:r>
            <w:r w:rsidR="00C50321">
              <w:rPr>
                <w:noProof/>
                <w:webHidden/>
              </w:rPr>
              <w:instrText xml:space="preserve"> PAGEREF _Toc30775979 \h </w:instrText>
            </w:r>
            <w:r w:rsidR="00C50321">
              <w:rPr>
                <w:noProof/>
                <w:webHidden/>
              </w:rPr>
            </w:r>
            <w:r w:rsidR="00C50321">
              <w:rPr>
                <w:noProof/>
                <w:webHidden/>
              </w:rPr>
              <w:fldChar w:fldCharType="separate"/>
            </w:r>
            <w:r w:rsidR="00AE5536">
              <w:rPr>
                <w:noProof/>
                <w:webHidden/>
              </w:rPr>
              <w:t>3</w:t>
            </w:r>
            <w:r w:rsidR="00C50321">
              <w:rPr>
                <w:noProof/>
                <w:webHidden/>
              </w:rPr>
              <w:fldChar w:fldCharType="end"/>
            </w:r>
          </w:hyperlink>
        </w:p>
        <w:p w14:paraId="74DE3D42" w14:textId="6334345A"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80" w:history="1">
            <w:r w:rsidR="00C50321" w:rsidRPr="00324792">
              <w:rPr>
                <w:rStyle w:val="Hyperlink"/>
                <w:rFonts w:eastAsiaTheme="majorEastAsia"/>
                <w:noProof/>
              </w:rPr>
              <w:t>Principles underpinning the development and activities of the National Centre</w:t>
            </w:r>
            <w:r w:rsidR="00C50321">
              <w:rPr>
                <w:noProof/>
                <w:webHidden/>
              </w:rPr>
              <w:tab/>
            </w:r>
            <w:r w:rsidR="00C50321">
              <w:rPr>
                <w:noProof/>
                <w:webHidden/>
              </w:rPr>
              <w:fldChar w:fldCharType="begin"/>
            </w:r>
            <w:r w:rsidR="00C50321">
              <w:rPr>
                <w:noProof/>
                <w:webHidden/>
              </w:rPr>
              <w:instrText xml:space="preserve"> PAGEREF _Toc30775980 \h </w:instrText>
            </w:r>
            <w:r w:rsidR="00C50321">
              <w:rPr>
                <w:noProof/>
                <w:webHidden/>
              </w:rPr>
            </w:r>
            <w:r w:rsidR="00C50321">
              <w:rPr>
                <w:noProof/>
                <w:webHidden/>
              </w:rPr>
              <w:fldChar w:fldCharType="separate"/>
            </w:r>
            <w:r w:rsidR="00AE5536">
              <w:rPr>
                <w:noProof/>
                <w:webHidden/>
              </w:rPr>
              <w:t>3</w:t>
            </w:r>
            <w:r w:rsidR="00C50321">
              <w:rPr>
                <w:noProof/>
                <w:webHidden/>
              </w:rPr>
              <w:fldChar w:fldCharType="end"/>
            </w:r>
          </w:hyperlink>
        </w:p>
        <w:p w14:paraId="0CE108D6" w14:textId="1B5257D8"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81" w:history="1">
            <w:r w:rsidR="00C50321" w:rsidRPr="00324792">
              <w:rPr>
                <w:rStyle w:val="Hyperlink"/>
                <w:rFonts w:eastAsiaTheme="majorEastAsia"/>
                <w:noProof/>
              </w:rPr>
              <w:t>Your opportunity to contribute to the design of the National Centre</w:t>
            </w:r>
            <w:r w:rsidR="00C50321">
              <w:rPr>
                <w:noProof/>
                <w:webHidden/>
              </w:rPr>
              <w:tab/>
            </w:r>
            <w:r w:rsidR="00C50321">
              <w:rPr>
                <w:noProof/>
                <w:webHidden/>
              </w:rPr>
              <w:fldChar w:fldCharType="begin"/>
            </w:r>
            <w:r w:rsidR="00C50321">
              <w:rPr>
                <w:noProof/>
                <w:webHidden/>
              </w:rPr>
              <w:instrText xml:space="preserve"> PAGEREF _Toc30775981 \h </w:instrText>
            </w:r>
            <w:r w:rsidR="00C50321">
              <w:rPr>
                <w:noProof/>
                <w:webHidden/>
              </w:rPr>
            </w:r>
            <w:r w:rsidR="00C50321">
              <w:rPr>
                <w:noProof/>
                <w:webHidden/>
              </w:rPr>
              <w:fldChar w:fldCharType="separate"/>
            </w:r>
            <w:r w:rsidR="00AE5536">
              <w:rPr>
                <w:noProof/>
                <w:webHidden/>
              </w:rPr>
              <w:t>4</w:t>
            </w:r>
            <w:r w:rsidR="00C50321">
              <w:rPr>
                <w:noProof/>
                <w:webHidden/>
              </w:rPr>
              <w:fldChar w:fldCharType="end"/>
            </w:r>
          </w:hyperlink>
        </w:p>
        <w:p w14:paraId="301CB6F6" w14:textId="52B2692E" w:rsidR="00C50321" w:rsidRDefault="00CE779F">
          <w:pPr>
            <w:pStyle w:val="TOC1"/>
            <w:rPr>
              <w:rFonts w:asciiTheme="minorHAnsi" w:eastAsiaTheme="minorEastAsia" w:hAnsiTheme="minorHAnsi" w:cstheme="minorBidi"/>
              <w:noProof/>
              <w:spacing w:val="0"/>
              <w:sz w:val="22"/>
              <w:szCs w:val="22"/>
            </w:rPr>
          </w:pPr>
          <w:hyperlink w:anchor="_Toc30775982" w:history="1">
            <w:r w:rsidR="00C50321" w:rsidRPr="00324792">
              <w:rPr>
                <w:rStyle w:val="Hyperlink"/>
                <w:rFonts w:eastAsiaTheme="majorEastAsia"/>
                <w:noProof/>
              </w:rPr>
              <w:t>Part Two:  Breaking down Recommendation 9.9</w:t>
            </w:r>
            <w:r w:rsidR="00C50321">
              <w:rPr>
                <w:noProof/>
                <w:webHidden/>
              </w:rPr>
              <w:tab/>
            </w:r>
            <w:r w:rsidR="00C50321">
              <w:rPr>
                <w:noProof/>
                <w:webHidden/>
              </w:rPr>
              <w:fldChar w:fldCharType="begin"/>
            </w:r>
            <w:r w:rsidR="00C50321">
              <w:rPr>
                <w:noProof/>
                <w:webHidden/>
              </w:rPr>
              <w:instrText xml:space="preserve"> PAGEREF _Toc30775982 \h </w:instrText>
            </w:r>
            <w:r w:rsidR="00C50321">
              <w:rPr>
                <w:noProof/>
                <w:webHidden/>
              </w:rPr>
            </w:r>
            <w:r w:rsidR="00C50321">
              <w:rPr>
                <w:noProof/>
                <w:webHidden/>
              </w:rPr>
              <w:fldChar w:fldCharType="separate"/>
            </w:r>
            <w:r w:rsidR="00AE5536">
              <w:rPr>
                <w:noProof/>
                <w:webHidden/>
              </w:rPr>
              <w:t>5</w:t>
            </w:r>
            <w:r w:rsidR="00C50321">
              <w:rPr>
                <w:noProof/>
                <w:webHidden/>
              </w:rPr>
              <w:fldChar w:fldCharType="end"/>
            </w:r>
          </w:hyperlink>
        </w:p>
        <w:p w14:paraId="58A3BE34" w14:textId="5C240981"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83" w:history="1">
            <w:r w:rsidR="00C50321" w:rsidRPr="00324792">
              <w:rPr>
                <w:rStyle w:val="Hyperlink"/>
                <w:rFonts w:eastAsiaTheme="majorEastAsia"/>
                <w:noProof/>
              </w:rPr>
              <w:t>9.9a Raising community awareness and reducing stigma</w:t>
            </w:r>
            <w:r w:rsidR="00C50321">
              <w:rPr>
                <w:noProof/>
                <w:webHidden/>
              </w:rPr>
              <w:tab/>
            </w:r>
            <w:r w:rsidR="00C50321">
              <w:rPr>
                <w:noProof/>
                <w:webHidden/>
              </w:rPr>
              <w:fldChar w:fldCharType="begin"/>
            </w:r>
            <w:r w:rsidR="00C50321">
              <w:rPr>
                <w:noProof/>
                <w:webHidden/>
              </w:rPr>
              <w:instrText xml:space="preserve"> PAGEREF _Toc30775983 \h </w:instrText>
            </w:r>
            <w:r w:rsidR="00C50321">
              <w:rPr>
                <w:noProof/>
                <w:webHidden/>
              </w:rPr>
            </w:r>
            <w:r w:rsidR="00C50321">
              <w:rPr>
                <w:noProof/>
                <w:webHidden/>
              </w:rPr>
              <w:fldChar w:fldCharType="separate"/>
            </w:r>
            <w:r w:rsidR="00AE5536">
              <w:rPr>
                <w:noProof/>
                <w:webHidden/>
              </w:rPr>
              <w:t>5</w:t>
            </w:r>
            <w:r w:rsidR="00C50321">
              <w:rPr>
                <w:noProof/>
                <w:webHidden/>
              </w:rPr>
              <w:fldChar w:fldCharType="end"/>
            </w:r>
          </w:hyperlink>
        </w:p>
        <w:p w14:paraId="1CC4ABA2" w14:textId="6A70C5F6" w:rsidR="00C50321" w:rsidRDefault="00CE779F">
          <w:pPr>
            <w:pStyle w:val="TOC3"/>
            <w:tabs>
              <w:tab w:val="right" w:leader="dot" w:pos="9628"/>
            </w:tabs>
            <w:rPr>
              <w:rFonts w:asciiTheme="minorHAnsi" w:eastAsiaTheme="minorEastAsia" w:hAnsiTheme="minorHAnsi" w:cstheme="minorBidi"/>
              <w:noProof/>
              <w:spacing w:val="0"/>
              <w:sz w:val="22"/>
              <w:szCs w:val="22"/>
            </w:rPr>
          </w:pPr>
          <w:hyperlink w:anchor="_Toc30775984" w:history="1">
            <w:r w:rsidR="00C50321" w:rsidRPr="00324792">
              <w:rPr>
                <w:rStyle w:val="Hyperlink"/>
                <w:rFonts w:eastAsiaTheme="majorEastAsia"/>
                <w:noProof/>
              </w:rPr>
              <w:t>Reducing stigma</w:t>
            </w:r>
            <w:r w:rsidR="00C50321">
              <w:rPr>
                <w:noProof/>
                <w:webHidden/>
              </w:rPr>
              <w:tab/>
            </w:r>
            <w:r w:rsidR="00C50321">
              <w:rPr>
                <w:noProof/>
                <w:webHidden/>
              </w:rPr>
              <w:fldChar w:fldCharType="begin"/>
            </w:r>
            <w:r w:rsidR="00C50321">
              <w:rPr>
                <w:noProof/>
                <w:webHidden/>
              </w:rPr>
              <w:instrText xml:space="preserve"> PAGEREF _Toc30775984 \h </w:instrText>
            </w:r>
            <w:r w:rsidR="00C50321">
              <w:rPr>
                <w:noProof/>
                <w:webHidden/>
              </w:rPr>
            </w:r>
            <w:r w:rsidR="00C50321">
              <w:rPr>
                <w:noProof/>
                <w:webHidden/>
              </w:rPr>
              <w:fldChar w:fldCharType="separate"/>
            </w:r>
            <w:r w:rsidR="00AE5536">
              <w:rPr>
                <w:noProof/>
                <w:webHidden/>
              </w:rPr>
              <w:t>5</w:t>
            </w:r>
            <w:r w:rsidR="00C50321">
              <w:rPr>
                <w:noProof/>
                <w:webHidden/>
              </w:rPr>
              <w:fldChar w:fldCharType="end"/>
            </w:r>
          </w:hyperlink>
        </w:p>
        <w:p w14:paraId="3FF9180E" w14:textId="2E5AD322"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85" w:history="1">
            <w:r w:rsidR="00C50321" w:rsidRPr="00324792">
              <w:rPr>
                <w:rStyle w:val="Hyperlink"/>
                <w:rFonts w:eastAsiaTheme="majorEastAsia"/>
                <w:noProof/>
              </w:rPr>
              <w:t>9.9b Improved sector knowledge and capability</w:t>
            </w:r>
            <w:r w:rsidR="00C50321">
              <w:rPr>
                <w:noProof/>
                <w:webHidden/>
              </w:rPr>
              <w:tab/>
            </w:r>
            <w:r w:rsidR="00C50321">
              <w:rPr>
                <w:noProof/>
                <w:webHidden/>
              </w:rPr>
              <w:fldChar w:fldCharType="begin"/>
            </w:r>
            <w:r w:rsidR="00C50321">
              <w:rPr>
                <w:noProof/>
                <w:webHidden/>
              </w:rPr>
              <w:instrText xml:space="preserve"> PAGEREF _Toc30775985 \h </w:instrText>
            </w:r>
            <w:r w:rsidR="00C50321">
              <w:rPr>
                <w:noProof/>
                <w:webHidden/>
              </w:rPr>
            </w:r>
            <w:r w:rsidR="00C50321">
              <w:rPr>
                <w:noProof/>
                <w:webHidden/>
              </w:rPr>
              <w:fldChar w:fldCharType="separate"/>
            </w:r>
            <w:r w:rsidR="00AE5536">
              <w:rPr>
                <w:noProof/>
                <w:webHidden/>
              </w:rPr>
              <w:t>6</w:t>
            </w:r>
            <w:r w:rsidR="00C50321">
              <w:rPr>
                <w:noProof/>
                <w:webHidden/>
              </w:rPr>
              <w:fldChar w:fldCharType="end"/>
            </w:r>
          </w:hyperlink>
        </w:p>
        <w:p w14:paraId="521C9F63" w14:textId="7623B1F1"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86" w:history="1">
            <w:r w:rsidR="00C50321" w:rsidRPr="00324792">
              <w:rPr>
                <w:rStyle w:val="Hyperlink"/>
                <w:rFonts w:eastAsiaTheme="majorEastAsia"/>
                <w:noProof/>
              </w:rPr>
              <w:t>9.9c Research and program evaluation</w:t>
            </w:r>
            <w:r w:rsidR="00C50321">
              <w:rPr>
                <w:noProof/>
                <w:webHidden/>
              </w:rPr>
              <w:tab/>
            </w:r>
            <w:r w:rsidR="00C50321">
              <w:rPr>
                <w:noProof/>
                <w:webHidden/>
              </w:rPr>
              <w:fldChar w:fldCharType="begin"/>
            </w:r>
            <w:r w:rsidR="00C50321">
              <w:rPr>
                <w:noProof/>
                <w:webHidden/>
              </w:rPr>
              <w:instrText xml:space="preserve"> PAGEREF _Toc30775986 \h </w:instrText>
            </w:r>
            <w:r w:rsidR="00C50321">
              <w:rPr>
                <w:noProof/>
                <w:webHidden/>
              </w:rPr>
            </w:r>
            <w:r w:rsidR="00C50321">
              <w:rPr>
                <w:noProof/>
                <w:webHidden/>
              </w:rPr>
              <w:fldChar w:fldCharType="separate"/>
            </w:r>
            <w:r w:rsidR="00AE5536">
              <w:rPr>
                <w:noProof/>
                <w:webHidden/>
              </w:rPr>
              <w:t>7</w:t>
            </w:r>
            <w:r w:rsidR="00C50321">
              <w:rPr>
                <w:noProof/>
                <w:webHidden/>
              </w:rPr>
              <w:fldChar w:fldCharType="end"/>
            </w:r>
          </w:hyperlink>
        </w:p>
        <w:p w14:paraId="2F1B6BB0" w14:textId="6F86D0EE" w:rsidR="00C50321" w:rsidRDefault="00CE779F">
          <w:pPr>
            <w:pStyle w:val="TOC3"/>
            <w:tabs>
              <w:tab w:val="right" w:leader="dot" w:pos="9628"/>
            </w:tabs>
            <w:rPr>
              <w:rFonts w:asciiTheme="minorHAnsi" w:eastAsiaTheme="minorEastAsia" w:hAnsiTheme="minorHAnsi" w:cstheme="minorBidi"/>
              <w:noProof/>
              <w:spacing w:val="0"/>
              <w:sz w:val="22"/>
              <w:szCs w:val="22"/>
            </w:rPr>
          </w:pPr>
          <w:hyperlink w:anchor="_Toc30775987" w:history="1">
            <w:r w:rsidR="00C50321" w:rsidRPr="00324792">
              <w:rPr>
                <w:rStyle w:val="Hyperlink"/>
                <w:rFonts w:eastAsiaTheme="majorEastAsia"/>
                <w:noProof/>
              </w:rPr>
              <w:t>Developing better service models</w:t>
            </w:r>
            <w:r w:rsidR="00C50321">
              <w:rPr>
                <w:noProof/>
                <w:webHidden/>
              </w:rPr>
              <w:tab/>
            </w:r>
            <w:r w:rsidR="00C50321">
              <w:rPr>
                <w:noProof/>
                <w:webHidden/>
              </w:rPr>
              <w:fldChar w:fldCharType="begin"/>
            </w:r>
            <w:r w:rsidR="00C50321">
              <w:rPr>
                <w:noProof/>
                <w:webHidden/>
              </w:rPr>
              <w:instrText xml:space="preserve"> PAGEREF _Toc30775987 \h </w:instrText>
            </w:r>
            <w:r w:rsidR="00C50321">
              <w:rPr>
                <w:noProof/>
                <w:webHidden/>
              </w:rPr>
            </w:r>
            <w:r w:rsidR="00C50321">
              <w:rPr>
                <w:noProof/>
                <w:webHidden/>
              </w:rPr>
              <w:fldChar w:fldCharType="separate"/>
            </w:r>
            <w:r w:rsidR="00AE5536">
              <w:rPr>
                <w:noProof/>
                <w:webHidden/>
              </w:rPr>
              <w:t>7</w:t>
            </w:r>
            <w:r w:rsidR="00C50321">
              <w:rPr>
                <w:noProof/>
                <w:webHidden/>
              </w:rPr>
              <w:fldChar w:fldCharType="end"/>
            </w:r>
          </w:hyperlink>
        </w:p>
        <w:p w14:paraId="49FF06CB" w14:textId="79BC28A4" w:rsidR="00C50321" w:rsidRDefault="00CE779F">
          <w:pPr>
            <w:pStyle w:val="TOC1"/>
            <w:rPr>
              <w:rFonts w:asciiTheme="minorHAnsi" w:eastAsiaTheme="minorEastAsia" w:hAnsiTheme="minorHAnsi" w:cstheme="minorBidi"/>
              <w:noProof/>
              <w:spacing w:val="0"/>
              <w:sz w:val="22"/>
              <w:szCs w:val="22"/>
            </w:rPr>
          </w:pPr>
          <w:hyperlink w:anchor="_Toc30775988" w:history="1">
            <w:r w:rsidR="00C50321" w:rsidRPr="00324792">
              <w:rPr>
                <w:rStyle w:val="Hyperlink"/>
                <w:rFonts w:eastAsiaTheme="majorEastAsia"/>
                <w:noProof/>
              </w:rPr>
              <w:t>Part Three: Next steps</w:t>
            </w:r>
            <w:r w:rsidR="00C50321">
              <w:rPr>
                <w:noProof/>
                <w:webHidden/>
              </w:rPr>
              <w:tab/>
            </w:r>
            <w:r w:rsidR="00C50321">
              <w:rPr>
                <w:noProof/>
                <w:webHidden/>
              </w:rPr>
              <w:fldChar w:fldCharType="begin"/>
            </w:r>
            <w:r w:rsidR="00C50321">
              <w:rPr>
                <w:noProof/>
                <w:webHidden/>
              </w:rPr>
              <w:instrText xml:space="preserve"> PAGEREF _Toc30775988 \h </w:instrText>
            </w:r>
            <w:r w:rsidR="00C50321">
              <w:rPr>
                <w:noProof/>
                <w:webHidden/>
              </w:rPr>
            </w:r>
            <w:r w:rsidR="00C50321">
              <w:rPr>
                <w:noProof/>
                <w:webHidden/>
              </w:rPr>
              <w:fldChar w:fldCharType="separate"/>
            </w:r>
            <w:r w:rsidR="00AE5536">
              <w:rPr>
                <w:noProof/>
                <w:webHidden/>
              </w:rPr>
              <w:t>9</w:t>
            </w:r>
            <w:r w:rsidR="00C50321">
              <w:rPr>
                <w:noProof/>
                <w:webHidden/>
              </w:rPr>
              <w:fldChar w:fldCharType="end"/>
            </w:r>
          </w:hyperlink>
        </w:p>
        <w:p w14:paraId="57B47B00" w14:textId="629BB154"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89" w:history="1">
            <w:r w:rsidR="00C50321" w:rsidRPr="00324792">
              <w:rPr>
                <w:rStyle w:val="Hyperlink"/>
                <w:rFonts w:eastAsia="Cambria"/>
                <w:noProof/>
              </w:rPr>
              <w:t>Timeframes</w:t>
            </w:r>
            <w:r w:rsidR="00C50321">
              <w:rPr>
                <w:noProof/>
                <w:webHidden/>
              </w:rPr>
              <w:tab/>
            </w:r>
            <w:r w:rsidR="00C50321">
              <w:rPr>
                <w:noProof/>
                <w:webHidden/>
              </w:rPr>
              <w:fldChar w:fldCharType="begin"/>
            </w:r>
            <w:r w:rsidR="00C50321">
              <w:rPr>
                <w:noProof/>
                <w:webHidden/>
              </w:rPr>
              <w:instrText xml:space="preserve"> PAGEREF _Toc30775989 \h </w:instrText>
            </w:r>
            <w:r w:rsidR="00C50321">
              <w:rPr>
                <w:noProof/>
                <w:webHidden/>
              </w:rPr>
            </w:r>
            <w:r w:rsidR="00C50321">
              <w:rPr>
                <w:noProof/>
                <w:webHidden/>
              </w:rPr>
              <w:fldChar w:fldCharType="separate"/>
            </w:r>
            <w:r w:rsidR="00AE5536">
              <w:rPr>
                <w:noProof/>
                <w:webHidden/>
              </w:rPr>
              <w:t>9</w:t>
            </w:r>
            <w:r w:rsidR="00C50321">
              <w:rPr>
                <w:noProof/>
                <w:webHidden/>
              </w:rPr>
              <w:fldChar w:fldCharType="end"/>
            </w:r>
          </w:hyperlink>
        </w:p>
        <w:p w14:paraId="41DFA65C" w14:textId="2A3E9710"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90" w:history="1">
            <w:r w:rsidR="00C50321" w:rsidRPr="00324792">
              <w:rPr>
                <w:rStyle w:val="Hyperlink"/>
                <w:rFonts w:eastAsiaTheme="majorEastAsia"/>
                <w:noProof/>
              </w:rPr>
              <w:t>Further information</w:t>
            </w:r>
            <w:r w:rsidR="00C50321">
              <w:rPr>
                <w:noProof/>
                <w:webHidden/>
              </w:rPr>
              <w:tab/>
            </w:r>
            <w:r w:rsidR="00C50321">
              <w:rPr>
                <w:noProof/>
                <w:webHidden/>
              </w:rPr>
              <w:fldChar w:fldCharType="begin"/>
            </w:r>
            <w:r w:rsidR="00C50321">
              <w:rPr>
                <w:noProof/>
                <w:webHidden/>
              </w:rPr>
              <w:instrText xml:space="preserve"> PAGEREF _Toc30775990 \h </w:instrText>
            </w:r>
            <w:r w:rsidR="00C50321">
              <w:rPr>
                <w:noProof/>
                <w:webHidden/>
              </w:rPr>
            </w:r>
            <w:r w:rsidR="00C50321">
              <w:rPr>
                <w:noProof/>
                <w:webHidden/>
              </w:rPr>
              <w:fldChar w:fldCharType="separate"/>
            </w:r>
            <w:r w:rsidR="00AE5536">
              <w:rPr>
                <w:noProof/>
                <w:webHidden/>
              </w:rPr>
              <w:t>9</w:t>
            </w:r>
            <w:r w:rsidR="00C50321">
              <w:rPr>
                <w:noProof/>
                <w:webHidden/>
              </w:rPr>
              <w:fldChar w:fldCharType="end"/>
            </w:r>
          </w:hyperlink>
        </w:p>
        <w:p w14:paraId="3BFDFED3" w14:textId="3BE8B301" w:rsidR="00C50321" w:rsidRDefault="00CE779F">
          <w:pPr>
            <w:pStyle w:val="TOC2"/>
            <w:tabs>
              <w:tab w:val="right" w:leader="dot" w:pos="9628"/>
            </w:tabs>
            <w:rPr>
              <w:rFonts w:asciiTheme="minorHAnsi" w:eastAsiaTheme="minorEastAsia" w:hAnsiTheme="minorHAnsi" w:cstheme="minorBidi"/>
              <w:noProof/>
              <w:spacing w:val="0"/>
              <w:sz w:val="22"/>
              <w:szCs w:val="22"/>
            </w:rPr>
          </w:pPr>
          <w:hyperlink w:anchor="_Toc30775991" w:history="1">
            <w:r w:rsidR="00C50321" w:rsidRPr="00324792">
              <w:rPr>
                <w:rStyle w:val="Hyperlink"/>
                <w:rFonts w:eastAsiaTheme="majorEastAsia"/>
                <w:noProof/>
              </w:rPr>
              <w:t>Link to the Survey</w:t>
            </w:r>
            <w:r w:rsidR="00C50321">
              <w:rPr>
                <w:noProof/>
                <w:webHidden/>
              </w:rPr>
              <w:tab/>
            </w:r>
            <w:r w:rsidR="00C50321">
              <w:rPr>
                <w:noProof/>
                <w:webHidden/>
              </w:rPr>
              <w:fldChar w:fldCharType="begin"/>
            </w:r>
            <w:r w:rsidR="00C50321">
              <w:rPr>
                <w:noProof/>
                <w:webHidden/>
              </w:rPr>
              <w:instrText xml:space="preserve"> PAGEREF _Toc30775991 \h </w:instrText>
            </w:r>
            <w:r w:rsidR="00C50321">
              <w:rPr>
                <w:noProof/>
                <w:webHidden/>
              </w:rPr>
            </w:r>
            <w:r w:rsidR="00C50321">
              <w:rPr>
                <w:noProof/>
                <w:webHidden/>
              </w:rPr>
              <w:fldChar w:fldCharType="separate"/>
            </w:r>
            <w:r w:rsidR="00AE5536">
              <w:rPr>
                <w:noProof/>
                <w:webHidden/>
              </w:rPr>
              <w:t>9</w:t>
            </w:r>
            <w:r w:rsidR="00C50321">
              <w:rPr>
                <w:noProof/>
                <w:webHidden/>
              </w:rPr>
              <w:fldChar w:fldCharType="end"/>
            </w:r>
          </w:hyperlink>
        </w:p>
        <w:p w14:paraId="1A25B19B" w14:textId="40BA3B47" w:rsidR="00C50321" w:rsidRDefault="00CE779F">
          <w:pPr>
            <w:pStyle w:val="TOC1"/>
            <w:rPr>
              <w:rFonts w:asciiTheme="minorHAnsi" w:eastAsiaTheme="minorEastAsia" w:hAnsiTheme="minorHAnsi" w:cstheme="minorBidi"/>
              <w:noProof/>
              <w:spacing w:val="0"/>
              <w:sz w:val="22"/>
              <w:szCs w:val="22"/>
            </w:rPr>
          </w:pPr>
          <w:hyperlink w:anchor="_Toc30775992" w:history="1">
            <w:r w:rsidR="00C50321" w:rsidRPr="00324792">
              <w:rPr>
                <w:rStyle w:val="Hyperlink"/>
                <w:rFonts w:eastAsiaTheme="majorEastAsia"/>
                <w:noProof/>
              </w:rPr>
              <w:t>Appendix A:  Royal Commission Final Report–Recommendation 9.9</w:t>
            </w:r>
            <w:r w:rsidR="00C50321">
              <w:rPr>
                <w:noProof/>
                <w:webHidden/>
              </w:rPr>
              <w:tab/>
            </w:r>
            <w:r w:rsidR="00C50321">
              <w:rPr>
                <w:noProof/>
                <w:webHidden/>
              </w:rPr>
              <w:fldChar w:fldCharType="begin"/>
            </w:r>
            <w:r w:rsidR="00C50321">
              <w:rPr>
                <w:noProof/>
                <w:webHidden/>
              </w:rPr>
              <w:instrText xml:space="preserve"> PAGEREF _Toc30775992 \h </w:instrText>
            </w:r>
            <w:r w:rsidR="00C50321">
              <w:rPr>
                <w:noProof/>
                <w:webHidden/>
              </w:rPr>
            </w:r>
            <w:r w:rsidR="00C50321">
              <w:rPr>
                <w:noProof/>
                <w:webHidden/>
              </w:rPr>
              <w:fldChar w:fldCharType="separate"/>
            </w:r>
            <w:r w:rsidR="00AE5536">
              <w:rPr>
                <w:noProof/>
                <w:webHidden/>
              </w:rPr>
              <w:t>10</w:t>
            </w:r>
            <w:r w:rsidR="00C50321">
              <w:rPr>
                <w:noProof/>
                <w:webHidden/>
              </w:rPr>
              <w:fldChar w:fldCharType="end"/>
            </w:r>
          </w:hyperlink>
        </w:p>
        <w:p w14:paraId="331B4FB1" w14:textId="565F68C7" w:rsidR="00C50321" w:rsidRDefault="00CE779F">
          <w:pPr>
            <w:pStyle w:val="TOC1"/>
            <w:rPr>
              <w:rFonts w:asciiTheme="minorHAnsi" w:eastAsiaTheme="minorEastAsia" w:hAnsiTheme="minorHAnsi" w:cstheme="minorBidi"/>
              <w:noProof/>
              <w:spacing w:val="0"/>
              <w:sz w:val="22"/>
              <w:szCs w:val="22"/>
            </w:rPr>
          </w:pPr>
          <w:hyperlink w:anchor="_Toc30775993" w:history="1">
            <w:r w:rsidR="00C50321" w:rsidRPr="00324792">
              <w:rPr>
                <w:rStyle w:val="Hyperlink"/>
                <w:rFonts w:eastAsiaTheme="majorEastAsia"/>
                <w:noProof/>
              </w:rPr>
              <w:t>Appendix B:  Glossary of terms used in the survey</w:t>
            </w:r>
            <w:r w:rsidR="00C50321">
              <w:rPr>
                <w:noProof/>
                <w:webHidden/>
              </w:rPr>
              <w:tab/>
              <w:t>11</w:t>
            </w:r>
          </w:hyperlink>
        </w:p>
        <w:p w14:paraId="5675B3CF" w14:textId="77777777" w:rsidR="00FF606E" w:rsidRDefault="00FF606E">
          <w:r>
            <w:rPr>
              <w:b/>
              <w:bCs/>
              <w:noProof/>
            </w:rPr>
            <w:fldChar w:fldCharType="end"/>
          </w:r>
        </w:p>
      </w:sdtContent>
    </w:sdt>
    <w:p w14:paraId="7C7FF159" w14:textId="77777777" w:rsidR="002258E0" w:rsidRDefault="002258E0">
      <w:pPr>
        <w:tabs>
          <w:tab w:val="left" w:pos="6847"/>
        </w:tabs>
        <w:spacing w:before="0" w:after="200" w:line="276" w:lineRule="auto"/>
        <w:rPr>
          <w:sz w:val="32"/>
        </w:rPr>
      </w:pPr>
      <w:r>
        <w:rPr>
          <w:sz w:val="32"/>
        </w:rPr>
        <w:tab/>
      </w:r>
    </w:p>
    <w:p w14:paraId="535AEBC7" w14:textId="5B4B5090" w:rsidR="00147B8F" w:rsidRDefault="00FF606E" w:rsidP="00C938DF">
      <w:pPr>
        <w:tabs>
          <w:tab w:val="left" w:pos="6847"/>
        </w:tabs>
        <w:spacing w:before="0" w:after="200" w:line="276" w:lineRule="auto"/>
        <w:rPr>
          <w:sz w:val="32"/>
        </w:rPr>
      </w:pPr>
      <w:r w:rsidRPr="002258E0">
        <w:rPr>
          <w:sz w:val="32"/>
        </w:rPr>
        <w:br w:type="page"/>
      </w:r>
    </w:p>
    <w:p w14:paraId="6214024A" w14:textId="77777777" w:rsidR="00DB01D6" w:rsidRPr="00266A3F" w:rsidRDefault="00364778">
      <w:pPr>
        <w:pStyle w:val="Heading1"/>
      </w:pPr>
      <w:bookmarkStart w:id="1" w:name="_Toc30775973"/>
      <w:r>
        <w:lastRenderedPageBreak/>
        <w:t xml:space="preserve">Part One: </w:t>
      </w:r>
      <w:r w:rsidR="00DB01D6" w:rsidRPr="00266A3F">
        <w:t>Introduction</w:t>
      </w:r>
      <w:bookmarkEnd w:id="1"/>
    </w:p>
    <w:p w14:paraId="34A8B849" w14:textId="77777777" w:rsidR="003961B3" w:rsidRDefault="003961B3" w:rsidP="00E54673">
      <w:pPr>
        <w:pStyle w:val="Heading2"/>
        <w:spacing w:after="60"/>
      </w:pPr>
      <w:bookmarkStart w:id="2" w:name="_Toc30775974"/>
      <w:r>
        <w:t>Opening statement</w:t>
      </w:r>
      <w:bookmarkEnd w:id="2"/>
    </w:p>
    <w:p w14:paraId="47B29579" w14:textId="0D8A4AC8" w:rsidR="00DB01D6" w:rsidRPr="007473B2" w:rsidRDefault="00896DD3" w:rsidP="00BE6A4F">
      <w:r>
        <w:t>We</w:t>
      </w:r>
      <w:r w:rsidR="00DB01D6" w:rsidRPr="007473B2">
        <w:t xml:space="preserve"> all share the same goal to make our community safe for all children and young people</w:t>
      </w:r>
      <w:r w:rsidR="008F337E">
        <w:t xml:space="preserve"> </w:t>
      </w:r>
      <w:r w:rsidR="008F337E" w:rsidRPr="008F337E">
        <w:t>and to improve responses to all sur</w:t>
      </w:r>
      <w:r w:rsidR="008F337E">
        <w:t xml:space="preserve">vivors of child sexual abuse. </w:t>
      </w:r>
      <w:r w:rsidR="00DB01D6" w:rsidRPr="007473B2">
        <w:t>In order to do that, we wish to acknowledge the legacy of pain and suffering inflicted on survivors of child sexual abuse and let their experiences and wisdom assist us to tackle this difficult issue.</w:t>
      </w:r>
    </w:p>
    <w:p w14:paraId="291D0B57" w14:textId="0E270080" w:rsidR="007F3A31" w:rsidRDefault="007F3A31" w:rsidP="00BE6A4F">
      <w:r>
        <w:t>Child and adult s</w:t>
      </w:r>
      <w:r w:rsidR="008F337E">
        <w:t>urvivors,</w:t>
      </w:r>
      <w:r w:rsidR="008379C7">
        <w:t xml:space="preserve"> their families</w:t>
      </w:r>
      <w:r w:rsidR="009A723F">
        <w:t>,</w:t>
      </w:r>
      <w:r w:rsidR="008F337E">
        <w:t xml:space="preserve"> s</w:t>
      </w:r>
      <w:r w:rsidR="00DB01D6" w:rsidRPr="007473B2">
        <w:t>urvivor advocates, representative organisations</w:t>
      </w:r>
      <w:r w:rsidR="00DB01D6">
        <w:t xml:space="preserve">, </w:t>
      </w:r>
      <w:r w:rsidR="00DB01D6" w:rsidRPr="00BE6A4F">
        <w:t>service providers, peak bodies, non-government organisations, academics</w:t>
      </w:r>
      <w:r w:rsidR="008379C7">
        <w:t>,</w:t>
      </w:r>
      <w:r w:rsidR="00DB01D6" w:rsidRPr="00BE6A4F">
        <w:t xml:space="preserve"> </w:t>
      </w:r>
      <w:r w:rsidR="00DB01D6" w:rsidRPr="007473B2">
        <w:t xml:space="preserve">those who advocate for the prevention of child sexual abuse </w:t>
      </w:r>
      <w:r w:rsidR="00DB01D6" w:rsidRPr="00BE6A4F">
        <w:t>and</w:t>
      </w:r>
      <w:r w:rsidR="00364778" w:rsidRPr="00BE6A4F">
        <w:t xml:space="preserve"> all</w:t>
      </w:r>
      <w:r w:rsidR="00DB01D6" w:rsidRPr="00BE6A4F">
        <w:t xml:space="preserve"> other interested parties</w:t>
      </w:r>
      <w:r w:rsidR="00DB01D6" w:rsidRPr="007473B2">
        <w:t xml:space="preserve"> </w:t>
      </w:r>
      <w:r w:rsidR="00DB01D6">
        <w:t xml:space="preserve">are welcomed stakeholders in contributing to shaping the National Centre for </w:t>
      </w:r>
      <w:r w:rsidR="00364778">
        <w:t xml:space="preserve">the </w:t>
      </w:r>
      <w:r w:rsidR="00DB01D6">
        <w:t>Prevention of Child Sexual Abuse (</w:t>
      </w:r>
      <w:r w:rsidR="00364778">
        <w:t xml:space="preserve">the </w:t>
      </w:r>
      <w:r w:rsidR="00DB01D6">
        <w:t xml:space="preserve">National Centre) scope, functions and </w:t>
      </w:r>
      <w:r w:rsidR="005E779F">
        <w:t>priorities</w:t>
      </w:r>
      <w:r w:rsidR="00DB01D6">
        <w:t>.</w:t>
      </w:r>
    </w:p>
    <w:p w14:paraId="5A48CDEA" w14:textId="77777777" w:rsidR="00DB01D6" w:rsidRPr="007473B2" w:rsidRDefault="007F3A31" w:rsidP="00BE6A4F">
      <w:r>
        <w:t>Our commitment is ultimately to</w:t>
      </w:r>
      <w:r w:rsidR="00FE2A2D">
        <w:t xml:space="preserve"> support child and adult survivors</w:t>
      </w:r>
      <w:r>
        <w:t xml:space="preserve"> and stop child sexual abuse over time.</w:t>
      </w:r>
      <w:r w:rsidR="00DB01D6">
        <w:t xml:space="preserve"> </w:t>
      </w:r>
    </w:p>
    <w:p w14:paraId="36106486" w14:textId="77777777" w:rsidR="00DB01D6" w:rsidRPr="009243BD" w:rsidRDefault="00DB01D6" w:rsidP="00BE6A4F">
      <w:pPr>
        <w:pStyle w:val="Heading2"/>
      </w:pPr>
      <w:bookmarkStart w:id="3" w:name="_Toc30775975"/>
      <w:r w:rsidRPr="009243BD">
        <w:t>History of the National Centre</w:t>
      </w:r>
      <w:bookmarkEnd w:id="3"/>
    </w:p>
    <w:p w14:paraId="2DED2C57" w14:textId="77777777" w:rsidR="00DB01D6" w:rsidRPr="00294DCD" w:rsidRDefault="00DB01D6" w:rsidP="00E54673">
      <w:pPr>
        <w:pStyle w:val="Heading3"/>
        <w:spacing w:before="120"/>
      </w:pPr>
      <w:bookmarkStart w:id="4" w:name="_Toc26538433"/>
      <w:bookmarkStart w:id="5" w:name="_Toc30775976"/>
      <w:r w:rsidRPr="00294DCD">
        <w:t xml:space="preserve">The </w:t>
      </w:r>
      <w:r w:rsidRPr="008622A8">
        <w:t>Royal</w:t>
      </w:r>
      <w:r w:rsidRPr="00294DCD">
        <w:t xml:space="preserve"> Commission into Institutional Responses to Child Sexual Abuse</w:t>
      </w:r>
      <w:bookmarkEnd w:id="4"/>
      <w:bookmarkEnd w:id="5"/>
    </w:p>
    <w:p w14:paraId="7ECAE044" w14:textId="77777777" w:rsidR="00DB01D6" w:rsidRPr="00A40921" w:rsidRDefault="00DB01D6" w:rsidP="00BE6A4F">
      <w:r w:rsidRPr="00A40921">
        <w:t xml:space="preserve">The Royal Commission </w:t>
      </w:r>
      <w:r w:rsidR="00364778">
        <w:t>into Institutional R</w:t>
      </w:r>
      <w:r>
        <w:t>esponses to Child Sexual Abuse (</w:t>
      </w:r>
      <w:r w:rsidR="00364778">
        <w:t xml:space="preserve">the </w:t>
      </w:r>
      <w:r>
        <w:t xml:space="preserve">Royal Commission) </w:t>
      </w:r>
      <w:r w:rsidRPr="00A40921">
        <w:t>was established in 2012 to inquire into institutional responses to allegations and incidents of child sexual abuse.</w:t>
      </w:r>
      <w:r>
        <w:t xml:space="preserve"> </w:t>
      </w:r>
      <w:r w:rsidRPr="006D2531">
        <w:t xml:space="preserve"> </w:t>
      </w:r>
      <w:r w:rsidRPr="00A40921">
        <w:t>During its five-year inquiry, the Royal Commission conduct</w:t>
      </w:r>
      <w:r>
        <w:t>ed</w:t>
      </w:r>
      <w:r w:rsidRPr="00A40921">
        <w:t xml:space="preserve"> public hearings, h</w:t>
      </w:r>
      <w:r>
        <w:t>eld</w:t>
      </w:r>
      <w:r w:rsidRPr="00A40921">
        <w:t xml:space="preserve"> private sessions and deliver</w:t>
      </w:r>
      <w:r>
        <w:t>ed</w:t>
      </w:r>
      <w:r w:rsidRPr="00A40921">
        <w:t xml:space="preserve"> a policy and research program</w:t>
      </w:r>
      <w:r>
        <w:t>.  M</w:t>
      </w:r>
      <w:r w:rsidRPr="00AF7C7C">
        <w:t>ore than 16,000 brave people shared their stories</w:t>
      </w:r>
      <w:r>
        <w:t xml:space="preserve"> </w:t>
      </w:r>
      <w:r w:rsidRPr="00AF7C7C">
        <w:t>about the sexual abuse they experienced as children</w:t>
      </w:r>
      <w:r>
        <w:t xml:space="preserve">, and the final report contained </w:t>
      </w:r>
      <w:r w:rsidR="00896DD3">
        <w:br/>
      </w:r>
      <w:r w:rsidRPr="00A40921">
        <w:t>409 recommendations.</w:t>
      </w:r>
    </w:p>
    <w:p w14:paraId="480A88AA" w14:textId="094AD697" w:rsidR="00DB01D6" w:rsidRDefault="00DB01D6" w:rsidP="00BE6A4F">
      <w:r w:rsidRPr="00A40921" w:rsidDel="003507F0">
        <w:t>The Royal Commission</w:t>
      </w:r>
      <w:r>
        <w:t xml:space="preserve">’s findings </w:t>
      </w:r>
      <w:r w:rsidRPr="00A40921" w:rsidDel="003507F0">
        <w:t>looked at complex issues about why and how child sexual abuse happens in institutions</w:t>
      </w:r>
      <w:r w:rsidR="008F337E">
        <w:t>,</w:t>
      </w:r>
      <w:r w:rsidRPr="00A40921" w:rsidDel="003507F0">
        <w:t xml:space="preserve"> how to prevent such abuses in the future</w:t>
      </w:r>
      <w:r w:rsidR="008F337E">
        <w:t xml:space="preserve"> and improve responses to all survivors</w:t>
      </w:r>
      <w:r w:rsidRPr="00A40921" w:rsidDel="003507F0">
        <w:t xml:space="preserve">. </w:t>
      </w:r>
      <w:r>
        <w:t xml:space="preserve"> </w:t>
      </w:r>
    </w:p>
    <w:p w14:paraId="5729B441" w14:textId="77777777" w:rsidR="00DB01D6" w:rsidRDefault="00DB01D6" w:rsidP="00BE6A4F">
      <w:r>
        <w:t>R</w:t>
      </w:r>
      <w:r w:rsidRPr="00A40921" w:rsidDel="003507F0">
        <w:t xml:space="preserve">ecommendations </w:t>
      </w:r>
      <w:r>
        <w:t xml:space="preserve">were made </w:t>
      </w:r>
      <w:r w:rsidRPr="00A40921" w:rsidDel="003507F0">
        <w:t xml:space="preserve">about how </w:t>
      </w:r>
      <w:r>
        <w:t>to keep children safe, including the recommendation (9.9) to establish a National Centre to provide national leadership to reduce stigma, promote help-seeking and support good practice.</w:t>
      </w:r>
      <w:r w:rsidRPr="00A40921" w:rsidDel="003507F0">
        <w:t xml:space="preserve"> </w:t>
      </w:r>
    </w:p>
    <w:p w14:paraId="75F4FAED" w14:textId="08ED56AB" w:rsidR="00896DD3" w:rsidRPr="00BE6A4F" w:rsidDel="003507F0" w:rsidRDefault="00896DD3" w:rsidP="00BE6A4F">
      <w:r>
        <w:t xml:space="preserve">The Royal Commission recommended the National Centre </w:t>
      </w:r>
      <w:r w:rsidR="008F337E">
        <w:t>will require an investment of</w:t>
      </w:r>
      <w:r>
        <w:t xml:space="preserve"> $45 million over five years, should be established </w:t>
      </w:r>
      <w:r w:rsidR="00FB7CDD">
        <w:t>together</w:t>
      </w:r>
      <w:r>
        <w:t xml:space="preserve"> with state and territory governments</w:t>
      </w:r>
      <w:r w:rsidR="00FB7CDD">
        <w:t>,</w:t>
      </w:r>
      <w:r>
        <w:t xml:space="preserve"> and </w:t>
      </w:r>
      <w:r w:rsidR="00FB7CDD">
        <w:t xml:space="preserve">that it </w:t>
      </w:r>
      <w:r>
        <w:t>should be independent from government.</w:t>
      </w:r>
    </w:p>
    <w:p w14:paraId="524B43B8" w14:textId="77777777" w:rsidR="00DB01D6" w:rsidRDefault="00F61F79" w:rsidP="00E54673">
      <w:pPr>
        <w:pStyle w:val="Heading2"/>
        <w:spacing w:after="60"/>
      </w:pPr>
      <w:bookmarkStart w:id="6" w:name="_Toc26538434"/>
      <w:bookmarkStart w:id="7" w:name="_Toc30775977"/>
      <w:r>
        <w:t xml:space="preserve">The Australian Government’s Commitment to Establish the </w:t>
      </w:r>
      <w:r w:rsidR="00DB01D6" w:rsidRPr="00F65FF5">
        <w:t>National Centre for the Prevention of Child Sexual Abuse</w:t>
      </w:r>
      <w:bookmarkEnd w:id="6"/>
      <w:bookmarkEnd w:id="7"/>
    </w:p>
    <w:p w14:paraId="2C71B9CB" w14:textId="77777777" w:rsidR="00DB01D6" w:rsidRPr="00AF7C7C" w:rsidRDefault="00DB01D6" w:rsidP="00E54673">
      <w:pPr>
        <w:spacing w:after="120"/>
      </w:pPr>
      <w:r w:rsidRPr="00AF7C7C">
        <w:t xml:space="preserve">On 30 March 2019, the Prime Minister of Australia, </w:t>
      </w:r>
      <w:r>
        <w:t xml:space="preserve">the Hon </w:t>
      </w:r>
      <w:r w:rsidRPr="00AF7C7C">
        <w:t>Scott Morrison</w:t>
      </w:r>
      <w:r>
        <w:t xml:space="preserve"> MP</w:t>
      </w:r>
      <w:r w:rsidRPr="00AF7C7C">
        <w:t xml:space="preserve"> committed $22.5 million </w:t>
      </w:r>
      <w:r>
        <w:t xml:space="preserve">over five years </w:t>
      </w:r>
      <w:r w:rsidRPr="00AF7C7C">
        <w:t xml:space="preserve">in the 2019-20 Federal Budget towards establishment of </w:t>
      </w:r>
      <w:r>
        <w:t xml:space="preserve">the </w:t>
      </w:r>
      <w:r w:rsidRPr="00BE6A4F">
        <w:t>National Centre</w:t>
      </w:r>
      <w:r w:rsidRPr="00AF7C7C">
        <w:t>. He stated:</w:t>
      </w:r>
    </w:p>
    <w:p w14:paraId="21F17352" w14:textId="77777777" w:rsidR="00DB01D6" w:rsidRPr="00775261" w:rsidRDefault="00DB01D6" w:rsidP="00E54673">
      <w:pPr>
        <w:pStyle w:val="Pullouttext"/>
        <w:spacing w:before="0" w:after="0"/>
        <w:rPr>
          <w:rFonts w:asciiTheme="minorHAnsi" w:hAnsiTheme="minorHAnsi" w:cstheme="minorHAnsi"/>
          <w:i/>
          <w:sz w:val="16"/>
        </w:rPr>
      </w:pPr>
      <w:r w:rsidRPr="00775261">
        <w:rPr>
          <w:rFonts w:asciiTheme="minorHAnsi" w:hAnsiTheme="minorHAnsi" w:cstheme="minorHAnsi"/>
          <w:i/>
          <w:sz w:val="22"/>
        </w:rPr>
        <w:t xml:space="preserve">“The establishment of the National Centre is part of our commitment to prevent future abuse and support victims and survivors. It will ensure the needs of survivors will remain a national </w:t>
      </w:r>
      <w:r w:rsidRPr="00775261">
        <w:rPr>
          <w:rFonts w:asciiTheme="minorHAnsi" w:hAnsiTheme="minorHAnsi" w:cstheme="minorHAnsi"/>
          <w:i/>
          <w:sz w:val="22"/>
        </w:rPr>
        <w:lastRenderedPageBreak/>
        <w:t>priority.”</w:t>
      </w:r>
      <w:r w:rsidRPr="00775261">
        <w:rPr>
          <w:rFonts w:asciiTheme="minorHAnsi" w:hAnsiTheme="minorHAnsi" w:cstheme="minorHAnsi"/>
          <w:i/>
          <w:sz w:val="22"/>
        </w:rPr>
        <w:br/>
      </w:r>
    </w:p>
    <w:p w14:paraId="46E1CAB5" w14:textId="3AE42082" w:rsidR="00DB01D6" w:rsidRPr="007473B2" w:rsidRDefault="007220B8" w:rsidP="00E54673">
      <w:pPr>
        <w:spacing w:before="0"/>
      </w:pPr>
      <w:r>
        <w:t>Commonwealth and</w:t>
      </w:r>
      <w:r w:rsidR="00DB01D6" w:rsidRPr="00FC4CAE">
        <w:t xml:space="preserve"> state and territory g</w:t>
      </w:r>
      <w:r>
        <w:t>overnments will</w:t>
      </w:r>
      <w:r w:rsidR="00DB01D6" w:rsidRPr="007220B8">
        <w:t xml:space="preserve"> </w:t>
      </w:r>
      <w:r>
        <w:t>work together to</w:t>
      </w:r>
      <w:r w:rsidR="00DB01D6" w:rsidRPr="00FC4CAE">
        <w:t xml:space="preserve"> </w:t>
      </w:r>
      <w:r>
        <w:t>make sure</w:t>
      </w:r>
      <w:r w:rsidR="00DB01D6" w:rsidRPr="00FC4CAE">
        <w:t xml:space="preserve"> the National Centre</w:t>
      </w:r>
      <w:r>
        <w:t xml:space="preserve"> is established</w:t>
      </w:r>
      <w:r w:rsidR="00DB01D6" w:rsidRPr="00FC4CAE">
        <w:t>.</w:t>
      </w:r>
    </w:p>
    <w:p w14:paraId="5F2A6B40" w14:textId="77777777" w:rsidR="00DB01D6" w:rsidRPr="00F65FF5" w:rsidRDefault="00DB01D6" w:rsidP="00E54673">
      <w:pPr>
        <w:pStyle w:val="Heading2"/>
        <w:spacing w:after="60"/>
      </w:pPr>
      <w:bookmarkStart w:id="8" w:name="_Toc26538435"/>
      <w:bookmarkStart w:id="9" w:name="_Toc30775978"/>
      <w:r w:rsidRPr="00F65FF5">
        <w:t>Why is a National Centre for the Prevention of Child Sexual Abuse important?</w:t>
      </w:r>
      <w:bookmarkEnd w:id="8"/>
      <w:bookmarkEnd w:id="9"/>
    </w:p>
    <w:p w14:paraId="79616CDC" w14:textId="5CBFEF98" w:rsidR="002859E4" w:rsidRPr="00BE6A4F" w:rsidRDefault="00DB01D6" w:rsidP="00E54673">
      <w:pPr>
        <w:keepNext/>
        <w:keepLines/>
        <w:spacing w:after="120"/>
      </w:pPr>
      <w:r w:rsidRPr="00BE6A4F">
        <w:t>The Royal Commission made r</w:t>
      </w:r>
      <w:r w:rsidRPr="00A40921" w:rsidDel="003507F0">
        <w:t xml:space="preserve">ecommendations about how </w:t>
      </w:r>
      <w:r>
        <w:t xml:space="preserve">to keep children safe.  It also </w:t>
      </w:r>
      <w:r w:rsidRPr="00BE6A4F">
        <w:t xml:space="preserve">identified that ongoing national leadership is necessary to improve outcomes for  survivors of past child sexual abuse and prevent future child sexual abuse. </w:t>
      </w:r>
    </w:p>
    <w:p w14:paraId="299A225E" w14:textId="77777777" w:rsidR="00DB01D6" w:rsidRPr="00C938DF" w:rsidRDefault="00DB01D6" w:rsidP="00DB01D6">
      <w:pPr>
        <w:pStyle w:val="Pullouttext"/>
        <w:rPr>
          <w:i/>
          <w:sz w:val="22"/>
        </w:rPr>
      </w:pPr>
      <w:r w:rsidRPr="00C938DF" w:rsidDel="003507F0">
        <w:rPr>
          <w:i/>
          <w:sz w:val="22"/>
        </w:rPr>
        <w:t xml:space="preserve"> “Protecting children and promoting their safety is everyone’s business. </w:t>
      </w:r>
      <w:r w:rsidRPr="00C938DF">
        <w:rPr>
          <w:i/>
          <w:sz w:val="22"/>
        </w:rPr>
        <w:t xml:space="preserve"> </w:t>
      </w:r>
      <w:r w:rsidRPr="00C938DF" w:rsidDel="003507F0">
        <w:rPr>
          <w:i/>
          <w:sz w:val="22"/>
        </w:rPr>
        <w:t>It is a national priority that requires a national response. Everyone – the Australian Government and state and territory governments, sectors and institutions, communities, families and individuals – has a role to play.</w:t>
      </w:r>
      <w:r w:rsidR="005E779F">
        <w:rPr>
          <w:i/>
          <w:sz w:val="22"/>
        </w:rPr>
        <w:t>”</w:t>
      </w:r>
      <w:r w:rsidRPr="005E779F">
        <w:rPr>
          <w:rStyle w:val="FootnoteReference"/>
          <w:rFonts w:asciiTheme="minorHAnsi" w:hAnsiTheme="minorHAnsi" w:cstheme="minorHAnsi"/>
          <w:i/>
          <w:sz w:val="20"/>
        </w:rPr>
        <w:footnoteReference w:id="1"/>
      </w:r>
    </w:p>
    <w:p w14:paraId="642FD3F3" w14:textId="77777777" w:rsidR="002859E4" w:rsidRDefault="002859E4" w:rsidP="00DB01D6">
      <w:r>
        <w:t xml:space="preserve">Recommendation 9.9 (at </w:t>
      </w:r>
      <w:r w:rsidRPr="00D51646">
        <w:t>Appendix A</w:t>
      </w:r>
      <w:r>
        <w:t>) and the Australian Government committed to establish the National Centre to provide this national leadership through a number of activities. (</w:t>
      </w:r>
      <w:hyperlink r:id="rId14" w:history="1">
        <w:r w:rsidRPr="00BE6A4F">
          <w:rPr>
            <w:rStyle w:val="Hyperlink"/>
            <w:sz w:val="24"/>
          </w:rPr>
          <w:t>https://www.childabuseroyalcommission.gov.au/recommendations</w:t>
        </w:r>
      </w:hyperlink>
      <w:r>
        <w:t>).</w:t>
      </w:r>
    </w:p>
    <w:p w14:paraId="19E2FAC7" w14:textId="5F5D268F" w:rsidR="008379C7" w:rsidRDefault="002859E4" w:rsidP="00E54673">
      <w:pPr>
        <w:spacing w:after="60"/>
      </w:pPr>
      <w:r>
        <w:t>These include</w:t>
      </w:r>
      <w:r w:rsidR="00DB01D6" w:rsidRPr="00A40921">
        <w:t>:</w:t>
      </w:r>
    </w:p>
    <w:p w14:paraId="11F38C26" w14:textId="7568F5BB" w:rsidR="005236C1" w:rsidRDefault="005236C1" w:rsidP="00BE6A4F">
      <w:r>
        <w:rPr>
          <w:noProof/>
        </w:rPr>
        <w:drawing>
          <wp:inline distT="0" distB="0" distL="0" distR="0" wp14:anchorId="56A80BA1" wp14:editId="07D313B5">
            <wp:extent cx="5820281" cy="4390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302" t="17983" r="18216" b="5101"/>
                    <a:stretch/>
                  </pic:blipFill>
                  <pic:spPr bwMode="auto">
                    <a:xfrm>
                      <a:off x="0" y="0"/>
                      <a:ext cx="5832011" cy="4399694"/>
                    </a:xfrm>
                    <a:prstGeom prst="rect">
                      <a:avLst/>
                    </a:prstGeom>
                    <a:ln>
                      <a:noFill/>
                    </a:ln>
                    <a:extLst>
                      <a:ext uri="{53640926-AAD7-44D8-BBD7-CCE9431645EC}">
                        <a14:shadowObscured xmlns:a14="http://schemas.microsoft.com/office/drawing/2010/main"/>
                      </a:ext>
                    </a:extLst>
                  </pic:spPr>
                </pic:pic>
              </a:graphicData>
            </a:graphic>
          </wp:inline>
        </w:drawing>
      </w:r>
    </w:p>
    <w:p w14:paraId="68FE4C15" w14:textId="48DE446B" w:rsidR="00DB01D6" w:rsidRDefault="00DB01D6" w:rsidP="00BE6A4F">
      <w:r w:rsidRPr="00BE6A4F">
        <w:t>Building on the Royal Commission’s recommendations, the department is now considering how to implement the National Centre, taking into account stakeholder views.</w:t>
      </w:r>
    </w:p>
    <w:p w14:paraId="7EB9A2EB" w14:textId="77777777" w:rsidR="007F3A31" w:rsidRDefault="007F3A31" w:rsidP="00E54673">
      <w:pPr>
        <w:pStyle w:val="Heading2"/>
        <w:keepNext/>
        <w:keepLines/>
      </w:pPr>
      <w:bookmarkStart w:id="10" w:name="_Toc30775979"/>
      <w:r>
        <w:lastRenderedPageBreak/>
        <w:t xml:space="preserve">Why </w:t>
      </w:r>
      <w:r w:rsidRPr="0014007B">
        <w:t>prevention</w:t>
      </w:r>
      <w:r w:rsidRPr="008C11FF">
        <w:t xml:space="preserve"> of child sexual abuse</w:t>
      </w:r>
      <w:r>
        <w:t>?</w:t>
      </w:r>
      <w:bookmarkEnd w:id="10"/>
    </w:p>
    <w:p w14:paraId="32AC1F70" w14:textId="77777777" w:rsidR="007F3A31" w:rsidRDefault="007F3A31" w:rsidP="00E54673">
      <w:pPr>
        <w:keepNext/>
        <w:keepLines/>
        <w:spacing w:after="120"/>
        <w:ind w:left="567"/>
        <w:rPr>
          <w:i/>
          <w:color w:val="349694" w:themeColor="accent3" w:themeShade="80"/>
          <w:sz w:val="20"/>
          <w:szCs w:val="20"/>
        </w:rPr>
      </w:pPr>
      <w:r>
        <w:rPr>
          <w:i/>
          <w:color w:val="349694" w:themeColor="accent3" w:themeShade="80"/>
          <w:sz w:val="20"/>
          <w:szCs w:val="20"/>
        </w:rPr>
        <w:t>“</w:t>
      </w:r>
      <w:r w:rsidRPr="00357D83">
        <w:rPr>
          <w:i/>
          <w:color w:val="349694" w:themeColor="accent3" w:themeShade="80"/>
          <w:sz w:val="20"/>
          <w:szCs w:val="20"/>
        </w:rPr>
        <w:t>The Australian Government</w:t>
      </w:r>
      <w:r>
        <w:rPr>
          <w:i/>
          <w:color w:val="349694" w:themeColor="accent3" w:themeShade="80"/>
          <w:sz w:val="20"/>
          <w:szCs w:val="20"/>
        </w:rPr>
        <w:t xml:space="preserve"> …</w:t>
      </w:r>
      <w:r w:rsidRPr="00357D83">
        <w:rPr>
          <w:i/>
          <w:color w:val="349694" w:themeColor="accent3" w:themeShade="80"/>
          <w:sz w:val="20"/>
          <w:szCs w:val="20"/>
        </w:rPr>
        <w:t xml:space="preserve"> should apply a public health approach to the prevention of child sexual abuse. </w:t>
      </w:r>
    </w:p>
    <w:p w14:paraId="103ECE27" w14:textId="77777777" w:rsidR="007F3A31" w:rsidRPr="00357D83" w:rsidRDefault="007F3A31" w:rsidP="007F3A31">
      <w:pPr>
        <w:spacing w:after="120"/>
        <w:ind w:left="567"/>
        <w:rPr>
          <w:i/>
          <w:color w:val="349694" w:themeColor="accent3" w:themeShade="80"/>
          <w:sz w:val="20"/>
          <w:szCs w:val="20"/>
        </w:rPr>
      </w:pPr>
      <w:r>
        <w:rPr>
          <w:i/>
          <w:color w:val="349694" w:themeColor="accent3" w:themeShade="80"/>
          <w:sz w:val="20"/>
          <w:szCs w:val="20"/>
        </w:rPr>
        <w:t>T</w:t>
      </w:r>
      <w:r w:rsidRPr="00357D83">
        <w:rPr>
          <w:i/>
          <w:color w:val="349694" w:themeColor="accent3" w:themeShade="80"/>
          <w:sz w:val="20"/>
          <w:szCs w:val="20"/>
        </w:rPr>
        <w:t>he public health approach is used when a preventable problem is widespread, serious and associated with severe long-term effects on individuals and communities. This approach was originally designed for disease prevention, but has been modified to address other complex problems relating to social behaviour. The model is well established and has been applied to child sexual abuse,</w:t>
      </w:r>
      <w:r>
        <w:rPr>
          <w:i/>
          <w:color w:val="349694" w:themeColor="accent3" w:themeShade="80"/>
          <w:sz w:val="20"/>
          <w:szCs w:val="20"/>
        </w:rPr>
        <w:t xml:space="preserve"> both in Australia and oversea</w:t>
      </w:r>
      <w:r w:rsidRPr="009D2788">
        <w:rPr>
          <w:i/>
          <w:color w:val="349694" w:themeColor="accent3" w:themeShade="80"/>
          <w:sz w:val="20"/>
          <w:szCs w:val="20"/>
        </w:rPr>
        <w:t>s”</w:t>
      </w:r>
      <w:r w:rsidRPr="003D1AEE">
        <w:rPr>
          <w:i/>
          <w:color w:val="349694" w:themeColor="accent3" w:themeShade="80"/>
          <w:sz w:val="20"/>
          <w:szCs w:val="20"/>
          <w:vertAlign w:val="superscript"/>
        </w:rPr>
        <w:footnoteReference w:id="2"/>
      </w:r>
      <w:r w:rsidRPr="009D2788">
        <w:rPr>
          <w:i/>
          <w:color w:val="349694" w:themeColor="accent3" w:themeShade="80"/>
          <w:sz w:val="20"/>
          <w:szCs w:val="20"/>
        </w:rPr>
        <w:t>.</w:t>
      </w:r>
    </w:p>
    <w:p w14:paraId="039360FD" w14:textId="77777777" w:rsidR="007F3A31" w:rsidRDefault="007F3A31" w:rsidP="007F3A31">
      <w:r>
        <w:rPr>
          <w:rFonts w:asciiTheme="minorHAnsi" w:hAnsiTheme="minorHAnsi" w:cstheme="minorHAnsi"/>
        </w:rPr>
        <w:t xml:space="preserve">The Royal Commission identified the need for </w:t>
      </w:r>
      <w:r>
        <w:t xml:space="preserve">a public health approach, which highlights the importance of preventing future occurrences of child sexual abuse by understanding the scope and cause of the problem, and providing appropriate responses that motivate collective change. </w:t>
      </w:r>
    </w:p>
    <w:p w14:paraId="47FC6FF9" w14:textId="77777777" w:rsidR="007F3A31" w:rsidRDefault="007F3A31" w:rsidP="007F3A31">
      <w:pPr>
        <w:ind w:left="-2"/>
      </w:pPr>
      <w:r w:rsidRPr="0076390E">
        <w:rPr>
          <w:rFonts w:asciiTheme="minorHAnsi" w:hAnsiTheme="minorHAnsi" w:cstheme="minorHAnsi"/>
        </w:rPr>
        <w:t>Preventing child sexual abuse will have positive impacts that go well beyond ending the abuse itself</w:t>
      </w:r>
      <w:r>
        <w:rPr>
          <w:rFonts w:asciiTheme="minorHAnsi" w:hAnsiTheme="minorHAnsi" w:cstheme="minorHAnsi"/>
        </w:rPr>
        <w:t>:</w:t>
      </w:r>
      <w:r w:rsidRPr="0076390E">
        <w:rPr>
          <w:rFonts w:asciiTheme="minorHAnsi" w:hAnsiTheme="minorHAnsi" w:cstheme="minorHAnsi"/>
        </w:rPr>
        <w:t xml:space="preserve"> from better psychological, social and health outcomes for individuals, to creating families and communities that value our children</w:t>
      </w:r>
      <w:r>
        <w:rPr>
          <w:rFonts w:asciiTheme="minorHAnsi" w:hAnsiTheme="minorHAnsi" w:cstheme="minorHAnsi"/>
        </w:rPr>
        <w:t>,</w:t>
      </w:r>
      <w:r w:rsidRPr="0076390E">
        <w:rPr>
          <w:rFonts w:asciiTheme="minorHAnsi" w:hAnsiTheme="minorHAnsi" w:cstheme="minorHAnsi"/>
        </w:rPr>
        <w:t xml:space="preserve"> </w:t>
      </w:r>
      <w:r>
        <w:rPr>
          <w:rFonts w:asciiTheme="minorHAnsi" w:hAnsiTheme="minorHAnsi" w:cstheme="minorHAnsi"/>
        </w:rPr>
        <w:t>who can take</w:t>
      </w:r>
      <w:r w:rsidRPr="0076390E">
        <w:rPr>
          <w:rFonts w:asciiTheme="minorHAnsi" w:hAnsiTheme="minorHAnsi" w:cstheme="minorHAnsi"/>
        </w:rPr>
        <w:t xml:space="preserve"> active steps to prevent harm towards</w:t>
      </w:r>
      <w:r w:rsidRPr="00796172">
        <w:rPr>
          <w:rFonts w:asciiTheme="minorHAnsi" w:hAnsiTheme="minorHAnsi" w:cstheme="minorHAnsi"/>
        </w:rPr>
        <w:t xml:space="preserve"> them, </w:t>
      </w:r>
      <w:r w:rsidRPr="0076390E">
        <w:rPr>
          <w:rFonts w:asciiTheme="minorHAnsi" w:hAnsiTheme="minorHAnsi" w:cstheme="minorHAnsi"/>
        </w:rPr>
        <w:t xml:space="preserve">and </w:t>
      </w:r>
      <w:r>
        <w:rPr>
          <w:rFonts w:asciiTheme="minorHAnsi" w:hAnsiTheme="minorHAnsi" w:cstheme="minorHAnsi"/>
        </w:rPr>
        <w:t>enhance their</w:t>
      </w:r>
      <w:r w:rsidRPr="0076390E">
        <w:rPr>
          <w:rFonts w:asciiTheme="minorHAnsi" w:hAnsiTheme="minorHAnsi" w:cstheme="minorHAnsi"/>
        </w:rPr>
        <w:t xml:space="preserve"> wellbeing. </w:t>
      </w:r>
      <w:r>
        <w:t xml:space="preserve">To influence the health and wellbeing of the whole population, including tackling the issue of child sexual abuse, there is a need for interventions across all levels of society including families, communities and governments.  </w:t>
      </w:r>
    </w:p>
    <w:p w14:paraId="3A6087C9" w14:textId="77777777" w:rsidR="007F3A31" w:rsidRDefault="007F3A31" w:rsidP="007F3A31">
      <w:r>
        <w:t>Prevention can include influencing policy development, changing organisational practices, educating providers, raising community awareness and education, and strengthening practitioner knowledge and skills in order to:</w:t>
      </w:r>
    </w:p>
    <w:p w14:paraId="24460C2D" w14:textId="77777777" w:rsidR="007F3A31" w:rsidRDefault="007F3A31" w:rsidP="007F3A31">
      <w:pPr>
        <w:pStyle w:val="ListParagraph"/>
        <w:numPr>
          <w:ilvl w:val="0"/>
          <w:numId w:val="36"/>
        </w:numPr>
      </w:pPr>
      <w:r>
        <w:t>prevent abuse before it occurs by reducing risk factors and promoting safe, healthy environments and behaviours</w:t>
      </w:r>
    </w:p>
    <w:p w14:paraId="2E4DF23D" w14:textId="77777777" w:rsidR="007F3A31" w:rsidRDefault="007F3A31" w:rsidP="007F3A31">
      <w:pPr>
        <w:pStyle w:val="ListParagraph"/>
        <w:numPr>
          <w:ilvl w:val="0"/>
          <w:numId w:val="36"/>
        </w:numPr>
      </w:pPr>
      <w:r>
        <w:t>address problematic sexual behaviours in those at-risk of offending before any involvement with the legal system</w:t>
      </w:r>
    </w:p>
    <w:p w14:paraId="7F52EA78" w14:textId="77777777" w:rsidR="007F3A31" w:rsidRDefault="007F3A31" w:rsidP="007F3A31">
      <w:pPr>
        <w:pStyle w:val="ListParagraph"/>
        <w:numPr>
          <w:ilvl w:val="0"/>
          <w:numId w:val="36"/>
        </w:numPr>
      </w:pPr>
      <w:r>
        <w:t>provide support when child sexual abuse has already occurred to reduce the impact of the abuse and prevent further victimisation.</w:t>
      </w:r>
    </w:p>
    <w:p w14:paraId="52485B57" w14:textId="7DD79F1D" w:rsidR="009B1E23" w:rsidRDefault="007F3A31">
      <w:pPr>
        <w:spacing w:before="0" w:after="200" w:line="276" w:lineRule="auto"/>
        <w:rPr>
          <w:rFonts w:ascii="Georgia" w:eastAsiaTheme="majorEastAsia" w:hAnsi="Georgia" w:cstheme="majorBidi"/>
          <w:bCs/>
          <w:color w:val="005A70"/>
          <w:sz w:val="36"/>
          <w:szCs w:val="26"/>
        </w:rPr>
      </w:pPr>
      <w:r>
        <w:t>In summary, the National Centre will have a dual focus on improving sector capability to respond to child and adult survivors as well as stopping the problem over time.</w:t>
      </w:r>
    </w:p>
    <w:p w14:paraId="3CE4FA2A" w14:textId="77777777" w:rsidR="003961B3" w:rsidRPr="00191916" w:rsidRDefault="003961B3" w:rsidP="00C938DF">
      <w:pPr>
        <w:pStyle w:val="Heading2"/>
      </w:pPr>
      <w:bookmarkStart w:id="11" w:name="_Toc30775980"/>
      <w:r w:rsidRPr="00257C69">
        <w:t xml:space="preserve">Principles underpinning the </w:t>
      </w:r>
      <w:r w:rsidRPr="008622A8">
        <w:t>development</w:t>
      </w:r>
      <w:r w:rsidRPr="00257C69">
        <w:t xml:space="preserve"> and activities of the National</w:t>
      </w:r>
      <w:r>
        <w:t xml:space="preserve"> </w:t>
      </w:r>
      <w:r w:rsidRPr="00257C69">
        <w:t>Centre</w:t>
      </w:r>
      <w:bookmarkEnd w:id="11"/>
    </w:p>
    <w:p w14:paraId="375DE3C4" w14:textId="77777777" w:rsidR="003961B3" w:rsidRDefault="003961B3" w:rsidP="00BE6A4F">
      <w:pPr>
        <w:keepNext/>
        <w:spacing w:after="0"/>
      </w:pPr>
      <w:r>
        <w:t xml:space="preserve">The </w:t>
      </w:r>
      <w:r w:rsidR="009B0FAB">
        <w:t xml:space="preserve">National </w:t>
      </w:r>
      <w:r>
        <w:t>Centre will aim to:</w:t>
      </w:r>
    </w:p>
    <w:p w14:paraId="27F7AD1F" w14:textId="77777777" w:rsidR="003961B3" w:rsidRDefault="003961B3" w:rsidP="00BE6A4F">
      <w:pPr>
        <w:pStyle w:val="ListParagraph"/>
        <w:numPr>
          <w:ilvl w:val="0"/>
          <w:numId w:val="34"/>
        </w:numPr>
        <w:spacing w:before="0"/>
        <w:ind w:left="714" w:hanging="357"/>
      </w:pPr>
      <w:r>
        <w:t xml:space="preserve">work in partnership with those with lived experience, survivor advocates, representative organisations, service providers, peak bodies, non-government organisations, academics, those who advocate for the prevention of child sexual abuse and other interested parties </w:t>
      </w:r>
    </w:p>
    <w:p w14:paraId="63B94CB6" w14:textId="77777777" w:rsidR="003961B3" w:rsidRDefault="003961B3" w:rsidP="003961B3">
      <w:pPr>
        <w:pStyle w:val="ListParagraph"/>
        <w:numPr>
          <w:ilvl w:val="0"/>
          <w:numId w:val="34"/>
        </w:numPr>
      </w:pPr>
      <w:r>
        <w:t xml:space="preserve">expand knowledge and resources about child sexual abuse and have them easily accessible </w:t>
      </w:r>
    </w:p>
    <w:p w14:paraId="56C0C2C6" w14:textId="77777777" w:rsidR="003961B3" w:rsidRDefault="003961B3" w:rsidP="003961B3">
      <w:pPr>
        <w:pStyle w:val="ListParagraph"/>
        <w:numPr>
          <w:ilvl w:val="0"/>
          <w:numId w:val="34"/>
        </w:numPr>
      </w:pPr>
      <w:r>
        <w:t>build on and enhance the work of the Royal Commission to maintain and expand the push for change – to improve outcomes for survivors and to develop effective strategies to prevent child sexual abuse</w:t>
      </w:r>
    </w:p>
    <w:p w14:paraId="3BFD0BE8" w14:textId="77777777" w:rsidR="003961B3" w:rsidRDefault="003961B3" w:rsidP="00BE6A4F">
      <w:pPr>
        <w:pStyle w:val="ListParagraph"/>
        <w:numPr>
          <w:ilvl w:val="0"/>
          <w:numId w:val="34"/>
        </w:numPr>
        <w:spacing w:after="120"/>
        <w:ind w:left="714" w:hanging="357"/>
      </w:pPr>
      <w:r>
        <w:lastRenderedPageBreak/>
        <w:t>share</w:t>
      </w:r>
      <w:r w:rsidRPr="000951D2">
        <w:t xml:space="preserve"> </w:t>
      </w:r>
      <w:r>
        <w:t>available</w:t>
      </w:r>
      <w:r w:rsidR="004620D6">
        <w:t xml:space="preserve"> resources and</w:t>
      </w:r>
      <w:r>
        <w:t xml:space="preserve"> information about what is being done by others</w:t>
      </w:r>
      <w:r w:rsidR="008622A8">
        <w:t xml:space="preserve"> to share best practice and reduce</w:t>
      </w:r>
      <w:r>
        <w:t xml:space="preserve"> duplication of effort</w:t>
      </w:r>
      <w:r w:rsidR="008622A8">
        <w:t>.</w:t>
      </w:r>
    </w:p>
    <w:p w14:paraId="75BEA549" w14:textId="77777777" w:rsidR="00E92F3F" w:rsidRPr="009243BD" w:rsidRDefault="00E92F3F" w:rsidP="00C938DF">
      <w:pPr>
        <w:pStyle w:val="Heading2"/>
        <w:spacing w:after="0"/>
      </w:pPr>
      <w:bookmarkStart w:id="12" w:name="_Toc30775981"/>
      <w:r>
        <w:t>Your opportunity to contribute to the</w:t>
      </w:r>
      <w:r w:rsidRPr="009243BD">
        <w:t xml:space="preserve"> design of the National Centre</w:t>
      </w:r>
      <w:bookmarkEnd w:id="12"/>
    </w:p>
    <w:p w14:paraId="2DD7D1D7" w14:textId="54000FF9" w:rsidR="00E63528" w:rsidRPr="00BE6A4F" w:rsidRDefault="004B5EAE" w:rsidP="00BE6A4F">
      <w:r w:rsidRPr="00BE6A4F">
        <w:t xml:space="preserve">The </w:t>
      </w:r>
      <w:r w:rsidR="00AF40E6" w:rsidRPr="00BE6A4F">
        <w:t>Royal Commission identified that ongoing</w:t>
      </w:r>
      <w:r w:rsidRPr="00BE6A4F">
        <w:t xml:space="preserve"> </w:t>
      </w:r>
      <w:r w:rsidR="00B17595" w:rsidRPr="00BE6A4F">
        <w:t xml:space="preserve">national </w:t>
      </w:r>
      <w:r w:rsidRPr="00BE6A4F">
        <w:t>leadership</w:t>
      </w:r>
      <w:r w:rsidR="00B17595" w:rsidRPr="00BE6A4F">
        <w:t xml:space="preserve"> is necessary to improve outcomes for survivors of past child sexual abuse and prevent future child sexual abuse.</w:t>
      </w:r>
    </w:p>
    <w:p w14:paraId="4B99E35F" w14:textId="2171A7CA" w:rsidR="00CD52FA" w:rsidRPr="00BE6A4F" w:rsidRDefault="00966F7B" w:rsidP="00BE6A4F">
      <w:r w:rsidRPr="00BE6A4F">
        <w:t>The</w:t>
      </w:r>
      <w:r w:rsidR="00CD52FA" w:rsidRPr="00BE6A4F">
        <w:t xml:space="preserve"> </w:t>
      </w:r>
      <w:r w:rsidR="006D0944" w:rsidRPr="00BE6A4F">
        <w:t>department</w:t>
      </w:r>
      <w:r w:rsidR="00CD52FA" w:rsidRPr="00BE6A4F">
        <w:t xml:space="preserve"> is </w:t>
      </w:r>
      <w:r w:rsidR="006D0944" w:rsidRPr="00BE6A4F">
        <w:t>talking to people and organisations</w:t>
      </w:r>
      <w:r w:rsidR="00CD52FA" w:rsidRPr="00BE6A4F">
        <w:t xml:space="preserve"> to </w:t>
      </w:r>
      <w:r w:rsidR="006D0944" w:rsidRPr="00BE6A4F">
        <w:t xml:space="preserve">help </w:t>
      </w:r>
      <w:r w:rsidR="00CD52FA" w:rsidRPr="00BE6A4F">
        <w:t>design the scope, functions and priorities of the National Centre. F</w:t>
      </w:r>
      <w:r w:rsidR="00292DFE" w:rsidRPr="00BE6A4F">
        <w:t>eedback from s</w:t>
      </w:r>
      <w:r w:rsidR="00E92F3F" w:rsidRPr="00BE6A4F">
        <w:t>urvivor</w:t>
      </w:r>
      <w:r w:rsidR="00292DFE" w:rsidRPr="00BE6A4F">
        <w:t>s</w:t>
      </w:r>
      <w:r w:rsidR="00E92F3F" w:rsidRPr="00BE6A4F">
        <w:t xml:space="preserve"> and </w:t>
      </w:r>
      <w:r w:rsidR="00BA045F">
        <w:t xml:space="preserve">other </w:t>
      </w:r>
      <w:r w:rsidR="00E92F3F" w:rsidRPr="00BE6A4F">
        <w:t>stakeholder</w:t>
      </w:r>
      <w:r w:rsidR="00292DFE" w:rsidRPr="00BE6A4F">
        <w:t>s</w:t>
      </w:r>
      <w:r w:rsidR="00E92F3F" w:rsidRPr="00BE6A4F">
        <w:t xml:space="preserve"> is critical to the future success of the National Centre.</w:t>
      </w:r>
      <w:r w:rsidR="009C33A6" w:rsidRPr="00BE6A4F">
        <w:t xml:space="preserve"> </w:t>
      </w:r>
      <w:r w:rsidR="00CD52FA" w:rsidRPr="00BE6A4F">
        <w:t>This collaborative approach</w:t>
      </w:r>
      <w:r w:rsidR="00C20C8A" w:rsidRPr="00BE6A4F">
        <w:t xml:space="preserve"> will</w:t>
      </w:r>
      <w:r w:rsidR="00292DFE" w:rsidRPr="00BE6A4F">
        <w:t xml:space="preserve"> </w:t>
      </w:r>
      <w:r w:rsidR="000951D2" w:rsidRPr="00BE6A4F">
        <w:t>help</w:t>
      </w:r>
      <w:r w:rsidR="00CD52FA" w:rsidRPr="00BE6A4F">
        <w:t xml:space="preserve"> the </w:t>
      </w:r>
      <w:r w:rsidR="006D0944" w:rsidRPr="00BE6A4F">
        <w:t xml:space="preserve">department </w:t>
      </w:r>
      <w:r w:rsidR="00CD52FA" w:rsidRPr="00BE6A4F">
        <w:t>identify</w:t>
      </w:r>
      <w:r w:rsidR="00C20C8A" w:rsidRPr="00BE6A4F">
        <w:t xml:space="preserve"> a suitable </w:t>
      </w:r>
      <w:r w:rsidR="006D0944" w:rsidRPr="00BE6A4F">
        <w:t xml:space="preserve">organisation </w:t>
      </w:r>
      <w:r w:rsidR="00C20C8A" w:rsidRPr="00BE6A4F">
        <w:t xml:space="preserve">to </w:t>
      </w:r>
      <w:r w:rsidR="005E779F">
        <w:t>lead</w:t>
      </w:r>
      <w:r w:rsidR="006D0944" w:rsidRPr="00BE6A4F">
        <w:t xml:space="preserve"> </w:t>
      </w:r>
      <w:r w:rsidR="00C20C8A" w:rsidRPr="00BE6A4F">
        <w:t xml:space="preserve">the </w:t>
      </w:r>
      <w:r w:rsidR="005E779F">
        <w:t xml:space="preserve">work of the </w:t>
      </w:r>
      <w:r w:rsidR="00C20C8A" w:rsidRPr="00BE6A4F">
        <w:t xml:space="preserve">National Centre, independent of government. </w:t>
      </w:r>
    </w:p>
    <w:p w14:paraId="69B48B2D" w14:textId="203EAC2E" w:rsidR="00396A9B" w:rsidRPr="00BE6A4F" w:rsidRDefault="00901678" w:rsidP="00BE6A4F">
      <w:r w:rsidRPr="00BE6A4F">
        <w:t xml:space="preserve">Throughout October to December 2019, the </w:t>
      </w:r>
      <w:r w:rsidR="004620D6" w:rsidRPr="00BE6A4F">
        <w:t xml:space="preserve">department </w:t>
      </w:r>
      <w:r w:rsidR="000951D2" w:rsidRPr="00BE6A4F">
        <w:t>held</w:t>
      </w:r>
      <w:r w:rsidR="00383B95" w:rsidRPr="00BE6A4F">
        <w:t xml:space="preserve"> </w:t>
      </w:r>
      <w:r w:rsidR="00081D5E" w:rsidRPr="00BE6A4F">
        <w:t>face</w:t>
      </w:r>
      <w:r w:rsidR="00772952" w:rsidRPr="00BE6A4F">
        <w:t>-</w:t>
      </w:r>
      <w:r w:rsidR="00081D5E" w:rsidRPr="00BE6A4F">
        <w:t>to</w:t>
      </w:r>
      <w:r w:rsidR="00772952" w:rsidRPr="00BE6A4F">
        <w:t>-</w:t>
      </w:r>
      <w:r w:rsidR="00081D5E" w:rsidRPr="00BE6A4F">
        <w:t>face</w:t>
      </w:r>
      <w:r w:rsidRPr="00BE6A4F">
        <w:t xml:space="preserve"> consultation</w:t>
      </w:r>
      <w:r w:rsidR="00081D5E" w:rsidRPr="00BE6A4F">
        <w:t>s</w:t>
      </w:r>
      <w:r w:rsidRPr="00BE6A4F">
        <w:t xml:space="preserve"> with </w:t>
      </w:r>
      <w:r w:rsidR="00D445FE" w:rsidRPr="00BE6A4F">
        <w:t xml:space="preserve">non-government and government stakeholders, </w:t>
      </w:r>
      <w:r w:rsidR="000951D2">
        <w:t>including</w:t>
      </w:r>
      <w:r w:rsidR="000951D2" w:rsidRPr="00F20BBC">
        <w:t xml:space="preserve"> </w:t>
      </w:r>
      <w:r w:rsidR="000951D2">
        <w:t xml:space="preserve">survivor </w:t>
      </w:r>
      <w:r w:rsidR="000951D2" w:rsidRPr="00F20BBC">
        <w:t xml:space="preserve">advocacy groups, people who work with </w:t>
      </w:r>
      <w:r w:rsidR="007F3A31">
        <w:t>child and adult</w:t>
      </w:r>
      <w:r w:rsidR="000951D2" w:rsidRPr="00F20BBC">
        <w:t xml:space="preserve"> survivors, </w:t>
      </w:r>
      <w:r w:rsidR="000951D2">
        <w:t>academics, peak bodies</w:t>
      </w:r>
      <w:r w:rsidR="006D0944">
        <w:t>,</w:t>
      </w:r>
      <w:r w:rsidR="000951D2">
        <w:t xml:space="preserve"> </w:t>
      </w:r>
      <w:r w:rsidR="000951D2" w:rsidRPr="00F20BBC">
        <w:t xml:space="preserve">national and local organisations who </w:t>
      </w:r>
      <w:r w:rsidR="000951D2">
        <w:t>provide services</w:t>
      </w:r>
      <w:r w:rsidR="006D0944">
        <w:t xml:space="preserve">, and </w:t>
      </w:r>
      <w:r w:rsidR="006D0944" w:rsidRPr="00F20BBC">
        <w:t>policy and decision makers</w:t>
      </w:r>
      <w:r w:rsidR="004B6F07" w:rsidRPr="00BE6A4F">
        <w:t xml:space="preserve">. </w:t>
      </w:r>
    </w:p>
    <w:p w14:paraId="4E4C2B1E" w14:textId="77777777" w:rsidR="004B6F07" w:rsidRPr="00BE6A4F" w:rsidRDefault="004B6F07" w:rsidP="00BE6A4F">
      <w:r w:rsidRPr="00BE6A4F">
        <w:t>T</w:t>
      </w:r>
      <w:r w:rsidR="00E92F3F" w:rsidRPr="00BE6A4F">
        <w:t xml:space="preserve">he </w:t>
      </w:r>
      <w:r w:rsidR="006D0944" w:rsidRPr="00BE6A4F">
        <w:t xml:space="preserve">department </w:t>
      </w:r>
      <w:r w:rsidR="008B345C" w:rsidRPr="00BE6A4F">
        <w:t xml:space="preserve">has developed </w:t>
      </w:r>
      <w:r w:rsidR="005070D1" w:rsidRPr="00BE6A4F">
        <w:t>a</w:t>
      </w:r>
      <w:r w:rsidR="00772952" w:rsidRPr="00BE6A4F">
        <w:t>n</w:t>
      </w:r>
      <w:r w:rsidR="00E92F3F" w:rsidRPr="00BE6A4F">
        <w:t xml:space="preserve"> online survey</w:t>
      </w:r>
      <w:r w:rsidRPr="00BE6A4F">
        <w:t xml:space="preserve"> to </w:t>
      </w:r>
      <w:r w:rsidR="000951D2" w:rsidRPr="00BE6A4F">
        <w:t>give</w:t>
      </w:r>
      <w:r w:rsidRPr="00BE6A4F">
        <w:t xml:space="preserve"> </w:t>
      </w:r>
      <w:r w:rsidR="005B6ADA" w:rsidRPr="00BE6A4F">
        <w:t xml:space="preserve">all </w:t>
      </w:r>
      <w:r w:rsidRPr="00BE6A4F">
        <w:t>Australians</w:t>
      </w:r>
      <w:r w:rsidR="005B6ADA" w:rsidRPr="00BE6A4F">
        <w:t xml:space="preserve"> </w:t>
      </w:r>
      <w:r w:rsidRPr="00BE6A4F">
        <w:t xml:space="preserve">an opportunity to </w:t>
      </w:r>
      <w:r w:rsidR="000951D2" w:rsidRPr="00BE6A4F">
        <w:t xml:space="preserve">have their say on </w:t>
      </w:r>
      <w:r w:rsidRPr="00BE6A4F">
        <w:t>the scope, functions and priorities for the National Centre</w:t>
      </w:r>
      <w:r w:rsidR="00577BC7" w:rsidRPr="00BE6A4F">
        <w:t xml:space="preserve">. </w:t>
      </w:r>
    </w:p>
    <w:p w14:paraId="5B1EFBB5" w14:textId="77777777" w:rsidR="00B50A79" w:rsidRPr="00BE6A4F" w:rsidRDefault="005E779F" w:rsidP="00BE6A4F">
      <w:r>
        <w:t>W</w:t>
      </w:r>
      <w:r w:rsidR="00B50A79" w:rsidRPr="00BE6A4F">
        <w:t xml:space="preserve">hile recommendation 9.9 of the Royal Commission Final Report is focused on establishing the National Centre, the National Centre </w:t>
      </w:r>
      <w:r w:rsidR="009B1E23">
        <w:t>will not</w:t>
      </w:r>
      <w:r w:rsidR="00B50A79" w:rsidRPr="00BE6A4F">
        <w:t xml:space="preserve"> deliver services. However, given the breadth of recommendations, there will be synergies </w:t>
      </w:r>
      <w:r w:rsidR="009B1E23">
        <w:t xml:space="preserve">between the National Centre and </w:t>
      </w:r>
      <w:r w:rsidR="00B50A79" w:rsidRPr="00BE6A4F">
        <w:t xml:space="preserve">other recommendations to ensure necessary services are delivered. </w:t>
      </w:r>
    </w:p>
    <w:p w14:paraId="4EAB387A" w14:textId="17E5B46B" w:rsidR="00383B95" w:rsidRDefault="00B50A79" w:rsidP="00BE6A4F">
      <w:pPr>
        <w:rPr>
          <w:rFonts w:eastAsiaTheme="majorEastAsia"/>
        </w:rPr>
      </w:pPr>
      <w:r w:rsidRPr="00BE6A4F">
        <w:t xml:space="preserve">With this in mind, your contribution to the National Centre consultations will focus on helping to shape what the National Centre will provide. </w:t>
      </w:r>
      <w:r w:rsidR="009B1E23">
        <w:t xml:space="preserve"> </w:t>
      </w:r>
      <w:r w:rsidR="00577BC7" w:rsidRPr="00BE6A4F">
        <w:t xml:space="preserve">The </w:t>
      </w:r>
      <w:r w:rsidR="008F672E" w:rsidRPr="00BE6A4F">
        <w:t xml:space="preserve">online </w:t>
      </w:r>
      <w:r w:rsidR="00577BC7" w:rsidRPr="00BE6A4F">
        <w:t>survey</w:t>
      </w:r>
      <w:r w:rsidR="00E92F3F" w:rsidRPr="00BE6A4F">
        <w:t xml:space="preserve"> </w:t>
      </w:r>
      <w:r w:rsidR="008B345C" w:rsidRPr="00BE6A4F">
        <w:t xml:space="preserve">will be </w:t>
      </w:r>
      <w:r w:rsidR="005070D1" w:rsidRPr="00BE6A4F">
        <w:t xml:space="preserve">available </w:t>
      </w:r>
      <w:r w:rsidR="00C20C8A" w:rsidRPr="00BE6A4F">
        <w:t>during</w:t>
      </w:r>
      <w:r w:rsidR="004A0440" w:rsidRPr="00BE6A4F">
        <w:t xml:space="preserve"> </w:t>
      </w:r>
      <w:r w:rsidR="00E92F3F" w:rsidRPr="00BE6A4F">
        <w:t>February 2020</w:t>
      </w:r>
      <w:r w:rsidR="009A73B2" w:rsidRPr="00BE6A4F">
        <w:t xml:space="preserve"> </w:t>
      </w:r>
      <w:r w:rsidR="004B6F07">
        <w:rPr>
          <w:rFonts w:eastAsiaTheme="majorEastAsia"/>
        </w:rPr>
        <w:t xml:space="preserve">and will close at </w:t>
      </w:r>
      <w:r w:rsidR="004B6F07" w:rsidRPr="00061076">
        <w:rPr>
          <w:rFonts w:asciiTheme="minorHAnsi" w:hAnsiTheme="minorHAnsi" w:cstheme="minorHAnsi"/>
          <w:b/>
        </w:rPr>
        <w:t xml:space="preserve">11:59pm on </w:t>
      </w:r>
      <w:r w:rsidR="004B6F07">
        <w:rPr>
          <w:rFonts w:asciiTheme="minorHAnsi" w:hAnsiTheme="minorHAnsi" w:cstheme="minorHAnsi"/>
          <w:b/>
        </w:rPr>
        <w:t xml:space="preserve">Sunday </w:t>
      </w:r>
      <w:r w:rsidR="00087745">
        <w:rPr>
          <w:rFonts w:asciiTheme="minorHAnsi" w:hAnsiTheme="minorHAnsi" w:cstheme="minorHAnsi"/>
          <w:b/>
        </w:rPr>
        <w:t>15</w:t>
      </w:r>
      <w:bookmarkStart w:id="13" w:name="_GoBack"/>
      <w:bookmarkEnd w:id="13"/>
      <w:r w:rsidR="009B1E23">
        <w:rPr>
          <w:rFonts w:asciiTheme="minorHAnsi" w:hAnsiTheme="minorHAnsi" w:cstheme="minorHAnsi"/>
          <w:b/>
        </w:rPr>
        <w:t xml:space="preserve"> </w:t>
      </w:r>
      <w:r w:rsidR="004B6F07">
        <w:rPr>
          <w:rFonts w:asciiTheme="minorHAnsi" w:hAnsiTheme="minorHAnsi" w:cstheme="minorHAnsi"/>
          <w:b/>
        </w:rPr>
        <w:t>March</w:t>
      </w:r>
      <w:r w:rsidR="004B6F07" w:rsidRPr="00061076">
        <w:rPr>
          <w:rFonts w:asciiTheme="minorHAnsi" w:hAnsiTheme="minorHAnsi" w:cstheme="minorHAnsi"/>
          <w:b/>
        </w:rPr>
        <w:t xml:space="preserve"> 2020</w:t>
      </w:r>
      <w:r w:rsidR="004B6F07">
        <w:rPr>
          <w:rFonts w:asciiTheme="minorHAnsi" w:hAnsiTheme="minorHAnsi" w:cstheme="minorHAnsi"/>
          <w:b/>
        </w:rPr>
        <w:t>.</w:t>
      </w:r>
    </w:p>
    <w:p w14:paraId="19A2857A" w14:textId="77777777" w:rsidR="005B6ADA" w:rsidRDefault="00577BC7" w:rsidP="00BE6A4F">
      <w:pPr>
        <w:rPr>
          <w:rFonts w:asciiTheme="minorHAnsi" w:eastAsia="Calibri" w:hAnsiTheme="minorHAnsi" w:cstheme="minorHAnsi"/>
          <w:u w:val="single"/>
        </w:rPr>
      </w:pPr>
      <w:r>
        <w:t xml:space="preserve">This paper </w:t>
      </w:r>
      <w:r w:rsidR="000951D2">
        <w:t>gives more information about the recommendation and what the survey will ask</w:t>
      </w:r>
      <w:r>
        <w:t xml:space="preserve">. </w:t>
      </w:r>
      <w:r w:rsidR="005B6ADA" w:rsidRPr="00944E52">
        <w:rPr>
          <w:rFonts w:asciiTheme="minorHAnsi" w:eastAsia="Calibri" w:hAnsiTheme="minorHAnsi" w:cstheme="minorHAnsi"/>
        </w:rPr>
        <w:t xml:space="preserve">To find out more visit </w:t>
      </w:r>
      <w:hyperlink r:id="rId16" w:history="1">
        <w:r w:rsidR="005B6ADA" w:rsidRPr="009D2788">
          <w:rPr>
            <w:rStyle w:val="Hyperlink"/>
            <w:rFonts w:asciiTheme="minorHAnsi" w:eastAsiaTheme="majorEastAsia" w:hAnsiTheme="minorHAnsi" w:cstheme="minorHAnsi"/>
            <w:b/>
            <w:bCs/>
            <w:color w:val="00575C" w:themeColor="accent5" w:themeShade="80"/>
            <w:sz w:val="24"/>
            <w:lang w:val="en"/>
          </w:rPr>
          <w:t>engage.dss.gov.au</w:t>
        </w:r>
      </w:hyperlink>
      <w:r w:rsidR="005B6ADA">
        <w:rPr>
          <w:rFonts w:asciiTheme="minorHAnsi" w:eastAsia="Calibri" w:hAnsiTheme="minorHAnsi" w:cstheme="minorHAnsi"/>
        </w:rPr>
        <w:t xml:space="preserve"> </w:t>
      </w:r>
      <w:r w:rsidR="005B6ADA" w:rsidRPr="00944E52">
        <w:rPr>
          <w:rFonts w:asciiTheme="minorHAnsi" w:eastAsia="Calibri" w:hAnsiTheme="minorHAnsi" w:cstheme="minorHAnsi"/>
        </w:rPr>
        <w:t>or you can</w:t>
      </w:r>
      <w:r w:rsidR="005B6ADA" w:rsidRPr="00257C69">
        <w:rPr>
          <w:rStyle w:val="Hyperlink"/>
          <w:rFonts w:asciiTheme="minorHAnsi" w:eastAsiaTheme="majorEastAsia" w:hAnsiTheme="minorHAnsi" w:cstheme="minorHAnsi"/>
          <w:b/>
          <w:bCs/>
          <w:color w:val="00575C" w:themeColor="accent5" w:themeShade="80"/>
          <w:sz w:val="24"/>
          <w:u w:val="none"/>
          <w:lang w:val="en"/>
        </w:rPr>
        <w:t xml:space="preserve"> </w:t>
      </w:r>
      <w:r w:rsidR="005B6ADA" w:rsidRPr="00333A48">
        <w:rPr>
          <w:rFonts w:asciiTheme="minorHAnsi" w:eastAsia="Calibri" w:hAnsiTheme="minorHAnsi" w:cstheme="minorHAnsi"/>
        </w:rPr>
        <w:t xml:space="preserve">contact the Department of Social Services at </w:t>
      </w:r>
      <w:hyperlink r:id="rId17" w:history="1">
        <w:r w:rsidR="005B6ADA" w:rsidRPr="00A100EB">
          <w:rPr>
            <w:rStyle w:val="Hyperlink"/>
            <w:rFonts w:asciiTheme="minorHAnsi" w:eastAsia="Calibri" w:hAnsiTheme="minorHAnsi" w:cstheme="minorHAnsi"/>
            <w:sz w:val="24"/>
          </w:rPr>
          <w:t>nationalcentre@dss.gov.au</w:t>
        </w:r>
      </w:hyperlink>
      <w:r w:rsidR="005B6ADA" w:rsidRPr="00333A48">
        <w:rPr>
          <w:rFonts w:asciiTheme="minorHAnsi" w:eastAsia="Calibri" w:hAnsiTheme="minorHAnsi" w:cstheme="minorHAnsi"/>
          <w:u w:val="single"/>
        </w:rPr>
        <w:t>.</w:t>
      </w:r>
    </w:p>
    <w:p w14:paraId="0AE7550B" w14:textId="77777777" w:rsidR="00387290" w:rsidRPr="00333A48" w:rsidRDefault="009B1E23" w:rsidP="00C938DF">
      <w:pPr>
        <w:rPr>
          <w:rFonts w:asciiTheme="minorHAnsi" w:hAnsiTheme="minorHAnsi" w:cstheme="minorHAnsi"/>
        </w:rPr>
      </w:pPr>
      <w:r>
        <w:t>Definitions for a number of key words used in this paper and the survey are in the</w:t>
      </w:r>
      <w:r w:rsidR="00FB7CDD">
        <w:t xml:space="preserve"> glossary </w:t>
      </w:r>
      <w:r w:rsidR="001E1B68">
        <w:t>on page 10</w:t>
      </w:r>
      <w:r w:rsidR="00FB7CDD">
        <w:t>.</w:t>
      </w:r>
    </w:p>
    <w:p w14:paraId="67B6318E" w14:textId="0EC25251" w:rsidR="00387290" w:rsidRPr="002D6018" w:rsidRDefault="00387290" w:rsidP="009D5AC2">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rPr>
          <w:rFonts w:asciiTheme="minorHAnsi" w:hAnsiTheme="minorHAnsi" w:cstheme="minorHAnsi"/>
          <w:sz w:val="20"/>
          <w:szCs w:val="20"/>
        </w:rPr>
      </w:pPr>
      <w:r w:rsidRPr="002D6018">
        <w:rPr>
          <w:rFonts w:ascii="Georgia" w:eastAsiaTheme="majorEastAsia" w:hAnsi="Georgia" w:cstheme="majorBidi"/>
          <w:b/>
          <w:bCs/>
          <w:color w:val="24596E"/>
          <w:sz w:val="28"/>
          <w:szCs w:val="28"/>
        </w:rPr>
        <w:t>Have your say - please participate in the survey:</w:t>
      </w:r>
      <w:r w:rsidRPr="002D6018">
        <w:rPr>
          <w:rFonts w:ascii="Georgia" w:eastAsiaTheme="majorEastAsia" w:hAnsi="Georgia" w:cstheme="majorBidi"/>
          <w:b/>
          <w:bCs/>
          <w:color w:val="24596E"/>
          <w:sz w:val="28"/>
          <w:szCs w:val="28"/>
        </w:rPr>
        <w:br/>
      </w:r>
      <w:hyperlink r:id="rId18" w:history="1">
        <w:r w:rsidR="009D5AC2">
          <w:rPr>
            <w:rStyle w:val="Hyperlink"/>
            <w:rFonts w:asciiTheme="minorHAnsi" w:hAnsiTheme="minorHAnsi" w:cstheme="minorHAnsi"/>
            <w:sz w:val="28"/>
            <w:szCs w:val="28"/>
          </w:rPr>
          <w:t>https://engage.dss.gov.au</w:t>
        </w:r>
      </w:hyperlink>
    </w:p>
    <w:p w14:paraId="5397F505" w14:textId="77777777" w:rsidR="00DB01D6" w:rsidRPr="008622A8" w:rsidRDefault="00257C69" w:rsidP="00BE6A4F">
      <w:pPr>
        <w:pStyle w:val="Heading1"/>
      </w:pPr>
      <w:r>
        <w:br w:type="page"/>
      </w:r>
      <w:bookmarkStart w:id="14" w:name="_Toc30775982"/>
      <w:r w:rsidR="00F61F79" w:rsidRPr="008622A8">
        <w:lastRenderedPageBreak/>
        <w:t xml:space="preserve">Part Two:  </w:t>
      </w:r>
      <w:r w:rsidR="00DB01D6" w:rsidRPr="008622A8">
        <w:t>Breaking down Recommendation 9.9</w:t>
      </w:r>
      <w:bookmarkEnd w:id="14"/>
    </w:p>
    <w:p w14:paraId="079F91E5" w14:textId="77777777" w:rsidR="00181046" w:rsidRDefault="00D56F95" w:rsidP="00BE6A4F">
      <w:pPr>
        <w:pStyle w:val="Heading2"/>
      </w:pPr>
      <w:bookmarkStart w:id="15" w:name="_Toc30775983"/>
      <w:r>
        <w:t xml:space="preserve">9.9a </w:t>
      </w:r>
      <w:r w:rsidR="00181046" w:rsidRPr="004871C2">
        <w:t>Raising community awareness and reducing stigma</w:t>
      </w:r>
      <w:bookmarkEnd w:id="15"/>
    </w:p>
    <w:p w14:paraId="0FAC9FD6" w14:textId="43A88A79" w:rsidR="009C587C" w:rsidRPr="00E54673" w:rsidRDefault="009C587C" w:rsidP="0013605A">
      <w:pPr>
        <w:rPr>
          <w:rFonts w:asciiTheme="minorHAnsi" w:hAnsiTheme="minorHAnsi" w:cstheme="minorHAnsi"/>
        </w:rPr>
      </w:pPr>
      <w:r>
        <w:t>T</w:t>
      </w:r>
      <w:r w:rsidRPr="009C587C">
        <w:t>he Royal Commission has</w:t>
      </w:r>
      <w:r w:rsidR="006242E3">
        <w:t xml:space="preserve"> </w:t>
      </w:r>
      <w:r w:rsidR="000951D2">
        <w:t>helped</w:t>
      </w:r>
      <w:r w:rsidR="008F672E">
        <w:t xml:space="preserve"> to increase</w:t>
      </w:r>
      <w:r w:rsidRPr="009C587C">
        <w:t xml:space="preserve"> awareness of the issue of child sexual abuse within the community</w:t>
      </w:r>
      <w:r>
        <w:t xml:space="preserve">. </w:t>
      </w:r>
      <w:r w:rsidRPr="006838B6">
        <w:rPr>
          <w:rFonts w:asciiTheme="minorHAnsi" w:hAnsiTheme="minorHAnsi" w:cstheme="minorHAnsi"/>
        </w:rPr>
        <w:t xml:space="preserve">Public awareness </w:t>
      </w:r>
      <w:r w:rsidR="003413EB">
        <w:rPr>
          <w:rFonts w:asciiTheme="minorHAnsi" w:hAnsiTheme="minorHAnsi" w:cstheme="minorHAnsi"/>
        </w:rPr>
        <w:t>helps</w:t>
      </w:r>
      <w:r w:rsidRPr="006838B6">
        <w:rPr>
          <w:rFonts w:asciiTheme="minorHAnsi" w:hAnsiTheme="minorHAnsi" w:cstheme="minorHAnsi"/>
        </w:rPr>
        <w:t xml:space="preserve"> to</w:t>
      </w:r>
      <w:r>
        <w:rPr>
          <w:rFonts w:asciiTheme="minorHAnsi" w:hAnsiTheme="minorHAnsi" w:cstheme="minorHAnsi"/>
        </w:rPr>
        <w:t xml:space="preserve"> </w:t>
      </w:r>
      <w:r w:rsidR="006F1A74">
        <w:rPr>
          <w:rFonts w:asciiTheme="minorHAnsi" w:hAnsiTheme="minorHAnsi" w:cstheme="minorHAnsi"/>
        </w:rPr>
        <w:t xml:space="preserve">improve </w:t>
      </w:r>
      <w:r w:rsidR="0013605A">
        <w:rPr>
          <w:rFonts w:asciiTheme="minorHAnsi" w:hAnsiTheme="minorHAnsi" w:cstheme="minorHAnsi"/>
        </w:rPr>
        <w:t xml:space="preserve">knowledge </w:t>
      </w:r>
      <w:r>
        <w:rPr>
          <w:rFonts w:asciiTheme="minorHAnsi" w:hAnsiTheme="minorHAnsi" w:cstheme="minorHAnsi"/>
        </w:rPr>
        <w:t xml:space="preserve">about the impacts of child sexual abuse on the lives of </w:t>
      </w:r>
      <w:r w:rsidR="007F3A31">
        <w:rPr>
          <w:rFonts w:asciiTheme="minorHAnsi" w:hAnsiTheme="minorHAnsi" w:cstheme="minorHAnsi"/>
        </w:rPr>
        <w:t>child and adult</w:t>
      </w:r>
      <w:r w:rsidR="00BA045F">
        <w:rPr>
          <w:rFonts w:asciiTheme="minorHAnsi" w:hAnsiTheme="minorHAnsi" w:cstheme="minorHAnsi"/>
        </w:rPr>
        <w:t xml:space="preserve"> survivors</w:t>
      </w:r>
      <w:r>
        <w:rPr>
          <w:rFonts w:asciiTheme="minorHAnsi" w:hAnsiTheme="minorHAnsi" w:cstheme="minorHAnsi"/>
        </w:rPr>
        <w:t>, reduc</w:t>
      </w:r>
      <w:r w:rsidR="006F1A74">
        <w:rPr>
          <w:rFonts w:asciiTheme="minorHAnsi" w:hAnsiTheme="minorHAnsi" w:cstheme="minorHAnsi"/>
        </w:rPr>
        <w:t>e</w:t>
      </w:r>
      <w:r>
        <w:rPr>
          <w:rFonts w:asciiTheme="minorHAnsi" w:hAnsiTheme="minorHAnsi" w:cstheme="minorHAnsi"/>
        </w:rPr>
        <w:t xml:space="preserve"> stigma and</w:t>
      </w:r>
      <w:r w:rsidRPr="006838B6">
        <w:rPr>
          <w:rFonts w:asciiTheme="minorHAnsi" w:hAnsiTheme="minorHAnsi" w:cstheme="minorHAnsi"/>
        </w:rPr>
        <w:t xml:space="preserve"> </w:t>
      </w:r>
      <w:r w:rsidR="006F1A74">
        <w:rPr>
          <w:rFonts w:asciiTheme="minorHAnsi" w:hAnsiTheme="minorHAnsi" w:cstheme="minorHAnsi"/>
        </w:rPr>
        <w:t xml:space="preserve">help </w:t>
      </w:r>
      <w:r w:rsidRPr="006838B6">
        <w:rPr>
          <w:rFonts w:asciiTheme="minorHAnsi" w:hAnsiTheme="minorHAnsi" w:cstheme="minorHAnsi"/>
        </w:rPr>
        <w:t xml:space="preserve">prevent child </w:t>
      </w:r>
      <w:r>
        <w:rPr>
          <w:rFonts w:asciiTheme="minorHAnsi" w:hAnsiTheme="minorHAnsi" w:cstheme="minorHAnsi"/>
        </w:rPr>
        <w:t>sex</w:t>
      </w:r>
      <w:r w:rsidR="00B657E5">
        <w:rPr>
          <w:rFonts w:asciiTheme="minorHAnsi" w:hAnsiTheme="minorHAnsi" w:cstheme="minorHAnsi"/>
        </w:rPr>
        <w:t>ual</w:t>
      </w:r>
      <w:r>
        <w:rPr>
          <w:rFonts w:asciiTheme="minorHAnsi" w:hAnsiTheme="minorHAnsi" w:cstheme="minorHAnsi"/>
        </w:rPr>
        <w:t xml:space="preserve"> </w:t>
      </w:r>
      <w:r w:rsidRPr="006838B6">
        <w:rPr>
          <w:rFonts w:asciiTheme="minorHAnsi" w:hAnsiTheme="minorHAnsi" w:cstheme="minorHAnsi"/>
        </w:rPr>
        <w:t>abuse</w:t>
      </w:r>
      <w:r w:rsidR="0013605A">
        <w:rPr>
          <w:rFonts w:asciiTheme="minorHAnsi" w:hAnsiTheme="minorHAnsi" w:cstheme="minorHAnsi"/>
        </w:rPr>
        <w:t>.</w:t>
      </w:r>
    </w:p>
    <w:p w14:paraId="6C7C9D92" w14:textId="77777777" w:rsidR="004915FD" w:rsidRDefault="003E6AE9" w:rsidP="005E44F5">
      <w:r>
        <w:t>In order t</w:t>
      </w:r>
      <w:r w:rsidR="00373784">
        <w:t>o protect</w:t>
      </w:r>
      <w:r w:rsidR="0045377D">
        <w:t xml:space="preserve"> </w:t>
      </w:r>
      <w:r w:rsidR="00373784">
        <w:t>children</w:t>
      </w:r>
      <w:r w:rsidR="004620D6">
        <w:t>;</w:t>
      </w:r>
      <w:r w:rsidR="0013605A" w:rsidRPr="0013605A">
        <w:t xml:space="preserve"> individuals, institutions and communities </w:t>
      </w:r>
      <w:r w:rsidR="0013605A">
        <w:t xml:space="preserve">need to </w:t>
      </w:r>
      <w:r w:rsidR="0013605A" w:rsidRPr="0013605A">
        <w:t xml:space="preserve">understand the dynamics and effects of child sexual abuse, and be able to identify it and respond </w:t>
      </w:r>
      <w:r w:rsidR="00E75201">
        <w:t xml:space="preserve">to it </w:t>
      </w:r>
      <w:r w:rsidR="0013605A" w:rsidRPr="0013605A">
        <w:t xml:space="preserve">effectively. However, national and international research has </w:t>
      </w:r>
      <w:r w:rsidR="006F1A74">
        <w:t>shown</w:t>
      </w:r>
      <w:r w:rsidR="006F1A74" w:rsidRPr="0013605A">
        <w:t xml:space="preserve"> </w:t>
      </w:r>
      <w:r w:rsidR="0013605A" w:rsidRPr="0013605A">
        <w:t>a continuing lack of understanding of child sexual abuse</w:t>
      </w:r>
      <w:r w:rsidR="004915FD">
        <w:t xml:space="preserve"> and </w:t>
      </w:r>
      <w:r w:rsidR="0013605A" w:rsidRPr="0013605A">
        <w:t>related issues within communit</w:t>
      </w:r>
      <w:r w:rsidR="006F1A74">
        <w:t>ies</w:t>
      </w:r>
      <w:bookmarkStart w:id="16" w:name="_Hlk27470985"/>
      <w:r w:rsidR="0013605A">
        <w:t xml:space="preserve">. </w:t>
      </w:r>
    </w:p>
    <w:p w14:paraId="03B5D929" w14:textId="10A2FB45" w:rsidR="003E6AE9" w:rsidRDefault="00E75201" w:rsidP="005E44F5">
      <w:r>
        <w:t>T</w:t>
      </w:r>
      <w:r w:rsidRPr="005E44F5">
        <w:t xml:space="preserve">he impact on </w:t>
      </w:r>
      <w:r w:rsidR="00FE2A2D">
        <w:t>child and adult</w:t>
      </w:r>
      <w:r w:rsidRPr="005E44F5">
        <w:t xml:space="preserve"> survivors and their families can be far reaching</w:t>
      </w:r>
      <w:r>
        <w:t xml:space="preserve"> w</w:t>
      </w:r>
      <w:r w:rsidR="004915FD" w:rsidRPr="005E44F5">
        <w:t xml:space="preserve">hen the community lacks understanding about the nature, extent and impact of child sexual abuse or does not have the </w:t>
      </w:r>
      <w:r w:rsidR="00FC0922">
        <w:t xml:space="preserve">knowledge or </w:t>
      </w:r>
      <w:r w:rsidR="004915FD" w:rsidRPr="005E44F5">
        <w:t xml:space="preserve">confidence to respond to disclosures. The impacts of stigma can </w:t>
      </w:r>
      <w:r w:rsidR="006F1A74">
        <w:t>lead to</w:t>
      </w:r>
      <w:r w:rsidR="004915FD" w:rsidRPr="005E44F5">
        <w:t xml:space="preserve"> discrimination, rejection, isolation, shame, self-blame, and poor physical and mental health.</w:t>
      </w:r>
      <w:r w:rsidR="003E6AE9">
        <w:t xml:space="preserve"> Many child sexual abuse survivors told the Royal Commission they experienced </w:t>
      </w:r>
      <w:r w:rsidR="00FC0922">
        <w:t>these responses</w:t>
      </w:r>
      <w:r w:rsidR="003E6AE9">
        <w:t xml:space="preserve"> within their communities. </w:t>
      </w:r>
    </w:p>
    <w:p w14:paraId="7258BBC1" w14:textId="065F19E1" w:rsidR="00C5645B" w:rsidRDefault="00C5645B" w:rsidP="00D87012">
      <w:pPr>
        <w:rPr>
          <w:rFonts w:eastAsiaTheme="minorEastAsia"/>
        </w:rPr>
      </w:pPr>
      <w:r w:rsidRPr="0013605A">
        <w:rPr>
          <w:rFonts w:eastAsiaTheme="minorEastAsia"/>
        </w:rPr>
        <w:t xml:space="preserve">Effective awareness campaigns can </w:t>
      </w:r>
      <w:r w:rsidR="005D5F4B">
        <w:rPr>
          <w:rFonts w:eastAsiaTheme="minorEastAsia"/>
        </w:rPr>
        <w:t>encourage</w:t>
      </w:r>
      <w:r w:rsidR="00CA4A42">
        <w:rPr>
          <w:rFonts w:eastAsiaTheme="minorEastAsia"/>
        </w:rPr>
        <w:t xml:space="preserve"> </w:t>
      </w:r>
      <w:r w:rsidR="00FE2A2D">
        <w:rPr>
          <w:rFonts w:eastAsiaTheme="minorEastAsia"/>
        </w:rPr>
        <w:t>child and adult</w:t>
      </w:r>
      <w:r w:rsidR="00BA045F">
        <w:rPr>
          <w:rFonts w:eastAsiaTheme="minorEastAsia"/>
        </w:rPr>
        <w:t xml:space="preserve"> survivors</w:t>
      </w:r>
      <w:r w:rsidR="00CA4A42">
        <w:rPr>
          <w:rFonts w:eastAsiaTheme="minorEastAsia"/>
        </w:rPr>
        <w:t xml:space="preserve"> of child sexual abuse </w:t>
      </w:r>
      <w:r w:rsidR="005D5F4B">
        <w:rPr>
          <w:rFonts w:eastAsiaTheme="minorEastAsia"/>
        </w:rPr>
        <w:t xml:space="preserve">to </w:t>
      </w:r>
      <w:r w:rsidR="006F1A74">
        <w:rPr>
          <w:rFonts w:eastAsiaTheme="minorEastAsia"/>
        </w:rPr>
        <w:t>seek</w:t>
      </w:r>
      <w:r w:rsidR="00182221">
        <w:rPr>
          <w:rFonts w:eastAsiaTheme="minorEastAsia"/>
        </w:rPr>
        <w:t xml:space="preserve"> </w:t>
      </w:r>
      <w:r w:rsidR="00CA4A42">
        <w:rPr>
          <w:rFonts w:eastAsiaTheme="minorEastAsia"/>
        </w:rPr>
        <w:t xml:space="preserve">information and </w:t>
      </w:r>
      <w:r w:rsidR="00966F7B" w:rsidRPr="0013605A">
        <w:rPr>
          <w:rFonts w:eastAsiaTheme="minorEastAsia"/>
        </w:rPr>
        <w:t>services</w:t>
      </w:r>
      <w:r w:rsidR="00966F7B">
        <w:rPr>
          <w:rFonts w:eastAsiaTheme="minorEastAsia"/>
        </w:rPr>
        <w:t>;</w:t>
      </w:r>
      <w:r w:rsidR="00CA4A42">
        <w:rPr>
          <w:rFonts w:eastAsiaTheme="minorEastAsia"/>
        </w:rPr>
        <w:t xml:space="preserve"> </w:t>
      </w:r>
      <w:r w:rsidRPr="0013605A">
        <w:rPr>
          <w:rFonts w:eastAsiaTheme="minorEastAsia"/>
        </w:rPr>
        <w:t>promote healthy parenting practices</w:t>
      </w:r>
      <w:r w:rsidR="006F1A74">
        <w:rPr>
          <w:rFonts w:eastAsiaTheme="minorEastAsia"/>
        </w:rPr>
        <w:t xml:space="preserve"> and</w:t>
      </w:r>
      <w:r w:rsidRPr="0013605A">
        <w:rPr>
          <w:rFonts w:eastAsiaTheme="minorEastAsia"/>
        </w:rPr>
        <w:t xml:space="preserve"> child safety skills</w:t>
      </w:r>
      <w:r w:rsidR="006F1A74">
        <w:rPr>
          <w:rFonts w:eastAsiaTheme="minorEastAsia"/>
        </w:rPr>
        <w:t xml:space="preserve"> in communities</w:t>
      </w:r>
      <w:r w:rsidR="007F5E6E">
        <w:rPr>
          <w:rFonts w:eastAsiaTheme="minorEastAsia"/>
        </w:rPr>
        <w:t>;</w:t>
      </w:r>
      <w:r w:rsidRPr="0013605A">
        <w:rPr>
          <w:rFonts w:eastAsiaTheme="minorEastAsia"/>
        </w:rPr>
        <w:t xml:space="preserve"> and </w:t>
      </w:r>
      <w:r w:rsidR="006F1A74">
        <w:rPr>
          <w:rFonts w:eastAsiaTheme="minorEastAsia"/>
        </w:rPr>
        <w:t xml:space="preserve">make sure everyone knows the </w:t>
      </w:r>
      <w:r w:rsidRPr="0013605A">
        <w:rPr>
          <w:rFonts w:eastAsiaTheme="minorEastAsia"/>
        </w:rPr>
        <w:t>protocols for responding to suspected abuse.</w:t>
      </w:r>
      <w:r w:rsidR="006D0944">
        <w:rPr>
          <w:rFonts w:eastAsiaTheme="minorEastAsia"/>
        </w:rPr>
        <w:t xml:space="preserve"> They can also help support survivors.</w:t>
      </w:r>
    </w:p>
    <w:p w14:paraId="5127CE5A" w14:textId="77777777" w:rsidR="00577BC7" w:rsidRPr="005E44F5" w:rsidRDefault="00577BC7" w:rsidP="00BE6A4F">
      <w:pPr>
        <w:pStyle w:val="Heading3"/>
        <w:rPr>
          <w:rFonts w:eastAsiaTheme="minorEastAsia"/>
        </w:rPr>
      </w:pPr>
      <w:bookmarkStart w:id="17" w:name="_Toc30775984"/>
      <w:bookmarkEnd w:id="16"/>
      <w:r w:rsidRPr="005E44F5">
        <w:t>Reducing</w:t>
      </w:r>
      <w:r w:rsidRPr="005E44F5">
        <w:rPr>
          <w:rFonts w:eastAsiaTheme="minorEastAsia"/>
        </w:rPr>
        <w:t xml:space="preserve"> </w:t>
      </w:r>
      <w:r w:rsidR="006D0944">
        <w:t>s</w:t>
      </w:r>
      <w:r w:rsidR="006D0944" w:rsidRPr="005E44F5">
        <w:t>tigma</w:t>
      </w:r>
      <w:bookmarkEnd w:id="17"/>
    </w:p>
    <w:p w14:paraId="7F243A9E" w14:textId="77777777" w:rsidR="00CD31BF" w:rsidRDefault="0022489A">
      <w:pPr>
        <w:rPr>
          <w:rFonts w:eastAsiaTheme="minorEastAsia"/>
        </w:rPr>
      </w:pPr>
      <w:r>
        <w:rPr>
          <w:rFonts w:eastAsiaTheme="minorEastAsia"/>
        </w:rPr>
        <w:t xml:space="preserve">The Royal Commission </w:t>
      </w:r>
      <w:r w:rsidR="00C80CA0">
        <w:rPr>
          <w:rFonts w:eastAsiaTheme="minorEastAsia"/>
        </w:rPr>
        <w:t>found</w:t>
      </w:r>
      <w:r>
        <w:rPr>
          <w:rFonts w:eastAsiaTheme="minorEastAsia"/>
        </w:rPr>
        <w:t xml:space="preserve"> </w:t>
      </w:r>
      <w:r w:rsidR="00373784">
        <w:rPr>
          <w:rFonts w:eastAsiaTheme="minorEastAsia"/>
        </w:rPr>
        <w:t xml:space="preserve">that </w:t>
      </w:r>
      <w:r w:rsidRPr="0022489A">
        <w:rPr>
          <w:rFonts w:eastAsiaTheme="minorEastAsia"/>
        </w:rPr>
        <w:t>problematic community attitudes and behaviour can contribute to child sexual abuse</w:t>
      </w:r>
      <w:r w:rsidR="00182221">
        <w:rPr>
          <w:rFonts w:eastAsiaTheme="minorEastAsia"/>
        </w:rPr>
        <w:t xml:space="preserve">. </w:t>
      </w:r>
      <w:r w:rsidR="004620D6">
        <w:rPr>
          <w:rFonts w:eastAsiaTheme="minorEastAsia"/>
        </w:rPr>
        <w:t>P</w:t>
      </w:r>
      <w:r w:rsidR="004620D6" w:rsidRPr="004620D6">
        <w:rPr>
          <w:rFonts w:eastAsiaTheme="minorEastAsia"/>
        </w:rPr>
        <w:t>roblematic community attitudes</w:t>
      </w:r>
      <w:r w:rsidR="00182221">
        <w:rPr>
          <w:rFonts w:eastAsiaTheme="minorEastAsia"/>
        </w:rPr>
        <w:t xml:space="preserve"> can </w:t>
      </w:r>
      <w:r w:rsidR="006F1A74">
        <w:rPr>
          <w:rFonts w:eastAsiaTheme="minorEastAsia"/>
        </w:rPr>
        <w:t>lead to</w:t>
      </w:r>
      <w:r w:rsidRPr="0022489A">
        <w:rPr>
          <w:rFonts w:eastAsiaTheme="minorEastAsia"/>
        </w:rPr>
        <w:t xml:space="preserve"> children being overlooked, minimised, </w:t>
      </w:r>
      <w:r w:rsidR="006F1A74">
        <w:rPr>
          <w:rFonts w:eastAsiaTheme="minorEastAsia"/>
        </w:rPr>
        <w:t xml:space="preserve">or </w:t>
      </w:r>
      <w:r w:rsidRPr="0022489A">
        <w:rPr>
          <w:rFonts w:eastAsiaTheme="minorEastAsia"/>
        </w:rPr>
        <w:t>denied</w:t>
      </w:r>
      <w:r w:rsidR="004620D6">
        <w:rPr>
          <w:rFonts w:eastAsiaTheme="minorEastAsia"/>
        </w:rPr>
        <w:t>;</w:t>
      </w:r>
      <w:r w:rsidRPr="0022489A">
        <w:rPr>
          <w:rFonts w:eastAsiaTheme="minorEastAsia"/>
        </w:rPr>
        <w:t xml:space="preserve"> </w:t>
      </w:r>
      <w:r w:rsidR="00182221">
        <w:rPr>
          <w:rFonts w:eastAsiaTheme="minorEastAsia"/>
        </w:rPr>
        <w:t>and child sexual abuse</w:t>
      </w:r>
      <w:r w:rsidRPr="0022489A">
        <w:rPr>
          <w:rFonts w:eastAsiaTheme="minorEastAsia"/>
        </w:rPr>
        <w:t xml:space="preserve"> </w:t>
      </w:r>
      <w:r w:rsidR="00182221">
        <w:rPr>
          <w:rFonts w:eastAsiaTheme="minorEastAsia"/>
        </w:rPr>
        <w:t>being</w:t>
      </w:r>
      <w:r w:rsidRPr="0022489A">
        <w:rPr>
          <w:rFonts w:eastAsiaTheme="minorEastAsia"/>
        </w:rPr>
        <w:t xml:space="preserve"> tolerated and </w:t>
      </w:r>
      <w:r w:rsidR="006D0944">
        <w:rPr>
          <w:rFonts w:eastAsiaTheme="minorEastAsia"/>
        </w:rPr>
        <w:t>continued</w:t>
      </w:r>
      <w:r w:rsidRPr="0022489A">
        <w:rPr>
          <w:rFonts w:eastAsiaTheme="minorEastAsia"/>
        </w:rPr>
        <w:t xml:space="preserve">. </w:t>
      </w:r>
    </w:p>
    <w:p w14:paraId="2BE9BD21" w14:textId="09707CEC" w:rsidR="00832CFE" w:rsidRDefault="0022489A">
      <w:r w:rsidRPr="0022489A">
        <w:rPr>
          <w:rFonts w:eastAsiaTheme="minorEastAsia"/>
        </w:rPr>
        <w:t>Social taboos and stigmatisation also create barriers to</w:t>
      </w:r>
      <w:r w:rsidR="005D5F4B">
        <w:rPr>
          <w:rFonts w:eastAsiaTheme="minorEastAsia"/>
        </w:rPr>
        <w:t xml:space="preserve"> those </w:t>
      </w:r>
      <w:r w:rsidRPr="0022489A">
        <w:rPr>
          <w:rFonts w:eastAsiaTheme="minorEastAsia"/>
        </w:rPr>
        <w:t>seeking help</w:t>
      </w:r>
      <w:r w:rsidR="00373784">
        <w:rPr>
          <w:rFonts w:eastAsiaTheme="minorEastAsia"/>
        </w:rPr>
        <w:t xml:space="preserve">. </w:t>
      </w:r>
      <w:r w:rsidR="00FE2A2D">
        <w:t>Child and adult</w:t>
      </w:r>
      <w:r w:rsidR="00BA045F">
        <w:t xml:space="preserve"> survivors </w:t>
      </w:r>
      <w:r w:rsidR="00832CFE">
        <w:t>are less</w:t>
      </w:r>
      <w:r w:rsidR="00E96F57">
        <w:t xml:space="preserve"> </w:t>
      </w:r>
      <w:r w:rsidR="00832CFE">
        <w:t>likely to seek help when</w:t>
      </w:r>
      <w:r w:rsidR="003E6AE9">
        <w:t xml:space="preserve"> </w:t>
      </w:r>
      <w:r w:rsidR="00B657E5">
        <w:t>the people they approach might respond poorly</w:t>
      </w:r>
      <w:r w:rsidR="00832CFE">
        <w:t xml:space="preserve">. </w:t>
      </w:r>
      <w:r w:rsidR="00CD31BF">
        <w:t>Negative reactions are re-traumatising for survivors and can prevent future disclosures.</w:t>
      </w:r>
    </w:p>
    <w:p w14:paraId="41096D09" w14:textId="15C09FDF" w:rsidR="00CD31BF" w:rsidRDefault="00CD31BF">
      <w:r>
        <w:t xml:space="preserve">Raising awareness of the nature and impact of child sexual abuse </w:t>
      </w:r>
      <w:r w:rsidR="008F337E">
        <w:t xml:space="preserve">may </w:t>
      </w:r>
      <w:r>
        <w:t xml:space="preserve">help to break the stigma some </w:t>
      </w:r>
      <w:r w:rsidR="00FE2A2D">
        <w:t>child and adult</w:t>
      </w:r>
      <w:r w:rsidR="007F5E6E">
        <w:t xml:space="preserve"> </w:t>
      </w:r>
      <w:r>
        <w:t xml:space="preserve">survivors experience. </w:t>
      </w:r>
    </w:p>
    <w:p w14:paraId="21A8C824" w14:textId="77777777" w:rsidR="00CB521E" w:rsidRDefault="0015231E" w:rsidP="00BE6A4F">
      <w:pPr>
        <w:rPr>
          <w:rFonts w:asciiTheme="minorHAnsi" w:hAnsiTheme="minorHAnsi" w:cstheme="minorHAnsi"/>
        </w:rPr>
      </w:pPr>
      <w:r>
        <w:rPr>
          <w:rFonts w:asciiTheme="minorHAnsi" w:hAnsiTheme="minorHAnsi" w:cstheme="minorHAnsi"/>
        </w:rPr>
        <w:t>S</w:t>
      </w:r>
      <w:r w:rsidR="00CB521E">
        <w:rPr>
          <w:rFonts w:asciiTheme="minorHAnsi" w:hAnsiTheme="minorHAnsi" w:cstheme="minorHAnsi"/>
        </w:rPr>
        <w:t>trategies to</w:t>
      </w:r>
      <w:r>
        <w:rPr>
          <w:rFonts w:asciiTheme="minorHAnsi" w:hAnsiTheme="minorHAnsi" w:cstheme="minorHAnsi"/>
        </w:rPr>
        <w:t xml:space="preserve"> help</w:t>
      </w:r>
      <w:r w:rsidR="00CB521E">
        <w:rPr>
          <w:rFonts w:asciiTheme="minorHAnsi" w:hAnsiTheme="minorHAnsi" w:cstheme="minorHAnsi"/>
        </w:rPr>
        <w:t xml:space="preserve"> reduce stigma</w:t>
      </w:r>
      <w:r w:rsidR="00F10A7C">
        <w:rPr>
          <w:rFonts w:asciiTheme="minorHAnsi" w:hAnsiTheme="minorHAnsi" w:cstheme="minorHAnsi"/>
        </w:rPr>
        <w:t xml:space="preserve"> can include</w:t>
      </w:r>
      <w:r>
        <w:rPr>
          <w:rFonts w:asciiTheme="minorHAnsi" w:hAnsiTheme="minorHAnsi" w:cstheme="minorHAnsi"/>
        </w:rPr>
        <w:t>:</w:t>
      </w:r>
      <w:r w:rsidR="00CB521E">
        <w:rPr>
          <w:rFonts w:asciiTheme="minorHAnsi" w:hAnsiTheme="minorHAnsi" w:cstheme="minorHAnsi"/>
        </w:rPr>
        <w:t xml:space="preserve"> </w:t>
      </w:r>
    </w:p>
    <w:p w14:paraId="6312C6B2" w14:textId="19C1EBC1" w:rsidR="008F337E" w:rsidRDefault="00CB521E" w:rsidP="00BE6A4F">
      <w:pPr>
        <w:pStyle w:val="ListParagraph"/>
        <w:numPr>
          <w:ilvl w:val="0"/>
          <w:numId w:val="17"/>
        </w:numPr>
        <w:rPr>
          <w:rFonts w:asciiTheme="minorHAnsi" w:hAnsiTheme="minorHAnsi" w:cstheme="minorHAnsi"/>
        </w:rPr>
      </w:pPr>
      <w:r>
        <w:rPr>
          <w:rFonts w:asciiTheme="minorHAnsi" w:hAnsiTheme="minorHAnsi" w:cstheme="minorHAnsi"/>
        </w:rPr>
        <w:t>provide</w:t>
      </w:r>
      <w:r w:rsidRPr="008333BB">
        <w:rPr>
          <w:rFonts w:asciiTheme="minorHAnsi" w:hAnsiTheme="minorHAnsi" w:cstheme="minorHAnsi"/>
        </w:rPr>
        <w:t xml:space="preserve"> support to </w:t>
      </w:r>
      <w:r w:rsidR="00FE2A2D">
        <w:rPr>
          <w:rFonts w:asciiTheme="minorHAnsi" w:hAnsiTheme="minorHAnsi" w:cstheme="minorHAnsi"/>
        </w:rPr>
        <w:t>child and adult</w:t>
      </w:r>
      <w:r w:rsidRPr="008333BB">
        <w:rPr>
          <w:rFonts w:asciiTheme="minorHAnsi" w:hAnsiTheme="minorHAnsi" w:cstheme="minorHAnsi"/>
        </w:rPr>
        <w:t xml:space="preserve"> survivors to </w:t>
      </w:r>
      <w:r w:rsidR="00F10A7C">
        <w:rPr>
          <w:rFonts w:asciiTheme="minorHAnsi" w:hAnsiTheme="minorHAnsi" w:cstheme="minorHAnsi"/>
        </w:rPr>
        <w:t>help</w:t>
      </w:r>
      <w:r w:rsidR="00F10A7C" w:rsidRPr="008333BB">
        <w:rPr>
          <w:rFonts w:asciiTheme="minorHAnsi" w:hAnsiTheme="minorHAnsi" w:cstheme="minorHAnsi"/>
        </w:rPr>
        <w:t xml:space="preserve"> </w:t>
      </w:r>
      <w:r w:rsidRPr="008333BB">
        <w:rPr>
          <w:rFonts w:asciiTheme="minorHAnsi" w:hAnsiTheme="minorHAnsi" w:cstheme="minorHAnsi"/>
        </w:rPr>
        <w:t>their recovery</w:t>
      </w:r>
    </w:p>
    <w:p w14:paraId="625D8EA7" w14:textId="77777777" w:rsidR="00CB521E" w:rsidRDefault="008F337E" w:rsidP="00BE6A4F">
      <w:pPr>
        <w:pStyle w:val="ListParagraph"/>
        <w:numPr>
          <w:ilvl w:val="0"/>
          <w:numId w:val="17"/>
        </w:numPr>
        <w:rPr>
          <w:rFonts w:asciiTheme="minorHAnsi" w:hAnsiTheme="minorHAnsi" w:cstheme="minorHAnsi"/>
        </w:rPr>
      </w:pPr>
      <w:r>
        <w:rPr>
          <w:rFonts w:asciiTheme="minorHAnsi" w:hAnsiTheme="minorHAnsi" w:cstheme="minorHAnsi"/>
        </w:rPr>
        <w:t>address barriers to disclosure and help-seeking</w:t>
      </w:r>
      <w:r w:rsidR="00CB521E" w:rsidRPr="008333BB">
        <w:rPr>
          <w:rFonts w:asciiTheme="minorHAnsi" w:hAnsiTheme="minorHAnsi" w:cstheme="minorHAnsi"/>
        </w:rPr>
        <w:t xml:space="preserve"> </w:t>
      </w:r>
    </w:p>
    <w:p w14:paraId="5661A0E2" w14:textId="77777777" w:rsidR="00CB521E" w:rsidRDefault="00CD31BF" w:rsidP="00BE6A4F">
      <w:pPr>
        <w:pStyle w:val="ListParagraph"/>
        <w:numPr>
          <w:ilvl w:val="0"/>
          <w:numId w:val="17"/>
        </w:numPr>
        <w:rPr>
          <w:rFonts w:asciiTheme="minorHAnsi" w:hAnsiTheme="minorHAnsi" w:cstheme="minorHAnsi"/>
        </w:rPr>
      </w:pPr>
      <w:r>
        <w:t xml:space="preserve">raise community awareness and </w:t>
      </w:r>
      <w:r w:rsidRPr="00AD1689">
        <w:t>change misunderstandings</w:t>
      </w:r>
      <w:r w:rsidRPr="00817AE2">
        <w:t xml:space="preserve"> </w:t>
      </w:r>
      <w:r>
        <w:t>about</w:t>
      </w:r>
      <w:r w:rsidRPr="00817AE2">
        <w:t xml:space="preserve"> child sexual abuse</w:t>
      </w:r>
      <w:r w:rsidR="00CB521E">
        <w:rPr>
          <w:rFonts w:asciiTheme="minorHAnsi" w:hAnsiTheme="minorHAnsi" w:cstheme="minorHAnsi"/>
        </w:rPr>
        <w:t>.</w:t>
      </w:r>
    </w:p>
    <w:p w14:paraId="7A65EECA" w14:textId="77777777" w:rsidR="00C4061E" w:rsidRDefault="00C4061E" w:rsidP="009A1567">
      <w:pPr>
        <w:pBdr>
          <w:top w:val="single" w:sz="4" w:space="1" w:color="auto"/>
          <w:left w:val="single" w:sz="4" w:space="4" w:color="auto"/>
          <w:bottom w:val="single" w:sz="4" w:space="1" w:color="auto"/>
          <w:right w:val="single" w:sz="4" w:space="4" w:color="auto"/>
        </w:pBdr>
        <w:shd w:val="clear" w:color="auto" w:fill="EFF9F9" w:themeFill="accent3" w:themeFillTint="33"/>
        <w:spacing w:line="276" w:lineRule="auto"/>
        <w:rPr>
          <w:rFonts w:asciiTheme="minorHAnsi" w:eastAsiaTheme="minorEastAsia" w:hAnsiTheme="minorHAnsi" w:cstheme="minorHAnsi"/>
          <w:color w:val="000000" w:themeColor="text1"/>
          <w:spacing w:val="0"/>
          <w:kern w:val="24"/>
        </w:rPr>
      </w:pPr>
      <w:r>
        <w:rPr>
          <w:rFonts w:asciiTheme="minorHAnsi" w:eastAsiaTheme="minorEastAsia" w:hAnsiTheme="minorHAnsi" w:cstheme="minorHAnsi"/>
          <w:color w:val="000000" w:themeColor="text1"/>
          <w:spacing w:val="0"/>
          <w:kern w:val="24"/>
        </w:rPr>
        <w:t xml:space="preserve">In the survey you will be asked </w:t>
      </w:r>
      <w:r w:rsidR="00F10A7C">
        <w:rPr>
          <w:rFonts w:asciiTheme="minorHAnsi" w:eastAsiaTheme="minorEastAsia" w:hAnsiTheme="minorHAnsi" w:cstheme="minorHAnsi"/>
          <w:color w:val="000000" w:themeColor="text1"/>
          <w:spacing w:val="0"/>
          <w:kern w:val="24"/>
        </w:rPr>
        <w:t>about</w:t>
      </w:r>
      <w:r>
        <w:rPr>
          <w:rFonts w:asciiTheme="minorHAnsi" w:eastAsiaTheme="minorEastAsia" w:hAnsiTheme="minorHAnsi" w:cstheme="minorHAnsi"/>
          <w:color w:val="000000" w:themeColor="text1"/>
          <w:spacing w:val="0"/>
          <w:kern w:val="24"/>
        </w:rPr>
        <w:t xml:space="preserve"> strategies you think might help raise awareness about child sexual abuse</w:t>
      </w:r>
      <w:r w:rsidR="00C14ACA">
        <w:rPr>
          <w:rFonts w:asciiTheme="minorHAnsi" w:eastAsiaTheme="minorEastAsia" w:hAnsiTheme="minorHAnsi" w:cstheme="minorHAnsi"/>
          <w:color w:val="000000" w:themeColor="text1"/>
          <w:spacing w:val="0"/>
          <w:kern w:val="24"/>
        </w:rPr>
        <w:t>.</w:t>
      </w:r>
    </w:p>
    <w:p w14:paraId="3386C2C8" w14:textId="77777777" w:rsidR="00050DB5" w:rsidRDefault="00050DB5" w:rsidP="00BE6A4F">
      <w:pPr>
        <w:pStyle w:val="Heading2"/>
        <w:keepNext/>
        <w:keepLines/>
      </w:pPr>
      <w:bookmarkStart w:id="18" w:name="_Toc26528094"/>
      <w:bookmarkStart w:id="19" w:name="_Toc26528124"/>
      <w:bookmarkStart w:id="20" w:name="_Toc30775985"/>
      <w:bookmarkEnd w:id="18"/>
      <w:bookmarkEnd w:id="19"/>
      <w:r>
        <w:lastRenderedPageBreak/>
        <w:t xml:space="preserve">9.9b Improved sector </w:t>
      </w:r>
      <w:r w:rsidR="00B44BCF">
        <w:t xml:space="preserve">knowledge and </w:t>
      </w:r>
      <w:r>
        <w:t>capability</w:t>
      </w:r>
      <w:bookmarkEnd w:id="20"/>
    </w:p>
    <w:p w14:paraId="53EB2ED3" w14:textId="1A1D5694" w:rsidR="00050DB5" w:rsidRDefault="00050DB5" w:rsidP="00BE6A4F">
      <w:pPr>
        <w:keepNext/>
        <w:keepLines/>
      </w:pPr>
      <w:r>
        <w:t xml:space="preserve">One of the </w:t>
      </w:r>
      <w:r w:rsidR="00FC0922">
        <w:t>considerations in</w:t>
      </w:r>
      <w:r>
        <w:t xml:space="preserve"> </w:t>
      </w:r>
      <w:r w:rsidR="00FC0922">
        <w:t xml:space="preserve">thinking about </w:t>
      </w:r>
      <w:r>
        <w:t xml:space="preserve">child sexual abuse prevention and responses is </w:t>
      </w:r>
      <w:r w:rsidR="00F10A7C">
        <w:t>that there are lots of people and organisations in the community who have direct contact with children</w:t>
      </w:r>
      <w:r w:rsidR="008F337E">
        <w:t xml:space="preserve"> and adults who have been sexually abused</w:t>
      </w:r>
      <w:r w:rsidR="00F10A7C">
        <w:t>.  Examples include</w:t>
      </w:r>
      <w:r>
        <w:t xml:space="preserve"> counsellors, </w:t>
      </w:r>
      <w:r w:rsidR="005E779F">
        <w:t xml:space="preserve">psychologists, </w:t>
      </w:r>
      <w:r>
        <w:t>teachers,</w:t>
      </w:r>
      <w:r w:rsidR="005E779F">
        <w:t xml:space="preserve"> police</w:t>
      </w:r>
      <w:r w:rsidR="00F10A7C">
        <w:t xml:space="preserve">, </w:t>
      </w:r>
      <w:r w:rsidR="005E779F">
        <w:t xml:space="preserve">youth leaders, coaches and </w:t>
      </w:r>
      <w:r>
        <w:t>social workers</w:t>
      </w:r>
      <w:r w:rsidR="005E779F">
        <w:t>.</w:t>
      </w:r>
      <w:r>
        <w:t xml:space="preserve"> </w:t>
      </w:r>
      <w:r w:rsidR="00F10A7C">
        <w:t>These people can</w:t>
      </w:r>
      <w:r>
        <w:t xml:space="preserve"> play an important role in preventing and detecting child sexual abuse, and therefore need adequate training. </w:t>
      </w:r>
    </w:p>
    <w:p w14:paraId="00702907" w14:textId="7CEA6263" w:rsidR="00050DB5" w:rsidRDefault="007F3A31" w:rsidP="00D75456">
      <w:r>
        <w:t>P</w:t>
      </w:r>
      <w:r w:rsidR="005E779F">
        <w:t xml:space="preserve">eople </w:t>
      </w:r>
      <w:r w:rsidR="00050DB5">
        <w:t xml:space="preserve">working with children </w:t>
      </w:r>
      <w:r w:rsidR="008F337E">
        <w:t xml:space="preserve">and adults </w:t>
      </w:r>
      <w:r>
        <w:t xml:space="preserve">may </w:t>
      </w:r>
      <w:r w:rsidR="00800A60">
        <w:t>not receive specific</w:t>
      </w:r>
      <w:r w:rsidR="00050DB5">
        <w:t xml:space="preserve"> education and training about child sexual abuse, and </w:t>
      </w:r>
      <w:r w:rsidR="005E779F">
        <w:t xml:space="preserve">workers </w:t>
      </w:r>
      <w:r w:rsidR="00050DB5">
        <w:t xml:space="preserve">indicate they have limited knowledge about grooming and sexually inappropriate online behaviours. </w:t>
      </w:r>
      <w:r w:rsidR="00F10A7C">
        <w:t>In addition</w:t>
      </w:r>
      <w:r w:rsidR="00050DB5">
        <w:t xml:space="preserve">, due to the lack of coordinated information and education, </w:t>
      </w:r>
      <w:r w:rsidR="005E779F">
        <w:t>workers</w:t>
      </w:r>
      <w:r w:rsidR="00050DB5">
        <w:t xml:space="preserve"> may access</w:t>
      </w:r>
      <w:r w:rsidR="00B657E5">
        <w:t xml:space="preserve"> different</w:t>
      </w:r>
      <w:r w:rsidR="00050DB5">
        <w:t xml:space="preserve"> information and resources.  </w:t>
      </w:r>
    </w:p>
    <w:p w14:paraId="69E292E2" w14:textId="46CD62C1" w:rsidR="00FD15C6" w:rsidRDefault="00050DB5" w:rsidP="00D75456">
      <w:pPr>
        <w:rPr>
          <w:iCs/>
        </w:rPr>
      </w:pPr>
      <w:r w:rsidRPr="001A14C0">
        <w:rPr>
          <w:iCs/>
        </w:rPr>
        <w:t xml:space="preserve">In order to respond effectively to the needs of </w:t>
      </w:r>
      <w:r w:rsidR="008F337E">
        <w:rPr>
          <w:iCs/>
        </w:rPr>
        <w:t xml:space="preserve">all </w:t>
      </w:r>
      <w:r w:rsidR="00FE2A2D">
        <w:rPr>
          <w:iCs/>
        </w:rPr>
        <w:t>child and adult</w:t>
      </w:r>
      <w:r w:rsidRPr="001A14C0">
        <w:rPr>
          <w:iCs/>
        </w:rPr>
        <w:t xml:space="preserve"> survivors, service providers </w:t>
      </w:r>
      <w:r>
        <w:rPr>
          <w:iCs/>
        </w:rPr>
        <w:t>need to</w:t>
      </w:r>
      <w:r w:rsidRPr="001A14C0">
        <w:rPr>
          <w:iCs/>
        </w:rPr>
        <w:t xml:space="preserve"> understand the impacts of child sexual abuse, how to respond appropriately to trauma, and be able to work </w:t>
      </w:r>
      <w:r>
        <w:rPr>
          <w:iCs/>
        </w:rPr>
        <w:t xml:space="preserve">in a </w:t>
      </w:r>
      <w:r w:rsidRPr="001A14C0">
        <w:rPr>
          <w:iCs/>
        </w:rPr>
        <w:t>flexibl</w:t>
      </w:r>
      <w:r>
        <w:rPr>
          <w:iCs/>
        </w:rPr>
        <w:t>e and coordinated way.</w:t>
      </w:r>
    </w:p>
    <w:p w14:paraId="3429E1CA" w14:textId="77777777" w:rsidR="00050DB5" w:rsidRPr="00371714" w:rsidRDefault="00FD15C6">
      <w:r>
        <w:rPr>
          <w:iCs/>
        </w:rPr>
        <w:t>There is a need</w:t>
      </w:r>
      <w:r w:rsidR="00371714">
        <w:rPr>
          <w:iCs/>
        </w:rPr>
        <w:t xml:space="preserve"> </w:t>
      </w:r>
      <w:r w:rsidR="00C87BD3">
        <w:rPr>
          <w:iCs/>
        </w:rPr>
        <w:t>for</w:t>
      </w:r>
      <w:r>
        <w:rPr>
          <w:iCs/>
        </w:rPr>
        <w:t xml:space="preserve"> </w:t>
      </w:r>
      <w:r w:rsidR="009D2788">
        <w:rPr>
          <w:iCs/>
        </w:rPr>
        <w:t xml:space="preserve">service providers </w:t>
      </w:r>
      <w:r w:rsidR="00C87BD3">
        <w:rPr>
          <w:iCs/>
        </w:rPr>
        <w:t>to</w:t>
      </w:r>
      <w:r>
        <w:rPr>
          <w:iCs/>
        </w:rPr>
        <w:t xml:space="preserve"> have</w:t>
      </w:r>
      <w:r w:rsidR="00371714">
        <w:rPr>
          <w:iCs/>
        </w:rPr>
        <w:t xml:space="preserve"> access to credible and evidence-based </w:t>
      </w:r>
      <w:r w:rsidR="00371714">
        <w:t>training, education and resources</w:t>
      </w:r>
      <w:r>
        <w:t xml:space="preserve">. </w:t>
      </w:r>
    </w:p>
    <w:p w14:paraId="45C7C0B9" w14:textId="60E6F025" w:rsidR="00C87BD3" w:rsidRDefault="009D529C">
      <w:pPr>
        <w:rPr>
          <w:iCs/>
        </w:rPr>
      </w:pPr>
      <w:r>
        <w:rPr>
          <w:iCs/>
        </w:rPr>
        <w:t>Workers</w:t>
      </w:r>
      <w:r w:rsidR="00050DB5" w:rsidRPr="007B6C4F">
        <w:rPr>
          <w:iCs/>
        </w:rPr>
        <w:t xml:space="preserve"> without the right skills, knowledge and support mechanisms not only </w:t>
      </w:r>
      <w:r>
        <w:rPr>
          <w:iCs/>
        </w:rPr>
        <w:t>affect</w:t>
      </w:r>
      <w:r w:rsidR="00C97647" w:rsidRPr="007B6C4F">
        <w:rPr>
          <w:iCs/>
        </w:rPr>
        <w:t xml:space="preserve"> </w:t>
      </w:r>
      <w:r w:rsidR="00050DB5" w:rsidRPr="007B6C4F">
        <w:rPr>
          <w:iCs/>
        </w:rPr>
        <w:t>the quality of service</w:t>
      </w:r>
      <w:r w:rsidR="00800A60">
        <w:rPr>
          <w:iCs/>
        </w:rPr>
        <w:t>s</w:t>
      </w:r>
      <w:r w:rsidR="00050DB5" w:rsidRPr="007B6C4F">
        <w:rPr>
          <w:iCs/>
        </w:rPr>
        <w:t xml:space="preserve">, but also put at risk the wellbeing of </w:t>
      </w:r>
      <w:r w:rsidR="00FE2A2D">
        <w:rPr>
          <w:iCs/>
        </w:rPr>
        <w:t>child and adult</w:t>
      </w:r>
      <w:r w:rsidR="00BA045F">
        <w:rPr>
          <w:iCs/>
        </w:rPr>
        <w:t xml:space="preserve"> </w:t>
      </w:r>
      <w:r w:rsidR="00050DB5" w:rsidRPr="007B6C4F">
        <w:rPr>
          <w:iCs/>
        </w:rPr>
        <w:t>survivors</w:t>
      </w:r>
      <w:r w:rsidR="00BA045F">
        <w:rPr>
          <w:iCs/>
        </w:rPr>
        <w:t>.</w:t>
      </w:r>
    </w:p>
    <w:p w14:paraId="1B3957D8" w14:textId="77777777" w:rsidR="008F337E" w:rsidRDefault="004A16B3">
      <w:pPr>
        <w:rPr>
          <w:iCs/>
        </w:rPr>
      </w:pPr>
      <w:r>
        <w:rPr>
          <w:iCs/>
        </w:rPr>
        <w:t>W</w:t>
      </w:r>
      <w:r w:rsidR="00D30E89">
        <w:rPr>
          <w:iCs/>
        </w:rPr>
        <w:t>hile</w:t>
      </w:r>
      <w:r w:rsidR="00C87BD3">
        <w:rPr>
          <w:iCs/>
        </w:rPr>
        <w:t xml:space="preserve"> research about the impact</w:t>
      </w:r>
      <w:r w:rsidR="00800A60">
        <w:rPr>
          <w:iCs/>
        </w:rPr>
        <w:t>s</w:t>
      </w:r>
      <w:r w:rsidR="00C87BD3">
        <w:rPr>
          <w:iCs/>
        </w:rPr>
        <w:t xml:space="preserve"> of child sexual abuse</w:t>
      </w:r>
      <w:r w:rsidR="00D30E89">
        <w:rPr>
          <w:iCs/>
        </w:rPr>
        <w:t xml:space="preserve"> is available,</w:t>
      </w:r>
      <w:r>
        <w:rPr>
          <w:iCs/>
        </w:rPr>
        <w:t xml:space="preserve"> and</w:t>
      </w:r>
      <w:r w:rsidR="00C87BD3">
        <w:rPr>
          <w:iCs/>
        </w:rPr>
        <w:t xml:space="preserve"> </w:t>
      </w:r>
      <w:r w:rsidR="00D30E89">
        <w:rPr>
          <w:iCs/>
        </w:rPr>
        <w:t xml:space="preserve">some sectors </w:t>
      </w:r>
      <w:r w:rsidR="009D529C">
        <w:rPr>
          <w:iCs/>
        </w:rPr>
        <w:t xml:space="preserve">are </w:t>
      </w:r>
      <w:r w:rsidR="00D30E89">
        <w:rPr>
          <w:iCs/>
        </w:rPr>
        <w:t xml:space="preserve">implementing </w:t>
      </w:r>
      <w:r w:rsidR="00C87BD3">
        <w:rPr>
          <w:iCs/>
        </w:rPr>
        <w:t>the latest evidence-based methods</w:t>
      </w:r>
      <w:r>
        <w:rPr>
          <w:iCs/>
        </w:rPr>
        <w:t xml:space="preserve">, there </w:t>
      </w:r>
      <w:r w:rsidR="009D529C">
        <w:rPr>
          <w:iCs/>
        </w:rPr>
        <w:t>are</w:t>
      </w:r>
      <w:r>
        <w:rPr>
          <w:iCs/>
        </w:rPr>
        <w:t xml:space="preserve"> a range of strategies that can help build capability</w:t>
      </w:r>
      <w:r w:rsidR="00617570">
        <w:rPr>
          <w:iCs/>
        </w:rPr>
        <w:t xml:space="preserve"> across all workforces</w:t>
      </w:r>
      <w:r>
        <w:rPr>
          <w:iCs/>
        </w:rPr>
        <w:t>.</w:t>
      </w:r>
    </w:p>
    <w:p w14:paraId="01EBBCC2" w14:textId="77777777" w:rsidR="008F337E" w:rsidRDefault="008F337E">
      <w:pPr>
        <w:rPr>
          <w:iCs/>
        </w:rPr>
      </w:pPr>
      <w:r>
        <w:rPr>
          <w:iCs/>
        </w:rPr>
        <w:t>S</w:t>
      </w:r>
      <w:r w:rsidRPr="008F337E">
        <w:rPr>
          <w:iCs/>
        </w:rPr>
        <w:t>trategies that can help build capability across all workforces</w:t>
      </w:r>
      <w:r>
        <w:rPr>
          <w:iCs/>
        </w:rPr>
        <w:t xml:space="preserve"> include:</w:t>
      </w:r>
    </w:p>
    <w:p w14:paraId="4BB5164C" w14:textId="169797C2" w:rsidR="004A16B3" w:rsidRDefault="008F337E" w:rsidP="00E54673">
      <w:pPr>
        <w:pStyle w:val="ListParagraph"/>
        <w:numPr>
          <w:ilvl w:val="0"/>
          <w:numId w:val="37"/>
        </w:numPr>
        <w:rPr>
          <w:iCs/>
        </w:rPr>
      </w:pPr>
      <w:r>
        <w:rPr>
          <w:iCs/>
        </w:rPr>
        <w:t>developing a national workforce strategy to build and improve skills</w:t>
      </w:r>
    </w:p>
    <w:p w14:paraId="7D2547CF" w14:textId="77777777" w:rsidR="008F337E" w:rsidRDefault="008F337E" w:rsidP="00E54673">
      <w:pPr>
        <w:pStyle w:val="ListParagraph"/>
        <w:numPr>
          <w:ilvl w:val="0"/>
          <w:numId w:val="37"/>
        </w:numPr>
        <w:rPr>
          <w:iCs/>
        </w:rPr>
      </w:pPr>
      <w:r>
        <w:rPr>
          <w:iCs/>
        </w:rPr>
        <w:t xml:space="preserve">developing a </w:t>
      </w:r>
      <w:r w:rsidRPr="008F337E">
        <w:rPr>
          <w:iCs/>
        </w:rPr>
        <w:t xml:space="preserve">resource hub </w:t>
      </w:r>
      <w:r>
        <w:rPr>
          <w:iCs/>
        </w:rPr>
        <w:t xml:space="preserve">or online training </w:t>
      </w:r>
      <w:r w:rsidRPr="008F337E">
        <w:rPr>
          <w:iCs/>
        </w:rPr>
        <w:t>for workers</w:t>
      </w:r>
    </w:p>
    <w:p w14:paraId="1A40DE1E" w14:textId="77777777" w:rsidR="008F337E" w:rsidRDefault="008F337E" w:rsidP="00E54673">
      <w:pPr>
        <w:pStyle w:val="ListParagraph"/>
        <w:numPr>
          <w:ilvl w:val="0"/>
          <w:numId w:val="37"/>
        </w:numPr>
        <w:rPr>
          <w:iCs/>
        </w:rPr>
      </w:pPr>
      <w:r>
        <w:rPr>
          <w:iCs/>
        </w:rPr>
        <w:t>developing national standards for training and accreditation</w:t>
      </w:r>
    </w:p>
    <w:p w14:paraId="4595D993" w14:textId="77777777" w:rsidR="008F337E" w:rsidRDefault="008F337E" w:rsidP="00E54673">
      <w:pPr>
        <w:pStyle w:val="ListParagraph"/>
        <w:numPr>
          <w:ilvl w:val="0"/>
          <w:numId w:val="37"/>
        </w:numPr>
        <w:rPr>
          <w:iCs/>
        </w:rPr>
      </w:pPr>
      <w:r>
        <w:rPr>
          <w:iCs/>
        </w:rPr>
        <w:t>developing</w:t>
      </w:r>
      <w:r w:rsidRPr="008F337E">
        <w:rPr>
          <w:iCs/>
        </w:rPr>
        <w:t xml:space="preserve"> a way of identifying good quality evidence</w:t>
      </w:r>
    </w:p>
    <w:p w14:paraId="20C8AA7B" w14:textId="77777777" w:rsidR="008F337E" w:rsidRDefault="008F337E" w:rsidP="00E54673">
      <w:pPr>
        <w:pStyle w:val="ListParagraph"/>
        <w:numPr>
          <w:ilvl w:val="0"/>
          <w:numId w:val="37"/>
        </w:numPr>
        <w:rPr>
          <w:iCs/>
        </w:rPr>
      </w:pPr>
      <w:r>
        <w:rPr>
          <w:iCs/>
        </w:rPr>
        <w:t>e</w:t>
      </w:r>
      <w:r w:rsidRPr="008F337E">
        <w:rPr>
          <w:iCs/>
        </w:rPr>
        <w:t>mbed</w:t>
      </w:r>
      <w:r>
        <w:rPr>
          <w:iCs/>
        </w:rPr>
        <w:t>ding</w:t>
      </w:r>
      <w:r w:rsidRPr="008F337E">
        <w:rPr>
          <w:iCs/>
        </w:rPr>
        <w:t xml:space="preserve"> trauma-informed principles in tertiary courses</w:t>
      </w:r>
    </w:p>
    <w:p w14:paraId="4D40EE80" w14:textId="77777777" w:rsidR="008F337E" w:rsidRPr="007220B8" w:rsidRDefault="008F337E" w:rsidP="00E54673">
      <w:pPr>
        <w:pStyle w:val="ListParagraph"/>
        <w:numPr>
          <w:ilvl w:val="0"/>
          <w:numId w:val="37"/>
        </w:numPr>
        <w:rPr>
          <w:iCs/>
        </w:rPr>
      </w:pPr>
      <w:r>
        <w:rPr>
          <w:iCs/>
        </w:rPr>
        <w:t>advocating</w:t>
      </w:r>
      <w:r w:rsidRPr="008F337E">
        <w:rPr>
          <w:iCs/>
        </w:rPr>
        <w:t xml:space="preserve"> for child sa</w:t>
      </w:r>
      <w:r>
        <w:rPr>
          <w:iCs/>
        </w:rPr>
        <w:t>fe principles and approaches to be included in</w:t>
      </w:r>
      <w:r w:rsidRPr="008F337E">
        <w:rPr>
          <w:iCs/>
        </w:rPr>
        <w:t xml:space="preserve"> professional qualifications and association memberships</w:t>
      </w:r>
    </w:p>
    <w:p w14:paraId="4F0A78B8" w14:textId="77777777" w:rsidR="00050DB5" w:rsidRDefault="00050DB5" w:rsidP="00050DB5">
      <w:pPr>
        <w:spacing w:line="276" w:lineRule="auto"/>
        <w:ind w:left="720"/>
        <w:rPr>
          <w:i/>
          <w:color w:val="349694" w:themeColor="accent3" w:themeShade="80"/>
          <w:sz w:val="20"/>
          <w:szCs w:val="20"/>
        </w:rPr>
      </w:pPr>
      <w:r>
        <w:rPr>
          <w:i/>
          <w:color w:val="349694" w:themeColor="accent3" w:themeShade="80"/>
          <w:sz w:val="20"/>
          <w:szCs w:val="20"/>
        </w:rPr>
        <w:t>“</w:t>
      </w:r>
      <w:r w:rsidRPr="00775261">
        <w:rPr>
          <w:i/>
          <w:color w:val="349694" w:themeColor="accent3" w:themeShade="80"/>
          <w:sz w:val="20"/>
          <w:szCs w:val="20"/>
        </w:rPr>
        <w:t>The coordination and translation of knowledge about trauma-informed approaches into practice is ad hoc, impacting workforce skills and exacerbating shortages in expertise</w:t>
      </w:r>
      <w:r>
        <w:rPr>
          <w:i/>
          <w:color w:val="349694" w:themeColor="accent3" w:themeShade="80"/>
          <w:sz w:val="20"/>
          <w:szCs w:val="20"/>
        </w:rPr>
        <w:t xml:space="preserve">” </w:t>
      </w:r>
      <w:r>
        <w:rPr>
          <w:rStyle w:val="FootnoteReference"/>
          <w:i/>
          <w:color w:val="349694" w:themeColor="accent3" w:themeShade="80"/>
          <w:sz w:val="20"/>
          <w:szCs w:val="20"/>
        </w:rPr>
        <w:footnoteReference w:id="3"/>
      </w:r>
    </w:p>
    <w:p w14:paraId="4B9FF462" w14:textId="77777777" w:rsidR="00050DB5" w:rsidRDefault="00050DB5" w:rsidP="009A1567">
      <w:pPr>
        <w:pBdr>
          <w:top w:val="single" w:sz="4" w:space="1" w:color="auto"/>
          <w:left w:val="single" w:sz="4" w:space="4" w:color="auto"/>
          <w:bottom w:val="single" w:sz="4" w:space="1" w:color="auto"/>
          <w:right w:val="single" w:sz="4" w:space="4" w:color="auto"/>
        </w:pBdr>
        <w:shd w:val="clear" w:color="auto" w:fill="EFF9F9" w:themeFill="accent3" w:themeFillTint="33"/>
      </w:pPr>
      <w:r>
        <w:t>The survey will ask you to identify what workforce strategies you think are most important</w:t>
      </w:r>
      <w:r w:rsidR="009179AA">
        <w:t>.</w:t>
      </w:r>
    </w:p>
    <w:p w14:paraId="526F2C17" w14:textId="77777777" w:rsidR="00E02589" w:rsidRDefault="00F16691" w:rsidP="00E54673">
      <w:pPr>
        <w:pStyle w:val="Heading2"/>
        <w:keepNext/>
        <w:keepLines/>
      </w:pPr>
      <w:bookmarkStart w:id="21" w:name="_Toc30775986"/>
      <w:r>
        <w:lastRenderedPageBreak/>
        <w:t xml:space="preserve">9.9c </w:t>
      </w:r>
      <w:r w:rsidR="00E02589">
        <w:t xml:space="preserve">Research and </w:t>
      </w:r>
      <w:r w:rsidR="00B657E5">
        <w:t xml:space="preserve">program </w:t>
      </w:r>
      <w:r w:rsidR="00E02589">
        <w:t>evaluation</w:t>
      </w:r>
      <w:bookmarkEnd w:id="21"/>
    </w:p>
    <w:p w14:paraId="0DFB5C0E" w14:textId="77777777" w:rsidR="00186AC4" w:rsidRDefault="00370C3D" w:rsidP="00E54673">
      <w:pPr>
        <w:keepNext/>
        <w:keepLines/>
      </w:pPr>
      <w:r>
        <w:t>T</w:t>
      </w:r>
      <w:r w:rsidRPr="00370C3D">
        <w:t xml:space="preserve">he Royal Commission </w:t>
      </w:r>
      <w:r w:rsidR="00C14ACA">
        <w:t xml:space="preserve">recommended </w:t>
      </w:r>
      <w:r w:rsidR="00D87012">
        <w:t xml:space="preserve">that </w:t>
      </w:r>
      <w:r w:rsidRPr="00370C3D">
        <w:t xml:space="preserve">a role </w:t>
      </w:r>
      <w:r w:rsidR="00D87012">
        <w:t>for</w:t>
      </w:r>
      <w:r w:rsidRPr="00370C3D">
        <w:t xml:space="preserve"> the National Centre should be to lead the development of better service models and interventions</w:t>
      </w:r>
      <w:r w:rsidR="00D87012">
        <w:t xml:space="preserve">. </w:t>
      </w:r>
      <w:r w:rsidR="00C97647">
        <w:t>On a national level, t</w:t>
      </w:r>
      <w:r w:rsidR="00D87012">
        <w:t xml:space="preserve">his could </w:t>
      </w:r>
      <w:r w:rsidR="009D529C">
        <w:t>happen</w:t>
      </w:r>
      <w:r w:rsidRPr="00370C3D">
        <w:t xml:space="preserve"> through </w:t>
      </w:r>
      <w:r w:rsidR="00D87012">
        <w:t xml:space="preserve">the </w:t>
      </w:r>
      <w:r w:rsidRPr="00370C3D">
        <w:t>coordinati</w:t>
      </w:r>
      <w:r w:rsidR="00D87012">
        <w:t>on of</w:t>
      </w:r>
      <w:r w:rsidR="00C97647">
        <w:t xml:space="preserve"> </w:t>
      </w:r>
      <w:r w:rsidR="00D87012">
        <w:t xml:space="preserve">research and </w:t>
      </w:r>
      <w:r w:rsidRPr="00370C3D">
        <w:t>high-quality program evaluation</w:t>
      </w:r>
      <w:r w:rsidR="00CC76E1">
        <w:t>s</w:t>
      </w:r>
      <w:r>
        <w:t xml:space="preserve">. </w:t>
      </w:r>
      <w:r w:rsidR="00186AC4">
        <w:t xml:space="preserve">It is important </w:t>
      </w:r>
      <w:r w:rsidR="00C4061E">
        <w:t xml:space="preserve">there is </w:t>
      </w:r>
      <w:r w:rsidR="00186AC4">
        <w:t>confiden</w:t>
      </w:r>
      <w:r w:rsidR="00C4061E">
        <w:t>ce</w:t>
      </w:r>
      <w:r w:rsidR="00186AC4">
        <w:t xml:space="preserve"> that services and interventions are effective in what they aim to achieve for those </w:t>
      </w:r>
      <w:r w:rsidR="009A1567">
        <w:t>needing support, or those seeking</w:t>
      </w:r>
      <w:r w:rsidR="00186AC4">
        <w:t xml:space="preserve"> </w:t>
      </w:r>
      <w:r w:rsidR="00CC76E1">
        <w:t>to prevent or respond to child sexual abuse</w:t>
      </w:r>
      <w:r w:rsidR="00186AC4">
        <w:t xml:space="preserve">. </w:t>
      </w:r>
    </w:p>
    <w:p w14:paraId="7F073590" w14:textId="76E0E9BA" w:rsidR="00F81DAB" w:rsidRDefault="00186AC4" w:rsidP="00E54673">
      <w:pPr>
        <w:keepNext/>
        <w:keepLines/>
        <w:rPr>
          <w:rFonts w:asciiTheme="minorHAnsi" w:hAnsiTheme="minorHAnsi" w:cstheme="minorHAnsi"/>
        </w:rPr>
      </w:pPr>
      <w:r>
        <w:t>Identifying research gaps in what we know about what works and how</w:t>
      </w:r>
      <w:r w:rsidR="00DC7DAC">
        <w:t>,</w:t>
      </w:r>
      <w:r>
        <w:t xml:space="preserve"> and implementing </w:t>
      </w:r>
      <w:r w:rsidR="00B657E5">
        <w:t>evidence-</w:t>
      </w:r>
      <w:r>
        <w:t xml:space="preserve">informed and consistent services </w:t>
      </w:r>
      <w:r w:rsidR="008F337E">
        <w:t xml:space="preserve">may </w:t>
      </w:r>
      <w:r w:rsidR="009D529C">
        <w:t>help</w:t>
      </w:r>
      <w:r>
        <w:t xml:space="preserve"> reduc</w:t>
      </w:r>
      <w:r w:rsidR="009D529C">
        <w:t>e</w:t>
      </w:r>
      <w:r>
        <w:t xml:space="preserve"> some of </w:t>
      </w:r>
      <w:r w:rsidR="00DC7DAC">
        <w:t xml:space="preserve">the </w:t>
      </w:r>
      <w:r>
        <w:t xml:space="preserve">barriers </w:t>
      </w:r>
      <w:r w:rsidR="00F35BE7">
        <w:t>that</w:t>
      </w:r>
      <w:r w:rsidR="00BA045F">
        <w:t xml:space="preserve"> </w:t>
      </w:r>
      <w:r w:rsidR="00FE2A2D">
        <w:t>child and adult</w:t>
      </w:r>
      <w:r w:rsidR="00F35BE7">
        <w:t xml:space="preserve"> </w:t>
      </w:r>
      <w:r>
        <w:t xml:space="preserve">survivors and </w:t>
      </w:r>
      <w:r w:rsidR="00FE2A2D">
        <w:t xml:space="preserve">their </w:t>
      </w:r>
      <w:r>
        <w:t xml:space="preserve">families face when seeking help. </w:t>
      </w:r>
    </w:p>
    <w:p w14:paraId="529EC328" w14:textId="77777777" w:rsidR="008333BB" w:rsidRDefault="008333BB" w:rsidP="00E54673">
      <w:pPr>
        <w:spacing w:after="60"/>
        <w:rPr>
          <w:rFonts w:asciiTheme="minorHAnsi" w:hAnsiTheme="minorHAnsi" w:cstheme="minorHAnsi"/>
        </w:rPr>
      </w:pPr>
      <w:r>
        <w:rPr>
          <w:rFonts w:asciiTheme="minorHAnsi" w:hAnsiTheme="minorHAnsi" w:cstheme="minorHAnsi"/>
        </w:rPr>
        <w:t xml:space="preserve">Some of the barriers </w:t>
      </w:r>
      <w:r w:rsidR="009A1567">
        <w:rPr>
          <w:rFonts w:asciiTheme="minorHAnsi" w:hAnsiTheme="minorHAnsi" w:cstheme="minorHAnsi"/>
        </w:rPr>
        <w:t xml:space="preserve">identified </w:t>
      </w:r>
      <w:r w:rsidR="00800A60">
        <w:rPr>
          <w:rFonts w:asciiTheme="minorHAnsi" w:hAnsiTheme="minorHAnsi" w:cstheme="minorHAnsi"/>
        </w:rPr>
        <w:t xml:space="preserve">in the Royal Commission </w:t>
      </w:r>
      <w:r>
        <w:rPr>
          <w:rFonts w:asciiTheme="minorHAnsi" w:hAnsiTheme="minorHAnsi" w:cstheme="minorHAnsi"/>
        </w:rPr>
        <w:t>include</w:t>
      </w:r>
      <w:r w:rsidR="009A1567">
        <w:rPr>
          <w:rFonts w:asciiTheme="minorHAnsi" w:hAnsiTheme="minorHAnsi" w:cstheme="minorHAnsi"/>
        </w:rPr>
        <w:t>d</w:t>
      </w:r>
      <w:r>
        <w:rPr>
          <w:rFonts w:asciiTheme="minorHAnsi" w:hAnsiTheme="minorHAnsi" w:cstheme="minorHAnsi"/>
        </w:rPr>
        <w:t>:</w:t>
      </w:r>
    </w:p>
    <w:p w14:paraId="2FB1BA76" w14:textId="77777777" w:rsidR="00FC0922" w:rsidRDefault="008333BB" w:rsidP="00BE6A4F">
      <w:pPr>
        <w:pStyle w:val="ListParagraph"/>
        <w:numPr>
          <w:ilvl w:val="0"/>
          <w:numId w:val="11"/>
        </w:numPr>
        <w:spacing w:afterLines="180" w:after="432"/>
        <w:rPr>
          <w:rFonts w:asciiTheme="minorHAnsi" w:hAnsiTheme="minorHAnsi" w:cstheme="minorHAnsi"/>
        </w:rPr>
      </w:pPr>
      <w:r w:rsidRPr="00C557DA">
        <w:rPr>
          <w:rFonts w:asciiTheme="minorHAnsi" w:hAnsiTheme="minorHAnsi" w:cstheme="minorHAnsi"/>
        </w:rPr>
        <w:t>information was difficult to find</w:t>
      </w:r>
    </w:p>
    <w:p w14:paraId="504B0E0B" w14:textId="2D738872" w:rsidR="008333BB" w:rsidRPr="00C557DA" w:rsidRDefault="008333BB" w:rsidP="00BE6A4F">
      <w:pPr>
        <w:pStyle w:val="ListParagraph"/>
        <w:numPr>
          <w:ilvl w:val="0"/>
          <w:numId w:val="11"/>
        </w:numPr>
        <w:spacing w:afterLines="180" w:after="432"/>
        <w:rPr>
          <w:rFonts w:asciiTheme="minorHAnsi" w:hAnsiTheme="minorHAnsi" w:cstheme="minorHAnsi"/>
        </w:rPr>
      </w:pPr>
      <w:r w:rsidRPr="00C557DA">
        <w:rPr>
          <w:rFonts w:asciiTheme="minorHAnsi" w:hAnsiTheme="minorHAnsi" w:cstheme="minorHAnsi"/>
        </w:rPr>
        <w:t xml:space="preserve">services were often </w:t>
      </w:r>
      <w:r w:rsidR="009D529C">
        <w:rPr>
          <w:rFonts w:asciiTheme="minorHAnsi" w:hAnsiTheme="minorHAnsi" w:cstheme="minorHAnsi"/>
        </w:rPr>
        <w:t>unaffordable</w:t>
      </w:r>
    </w:p>
    <w:p w14:paraId="6A669948" w14:textId="77777777" w:rsidR="00047057" w:rsidRDefault="008333BB" w:rsidP="00BE6A4F">
      <w:pPr>
        <w:pStyle w:val="ListParagraph"/>
        <w:numPr>
          <w:ilvl w:val="0"/>
          <w:numId w:val="11"/>
        </w:numPr>
        <w:spacing w:afterLines="180" w:after="432"/>
        <w:rPr>
          <w:rFonts w:asciiTheme="minorHAnsi" w:hAnsiTheme="minorHAnsi" w:cstheme="minorHAnsi"/>
        </w:rPr>
      </w:pPr>
      <w:r w:rsidRPr="00C557DA">
        <w:rPr>
          <w:rFonts w:asciiTheme="minorHAnsi" w:hAnsiTheme="minorHAnsi" w:cstheme="minorHAnsi"/>
        </w:rPr>
        <w:t>systemic and structural barriers that created difficulties, including the fragmentation of service systems</w:t>
      </w:r>
      <w:r>
        <w:rPr>
          <w:rFonts w:asciiTheme="minorHAnsi" w:hAnsiTheme="minorHAnsi" w:cstheme="minorHAnsi"/>
        </w:rPr>
        <w:t xml:space="preserve">, </w:t>
      </w:r>
      <w:r w:rsidRPr="00C557DA">
        <w:rPr>
          <w:rFonts w:asciiTheme="minorHAnsi" w:hAnsiTheme="minorHAnsi" w:cstheme="minorHAnsi"/>
        </w:rPr>
        <w:t>the limited capacity of services t</w:t>
      </w:r>
      <w:r w:rsidR="00047057">
        <w:rPr>
          <w:rFonts w:asciiTheme="minorHAnsi" w:hAnsiTheme="minorHAnsi" w:cstheme="minorHAnsi"/>
        </w:rPr>
        <w:t xml:space="preserve">o </w:t>
      </w:r>
      <w:r w:rsidR="009D529C">
        <w:rPr>
          <w:rFonts w:asciiTheme="minorHAnsi" w:hAnsiTheme="minorHAnsi" w:cstheme="minorHAnsi"/>
        </w:rPr>
        <w:t>work together</w:t>
      </w:r>
    </w:p>
    <w:p w14:paraId="7D133E76" w14:textId="77777777" w:rsidR="00047057" w:rsidRDefault="008333BB" w:rsidP="00BE6A4F">
      <w:pPr>
        <w:pStyle w:val="ListParagraph"/>
        <w:numPr>
          <w:ilvl w:val="0"/>
          <w:numId w:val="11"/>
        </w:numPr>
        <w:spacing w:afterLines="180" w:after="432"/>
        <w:rPr>
          <w:rFonts w:asciiTheme="minorHAnsi" w:hAnsiTheme="minorHAnsi" w:cstheme="minorHAnsi"/>
        </w:rPr>
      </w:pPr>
      <w:r w:rsidRPr="00C557DA">
        <w:rPr>
          <w:rFonts w:asciiTheme="minorHAnsi" w:hAnsiTheme="minorHAnsi" w:cstheme="minorHAnsi"/>
        </w:rPr>
        <w:t>lack of relevant knowledge among mainstream service providers</w:t>
      </w:r>
    </w:p>
    <w:p w14:paraId="665036DE" w14:textId="77777777" w:rsidR="008333BB" w:rsidRDefault="008333BB" w:rsidP="00BE6A4F">
      <w:pPr>
        <w:pStyle w:val="ListParagraph"/>
        <w:numPr>
          <w:ilvl w:val="0"/>
          <w:numId w:val="11"/>
        </w:numPr>
        <w:spacing w:afterLines="180" w:after="432"/>
        <w:rPr>
          <w:rFonts w:asciiTheme="minorHAnsi" w:hAnsiTheme="minorHAnsi" w:cstheme="minorHAnsi"/>
        </w:rPr>
      </w:pPr>
      <w:r w:rsidRPr="00C557DA">
        <w:rPr>
          <w:rFonts w:asciiTheme="minorHAnsi" w:hAnsiTheme="minorHAnsi" w:cstheme="minorHAnsi"/>
        </w:rPr>
        <w:t>scarcity of resources in specialist sectors and a lack of cultural compe</w:t>
      </w:r>
      <w:r>
        <w:rPr>
          <w:rFonts w:asciiTheme="minorHAnsi" w:hAnsiTheme="minorHAnsi" w:cstheme="minorHAnsi"/>
        </w:rPr>
        <w:t>tence and disability awareness</w:t>
      </w:r>
    </w:p>
    <w:p w14:paraId="2E55C22F" w14:textId="77777777" w:rsidR="008333BB" w:rsidRDefault="008333BB" w:rsidP="00BE6A4F">
      <w:pPr>
        <w:pStyle w:val="ListParagraph"/>
        <w:numPr>
          <w:ilvl w:val="0"/>
          <w:numId w:val="11"/>
        </w:numPr>
        <w:spacing w:afterLines="180" w:after="432"/>
        <w:rPr>
          <w:rFonts w:asciiTheme="minorHAnsi" w:hAnsiTheme="minorHAnsi" w:cstheme="minorHAnsi"/>
        </w:rPr>
      </w:pPr>
      <w:r w:rsidRPr="00C557DA">
        <w:rPr>
          <w:rFonts w:asciiTheme="minorHAnsi" w:hAnsiTheme="minorHAnsi" w:cstheme="minorHAnsi"/>
        </w:rPr>
        <w:t xml:space="preserve">inconsistency </w:t>
      </w:r>
      <w:r w:rsidR="00047057">
        <w:rPr>
          <w:rFonts w:asciiTheme="minorHAnsi" w:hAnsiTheme="minorHAnsi" w:cstheme="minorHAnsi"/>
        </w:rPr>
        <w:t xml:space="preserve">in the standard of services </w:t>
      </w:r>
      <w:r>
        <w:rPr>
          <w:rFonts w:asciiTheme="minorHAnsi" w:hAnsiTheme="minorHAnsi" w:cstheme="minorHAnsi"/>
        </w:rPr>
        <w:t>within and across jurisdictions</w:t>
      </w:r>
    </w:p>
    <w:p w14:paraId="2B074F41" w14:textId="77777777" w:rsidR="008333BB" w:rsidRDefault="008333BB" w:rsidP="00BE6A4F">
      <w:pPr>
        <w:pStyle w:val="ListParagraph"/>
        <w:numPr>
          <w:ilvl w:val="0"/>
          <w:numId w:val="11"/>
        </w:numPr>
        <w:spacing w:afterLines="180" w:after="432"/>
        <w:rPr>
          <w:rFonts w:asciiTheme="minorHAnsi" w:hAnsiTheme="minorHAnsi" w:cstheme="minorHAnsi"/>
        </w:rPr>
      </w:pPr>
      <w:r>
        <w:rPr>
          <w:rFonts w:asciiTheme="minorHAnsi" w:hAnsiTheme="minorHAnsi" w:cstheme="minorHAnsi"/>
        </w:rPr>
        <w:t xml:space="preserve">gaps </w:t>
      </w:r>
      <w:r w:rsidRPr="00C557DA">
        <w:rPr>
          <w:rFonts w:asciiTheme="minorHAnsi" w:hAnsiTheme="minorHAnsi" w:cstheme="minorHAnsi"/>
        </w:rPr>
        <w:t>in services, including for children and young people who have experienced sexual abuse, male survivors, survivors entering aged care settings, and survivors in and transitioning out of pris</w:t>
      </w:r>
      <w:r>
        <w:rPr>
          <w:rFonts w:asciiTheme="minorHAnsi" w:hAnsiTheme="minorHAnsi" w:cstheme="minorHAnsi"/>
        </w:rPr>
        <w:t>ons or other detention settings</w:t>
      </w:r>
    </w:p>
    <w:p w14:paraId="527843B5" w14:textId="77777777" w:rsidR="00047057" w:rsidRDefault="00047057" w:rsidP="00BE6A4F">
      <w:pPr>
        <w:pStyle w:val="ListParagraph"/>
        <w:numPr>
          <w:ilvl w:val="0"/>
          <w:numId w:val="11"/>
        </w:numPr>
        <w:spacing w:afterLines="180" w:after="432"/>
        <w:rPr>
          <w:rFonts w:asciiTheme="minorHAnsi" w:hAnsiTheme="minorHAnsi" w:cstheme="minorHAnsi"/>
        </w:rPr>
      </w:pPr>
      <w:r>
        <w:rPr>
          <w:rFonts w:asciiTheme="minorHAnsi" w:hAnsiTheme="minorHAnsi" w:cstheme="minorHAnsi"/>
        </w:rPr>
        <w:t xml:space="preserve">access to specialised services to respond to problematic sexualised behaviour of children and young people, particularly where this behaviour </w:t>
      </w:r>
      <w:r w:rsidR="009D529C">
        <w:rPr>
          <w:rFonts w:asciiTheme="minorHAnsi" w:hAnsiTheme="minorHAnsi" w:cstheme="minorHAnsi"/>
        </w:rPr>
        <w:t>happens in</w:t>
      </w:r>
      <w:r>
        <w:rPr>
          <w:rFonts w:asciiTheme="minorHAnsi" w:hAnsiTheme="minorHAnsi" w:cstheme="minorHAnsi"/>
        </w:rPr>
        <w:t xml:space="preserve"> families</w:t>
      </w:r>
    </w:p>
    <w:p w14:paraId="6ACA6173" w14:textId="2B4AB7FD" w:rsidR="008333BB" w:rsidRDefault="008333BB" w:rsidP="00E54673">
      <w:pPr>
        <w:pStyle w:val="ListParagraph"/>
        <w:numPr>
          <w:ilvl w:val="0"/>
          <w:numId w:val="11"/>
        </w:numPr>
        <w:spacing w:after="120"/>
        <w:ind w:left="357" w:hanging="357"/>
        <w:rPr>
          <w:rFonts w:asciiTheme="minorHAnsi" w:hAnsiTheme="minorHAnsi" w:cstheme="minorHAnsi"/>
        </w:rPr>
      </w:pPr>
      <w:r>
        <w:rPr>
          <w:rFonts w:asciiTheme="minorHAnsi" w:hAnsiTheme="minorHAnsi" w:cstheme="minorHAnsi"/>
        </w:rPr>
        <w:t xml:space="preserve">service access issues for survivors </w:t>
      </w:r>
      <w:r w:rsidRPr="00C557DA">
        <w:rPr>
          <w:rFonts w:asciiTheme="minorHAnsi" w:hAnsiTheme="minorHAnsi" w:cstheme="minorHAnsi"/>
        </w:rPr>
        <w:t>living in regional and remote communities.</w:t>
      </w:r>
    </w:p>
    <w:p w14:paraId="6C813CE0" w14:textId="77777777" w:rsidR="007E4792" w:rsidRDefault="007E4792" w:rsidP="00E54673">
      <w:pPr>
        <w:pStyle w:val="ListParagraph"/>
        <w:spacing w:after="120"/>
        <w:ind w:left="357"/>
        <w:rPr>
          <w:rFonts w:asciiTheme="minorHAnsi" w:hAnsiTheme="minorHAnsi" w:cstheme="minorHAnsi"/>
        </w:rPr>
      </w:pPr>
    </w:p>
    <w:p w14:paraId="71096BCA" w14:textId="77777777" w:rsidR="004D150A" w:rsidRDefault="00370C3D" w:rsidP="009A1567">
      <w:pPr>
        <w:pBdr>
          <w:top w:val="single" w:sz="4" w:space="1" w:color="auto"/>
          <w:left w:val="single" w:sz="4" w:space="4" w:color="auto"/>
          <w:bottom w:val="single" w:sz="4" w:space="1" w:color="auto"/>
          <w:right w:val="single" w:sz="4" w:space="4" w:color="auto"/>
        </w:pBdr>
        <w:shd w:val="clear" w:color="auto" w:fill="EFF9F9" w:themeFill="accent6" w:themeFillTint="33"/>
      </w:pPr>
      <w:r>
        <w:rPr>
          <w:rFonts w:asciiTheme="minorHAnsi" w:hAnsiTheme="minorHAnsi" w:cstheme="minorHAnsi"/>
        </w:rPr>
        <w:t xml:space="preserve">Having a National Centre that specialises in research and evaluation about child sexual </w:t>
      </w:r>
      <w:r w:rsidRPr="00AB0461">
        <w:rPr>
          <w:rFonts w:asciiTheme="minorHAnsi" w:hAnsiTheme="minorHAnsi" w:cstheme="minorHAnsi"/>
        </w:rPr>
        <w:t xml:space="preserve">abuse </w:t>
      </w:r>
      <w:r w:rsidR="00C4061E" w:rsidRPr="00AB0461">
        <w:rPr>
          <w:rFonts w:asciiTheme="minorHAnsi" w:hAnsiTheme="minorHAnsi" w:cstheme="minorHAnsi"/>
        </w:rPr>
        <w:t xml:space="preserve">could potentially </w:t>
      </w:r>
      <w:r w:rsidRPr="00AB0461">
        <w:rPr>
          <w:rFonts w:asciiTheme="minorHAnsi" w:hAnsiTheme="minorHAnsi" w:cstheme="minorHAnsi"/>
        </w:rPr>
        <w:t xml:space="preserve">play </w:t>
      </w:r>
      <w:r w:rsidR="009D529C">
        <w:rPr>
          <w:rFonts w:asciiTheme="minorHAnsi" w:hAnsiTheme="minorHAnsi" w:cstheme="minorHAnsi"/>
        </w:rPr>
        <w:t>many</w:t>
      </w:r>
      <w:r w:rsidRPr="00AB0461">
        <w:rPr>
          <w:rFonts w:asciiTheme="minorHAnsi" w:hAnsiTheme="minorHAnsi" w:cstheme="minorHAnsi"/>
        </w:rPr>
        <w:t xml:space="preserve"> roles.</w:t>
      </w:r>
      <w:r w:rsidR="005E44F5">
        <w:rPr>
          <w:rFonts w:asciiTheme="minorHAnsi" w:hAnsiTheme="minorHAnsi" w:cstheme="minorHAnsi"/>
        </w:rPr>
        <w:t xml:space="preserve"> </w:t>
      </w:r>
      <w:r w:rsidRPr="00AB0461">
        <w:t xml:space="preserve">The </w:t>
      </w:r>
      <w:r w:rsidR="003542FC" w:rsidRPr="00AB0461">
        <w:t xml:space="preserve">survey </w:t>
      </w:r>
      <w:r w:rsidRPr="00AB0461">
        <w:t xml:space="preserve">will ask you what you think </w:t>
      </w:r>
      <w:r w:rsidR="009179AA" w:rsidRPr="00AB0461">
        <w:t xml:space="preserve">are </w:t>
      </w:r>
      <w:r w:rsidRPr="00AB0461">
        <w:t xml:space="preserve">the most important research priorities and roles the National Centre might focus on. </w:t>
      </w:r>
    </w:p>
    <w:p w14:paraId="11791DB2" w14:textId="77777777" w:rsidR="00370C3D" w:rsidRPr="00F42E63" w:rsidRDefault="00370C3D" w:rsidP="00BE6A4F">
      <w:pPr>
        <w:spacing w:after="120"/>
      </w:pPr>
      <w:r>
        <w:t>As the Royal Commission noted:</w:t>
      </w:r>
    </w:p>
    <w:p w14:paraId="6E74EC22" w14:textId="77777777" w:rsidR="00370C3D" w:rsidRPr="00370C3D" w:rsidRDefault="00370C3D" w:rsidP="00BE6A4F">
      <w:pPr>
        <w:spacing w:after="120"/>
        <w:ind w:left="567"/>
        <w:rPr>
          <w:i/>
          <w:sz w:val="20"/>
          <w:szCs w:val="20"/>
        </w:rPr>
      </w:pPr>
      <w:r w:rsidRPr="00370C3D">
        <w:rPr>
          <w:i/>
          <w:color w:val="349694" w:themeColor="accent3" w:themeShade="80"/>
          <w:sz w:val="20"/>
          <w:szCs w:val="20"/>
        </w:rPr>
        <w:t xml:space="preserve"> “Practitioners should have access to the best available evidence and programs should be evaluated to continuously drive improvement”</w:t>
      </w:r>
      <w:r w:rsidRPr="00775261">
        <w:rPr>
          <w:rStyle w:val="FootnoteReference"/>
          <w:rFonts w:eastAsiaTheme="majorEastAsia"/>
          <w:i/>
          <w:color w:val="349694" w:themeColor="accent3" w:themeShade="80"/>
          <w:sz w:val="20"/>
          <w:szCs w:val="20"/>
        </w:rPr>
        <w:footnoteReference w:id="4"/>
      </w:r>
      <w:r w:rsidRPr="00370C3D">
        <w:rPr>
          <w:i/>
          <w:color w:val="349694" w:themeColor="accent3" w:themeShade="80"/>
          <w:sz w:val="20"/>
          <w:szCs w:val="20"/>
        </w:rPr>
        <w:t xml:space="preserve">. </w:t>
      </w:r>
    </w:p>
    <w:p w14:paraId="409BB9EB" w14:textId="77777777" w:rsidR="00186AC4" w:rsidRPr="005E44F5" w:rsidRDefault="00186AC4" w:rsidP="00E54673">
      <w:pPr>
        <w:pStyle w:val="Heading3"/>
        <w:spacing w:after="60"/>
      </w:pPr>
      <w:bookmarkStart w:id="22" w:name="_Toc30775987"/>
      <w:r w:rsidRPr="005E44F5">
        <w:t>Developing better service models</w:t>
      </w:r>
      <w:bookmarkEnd w:id="22"/>
    </w:p>
    <w:p w14:paraId="31383128" w14:textId="51F6DD67" w:rsidR="00186AC4" w:rsidRPr="00BE6A4F" w:rsidRDefault="00186AC4" w:rsidP="00BE6A4F">
      <w:r w:rsidRPr="00BE6A4F">
        <w:t xml:space="preserve">The services </w:t>
      </w:r>
      <w:r w:rsidR="009D529C" w:rsidRPr="00BE6A4F">
        <w:t xml:space="preserve">needed </w:t>
      </w:r>
      <w:r w:rsidRPr="00BE6A4F">
        <w:t xml:space="preserve">by </w:t>
      </w:r>
      <w:r w:rsidR="00FE2A2D">
        <w:t>child and adult</w:t>
      </w:r>
      <w:r w:rsidRPr="00BE6A4F">
        <w:t xml:space="preserve"> survivors can range </w:t>
      </w:r>
      <w:r w:rsidR="0059305C" w:rsidRPr="00BE6A4F">
        <w:t xml:space="preserve">from </w:t>
      </w:r>
      <w:r w:rsidRPr="00BE6A4F">
        <w:t xml:space="preserve">mainstream </w:t>
      </w:r>
      <w:r w:rsidR="0059305C" w:rsidRPr="00BE6A4F">
        <w:t>to specialist</w:t>
      </w:r>
      <w:r w:rsidR="009D529C" w:rsidRPr="00BE6A4F">
        <w:t xml:space="preserve"> </w:t>
      </w:r>
      <w:r w:rsidR="009D2788">
        <w:t>supports</w:t>
      </w:r>
      <w:r w:rsidR="0059305C" w:rsidRPr="00BE6A4F">
        <w:t>, and</w:t>
      </w:r>
      <w:r w:rsidRPr="00BE6A4F">
        <w:t xml:space="preserve"> may change depending on stage of life and </w:t>
      </w:r>
      <w:r w:rsidR="00FC0922">
        <w:t xml:space="preserve">individual </w:t>
      </w:r>
      <w:r w:rsidRPr="00BE6A4F">
        <w:t>circumstances. Examples may include support for health, finances, legal issues, housing, education and employment.  Services</w:t>
      </w:r>
      <w:r w:rsidR="00617570">
        <w:t xml:space="preserve"> needed by </w:t>
      </w:r>
      <w:r w:rsidR="00FE2A2D">
        <w:t>child and adult</w:t>
      </w:r>
      <w:r w:rsidR="00617570">
        <w:t xml:space="preserve"> </w:t>
      </w:r>
      <w:r w:rsidR="0015512C">
        <w:t>survivors</w:t>
      </w:r>
      <w:r w:rsidRPr="00BE6A4F">
        <w:t xml:space="preserve"> often span multiple sectors and can be difficult to navigate.</w:t>
      </w:r>
    </w:p>
    <w:p w14:paraId="53C29BA1" w14:textId="26F616BA" w:rsidR="00943B65" w:rsidRDefault="00B657E5" w:rsidP="00BE6A4F">
      <w:r>
        <w:t>T</w:t>
      </w:r>
      <w:r w:rsidR="00943B65">
        <w:t>here are distinctive aspects associated with child sexual abuse in institutional or familial context</w:t>
      </w:r>
      <w:r w:rsidR="009D2788">
        <w:t>s</w:t>
      </w:r>
      <w:r w:rsidR="004D150A">
        <w:t>,</w:t>
      </w:r>
      <w:r w:rsidR="00943B65">
        <w:t xml:space="preserve"> which may influence </w:t>
      </w:r>
      <w:r w:rsidR="00FE2A2D">
        <w:t>child and adult</w:t>
      </w:r>
      <w:r w:rsidR="007F5E6E">
        <w:t xml:space="preserve"> survivors’</w:t>
      </w:r>
      <w:r w:rsidR="00943B65">
        <w:t xml:space="preserve"> individual support and service needs. </w:t>
      </w:r>
      <w:r>
        <w:t>Some</w:t>
      </w:r>
      <w:r w:rsidR="00943B65">
        <w:t xml:space="preserve"> groups including</w:t>
      </w:r>
      <w:r w:rsidR="0059305C">
        <w:t xml:space="preserve"> </w:t>
      </w:r>
      <w:r w:rsidR="00943B65" w:rsidRPr="00943B65">
        <w:t xml:space="preserve">Aboriginal and Torres Strait Islander communities, culturally and linguistically diverse communities, people with disability, people </w:t>
      </w:r>
      <w:r w:rsidR="002237D0">
        <w:t>who identify as</w:t>
      </w:r>
      <w:r w:rsidR="00943B65" w:rsidRPr="00943B65">
        <w:t xml:space="preserve"> </w:t>
      </w:r>
      <w:r w:rsidR="002237D0">
        <w:t>lesbian, gay, bisexual, transgender, intersex and q</w:t>
      </w:r>
      <w:r w:rsidR="002237D0" w:rsidRPr="002237D0">
        <w:t xml:space="preserve">ueer </w:t>
      </w:r>
      <w:r w:rsidR="002237D0" w:rsidRPr="002237D0">
        <w:lastRenderedPageBreak/>
        <w:t>(LGBTIQ</w:t>
      </w:r>
      <w:r w:rsidR="002237D0">
        <w:t>+</w:t>
      </w:r>
      <w:r w:rsidR="002237D0" w:rsidRPr="002237D0">
        <w:t>)</w:t>
      </w:r>
      <w:r>
        <w:t>,</w:t>
      </w:r>
      <w:r w:rsidR="00943B65" w:rsidRPr="00943B65">
        <w:t xml:space="preserve"> and those in regional and remote communities</w:t>
      </w:r>
      <w:r w:rsidR="004D150A">
        <w:t>,</w:t>
      </w:r>
      <w:r w:rsidR="00943B65">
        <w:t xml:space="preserve"> may benefit from responses tailored to their </w:t>
      </w:r>
      <w:r w:rsidR="009D529C">
        <w:t xml:space="preserve">particular </w:t>
      </w:r>
      <w:r w:rsidR="00943B65">
        <w:t xml:space="preserve">needs. </w:t>
      </w:r>
    </w:p>
    <w:p w14:paraId="54C7C3EF" w14:textId="67D02683" w:rsidR="007E4792" w:rsidRDefault="00C14ACA" w:rsidP="00BE6A4F">
      <w:r>
        <w:t xml:space="preserve">There </w:t>
      </w:r>
      <w:r w:rsidR="0059305C">
        <w:t>are</w:t>
      </w:r>
      <w:r>
        <w:t xml:space="preserve"> gaps in service model</w:t>
      </w:r>
      <w:r w:rsidR="008379C7">
        <w:t xml:space="preserve"> types</w:t>
      </w:r>
      <w:r>
        <w:t xml:space="preserve"> that currently exist, and </w:t>
      </w:r>
      <w:r w:rsidR="009A1567">
        <w:t xml:space="preserve">limited </w:t>
      </w:r>
      <w:r>
        <w:t xml:space="preserve">evidence about some existing service models. </w:t>
      </w:r>
      <w:r w:rsidR="0059305C">
        <w:t xml:space="preserve">It is important that </w:t>
      </w:r>
      <w:r w:rsidR="00704FF9">
        <w:t xml:space="preserve">workers have confidence in the </w:t>
      </w:r>
      <w:r w:rsidR="0059305C">
        <w:t>r</w:t>
      </w:r>
      <w:r>
        <w:t xml:space="preserve">esearch and service </w:t>
      </w:r>
      <w:r w:rsidR="00704FF9">
        <w:t>models</w:t>
      </w:r>
      <w:r w:rsidR="0059305C">
        <w:t>, so</w:t>
      </w:r>
      <w:r>
        <w:t xml:space="preserve"> that </w:t>
      </w:r>
      <w:r w:rsidR="00FE2A2D">
        <w:t>child and adult</w:t>
      </w:r>
      <w:r>
        <w:t xml:space="preserve"> survivors can access the assistance they need. </w:t>
      </w:r>
    </w:p>
    <w:p w14:paraId="0ADEC1AE" w14:textId="1880021A" w:rsidR="00C4061E" w:rsidRDefault="00CD31BF" w:rsidP="00E54673">
      <w:r>
        <w:t xml:space="preserve">A National Centre could be the hub for new and existing research and evaluation, with a role in interpreting research evidence for practitioners and community members. </w:t>
      </w:r>
    </w:p>
    <w:p w14:paraId="1EB8F42C" w14:textId="77777777" w:rsidR="00370C3D" w:rsidRDefault="00370C3D" w:rsidP="00F81DAB">
      <w:pPr>
        <w:pBdr>
          <w:top w:val="single" w:sz="4" w:space="1" w:color="auto"/>
          <w:left w:val="single" w:sz="4" w:space="4" w:color="auto"/>
          <w:bottom w:val="single" w:sz="4" w:space="1" w:color="auto"/>
          <w:right w:val="single" w:sz="4" w:space="4" w:color="auto"/>
        </w:pBdr>
        <w:shd w:val="clear" w:color="auto" w:fill="EFF9F9" w:themeFill="accent6" w:themeFillTint="33"/>
      </w:pPr>
      <w:r>
        <w:t xml:space="preserve">The survey will ask you </w:t>
      </w:r>
      <w:r w:rsidR="009A1567">
        <w:t>to identify what</w:t>
      </w:r>
      <w:r w:rsidR="00801D1B">
        <w:t xml:space="preserve"> you think</w:t>
      </w:r>
      <w:r w:rsidR="009A1567">
        <w:t xml:space="preserve"> the research and evaluation priorities </w:t>
      </w:r>
      <w:r w:rsidR="00801D1B">
        <w:t xml:space="preserve">should </w:t>
      </w:r>
      <w:r w:rsidR="009A1567">
        <w:t xml:space="preserve">be and </w:t>
      </w:r>
      <w:r>
        <w:t xml:space="preserve">what research activities/information you regard as important. </w:t>
      </w:r>
    </w:p>
    <w:bookmarkEnd w:id="0"/>
    <w:p w14:paraId="1407A121" w14:textId="583D3A23" w:rsidR="00001CBF" w:rsidRDefault="00001CBF">
      <w:pPr>
        <w:spacing w:before="0" w:after="200" w:line="276" w:lineRule="auto"/>
        <w:rPr>
          <w:rFonts w:ascii="Georgia" w:eastAsiaTheme="majorEastAsia" w:hAnsi="Georgia" w:cstheme="majorBidi"/>
          <w:color w:val="24596E"/>
          <w:spacing w:val="5"/>
          <w:sz w:val="66"/>
          <w:szCs w:val="52"/>
        </w:rPr>
      </w:pPr>
      <w:r>
        <w:br w:type="page"/>
      </w:r>
    </w:p>
    <w:p w14:paraId="03BD217E" w14:textId="3D169A2A" w:rsidR="00DB01D6" w:rsidRPr="00BE6A4F" w:rsidRDefault="00001CBF" w:rsidP="00BE6A4F">
      <w:pPr>
        <w:pStyle w:val="Heading1"/>
      </w:pPr>
      <w:bookmarkStart w:id="23" w:name="_Toc30775988"/>
      <w:r w:rsidRPr="008622A8">
        <w:lastRenderedPageBreak/>
        <w:t>Part Three:</w:t>
      </w:r>
      <w:r w:rsidR="00C81ABD" w:rsidRPr="00BE6A4F">
        <w:t xml:space="preserve"> </w:t>
      </w:r>
      <w:r w:rsidR="00B50A79">
        <w:t>Next steps</w:t>
      </w:r>
      <w:bookmarkEnd w:id="23"/>
    </w:p>
    <w:p w14:paraId="09BAA296" w14:textId="77777777" w:rsidR="00B50A79" w:rsidRPr="00161F0E" w:rsidRDefault="00B50A79" w:rsidP="00B50A79">
      <w:pPr>
        <w:pStyle w:val="Heading2"/>
        <w:rPr>
          <w:rFonts w:eastAsia="Cambria"/>
        </w:rPr>
      </w:pPr>
      <w:bookmarkStart w:id="24" w:name="_Toc26538439"/>
      <w:bookmarkStart w:id="25" w:name="_Toc30775989"/>
      <w:r w:rsidRPr="00161F0E">
        <w:rPr>
          <w:rFonts w:eastAsia="Cambria"/>
        </w:rPr>
        <w:t>Timeframes</w:t>
      </w:r>
      <w:bookmarkEnd w:id="24"/>
      <w:bookmarkEnd w:id="25"/>
    </w:p>
    <w:p w14:paraId="57FC16BA" w14:textId="77777777" w:rsidR="00B50A79" w:rsidRDefault="00B50A79" w:rsidP="00B50A79">
      <w:pPr>
        <w:spacing w:line="276" w:lineRule="auto"/>
      </w:pPr>
      <w:r>
        <w:t xml:space="preserve">Following the online consultation, a process will then be undertaken, based on stakeholder feedback, to select a suitable organisation to </w:t>
      </w:r>
      <w:r w:rsidR="009D2788">
        <w:t>lead the work of</w:t>
      </w:r>
      <w:r>
        <w:t xml:space="preserve"> the National Centre in late 2020. </w:t>
      </w:r>
    </w:p>
    <w:p w14:paraId="7D00CD49" w14:textId="47F613E3" w:rsidR="00B50A79" w:rsidRDefault="00B50A79" w:rsidP="00B50A79">
      <w:pPr>
        <w:spacing w:line="276" w:lineRule="auto"/>
        <w:rPr>
          <w:rFonts w:ascii="Segoe UI" w:hAnsi="Segoe UI" w:cs="Segoe UI"/>
          <w:b/>
          <w:bCs/>
          <w:sz w:val="28"/>
          <w:szCs w:val="28"/>
          <w:lang w:val="en"/>
        </w:rPr>
      </w:pPr>
      <w:r>
        <w:rPr>
          <w:rFonts w:asciiTheme="minorHAnsi" w:hAnsiTheme="minorHAnsi" w:cstheme="minorHAnsi"/>
        </w:rPr>
        <w:t xml:space="preserve">Responses will be accepted by no later than </w:t>
      </w:r>
      <w:r w:rsidRPr="00061076">
        <w:rPr>
          <w:rFonts w:asciiTheme="minorHAnsi" w:hAnsiTheme="minorHAnsi" w:cstheme="minorHAnsi"/>
          <w:b/>
        </w:rPr>
        <w:t>11:59pm on Sunday</w:t>
      </w:r>
      <w:r>
        <w:rPr>
          <w:rFonts w:asciiTheme="minorHAnsi" w:hAnsiTheme="minorHAnsi" w:cstheme="minorHAnsi"/>
          <w:b/>
        </w:rPr>
        <w:t xml:space="preserve"> </w:t>
      </w:r>
      <w:r w:rsidR="00B2568D">
        <w:rPr>
          <w:rFonts w:asciiTheme="minorHAnsi" w:hAnsiTheme="minorHAnsi" w:cstheme="minorHAnsi"/>
          <w:b/>
        </w:rPr>
        <w:t>15</w:t>
      </w:r>
      <w:r>
        <w:rPr>
          <w:rFonts w:asciiTheme="minorHAnsi" w:hAnsiTheme="minorHAnsi" w:cstheme="minorHAnsi"/>
          <w:b/>
        </w:rPr>
        <w:t xml:space="preserve"> March</w:t>
      </w:r>
      <w:r w:rsidRPr="00061076">
        <w:rPr>
          <w:rFonts w:asciiTheme="minorHAnsi" w:hAnsiTheme="minorHAnsi" w:cstheme="minorHAnsi"/>
          <w:b/>
        </w:rPr>
        <w:t xml:space="preserve"> 2020</w:t>
      </w:r>
      <w:r>
        <w:rPr>
          <w:rFonts w:asciiTheme="minorHAnsi" w:hAnsiTheme="minorHAnsi" w:cstheme="minorHAnsi"/>
        </w:rPr>
        <w:t xml:space="preserve"> via DSS engage at </w:t>
      </w:r>
      <w:hyperlink r:id="rId19" w:history="1">
        <w:r w:rsidRPr="00BE6A4F">
          <w:rPr>
            <w:rStyle w:val="Hyperlink"/>
            <w:rFonts w:asciiTheme="minorHAnsi" w:eastAsiaTheme="majorEastAsia" w:hAnsiTheme="minorHAnsi" w:cstheme="minorHAnsi"/>
            <w:b/>
            <w:bCs/>
            <w:color w:val="00575C" w:themeColor="accent5" w:themeShade="80"/>
            <w:sz w:val="24"/>
            <w:lang w:val="en"/>
          </w:rPr>
          <w:t>engage.dss.gov.au</w:t>
        </w:r>
      </w:hyperlink>
      <w:r w:rsidRPr="00BE6A4F">
        <w:rPr>
          <w:rFonts w:asciiTheme="minorHAnsi" w:hAnsiTheme="minorHAnsi" w:cstheme="minorHAnsi"/>
          <w:b/>
          <w:bCs/>
          <w:sz w:val="28"/>
          <w:szCs w:val="28"/>
          <w:lang w:val="en"/>
        </w:rPr>
        <w:t>.</w:t>
      </w:r>
    </w:p>
    <w:p w14:paraId="22D0630E" w14:textId="77777777" w:rsidR="00F81DAB" w:rsidRDefault="00F81DAB">
      <w:pPr>
        <w:pStyle w:val="Heading2"/>
      </w:pPr>
      <w:bookmarkStart w:id="26" w:name="_Toc30775990"/>
      <w:r w:rsidRPr="002E1E98">
        <w:t>Further information</w:t>
      </w:r>
      <w:bookmarkEnd w:id="26"/>
    </w:p>
    <w:p w14:paraId="2F74DB8A" w14:textId="77777777" w:rsidR="00F81DAB" w:rsidRDefault="00F81DAB">
      <w:pPr>
        <w:rPr>
          <w:rFonts w:asciiTheme="minorHAnsi" w:eastAsia="Calibri" w:hAnsiTheme="minorHAnsi" w:cstheme="minorHAnsi"/>
          <w:u w:val="single"/>
        </w:rPr>
      </w:pPr>
      <w:r w:rsidRPr="00944E52">
        <w:rPr>
          <w:rFonts w:asciiTheme="minorHAnsi" w:eastAsia="Calibri" w:hAnsiTheme="minorHAnsi" w:cstheme="minorHAnsi"/>
        </w:rPr>
        <w:t xml:space="preserve">To find out more visit </w:t>
      </w:r>
      <w:hyperlink r:id="rId20" w:history="1">
        <w:r w:rsidRPr="00944E52">
          <w:rPr>
            <w:rStyle w:val="Hyperlink"/>
            <w:rFonts w:asciiTheme="minorHAnsi" w:eastAsiaTheme="majorEastAsia" w:hAnsiTheme="minorHAnsi" w:cstheme="minorHAnsi"/>
            <w:b/>
            <w:bCs/>
            <w:color w:val="00575C" w:themeColor="accent5" w:themeShade="80"/>
            <w:sz w:val="24"/>
            <w:lang w:val="en"/>
          </w:rPr>
          <w:t>engage.dss.gov.au</w:t>
        </w:r>
      </w:hyperlink>
      <w:r>
        <w:rPr>
          <w:rFonts w:asciiTheme="minorHAnsi" w:eastAsia="Calibri" w:hAnsiTheme="minorHAnsi" w:cstheme="minorHAnsi"/>
        </w:rPr>
        <w:t xml:space="preserve"> </w:t>
      </w:r>
      <w:r w:rsidRPr="00944E52">
        <w:rPr>
          <w:rFonts w:asciiTheme="minorHAnsi" w:eastAsia="Calibri" w:hAnsiTheme="minorHAnsi" w:cstheme="minorHAnsi"/>
        </w:rPr>
        <w:t>or you can</w:t>
      </w:r>
      <w:r w:rsidRPr="00257C69">
        <w:rPr>
          <w:rStyle w:val="Hyperlink"/>
          <w:rFonts w:asciiTheme="minorHAnsi" w:eastAsiaTheme="majorEastAsia" w:hAnsiTheme="minorHAnsi" w:cstheme="minorHAnsi"/>
          <w:b/>
          <w:bCs/>
          <w:color w:val="00575C" w:themeColor="accent5" w:themeShade="80"/>
          <w:sz w:val="24"/>
          <w:u w:val="none"/>
          <w:lang w:val="en"/>
        </w:rPr>
        <w:t xml:space="preserve"> </w:t>
      </w:r>
      <w:r w:rsidRPr="00333A48">
        <w:rPr>
          <w:rFonts w:asciiTheme="minorHAnsi" w:eastAsia="Calibri" w:hAnsiTheme="minorHAnsi" w:cstheme="minorHAnsi"/>
        </w:rPr>
        <w:t xml:space="preserve">contact the Department of Social Services at </w:t>
      </w:r>
      <w:hyperlink r:id="rId21" w:history="1">
        <w:r w:rsidRPr="00A100EB">
          <w:rPr>
            <w:rStyle w:val="Hyperlink"/>
            <w:rFonts w:asciiTheme="minorHAnsi" w:eastAsia="Calibri" w:hAnsiTheme="minorHAnsi" w:cstheme="minorHAnsi"/>
            <w:sz w:val="24"/>
          </w:rPr>
          <w:t>nationalcentre@dss.gov.au</w:t>
        </w:r>
      </w:hyperlink>
      <w:r w:rsidRPr="00333A48">
        <w:rPr>
          <w:rFonts w:asciiTheme="minorHAnsi" w:eastAsia="Calibri" w:hAnsiTheme="minorHAnsi" w:cstheme="minorHAnsi"/>
          <w:u w:val="single"/>
        </w:rPr>
        <w:t>.</w:t>
      </w:r>
    </w:p>
    <w:p w14:paraId="3117139A" w14:textId="77777777" w:rsidR="00A50D16" w:rsidRDefault="00A50D16">
      <w:pPr>
        <w:rPr>
          <w:rFonts w:asciiTheme="minorHAnsi" w:eastAsia="Calibri" w:hAnsiTheme="minorHAnsi" w:cstheme="minorHAnsi"/>
          <w:u w:val="single"/>
        </w:rPr>
      </w:pPr>
      <w:r>
        <w:t>The future selection process for the National Centre will be advertised via normal departmental channels.</w:t>
      </w:r>
    </w:p>
    <w:p w14:paraId="5D57C5F2" w14:textId="77777777" w:rsidR="00DB01D6" w:rsidRDefault="00DB01D6" w:rsidP="00BE6A4F">
      <w:pPr>
        <w:pStyle w:val="Heading2"/>
      </w:pPr>
      <w:bookmarkStart w:id="27" w:name="_Toc30775991"/>
      <w:r>
        <w:t>Link to the Survey</w:t>
      </w:r>
      <w:bookmarkEnd w:id="27"/>
    </w:p>
    <w:p w14:paraId="0B51CE4D" w14:textId="77777777" w:rsidR="00001CBF" w:rsidRPr="003961B3" w:rsidRDefault="00001CBF" w:rsidP="00BE6A4F"/>
    <w:p w14:paraId="5C641D56" w14:textId="42E64B03" w:rsidR="009A1567" w:rsidRPr="00387290" w:rsidRDefault="009A1567" w:rsidP="00BE6A4F">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jc w:val="center"/>
        <w:rPr>
          <w:rFonts w:asciiTheme="minorHAnsi" w:hAnsiTheme="minorHAnsi" w:cstheme="minorHAnsi"/>
          <w:sz w:val="20"/>
          <w:szCs w:val="20"/>
        </w:rPr>
      </w:pPr>
      <w:r w:rsidRPr="00387290">
        <w:rPr>
          <w:rFonts w:ascii="Georgia" w:eastAsiaTheme="majorEastAsia" w:hAnsi="Georgia" w:cstheme="majorBidi"/>
          <w:b/>
          <w:bCs/>
          <w:color w:val="24596E"/>
          <w:sz w:val="28"/>
          <w:szCs w:val="28"/>
        </w:rPr>
        <w:t>Have your say - please participate in the survey:</w:t>
      </w:r>
      <w:r w:rsidR="00387290" w:rsidRPr="00387290">
        <w:rPr>
          <w:rFonts w:ascii="Georgia" w:eastAsiaTheme="majorEastAsia" w:hAnsi="Georgia" w:cstheme="majorBidi"/>
          <w:b/>
          <w:bCs/>
          <w:color w:val="24596E"/>
          <w:sz w:val="28"/>
          <w:szCs w:val="28"/>
        </w:rPr>
        <w:br/>
      </w:r>
      <w:hyperlink r:id="rId22" w:history="1">
        <w:r w:rsidR="009D5AC2">
          <w:rPr>
            <w:rStyle w:val="Hyperlink"/>
            <w:rFonts w:asciiTheme="minorHAnsi" w:hAnsiTheme="minorHAnsi" w:cstheme="minorHAnsi"/>
            <w:sz w:val="28"/>
            <w:szCs w:val="28"/>
          </w:rPr>
          <w:t>https://engage.dss.gov.au</w:t>
        </w:r>
      </w:hyperlink>
    </w:p>
    <w:p w14:paraId="07C66362" w14:textId="77777777" w:rsidR="007F5E6E" w:rsidRDefault="007F5E6E">
      <w:pPr>
        <w:spacing w:before="0" w:after="200" w:line="276" w:lineRule="auto"/>
        <w:rPr>
          <w:rFonts w:ascii="Georgia" w:eastAsiaTheme="majorEastAsia" w:hAnsi="Georgia" w:cstheme="majorBidi"/>
          <w:bCs/>
          <w:color w:val="24596E"/>
          <w:sz w:val="52"/>
          <w:szCs w:val="28"/>
        </w:rPr>
      </w:pPr>
      <w:r>
        <w:br w:type="page"/>
      </w:r>
    </w:p>
    <w:p w14:paraId="60DF52BC" w14:textId="77777777" w:rsidR="00B606C9" w:rsidRDefault="00875E68" w:rsidP="00BE6A4F">
      <w:pPr>
        <w:pStyle w:val="Heading1"/>
      </w:pPr>
      <w:bookmarkStart w:id="28" w:name="_Toc30775992"/>
      <w:r>
        <w:lastRenderedPageBreak/>
        <w:t xml:space="preserve">Appendix A:  </w:t>
      </w:r>
      <w:r w:rsidR="00B606C9">
        <w:t xml:space="preserve">Royal </w:t>
      </w:r>
      <w:r w:rsidR="00B606C9" w:rsidRPr="008622A8">
        <w:t>Commission</w:t>
      </w:r>
      <w:r w:rsidR="00B606C9">
        <w:t xml:space="preserve"> Final Report–Recommendation 9.9</w:t>
      </w:r>
      <w:bookmarkEnd w:id="28"/>
    </w:p>
    <w:p w14:paraId="7275CF9C" w14:textId="77777777" w:rsidR="00B606C9" w:rsidRPr="004A197C" w:rsidRDefault="00B606C9" w:rsidP="00B606C9">
      <w:pPr>
        <w:spacing w:before="60" w:after="60" w:line="240" w:lineRule="auto"/>
      </w:pPr>
      <w:r>
        <w:t>Recommendation 9.9 of the Royal Commission Final Report states:</w:t>
      </w:r>
    </w:p>
    <w:tbl>
      <w:tblPr>
        <w:tblStyle w:val="TableGrid"/>
        <w:tblpPr w:leftFromText="180" w:rightFromText="180" w:vertAnchor="text" w:horzAnchor="margin" w:tblpY="304"/>
        <w:tblW w:w="9876" w:type="dxa"/>
        <w:tblBorders>
          <w:insideH w:val="none" w:sz="0" w:space="0" w:color="auto"/>
          <w:insideV w:val="none" w:sz="0" w:space="0" w:color="auto"/>
        </w:tblBorders>
        <w:shd w:val="clear" w:color="auto" w:fill="B1E4E3" w:themeFill="accent3"/>
        <w:tblLook w:val="04A0" w:firstRow="1" w:lastRow="0" w:firstColumn="1" w:lastColumn="0" w:noHBand="0" w:noVBand="1"/>
      </w:tblPr>
      <w:tblGrid>
        <w:gridCol w:w="9876"/>
      </w:tblGrid>
      <w:tr w:rsidR="00B606C9" w:rsidRPr="00A229A7" w14:paraId="6AFBD00E" w14:textId="77777777" w:rsidTr="00C938DF">
        <w:trPr>
          <w:trHeight w:val="2258"/>
        </w:trPr>
        <w:tc>
          <w:tcPr>
            <w:tcW w:w="9876" w:type="dxa"/>
            <w:shd w:val="clear" w:color="auto" w:fill="DFF4F3" w:themeFill="accent6" w:themeFillTint="66"/>
          </w:tcPr>
          <w:p w14:paraId="2CAA814B" w14:textId="77777777" w:rsidR="00B606C9" w:rsidRPr="007F5E6E" w:rsidRDefault="00B606C9" w:rsidP="009B0FAB">
            <w:pPr>
              <w:pStyle w:val="Pullouttext"/>
              <w:keepNext/>
              <w:keepLines/>
              <w:ind w:left="0"/>
              <w:rPr>
                <w:rFonts w:asciiTheme="minorHAnsi" w:hAnsiTheme="minorHAnsi" w:cstheme="minorHAnsi"/>
                <w:szCs w:val="24"/>
              </w:rPr>
            </w:pPr>
            <w:r w:rsidRPr="007F5E6E">
              <w:rPr>
                <w:rFonts w:asciiTheme="minorHAnsi" w:hAnsiTheme="minorHAnsi" w:cstheme="minorHAnsi"/>
                <w:szCs w:val="24"/>
              </w:rPr>
              <w:br w:type="page"/>
              <w:t>Royal Commission Final Report– Recommendation 9.9</w:t>
            </w:r>
          </w:p>
          <w:p w14:paraId="242EEA32" w14:textId="77777777" w:rsidR="00B606C9" w:rsidRPr="007F5E6E" w:rsidRDefault="00B606C9" w:rsidP="009B0FAB">
            <w:pPr>
              <w:keepNext/>
              <w:keepLines/>
              <w:rPr>
                <w:rFonts w:asciiTheme="minorHAnsi" w:eastAsia="Calibri" w:hAnsiTheme="minorHAnsi" w:cstheme="minorHAnsi"/>
                <w:iCs/>
              </w:rPr>
            </w:pPr>
            <w:r w:rsidRPr="007F5E6E">
              <w:rPr>
                <w:rFonts w:asciiTheme="minorHAnsi" w:eastAsia="Calibri" w:hAnsiTheme="minorHAnsi" w:cstheme="minorHAnsi"/>
                <w:iCs/>
              </w:rPr>
              <w:t>The Australian Government, in conjunction with state and territory governments, should establish and fund a national centre to raise awareness and understanding of the impacts of child sexual abuse, support help seeking and guide best practice advocacy and support and therapeutic treatment. The national centre’s functions should be to:</w:t>
            </w:r>
          </w:p>
          <w:p w14:paraId="36DB52BC" w14:textId="77777777" w:rsidR="00B606C9" w:rsidRPr="007F5E6E" w:rsidRDefault="00B606C9" w:rsidP="009B0FAB">
            <w:pPr>
              <w:pStyle w:val="ListParagraph"/>
              <w:numPr>
                <w:ilvl w:val="0"/>
                <w:numId w:val="4"/>
              </w:numPr>
              <w:rPr>
                <w:rFonts w:asciiTheme="minorHAnsi" w:hAnsiTheme="minorHAnsi" w:cstheme="minorHAnsi"/>
                <w:iCs/>
              </w:rPr>
            </w:pPr>
            <w:r w:rsidRPr="007F5E6E">
              <w:rPr>
                <w:rFonts w:asciiTheme="minorHAnsi" w:eastAsiaTheme="minorEastAsia" w:hAnsiTheme="minorHAnsi" w:cstheme="minorHAnsi"/>
                <w:iCs/>
              </w:rPr>
              <w:t>raise community awareness and promote destigmatising messages about the impacts of child sexual abuse</w:t>
            </w:r>
          </w:p>
          <w:p w14:paraId="1701D695" w14:textId="77777777" w:rsidR="00B606C9" w:rsidRPr="007F5E6E" w:rsidRDefault="00B606C9" w:rsidP="009B0FAB">
            <w:pPr>
              <w:ind w:left="720" w:hanging="363"/>
              <w:rPr>
                <w:rFonts w:asciiTheme="minorHAnsi" w:hAnsiTheme="minorHAnsi" w:cstheme="minorHAnsi"/>
                <w:iCs/>
              </w:rPr>
            </w:pPr>
            <w:r w:rsidRPr="007F5E6E">
              <w:rPr>
                <w:rFonts w:asciiTheme="minorHAnsi" w:eastAsiaTheme="minorEastAsia" w:hAnsiTheme="minorHAnsi" w:cstheme="minorHAnsi"/>
                <w:iCs/>
              </w:rPr>
              <w:t>b.</w:t>
            </w:r>
            <w:r w:rsidRPr="007F5E6E">
              <w:rPr>
                <w:rFonts w:asciiTheme="minorHAnsi" w:eastAsiaTheme="minorEastAsia" w:hAnsiTheme="minorHAnsi" w:cstheme="minorHAnsi"/>
                <w:iCs/>
              </w:rPr>
              <w:tab/>
              <w:t>increase practitioners’ knowledge and competence in responding to child and adult victims and survivors by translating knowledge about the impacts of child sexual abuse and the evidence on effective responses into practice and policy. This should include activities to:</w:t>
            </w:r>
          </w:p>
          <w:p w14:paraId="3C91D544" w14:textId="77777777" w:rsidR="00B606C9" w:rsidRPr="007F5E6E" w:rsidRDefault="00B606C9" w:rsidP="009B0FAB">
            <w:pPr>
              <w:spacing w:before="0" w:after="120"/>
              <w:ind w:left="1440" w:hanging="720"/>
              <w:rPr>
                <w:rFonts w:asciiTheme="minorHAnsi" w:hAnsiTheme="minorHAnsi" w:cstheme="minorHAnsi"/>
                <w:iCs/>
              </w:rPr>
            </w:pPr>
            <w:r w:rsidRPr="007F5E6E">
              <w:rPr>
                <w:rFonts w:asciiTheme="minorHAnsi" w:eastAsiaTheme="minorEastAsia" w:hAnsiTheme="minorHAnsi" w:cstheme="minorHAnsi"/>
                <w:iCs/>
              </w:rPr>
              <w:t xml:space="preserve">i. </w:t>
            </w:r>
            <w:r w:rsidRPr="007F5E6E">
              <w:rPr>
                <w:rFonts w:asciiTheme="minorHAnsi" w:eastAsiaTheme="minorEastAsia" w:hAnsiTheme="minorHAnsi" w:cstheme="minorHAnsi"/>
                <w:iCs/>
              </w:rPr>
              <w:tab/>
              <w:t>identify, translate and promote research in easily available and accessible formats for advocacy and support and therapeutic treatment practitioners</w:t>
            </w:r>
          </w:p>
          <w:p w14:paraId="41AF61F4" w14:textId="77777777" w:rsidR="00B606C9" w:rsidRPr="007F5E6E" w:rsidRDefault="00B606C9" w:rsidP="009B0FAB">
            <w:pPr>
              <w:spacing w:before="0" w:after="120"/>
              <w:ind w:left="720"/>
              <w:rPr>
                <w:rFonts w:asciiTheme="minorHAnsi" w:hAnsiTheme="minorHAnsi" w:cstheme="minorHAnsi"/>
                <w:iCs/>
              </w:rPr>
            </w:pPr>
            <w:r w:rsidRPr="007F5E6E">
              <w:rPr>
                <w:rFonts w:asciiTheme="minorHAnsi" w:eastAsiaTheme="minorEastAsia" w:hAnsiTheme="minorHAnsi" w:cstheme="minorHAnsi"/>
                <w:iCs/>
              </w:rPr>
              <w:t>ii.</w:t>
            </w:r>
            <w:r w:rsidRPr="007F5E6E">
              <w:rPr>
                <w:rFonts w:asciiTheme="minorHAnsi" w:eastAsiaTheme="minorEastAsia" w:hAnsiTheme="minorHAnsi" w:cstheme="minorHAnsi"/>
                <w:iCs/>
              </w:rPr>
              <w:tab/>
              <w:t>produce national training materials and best practice clinical resources</w:t>
            </w:r>
          </w:p>
          <w:p w14:paraId="004D95BA" w14:textId="77777777" w:rsidR="00B606C9" w:rsidRPr="007F5E6E" w:rsidRDefault="00B606C9" w:rsidP="009B0FAB">
            <w:pPr>
              <w:spacing w:before="0" w:after="120"/>
              <w:ind w:left="720"/>
              <w:rPr>
                <w:rFonts w:asciiTheme="minorHAnsi" w:hAnsiTheme="minorHAnsi" w:cstheme="minorHAnsi"/>
                <w:iCs/>
              </w:rPr>
            </w:pPr>
            <w:r w:rsidRPr="007F5E6E">
              <w:rPr>
                <w:rFonts w:asciiTheme="minorHAnsi" w:eastAsiaTheme="minorEastAsia" w:hAnsiTheme="minorHAnsi" w:cstheme="minorHAnsi"/>
                <w:iCs/>
              </w:rPr>
              <w:t>iii.</w:t>
            </w:r>
            <w:r w:rsidRPr="007F5E6E">
              <w:rPr>
                <w:rFonts w:asciiTheme="minorHAnsi" w:eastAsiaTheme="minorEastAsia" w:hAnsiTheme="minorHAnsi" w:cstheme="minorHAnsi"/>
                <w:iCs/>
              </w:rPr>
              <w:tab/>
              <w:t>partner with training organisations to conduct training and workforce development programs</w:t>
            </w:r>
          </w:p>
          <w:p w14:paraId="3B75AA02" w14:textId="77777777" w:rsidR="00B606C9" w:rsidRPr="007F5E6E" w:rsidRDefault="00B606C9" w:rsidP="009B0FAB">
            <w:pPr>
              <w:spacing w:before="0" w:after="120"/>
              <w:ind w:left="720"/>
              <w:rPr>
                <w:rFonts w:asciiTheme="minorHAnsi" w:hAnsiTheme="minorHAnsi" w:cstheme="minorHAnsi"/>
                <w:iCs/>
              </w:rPr>
            </w:pPr>
            <w:r w:rsidRPr="007F5E6E">
              <w:rPr>
                <w:rFonts w:asciiTheme="minorHAnsi" w:eastAsiaTheme="minorEastAsia" w:hAnsiTheme="minorHAnsi" w:cstheme="minorHAnsi"/>
                <w:iCs/>
              </w:rPr>
              <w:t xml:space="preserve">iv. </w:t>
            </w:r>
            <w:r w:rsidRPr="007F5E6E">
              <w:rPr>
                <w:rFonts w:asciiTheme="minorHAnsi" w:eastAsiaTheme="minorEastAsia" w:hAnsiTheme="minorHAnsi" w:cstheme="minorHAnsi"/>
                <w:iCs/>
              </w:rPr>
              <w:tab/>
              <w:t>influence national tertiary curricula to incorporate child sexual abuse and trauma-informed care</w:t>
            </w:r>
          </w:p>
          <w:p w14:paraId="2C07D35D" w14:textId="77777777" w:rsidR="00B606C9" w:rsidRPr="007F5E6E" w:rsidRDefault="00B606C9" w:rsidP="009B0FAB">
            <w:pPr>
              <w:spacing w:before="0" w:after="120"/>
              <w:ind w:left="720"/>
              <w:rPr>
                <w:rFonts w:asciiTheme="minorHAnsi" w:hAnsiTheme="minorHAnsi" w:cstheme="minorHAnsi"/>
                <w:iCs/>
              </w:rPr>
            </w:pPr>
            <w:r w:rsidRPr="007F5E6E">
              <w:rPr>
                <w:rFonts w:asciiTheme="minorHAnsi" w:eastAsiaTheme="minorEastAsia" w:hAnsiTheme="minorHAnsi" w:cstheme="minorHAnsi"/>
                <w:iCs/>
              </w:rPr>
              <w:t xml:space="preserve">v. </w:t>
            </w:r>
            <w:r w:rsidRPr="007F5E6E">
              <w:rPr>
                <w:rFonts w:asciiTheme="minorHAnsi" w:eastAsiaTheme="minorEastAsia" w:hAnsiTheme="minorHAnsi" w:cstheme="minorHAnsi"/>
                <w:iCs/>
              </w:rPr>
              <w:tab/>
              <w:t>inform government policy making</w:t>
            </w:r>
          </w:p>
          <w:p w14:paraId="43446755" w14:textId="77777777" w:rsidR="00B606C9" w:rsidRPr="007F5E6E" w:rsidRDefault="00B606C9" w:rsidP="009B0FAB">
            <w:pPr>
              <w:ind w:left="589" w:hanging="242"/>
              <w:rPr>
                <w:rFonts w:asciiTheme="minorHAnsi" w:eastAsiaTheme="minorEastAsia" w:hAnsiTheme="minorHAnsi" w:cstheme="minorHAnsi"/>
                <w:iCs/>
              </w:rPr>
            </w:pPr>
            <w:r w:rsidRPr="007F5E6E">
              <w:rPr>
                <w:rFonts w:asciiTheme="minorHAnsi" w:eastAsiaTheme="minorEastAsia" w:hAnsiTheme="minorHAnsi" w:cstheme="minorHAnsi"/>
                <w:iCs/>
              </w:rPr>
              <w:t>c.</w:t>
            </w:r>
            <w:r w:rsidRPr="007F5E6E">
              <w:rPr>
                <w:rFonts w:asciiTheme="minorHAnsi" w:eastAsiaTheme="minorEastAsia" w:hAnsiTheme="minorHAnsi" w:cstheme="minorHAnsi"/>
                <w:iCs/>
              </w:rPr>
              <w:tab/>
            </w:r>
            <w:r w:rsidRPr="007F5E6E">
              <w:rPr>
                <w:rFonts w:asciiTheme="minorHAnsi" w:eastAsiaTheme="minorEastAsia" w:hAnsiTheme="minorHAnsi" w:cstheme="minorHAnsi"/>
                <w:iCs/>
              </w:rPr>
              <w:tab/>
              <w:t>lead the development of better service models and interventions through coordinating a national research agenda and conducting high-quality program evaluation.</w:t>
            </w:r>
          </w:p>
          <w:p w14:paraId="323D0BD6" w14:textId="77777777" w:rsidR="00B606C9" w:rsidRPr="007F5E6E" w:rsidRDefault="00B606C9" w:rsidP="009B0FAB">
            <w:pPr>
              <w:rPr>
                <w:rFonts w:asciiTheme="minorHAnsi" w:eastAsia="Calibri" w:hAnsiTheme="minorHAnsi" w:cstheme="minorHAnsi"/>
              </w:rPr>
            </w:pPr>
            <w:r w:rsidRPr="007F5E6E">
              <w:rPr>
                <w:rFonts w:asciiTheme="minorHAnsi" w:eastAsia="Calibri" w:hAnsiTheme="minorHAnsi" w:cstheme="minorHAnsi"/>
                <w:iCs/>
              </w:rPr>
              <w:t>The national centre should partner with survivors in all its work, valuing their knowledge and experience.</w:t>
            </w:r>
            <w:r w:rsidRPr="007F5E6E">
              <w:rPr>
                <w:rFonts w:asciiTheme="minorHAnsi" w:eastAsia="Calibri" w:hAnsiTheme="minorHAnsi" w:cstheme="minorHAnsi"/>
              </w:rPr>
              <w:t xml:space="preserve"> </w:t>
            </w:r>
          </w:p>
        </w:tc>
      </w:tr>
    </w:tbl>
    <w:p w14:paraId="59699595" w14:textId="77777777" w:rsidR="00B606C9" w:rsidRPr="004A197C" w:rsidRDefault="00B606C9" w:rsidP="00B606C9"/>
    <w:p w14:paraId="429C4F91" w14:textId="77777777" w:rsidR="009C0C42" w:rsidRDefault="009C0C42" w:rsidP="00BE6A4F"/>
    <w:p w14:paraId="01A550BC" w14:textId="77777777" w:rsidR="009C0C42" w:rsidRDefault="009C0C42" w:rsidP="00BE6A4F"/>
    <w:p w14:paraId="3E16F4B8" w14:textId="77777777" w:rsidR="009C0C42" w:rsidRDefault="009C0C42" w:rsidP="00BE6A4F"/>
    <w:p w14:paraId="11B70812" w14:textId="77777777" w:rsidR="009C0C42" w:rsidRDefault="009C0C42" w:rsidP="00BE6A4F"/>
    <w:p w14:paraId="35BD5595" w14:textId="77777777" w:rsidR="009C0C42" w:rsidRDefault="009C0C42" w:rsidP="00BE6A4F"/>
    <w:p w14:paraId="3B891410" w14:textId="77777777" w:rsidR="009C0C42" w:rsidRPr="00875E68" w:rsidRDefault="009C0C42" w:rsidP="00BE6A4F"/>
    <w:p w14:paraId="38C38FB9" w14:textId="77777777" w:rsidR="009C0C42" w:rsidRDefault="009C0C42" w:rsidP="00C80FDC">
      <w:pPr>
        <w:sectPr w:rsidR="009C0C42" w:rsidSect="00E54673">
          <w:footerReference w:type="default" r:id="rId23"/>
          <w:headerReference w:type="first" r:id="rId24"/>
          <w:footerReference w:type="first" r:id="rId25"/>
          <w:pgSz w:w="11906" w:h="16838"/>
          <w:pgMar w:top="851" w:right="1134" w:bottom="851" w:left="1134" w:header="0" w:footer="283" w:gutter="0"/>
          <w:pgNumType w:start="0"/>
          <w:cols w:space="708"/>
          <w:titlePg/>
          <w:docGrid w:linePitch="360"/>
        </w:sectPr>
      </w:pPr>
    </w:p>
    <w:p w14:paraId="416D8C44" w14:textId="77777777" w:rsidR="009C0C42" w:rsidRDefault="00875E68">
      <w:pPr>
        <w:pStyle w:val="Heading1"/>
      </w:pPr>
      <w:bookmarkStart w:id="29" w:name="_Toc30775993"/>
      <w:r>
        <w:lastRenderedPageBreak/>
        <w:t xml:space="preserve">Appendix B:  </w:t>
      </w:r>
      <w:r w:rsidR="009C0C42" w:rsidRPr="008622A8">
        <w:t>Glossary</w:t>
      </w:r>
      <w:r w:rsidR="009C0C42">
        <w:t xml:space="preserve"> </w:t>
      </w:r>
      <w:r w:rsidR="009C0C42" w:rsidRPr="00664758">
        <w:t>of</w:t>
      </w:r>
      <w:r w:rsidR="009C0C42">
        <w:t xml:space="preserve"> terms used in the survey</w:t>
      </w:r>
      <w:bookmarkEnd w:id="29"/>
    </w:p>
    <w:p w14:paraId="22AAE14D" w14:textId="4D434576" w:rsidR="009C0C42" w:rsidRPr="00F81DAB" w:rsidRDefault="009C0C42" w:rsidP="009C0C42">
      <w:r>
        <w:rPr>
          <w:b/>
          <w:bCs/>
        </w:rPr>
        <w:t>Diverse communities…</w:t>
      </w:r>
      <w:r>
        <w:t xml:space="preserve"> diverse communities include those from culturally and linguistically diverse backgrounds, </w:t>
      </w:r>
      <w:r w:rsidR="00FC0922">
        <w:t xml:space="preserve">Aboriginal and Torres </w:t>
      </w:r>
      <w:r w:rsidR="009B6D77">
        <w:t>Strait</w:t>
      </w:r>
      <w:r w:rsidR="00FC0922">
        <w:t xml:space="preserve"> Island</w:t>
      </w:r>
      <w:r w:rsidR="009B6D77">
        <w:t>er communities</w:t>
      </w:r>
      <w:r>
        <w:t xml:space="preserve">, LGBTIQ+ </w:t>
      </w:r>
      <w:r w:rsidR="009B6D77">
        <w:t>communities</w:t>
      </w:r>
      <w:r>
        <w:t xml:space="preserve">, and </w:t>
      </w:r>
      <w:r w:rsidR="009B6D77">
        <w:t xml:space="preserve">people </w:t>
      </w:r>
      <w:r>
        <w:t>with disability.</w:t>
      </w:r>
    </w:p>
    <w:p w14:paraId="1091FD39" w14:textId="77777777" w:rsidR="009C0C42" w:rsidRDefault="009C0C42" w:rsidP="009C0C42">
      <w:pPr>
        <w:spacing w:after="240"/>
      </w:pPr>
      <w:r>
        <w:rPr>
          <w:b/>
          <w:bCs/>
        </w:rPr>
        <w:t>General services…</w:t>
      </w:r>
      <w:r>
        <w:t xml:space="preserve"> refers to services provided by government that, while not specific to child protection, have a key role to play in preventing further harm from child sexual abuse. For example, police, GPs, hospitals and other health services, education, community services, disability services.</w:t>
      </w:r>
    </w:p>
    <w:p w14:paraId="4BAC3AAA" w14:textId="77777777" w:rsidR="009C0C42" w:rsidRDefault="009C0C42" w:rsidP="009C0C42">
      <w:pPr>
        <w:spacing w:after="240"/>
      </w:pPr>
      <w:r>
        <w:rPr>
          <w:b/>
          <w:bCs/>
        </w:rPr>
        <w:t>Innovation hubs…</w:t>
      </w:r>
      <w:r>
        <w:t xml:space="preserve"> an innovation hub is a service delivery organisation specialised in the development and evaluation of new models of care and intervention.</w:t>
      </w:r>
    </w:p>
    <w:p w14:paraId="2953661F" w14:textId="77777777" w:rsidR="009C0C42" w:rsidRDefault="009C0C42" w:rsidP="009C0C42">
      <w:pPr>
        <w:spacing w:after="240"/>
      </w:pPr>
      <w:r>
        <w:rPr>
          <w:b/>
          <w:bCs/>
        </w:rPr>
        <w:t>Practitioner…</w:t>
      </w:r>
      <w:r>
        <w:t xml:space="preserve"> in its broadest possible sense, ‘practitioner’ includes all those who work with children (whether professionally or on a voluntary basis) as well as those who might bear witness to a victim and survivor disclosure or provide support services to victim survivors throughout their lives.  In the survey, practitioner is also referred to as ‘worker’.</w:t>
      </w:r>
    </w:p>
    <w:p w14:paraId="7F818F58" w14:textId="77777777" w:rsidR="009C0C42" w:rsidRDefault="009C0C42" w:rsidP="00AC3DCE">
      <w:pPr>
        <w:spacing w:after="240"/>
      </w:pPr>
      <w:r w:rsidRPr="00B04561">
        <w:rPr>
          <w:b/>
        </w:rPr>
        <w:t xml:space="preserve">Stigmatisation… </w:t>
      </w:r>
      <w:r>
        <w:t>to unfairly regard someone as having something to be ashamed of.</w:t>
      </w:r>
    </w:p>
    <w:p w14:paraId="28652C3D" w14:textId="50990287" w:rsidR="002A279A" w:rsidRPr="00E54673" w:rsidRDefault="002A279A" w:rsidP="00AC3DCE">
      <w:pPr>
        <w:spacing w:after="240"/>
        <w:rPr>
          <w:b/>
        </w:rPr>
      </w:pPr>
      <w:r w:rsidRPr="00E54673">
        <w:rPr>
          <w:b/>
        </w:rPr>
        <w:t>Trauma…</w:t>
      </w:r>
      <w:r w:rsidR="005026C5">
        <w:rPr>
          <w:b/>
        </w:rPr>
        <w:t xml:space="preserve"> </w:t>
      </w:r>
      <w:r w:rsidR="005026C5">
        <w:t>the experience of an event, series of events or set of circumstances that is very frightening or distressing and can have lasting impacts on individuals, families and communities. The impacts of trauma can be passed from generation to generation, which is often referred to as intergenerational trauma.</w:t>
      </w:r>
    </w:p>
    <w:sectPr w:rsidR="002A279A" w:rsidRPr="00E54673" w:rsidSect="00C938DF">
      <w:footerReference w:type="first" r:id="rId26"/>
      <w:pgSz w:w="11906" w:h="16838"/>
      <w:pgMar w:top="709" w:right="1134" w:bottom="992" w:left="1134" w:header="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4C6D" w14:textId="77777777" w:rsidR="00CE779F" w:rsidRDefault="00CE779F" w:rsidP="008F3023">
      <w:pPr>
        <w:spacing w:before="0" w:after="0" w:line="240" w:lineRule="auto"/>
      </w:pPr>
      <w:r>
        <w:separator/>
      </w:r>
    </w:p>
  </w:endnote>
  <w:endnote w:type="continuationSeparator" w:id="0">
    <w:p w14:paraId="0F32D4B5" w14:textId="77777777" w:rsidR="00CE779F" w:rsidRDefault="00CE779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404491"/>
      <w:docPartObj>
        <w:docPartGallery w:val="Page Numbers (Bottom of Page)"/>
        <w:docPartUnique/>
      </w:docPartObj>
    </w:sdtPr>
    <w:sdtEndPr>
      <w:rPr>
        <w:noProof/>
      </w:rPr>
    </w:sdtEndPr>
    <w:sdtContent>
      <w:p w14:paraId="03419133" w14:textId="77777777" w:rsidR="002258E0" w:rsidRDefault="002258E0">
        <w:pPr>
          <w:pStyle w:val="Footer"/>
          <w:jc w:val="right"/>
        </w:pPr>
        <w:r>
          <w:fldChar w:fldCharType="begin"/>
        </w:r>
        <w:r>
          <w:instrText xml:space="preserve"> PAGE   \* MERGEFORMAT </w:instrText>
        </w:r>
        <w:r>
          <w:fldChar w:fldCharType="separate"/>
        </w:r>
        <w:r w:rsidR="008379C7">
          <w:rPr>
            <w:noProof/>
          </w:rPr>
          <w:t>10</w:t>
        </w:r>
        <w:r>
          <w:rPr>
            <w:noProof/>
          </w:rPr>
          <w:fldChar w:fldCharType="end"/>
        </w:r>
      </w:p>
    </w:sdtContent>
  </w:sdt>
  <w:p w14:paraId="056C1245" w14:textId="77777777" w:rsidR="009B0FAB" w:rsidRPr="0033235E" w:rsidRDefault="009B0FAB" w:rsidP="00C938DF">
    <w:pPr>
      <w:pStyle w:val="Footer"/>
      <w:tabs>
        <w:tab w:val="clear" w:pos="4513"/>
        <w:tab w:val="clear" w:pos="9026"/>
        <w:tab w:val="center" w:pos="4110"/>
        <w:tab w:val="left" w:pos="4551"/>
      </w:tabs>
      <w:ind w:left="-1417"/>
      <w:rPr>
        <w:color w:val="7F7F7F" w:themeColor="text1" w:themeTint="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3F0D" w14:textId="77777777" w:rsidR="009B0FAB" w:rsidRPr="0033235E" w:rsidRDefault="009B0FAB" w:rsidP="00B10EB1">
    <w:pPr>
      <w:pStyle w:val="Footer"/>
      <w:ind w:left="-1417"/>
      <w:rPr>
        <w:color w:val="7F7F7F" w:themeColor="text1" w:themeTint="80"/>
      </w:rPr>
    </w:pPr>
    <w:r w:rsidRPr="0033235E">
      <w:rPr>
        <w:noProof/>
        <w:color w:val="7F7F7F" w:themeColor="text1" w:themeTint="80"/>
      </w:rPr>
      <w:drawing>
        <wp:inline distT="0" distB="0" distL="0" distR="0" wp14:anchorId="15249CFF" wp14:editId="032FD05B">
          <wp:extent cx="7519594" cy="6264813"/>
          <wp:effectExtent l="0" t="0" r="5715" b="3175"/>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69055"/>
      <w:docPartObj>
        <w:docPartGallery w:val="Page Numbers (Bottom of Page)"/>
        <w:docPartUnique/>
      </w:docPartObj>
    </w:sdtPr>
    <w:sdtEndPr>
      <w:rPr>
        <w:noProof/>
      </w:rPr>
    </w:sdtEndPr>
    <w:sdtContent>
      <w:p w14:paraId="123A8629" w14:textId="006982B7" w:rsidR="008379C7" w:rsidRDefault="008379C7">
        <w:pPr>
          <w:pStyle w:val="Footer"/>
          <w:jc w:val="right"/>
        </w:pPr>
        <w:r>
          <w:fldChar w:fldCharType="begin"/>
        </w:r>
        <w:r>
          <w:instrText xml:space="preserve"> PAGE   \* MERGEFORMAT </w:instrText>
        </w:r>
        <w:r>
          <w:fldChar w:fldCharType="separate"/>
        </w:r>
        <w:r w:rsidR="00087745">
          <w:rPr>
            <w:noProof/>
          </w:rPr>
          <w:t>2</w:t>
        </w:r>
        <w:r>
          <w:rPr>
            <w:noProof/>
          </w:rPr>
          <w:fldChar w:fldCharType="end"/>
        </w:r>
      </w:p>
    </w:sdtContent>
  </w:sdt>
  <w:p w14:paraId="6A39943B" w14:textId="77777777" w:rsidR="008379C7" w:rsidRPr="0033235E" w:rsidRDefault="008379C7" w:rsidP="00C938DF">
    <w:pPr>
      <w:pStyle w:val="Footer"/>
      <w:tabs>
        <w:tab w:val="clear" w:pos="4513"/>
        <w:tab w:val="clear" w:pos="9026"/>
        <w:tab w:val="center" w:pos="4110"/>
        <w:tab w:val="left" w:pos="4551"/>
      </w:tabs>
      <w:ind w:left="-1417"/>
      <w:rPr>
        <w:color w:val="7F7F7F" w:themeColor="text1" w:themeTint="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DE86" w14:textId="77777777" w:rsidR="006769AE" w:rsidRPr="0033235E" w:rsidRDefault="006769AE" w:rsidP="00B10EB1">
    <w:pPr>
      <w:pStyle w:val="Footer"/>
      <w:ind w:left="-1417"/>
      <w:rPr>
        <w:color w:val="7F7F7F" w:themeColor="text1" w:themeTint="8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73793"/>
      <w:docPartObj>
        <w:docPartGallery w:val="Page Numbers (Bottom of Page)"/>
        <w:docPartUnique/>
      </w:docPartObj>
    </w:sdtPr>
    <w:sdtEndPr>
      <w:rPr>
        <w:noProof/>
      </w:rPr>
    </w:sdtEndPr>
    <w:sdtContent>
      <w:p w14:paraId="7150B330" w14:textId="6D4AE76E" w:rsidR="002258E0" w:rsidRDefault="006A3A48">
        <w:pPr>
          <w:pStyle w:val="Footer"/>
          <w:jc w:val="right"/>
        </w:pPr>
        <w:r>
          <w:t>11</w:t>
        </w:r>
      </w:p>
    </w:sdtContent>
  </w:sdt>
  <w:p w14:paraId="3FF733FF" w14:textId="77777777" w:rsidR="007F5E6E" w:rsidRPr="00C938DF" w:rsidRDefault="007F5E6E" w:rsidP="00C9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35925" w14:textId="77777777" w:rsidR="00CE779F" w:rsidRDefault="00CE779F" w:rsidP="008F3023">
      <w:pPr>
        <w:spacing w:before="0" w:after="0" w:line="240" w:lineRule="auto"/>
      </w:pPr>
      <w:r>
        <w:separator/>
      </w:r>
    </w:p>
  </w:footnote>
  <w:footnote w:type="continuationSeparator" w:id="0">
    <w:p w14:paraId="63FE10DB" w14:textId="77777777" w:rsidR="00CE779F" w:rsidRDefault="00CE779F" w:rsidP="008F3023">
      <w:pPr>
        <w:spacing w:before="0" w:after="0" w:line="240" w:lineRule="auto"/>
      </w:pPr>
      <w:r>
        <w:continuationSeparator/>
      </w:r>
    </w:p>
  </w:footnote>
  <w:footnote w:id="1">
    <w:p w14:paraId="3B38741F" w14:textId="77777777" w:rsidR="009B0FAB" w:rsidRDefault="009B0FAB" w:rsidP="00DB01D6">
      <w:pPr>
        <w:pStyle w:val="FootnoteText"/>
      </w:pPr>
      <w:r>
        <w:rPr>
          <w:rStyle w:val="FootnoteReference"/>
        </w:rPr>
        <w:footnoteRef/>
      </w:r>
      <w:r>
        <w:t xml:space="preserve"> </w:t>
      </w:r>
      <w:r w:rsidRPr="00EE483F" w:rsidDel="003507F0">
        <w:rPr>
          <w:sz w:val="12"/>
          <w:szCs w:val="12"/>
        </w:rPr>
        <w:t>The Royal Commission into Institutional Responses to Child Sexual Abuse, pg 7, Final Report, Preface and Executive Summary</w:t>
      </w:r>
    </w:p>
  </w:footnote>
  <w:footnote w:id="2">
    <w:p w14:paraId="7FCBAFE9" w14:textId="77777777" w:rsidR="007F3A31" w:rsidRDefault="007F3A31" w:rsidP="007F3A31">
      <w:pPr>
        <w:pStyle w:val="FootnoteText"/>
      </w:pPr>
      <w:r>
        <w:rPr>
          <w:rStyle w:val="FootnoteReference"/>
        </w:rPr>
        <w:footnoteRef/>
      </w:r>
      <w:r>
        <w:t xml:space="preserve"> </w:t>
      </w:r>
      <w:r w:rsidRPr="00357D83">
        <w:t>Royal Commission Final Report: Volume 6, Making institutions child safe</w:t>
      </w:r>
    </w:p>
  </w:footnote>
  <w:footnote w:id="3">
    <w:p w14:paraId="44287801" w14:textId="77777777" w:rsidR="009B0FAB" w:rsidRDefault="009B0FAB" w:rsidP="00050DB5">
      <w:pPr>
        <w:pStyle w:val="FootnoteText"/>
      </w:pPr>
      <w:r>
        <w:rPr>
          <w:rStyle w:val="FootnoteReference"/>
        </w:rPr>
        <w:footnoteRef/>
      </w:r>
      <w:r>
        <w:t xml:space="preserve"> </w:t>
      </w:r>
      <w:r>
        <w:rPr>
          <w:sz w:val="12"/>
          <w:szCs w:val="12"/>
        </w:rPr>
        <w:t>Royal Commission Final Report: Preface and executive summary</w:t>
      </w:r>
    </w:p>
  </w:footnote>
  <w:footnote w:id="4">
    <w:p w14:paraId="5F9089AA" w14:textId="77777777" w:rsidR="009B0FAB" w:rsidRDefault="009B0FAB" w:rsidP="00370C3D">
      <w:pPr>
        <w:pStyle w:val="FootnoteText"/>
      </w:pPr>
      <w:r>
        <w:rPr>
          <w:rStyle w:val="FootnoteReference"/>
          <w:rFonts w:eastAsiaTheme="majorEastAsia"/>
        </w:rPr>
        <w:footnoteRef/>
      </w:r>
      <w:r>
        <w:t xml:space="preserve"> </w:t>
      </w:r>
      <w:r>
        <w:rPr>
          <w:sz w:val="12"/>
          <w:szCs w:val="12"/>
        </w:rPr>
        <w:t>Royal Commission Final Report: Preface and executive summary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854D" w14:textId="77777777" w:rsidR="009B0FAB" w:rsidRPr="0033235E" w:rsidRDefault="009B0FAB" w:rsidP="00F30908">
    <w:pPr>
      <w:ind w:left="-964"/>
      <w:rPr>
        <w:color w:val="7F7F7F" w:themeColor="text1" w:themeTint="80"/>
      </w:rPr>
    </w:pPr>
    <w:r w:rsidRPr="0033235E">
      <w:rPr>
        <w:noProof/>
        <w:color w:val="7F7F7F" w:themeColor="text1" w:themeTint="80"/>
      </w:rPr>
      <w:drawing>
        <wp:inline distT="0" distB="0" distL="0" distR="0" wp14:anchorId="098518A1" wp14:editId="520E9986">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B63E" w14:textId="77777777" w:rsidR="009B0FAB" w:rsidRPr="0033235E" w:rsidRDefault="009B0FAB" w:rsidP="00F30908">
    <w:pPr>
      <w:ind w:left="-964"/>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8E3B"/>
      </v:shape>
    </w:pict>
  </w:numPicBullet>
  <w:abstractNum w:abstractNumId="0" w15:restartNumberingAfterBreak="0">
    <w:nsid w:val="FFFFFF89"/>
    <w:multiLevelType w:val="singleLevel"/>
    <w:tmpl w:val="347017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73686"/>
    <w:multiLevelType w:val="hybridMultilevel"/>
    <w:tmpl w:val="EF6C8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181"/>
    <w:multiLevelType w:val="hybridMultilevel"/>
    <w:tmpl w:val="53EA9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7847BE"/>
    <w:multiLevelType w:val="hybridMultilevel"/>
    <w:tmpl w:val="F6C6B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2B0F8A"/>
    <w:multiLevelType w:val="hybridMultilevel"/>
    <w:tmpl w:val="B0F4F7B4"/>
    <w:lvl w:ilvl="0" w:tplc="07B4E2FA">
      <w:start w:val="1"/>
      <w:numFmt w:val="bullet"/>
      <w:lvlText w:val=""/>
      <w:lvlJc w:val="left"/>
      <w:pPr>
        <w:ind w:left="720" w:hanging="360"/>
      </w:pPr>
      <w:rPr>
        <w:rFonts w:ascii="Symbol" w:hAnsi="Symbol" w:hint="default"/>
        <w:color w:val="349694"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0361D"/>
    <w:multiLevelType w:val="hybridMultilevel"/>
    <w:tmpl w:val="69044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174A5"/>
    <w:multiLevelType w:val="hybridMultilevel"/>
    <w:tmpl w:val="42F872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B556DC"/>
    <w:multiLevelType w:val="hybridMultilevel"/>
    <w:tmpl w:val="E18AF006"/>
    <w:lvl w:ilvl="0" w:tplc="7D0CC8BC">
      <w:start w:val="1"/>
      <w:numFmt w:val="bullet"/>
      <w:lvlText w:val=""/>
      <w:lvlJc w:val="left"/>
      <w:pPr>
        <w:ind w:left="1440" w:hanging="360"/>
      </w:pPr>
      <w:rPr>
        <w:rFonts w:ascii="Symbol" w:hAnsi="Symbol" w:hint="default"/>
      </w:rPr>
    </w:lvl>
    <w:lvl w:ilvl="1" w:tplc="819255DE">
      <w:start w:val="1"/>
      <w:numFmt w:val="lowerLetter"/>
      <w:lvlText w:val="%2."/>
      <w:lvlJc w:val="left"/>
      <w:pPr>
        <w:ind w:left="2160" w:hanging="360"/>
      </w:pPr>
    </w:lvl>
    <w:lvl w:ilvl="2" w:tplc="91FA8D22">
      <w:start w:val="1"/>
      <w:numFmt w:val="lowerRoman"/>
      <w:lvlText w:val="%3."/>
      <w:lvlJc w:val="right"/>
      <w:pPr>
        <w:ind w:left="2880" w:hanging="180"/>
      </w:pPr>
    </w:lvl>
    <w:lvl w:ilvl="3" w:tplc="BD54C272">
      <w:start w:val="1"/>
      <w:numFmt w:val="decimal"/>
      <w:lvlText w:val="%4."/>
      <w:lvlJc w:val="left"/>
      <w:pPr>
        <w:ind w:left="3600" w:hanging="360"/>
      </w:pPr>
    </w:lvl>
    <w:lvl w:ilvl="4" w:tplc="3C1A21A4">
      <w:start w:val="1"/>
      <w:numFmt w:val="lowerLetter"/>
      <w:lvlText w:val="%5."/>
      <w:lvlJc w:val="left"/>
      <w:pPr>
        <w:ind w:left="4320" w:hanging="360"/>
      </w:pPr>
    </w:lvl>
    <w:lvl w:ilvl="5" w:tplc="DD8AA7C6">
      <w:start w:val="1"/>
      <w:numFmt w:val="lowerRoman"/>
      <w:lvlText w:val="%6."/>
      <w:lvlJc w:val="right"/>
      <w:pPr>
        <w:ind w:left="5040" w:hanging="180"/>
      </w:pPr>
    </w:lvl>
    <w:lvl w:ilvl="6" w:tplc="EA8A34B8">
      <w:start w:val="1"/>
      <w:numFmt w:val="decimal"/>
      <w:lvlText w:val="%7."/>
      <w:lvlJc w:val="left"/>
      <w:pPr>
        <w:ind w:left="5760" w:hanging="360"/>
      </w:pPr>
    </w:lvl>
    <w:lvl w:ilvl="7" w:tplc="DF869A94">
      <w:start w:val="1"/>
      <w:numFmt w:val="lowerLetter"/>
      <w:lvlText w:val="%8."/>
      <w:lvlJc w:val="left"/>
      <w:pPr>
        <w:ind w:left="6480" w:hanging="360"/>
      </w:pPr>
    </w:lvl>
    <w:lvl w:ilvl="8" w:tplc="92962148">
      <w:start w:val="1"/>
      <w:numFmt w:val="lowerRoman"/>
      <w:lvlText w:val="%9."/>
      <w:lvlJc w:val="right"/>
      <w:pPr>
        <w:ind w:left="7200" w:hanging="180"/>
      </w:pPr>
    </w:lvl>
  </w:abstractNum>
  <w:abstractNum w:abstractNumId="9" w15:restartNumberingAfterBreak="0">
    <w:nsid w:val="23496518"/>
    <w:multiLevelType w:val="hybridMultilevel"/>
    <w:tmpl w:val="AD1EDABE"/>
    <w:lvl w:ilvl="0" w:tplc="CD1E800C">
      <w:start w:val="1"/>
      <w:numFmt w:val="lowerLetter"/>
      <w:lvlText w:val="%1."/>
      <w:lvlJc w:val="left"/>
      <w:pPr>
        <w:ind w:left="720" w:hanging="360"/>
      </w:pPr>
      <w:rPr>
        <w:rFonts w:eastAsiaTheme="minorEastAsia"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779FF"/>
    <w:multiLevelType w:val="hybridMultilevel"/>
    <w:tmpl w:val="EB40B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B3C0A"/>
    <w:multiLevelType w:val="hybridMultilevel"/>
    <w:tmpl w:val="33D61C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6C3AFE"/>
    <w:multiLevelType w:val="hybridMultilevel"/>
    <w:tmpl w:val="D7E294D6"/>
    <w:lvl w:ilvl="0" w:tplc="0C090001">
      <w:start w:val="1"/>
      <w:numFmt w:val="bullet"/>
      <w:lvlText w:val=""/>
      <w:lvlJc w:val="left"/>
      <w:pPr>
        <w:ind w:left="360" w:hanging="360"/>
      </w:pPr>
      <w:rPr>
        <w:rFonts w:ascii="Symbol" w:hAnsi="Symbol" w:hint="default"/>
        <w:color w:val="349694" w:themeColor="accent6" w:themeShade="80"/>
      </w:rPr>
    </w:lvl>
    <w:lvl w:ilvl="1" w:tplc="0C090003">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13" w15:restartNumberingAfterBreak="0">
    <w:nsid w:val="2EBE7A0B"/>
    <w:multiLevelType w:val="hybridMultilevel"/>
    <w:tmpl w:val="B3B6B9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0417A3D"/>
    <w:multiLevelType w:val="hybridMultilevel"/>
    <w:tmpl w:val="C594527C"/>
    <w:lvl w:ilvl="0" w:tplc="C908C1EA">
      <w:start w:val="1"/>
      <w:numFmt w:val="decimal"/>
      <w:lvlText w:val="%1."/>
      <w:lvlJc w:val="left"/>
      <w:pPr>
        <w:ind w:left="720" w:hanging="360"/>
      </w:pPr>
      <w:rPr>
        <w:rFonts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1722563"/>
    <w:multiLevelType w:val="hybridMultilevel"/>
    <w:tmpl w:val="240E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43959"/>
    <w:multiLevelType w:val="hybridMultilevel"/>
    <w:tmpl w:val="C0AAB84E"/>
    <w:lvl w:ilvl="0" w:tplc="0C090007">
      <w:start w:val="1"/>
      <w:numFmt w:val="bullet"/>
      <w:lvlText w:val=""/>
      <w:lvlPicBulletId w:val="0"/>
      <w:lvlJc w:val="left"/>
      <w:pPr>
        <w:ind w:left="360" w:hanging="360"/>
      </w:pPr>
      <w:rPr>
        <w:rFonts w:ascii="Symbol" w:hAnsi="Symbol" w:hint="default"/>
        <w:color w:val="349694" w:themeColor="accent6" w:themeShade="80"/>
      </w:rPr>
    </w:lvl>
    <w:lvl w:ilvl="1" w:tplc="0C090003">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17" w15:restartNumberingAfterBreak="0">
    <w:nsid w:val="3DC87177"/>
    <w:multiLevelType w:val="hybridMultilevel"/>
    <w:tmpl w:val="530C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A61ED7"/>
    <w:multiLevelType w:val="hybridMultilevel"/>
    <w:tmpl w:val="D8A4B0EC"/>
    <w:lvl w:ilvl="0" w:tplc="0C09000F">
      <w:start w:val="1"/>
      <w:numFmt w:val="decimal"/>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15:restartNumberingAfterBreak="0">
    <w:nsid w:val="45202A6D"/>
    <w:multiLevelType w:val="hybridMultilevel"/>
    <w:tmpl w:val="B08A3720"/>
    <w:lvl w:ilvl="0" w:tplc="1F6E1650">
      <w:start w:val="1"/>
      <w:numFmt w:val="bullet"/>
      <w:lvlText w:val="•"/>
      <w:lvlJc w:val="left"/>
      <w:pPr>
        <w:tabs>
          <w:tab w:val="num" w:pos="720"/>
        </w:tabs>
        <w:ind w:left="720" w:hanging="360"/>
      </w:pPr>
      <w:rPr>
        <w:rFonts w:ascii="Times New Roman" w:hAnsi="Times New Roman" w:hint="default"/>
      </w:rPr>
    </w:lvl>
    <w:lvl w:ilvl="1" w:tplc="73CCF13C" w:tentative="1">
      <w:start w:val="1"/>
      <w:numFmt w:val="bullet"/>
      <w:lvlText w:val="•"/>
      <w:lvlJc w:val="left"/>
      <w:pPr>
        <w:tabs>
          <w:tab w:val="num" w:pos="1440"/>
        </w:tabs>
        <w:ind w:left="1440" w:hanging="360"/>
      </w:pPr>
      <w:rPr>
        <w:rFonts w:ascii="Times New Roman" w:hAnsi="Times New Roman" w:hint="default"/>
      </w:rPr>
    </w:lvl>
    <w:lvl w:ilvl="2" w:tplc="0F0C9F02" w:tentative="1">
      <w:start w:val="1"/>
      <w:numFmt w:val="bullet"/>
      <w:lvlText w:val="•"/>
      <w:lvlJc w:val="left"/>
      <w:pPr>
        <w:tabs>
          <w:tab w:val="num" w:pos="2160"/>
        </w:tabs>
        <w:ind w:left="2160" w:hanging="360"/>
      </w:pPr>
      <w:rPr>
        <w:rFonts w:ascii="Times New Roman" w:hAnsi="Times New Roman" w:hint="default"/>
      </w:rPr>
    </w:lvl>
    <w:lvl w:ilvl="3" w:tplc="8C90DA76" w:tentative="1">
      <w:start w:val="1"/>
      <w:numFmt w:val="bullet"/>
      <w:lvlText w:val="•"/>
      <w:lvlJc w:val="left"/>
      <w:pPr>
        <w:tabs>
          <w:tab w:val="num" w:pos="2880"/>
        </w:tabs>
        <w:ind w:left="2880" w:hanging="360"/>
      </w:pPr>
      <w:rPr>
        <w:rFonts w:ascii="Times New Roman" w:hAnsi="Times New Roman" w:hint="default"/>
      </w:rPr>
    </w:lvl>
    <w:lvl w:ilvl="4" w:tplc="82C8AA7A" w:tentative="1">
      <w:start w:val="1"/>
      <w:numFmt w:val="bullet"/>
      <w:lvlText w:val="•"/>
      <w:lvlJc w:val="left"/>
      <w:pPr>
        <w:tabs>
          <w:tab w:val="num" w:pos="3600"/>
        </w:tabs>
        <w:ind w:left="3600" w:hanging="360"/>
      </w:pPr>
      <w:rPr>
        <w:rFonts w:ascii="Times New Roman" w:hAnsi="Times New Roman" w:hint="default"/>
      </w:rPr>
    </w:lvl>
    <w:lvl w:ilvl="5" w:tplc="A228758E" w:tentative="1">
      <w:start w:val="1"/>
      <w:numFmt w:val="bullet"/>
      <w:lvlText w:val="•"/>
      <w:lvlJc w:val="left"/>
      <w:pPr>
        <w:tabs>
          <w:tab w:val="num" w:pos="4320"/>
        </w:tabs>
        <w:ind w:left="4320" w:hanging="360"/>
      </w:pPr>
      <w:rPr>
        <w:rFonts w:ascii="Times New Roman" w:hAnsi="Times New Roman" w:hint="default"/>
      </w:rPr>
    </w:lvl>
    <w:lvl w:ilvl="6" w:tplc="36026280" w:tentative="1">
      <w:start w:val="1"/>
      <w:numFmt w:val="bullet"/>
      <w:lvlText w:val="•"/>
      <w:lvlJc w:val="left"/>
      <w:pPr>
        <w:tabs>
          <w:tab w:val="num" w:pos="5040"/>
        </w:tabs>
        <w:ind w:left="5040" w:hanging="360"/>
      </w:pPr>
      <w:rPr>
        <w:rFonts w:ascii="Times New Roman" w:hAnsi="Times New Roman" w:hint="default"/>
      </w:rPr>
    </w:lvl>
    <w:lvl w:ilvl="7" w:tplc="3730B8B4" w:tentative="1">
      <w:start w:val="1"/>
      <w:numFmt w:val="bullet"/>
      <w:lvlText w:val="•"/>
      <w:lvlJc w:val="left"/>
      <w:pPr>
        <w:tabs>
          <w:tab w:val="num" w:pos="5760"/>
        </w:tabs>
        <w:ind w:left="5760" w:hanging="360"/>
      </w:pPr>
      <w:rPr>
        <w:rFonts w:ascii="Times New Roman" w:hAnsi="Times New Roman" w:hint="default"/>
      </w:rPr>
    </w:lvl>
    <w:lvl w:ilvl="8" w:tplc="7412796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0375B"/>
    <w:multiLevelType w:val="hybridMultilevel"/>
    <w:tmpl w:val="C9BA8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B6318"/>
    <w:multiLevelType w:val="hybridMultilevel"/>
    <w:tmpl w:val="A4B8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07672"/>
    <w:multiLevelType w:val="hybridMultilevel"/>
    <w:tmpl w:val="D0AE242E"/>
    <w:lvl w:ilvl="0" w:tplc="55F62F78">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36702B"/>
    <w:multiLevelType w:val="hybridMultilevel"/>
    <w:tmpl w:val="DA9E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56DDF"/>
    <w:multiLevelType w:val="hybridMultilevel"/>
    <w:tmpl w:val="A8E6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E44980"/>
    <w:multiLevelType w:val="hybridMultilevel"/>
    <w:tmpl w:val="2B92D130"/>
    <w:lvl w:ilvl="0" w:tplc="65A83AD8">
      <w:start w:val="1"/>
      <w:numFmt w:val="decimal"/>
      <w:lvlText w:val="%1."/>
      <w:lvlJc w:val="left"/>
      <w:pPr>
        <w:ind w:left="720" w:hanging="360"/>
      </w:pPr>
      <w:rPr>
        <w:rFonts w:ascii="Times New Roman" w:hAnsi="Times New Roman" w:cs="Times New Roman" w:hint="default"/>
        <w:b w:val="0"/>
        <w:sz w:val="24"/>
        <w:szCs w:val="24"/>
      </w:rPr>
    </w:lvl>
    <w:lvl w:ilvl="1" w:tplc="02AE4ECC">
      <w:start w:val="1"/>
      <w:numFmt w:val="bullet"/>
      <w:lvlText w:val=""/>
      <w:lvlJc w:val="left"/>
      <w:pPr>
        <w:ind w:left="1440" w:hanging="360"/>
      </w:pPr>
      <w:rPr>
        <w:rFonts w:ascii="Symbol" w:hAnsi="Symbol" w:hint="default"/>
        <w:b w:val="0"/>
      </w:rPr>
    </w:lvl>
    <w:lvl w:ilvl="2" w:tplc="5BF67B3A">
      <w:start w:val="1"/>
      <w:numFmt w:val="bullet"/>
      <w:lvlText w:val="o"/>
      <w:lvlJc w:val="left"/>
      <w:pPr>
        <w:ind w:left="2160" w:hanging="180"/>
      </w:pPr>
      <w:rPr>
        <w:rFonts w:ascii="Courier New" w:hAnsi="Courier New" w:cs="Courier New" w:hint="default"/>
        <w:b w:val="0"/>
      </w:rPr>
    </w:lvl>
    <w:lvl w:ilvl="3" w:tplc="BDFE4F04">
      <w:start w:val="1"/>
      <w:numFmt w:val="decimal"/>
      <w:lvlText w:val="%4."/>
      <w:lvlJc w:val="left"/>
      <w:pPr>
        <w:ind w:left="2880" w:hanging="360"/>
      </w:pPr>
    </w:lvl>
    <w:lvl w:ilvl="4" w:tplc="CF4E9638">
      <w:start w:val="1"/>
      <w:numFmt w:val="lowerLetter"/>
      <w:lvlText w:val="%5."/>
      <w:lvlJc w:val="left"/>
      <w:pPr>
        <w:ind w:left="3600" w:hanging="360"/>
      </w:pPr>
    </w:lvl>
    <w:lvl w:ilvl="5" w:tplc="6EF66518">
      <w:start w:val="1"/>
      <w:numFmt w:val="lowerRoman"/>
      <w:lvlText w:val="%6."/>
      <w:lvlJc w:val="right"/>
      <w:pPr>
        <w:ind w:left="4320" w:hanging="180"/>
      </w:pPr>
    </w:lvl>
    <w:lvl w:ilvl="6" w:tplc="D6784170">
      <w:start w:val="1"/>
      <w:numFmt w:val="decimal"/>
      <w:lvlText w:val="%7."/>
      <w:lvlJc w:val="left"/>
      <w:pPr>
        <w:ind w:left="5040" w:hanging="360"/>
      </w:pPr>
    </w:lvl>
    <w:lvl w:ilvl="7" w:tplc="D6168060">
      <w:start w:val="1"/>
      <w:numFmt w:val="lowerLetter"/>
      <w:lvlText w:val="%8."/>
      <w:lvlJc w:val="left"/>
      <w:pPr>
        <w:ind w:left="5760" w:hanging="360"/>
      </w:pPr>
    </w:lvl>
    <w:lvl w:ilvl="8" w:tplc="7BEA449C">
      <w:start w:val="1"/>
      <w:numFmt w:val="lowerRoman"/>
      <w:lvlText w:val="%9."/>
      <w:lvlJc w:val="right"/>
      <w:pPr>
        <w:ind w:left="6480" w:hanging="180"/>
      </w:pPr>
    </w:lvl>
  </w:abstractNum>
  <w:abstractNum w:abstractNumId="27" w15:restartNumberingAfterBreak="0">
    <w:nsid w:val="6DAF128B"/>
    <w:multiLevelType w:val="hybridMultilevel"/>
    <w:tmpl w:val="1BF8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387467"/>
    <w:multiLevelType w:val="hybridMultilevel"/>
    <w:tmpl w:val="B1A82854"/>
    <w:lvl w:ilvl="0" w:tplc="8B8CF802">
      <w:start w:val="1"/>
      <w:numFmt w:val="bullet"/>
      <w:lvlText w:val="•"/>
      <w:lvlJc w:val="left"/>
      <w:pPr>
        <w:tabs>
          <w:tab w:val="num" w:pos="720"/>
        </w:tabs>
        <w:ind w:left="720" w:hanging="360"/>
      </w:pPr>
      <w:rPr>
        <w:rFonts w:ascii="Times New Roman" w:hAnsi="Times New Roman" w:hint="default"/>
      </w:rPr>
    </w:lvl>
    <w:lvl w:ilvl="1" w:tplc="F296FB3C" w:tentative="1">
      <w:start w:val="1"/>
      <w:numFmt w:val="bullet"/>
      <w:lvlText w:val="•"/>
      <w:lvlJc w:val="left"/>
      <w:pPr>
        <w:tabs>
          <w:tab w:val="num" w:pos="1440"/>
        </w:tabs>
        <w:ind w:left="1440" w:hanging="360"/>
      </w:pPr>
      <w:rPr>
        <w:rFonts w:ascii="Times New Roman" w:hAnsi="Times New Roman" w:hint="default"/>
      </w:rPr>
    </w:lvl>
    <w:lvl w:ilvl="2" w:tplc="E5F472B4" w:tentative="1">
      <w:start w:val="1"/>
      <w:numFmt w:val="bullet"/>
      <w:lvlText w:val="•"/>
      <w:lvlJc w:val="left"/>
      <w:pPr>
        <w:tabs>
          <w:tab w:val="num" w:pos="2160"/>
        </w:tabs>
        <w:ind w:left="2160" w:hanging="360"/>
      </w:pPr>
      <w:rPr>
        <w:rFonts w:ascii="Times New Roman" w:hAnsi="Times New Roman" w:hint="default"/>
      </w:rPr>
    </w:lvl>
    <w:lvl w:ilvl="3" w:tplc="FB5805F6" w:tentative="1">
      <w:start w:val="1"/>
      <w:numFmt w:val="bullet"/>
      <w:lvlText w:val="•"/>
      <w:lvlJc w:val="left"/>
      <w:pPr>
        <w:tabs>
          <w:tab w:val="num" w:pos="2880"/>
        </w:tabs>
        <w:ind w:left="2880" w:hanging="360"/>
      </w:pPr>
      <w:rPr>
        <w:rFonts w:ascii="Times New Roman" w:hAnsi="Times New Roman" w:hint="default"/>
      </w:rPr>
    </w:lvl>
    <w:lvl w:ilvl="4" w:tplc="2FCC2124" w:tentative="1">
      <w:start w:val="1"/>
      <w:numFmt w:val="bullet"/>
      <w:lvlText w:val="•"/>
      <w:lvlJc w:val="left"/>
      <w:pPr>
        <w:tabs>
          <w:tab w:val="num" w:pos="3600"/>
        </w:tabs>
        <w:ind w:left="3600" w:hanging="360"/>
      </w:pPr>
      <w:rPr>
        <w:rFonts w:ascii="Times New Roman" w:hAnsi="Times New Roman" w:hint="default"/>
      </w:rPr>
    </w:lvl>
    <w:lvl w:ilvl="5" w:tplc="BDFC1CDE" w:tentative="1">
      <w:start w:val="1"/>
      <w:numFmt w:val="bullet"/>
      <w:lvlText w:val="•"/>
      <w:lvlJc w:val="left"/>
      <w:pPr>
        <w:tabs>
          <w:tab w:val="num" w:pos="4320"/>
        </w:tabs>
        <w:ind w:left="4320" w:hanging="360"/>
      </w:pPr>
      <w:rPr>
        <w:rFonts w:ascii="Times New Roman" w:hAnsi="Times New Roman" w:hint="default"/>
      </w:rPr>
    </w:lvl>
    <w:lvl w:ilvl="6" w:tplc="D864F916" w:tentative="1">
      <w:start w:val="1"/>
      <w:numFmt w:val="bullet"/>
      <w:lvlText w:val="•"/>
      <w:lvlJc w:val="left"/>
      <w:pPr>
        <w:tabs>
          <w:tab w:val="num" w:pos="5040"/>
        </w:tabs>
        <w:ind w:left="5040" w:hanging="360"/>
      </w:pPr>
      <w:rPr>
        <w:rFonts w:ascii="Times New Roman" w:hAnsi="Times New Roman" w:hint="default"/>
      </w:rPr>
    </w:lvl>
    <w:lvl w:ilvl="7" w:tplc="69B81186" w:tentative="1">
      <w:start w:val="1"/>
      <w:numFmt w:val="bullet"/>
      <w:lvlText w:val="•"/>
      <w:lvlJc w:val="left"/>
      <w:pPr>
        <w:tabs>
          <w:tab w:val="num" w:pos="5760"/>
        </w:tabs>
        <w:ind w:left="5760" w:hanging="360"/>
      </w:pPr>
      <w:rPr>
        <w:rFonts w:ascii="Times New Roman" w:hAnsi="Times New Roman" w:hint="default"/>
      </w:rPr>
    </w:lvl>
    <w:lvl w:ilvl="8" w:tplc="8BB04D3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2236AC"/>
    <w:multiLevelType w:val="hybridMultilevel"/>
    <w:tmpl w:val="B8922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446FB1"/>
    <w:multiLevelType w:val="hybridMultilevel"/>
    <w:tmpl w:val="311A100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0D0416"/>
    <w:multiLevelType w:val="hybridMultilevel"/>
    <w:tmpl w:val="BDA0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64074F"/>
    <w:multiLevelType w:val="hybridMultilevel"/>
    <w:tmpl w:val="87C61CBE"/>
    <w:lvl w:ilvl="0" w:tplc="D392216E">
      <w:start w:val="1"/>
      <w:numFmt w:val="decimal"/>
      <w:lvlText w:val="%1."/>
      <w:lvlJc w:val="left"/>
      <w:pPr>
        <w:ind w:left="530" w:hanging="360"/>
      </w:pPr>
      <w:rPr>
        <w:rFonts w:hint="default"/>
      </w:rPr>
    </w:lvl>
    <w:lvl w:ilvl="1" w:tplc="E65A9D60">
      <w:start w:val="1"/>
      <w:numFmt w:val="lowerLetter"/>
      <w:lvlText w:val="%2."/>
      <w:lvlJc w:val="left"/>
      <w:pPr>
        <w:ind w:left="1250" w:hanging="360"/>
      </w:pPr>
      <w:rPr>
        <w:rFonts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3" w15:restartNumberingAfterBreak="0">
    <w:nsid w:val="7CD55555"/>
    <w:multiLevelType w:val="hybridMultilevel"/>
    <w:tmpl w:val="E85EF050"/>
    <w:lvl w:ilvl="0" w:tplc="D0026BE6">
      <w:start w:val="1"/>
      <w:numFmt w:val="bullet"/>
      <w:lvlText w:val="•"/>
      <w:lvlJc w:val="left"/>
      <w:pPr>
        <w:tabs>
          <w:tab w:val="num" w:pos="720"/>
        </w:tabs>
        <w:ind w:left="720" w:hanging="360"/>
      </w:pPr>
      <w:rPr>
        <w:rFonts w:ascii="Times New Roman" w:hAnsi="Times New Roman" w:hint="default"/>
      </w:rPr>
    </w:lvl>
    <w:lvl w:ilvl="1" w:tplc="DCA414E0" w:tentative="1">
      <w:start w:val="1"/>
      <w:numFmt w:val="bullet"/>
      <w:lvlText w:val="•"/>
      <w:lvlJc w:val="left"/>
      <w:pPr>
        <w:tabs>
          <w:tab w:val="num" w:pos="1440"/>
        </w:tabs>
        <w:ind w:left="1440" w:hanging="360"/>
      </w:pPr>
      <w:rPr>
        <w:rFonts w:ascii="Times New Roman" w:hAnsi="Times New Roman" w:hint="default"/>
      </w:rPr>
    </w:lvl>
    <w:lvl w:ilvl="2" w:tplc="4D2AD13C" w:tentative="1">
      <w:start w:val="1"/>
      <w:numFmt w:val="bullet"/>
      <w:lvlText w:val="•"/>
      <w:lvlJc w:val="left"/>
      <w:pPr>
        <w:tabs>
          <w:tab w:val="num" w:pos="2160"/>
        </w:tabs>
        <w:ind w:left="2160" w:hanging="360"/>
      </w:pPr>
      <w:rPr>
        <w:rFonts w:ascii="Times New Roman" w:hAnsi="Times New Roman" w:hint="default"/>
      </w:rPr>
    </w:lvl>
    <w:lvl w:ilvl="3" w:tplc="80048B68" w:tentative="1">
      <w:start w:val="1"/>
      <w:numFmt w:val="bullet"/>
      <w:lvlText w:val="•"/>
      <w:lvlJc w:val="left"/>
      <w:pPr>
        <w:tabs>
          <w:tab w:val="num" w:pos="2880"/>
        </w:tabs>
        <w:ind w:left="2880" w:hanging="360"/>
      </w:pPr>
      <w:rPr>
        <w:rFonts w:ascii="Times New Roman" w:hAnsi="Times New Roman" w:hint="default"/>
      </w:rPr>
    </w:lvl>
    <w:lvl w:ilvl="4" w:tplc="863872DC" w:tentative="1">
      <w:start w:val="1"/>
      <w:numFmt w:val="bullet"/>
      <w:lvlText w:val="•"/>
      <w:lvlJc w:val="left"/>
      <w:pPr>
        <w:tabs>
          <w:tab w:val="num" w:pos="3600"/>
        </w:tabs>
        <w:ind w:left="3600" w:hanging="360"/>
      </w:pPr>
      <w:rPr>
        <w:rFonts w:ascii="Times New Roman" w:hAnsi="Times New Roman" w:hint="default"/>
      </w:rPr>
    </w:lvl>
    <w:lvl w:ilvl="5" w:tplc="E2C2CC4A" w:tentative="1">
      <w:start w:val="1"/>
      <w:numFmt w:val="bullet"/>
      <w:lvlText w:val="•"/>
      <w:lvlJc w:val="left"/>
      <w:pPr>
        <w:tabs>
          <w:tab w:val="num" w:pos="4320"/>
        </w:tabs>
        <w:ind w:left="4320" w:hanging="360"/>
      </w:pPr>
      <w:rPr>
        <w:rFonts w:ascii="Times New Roman" w:hAnsi="Times New Roman" w:hint="default"/>
      </w:rPr>
    </w:lvl>
    <w:lvl w:ilvl="6" w:tplc="D1960C46" w:tentative="1">
      <w:start w:val="1"/>
      <w:numFmt w:val="bullet"/>
      <w:lvlText w:val="•"/>
      <w:lvlJc w:val="left"/>
      <w:pPr>
        <w:tabs>
          <w:tab w:val="num" w:pos="5040"/>
        </w:tabs>
        <w:ind w:left="5040" w:hanging="360"/>
      </w:pPr>
      <w:rPr>
        <w:rFonts w:ascii="Times New Roman" w:hAnsi="Times New Roman" w:hint="default"/>
      </w:rPr>
    </w:lvl>
    <w:lvl w:ilvl="7" w:tplc="246000DA" w:tentative="1">
      <w:start w:val="1"/>
      <w:numFmt w:val="bullet"/>
      <w:lvlText w:val="•"/>
      <w:lvlJc w:val="left"/>
      <w:pPr>
        <w:tabs>
          <w:tab w:val="num" w:pos="5760"/>
        </w:tabs>
        <w:ind w:left="5760" w:hanging="360"/>
      </w:pPr>
      <w:rPr>
        <w:rFonts w:ascii="Times New Roman" w:hAnsi="Times New Roman" w:hint="default"/>
      </w:rPr>
    </w:lvl>
    <w:lvl w:ilvl="8" w:tplc="E2DEEE4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0"/>
  </w:num>
  <w:num w:numId="3">
    <w:abstractNumId w:val="1"/>
  </w:num>
  <w:num w:numId="4">
    <w:abstractNumId w:val="9"/>
  </w:num>
  <w:num w:numId="5">
    <w:abstractNumId w:val="6"/>
    <w:lvlOverride w:ilvl="0">
      <w:startOverride w:val="1"/>
    </w:lvlOverride>
  </w:num>
  <w:num w:numId="6">
    <w:abstractNumId w:val="6"/>
    <w:lvlOverride w:ilvl="0">
      <w:startOverride w:val="1"/>
    </w:lvlOverride>
  </w:num>
  <w:num w:numId="7">
    <w:abstractNumId w:val="18"/>
  </w:num>
  <w:num w:numId="8">
    <w:abstractNumId w:val="0"/>
  </w:num>
  <w:num w:numId="9">
    <w:abstractNumId w:val="1"/>
  </w:num>
  <w:num w:numId="10">
    <w:abstractNumId w:val="14"/>
  </w:num>
  <w:num w:numId="11">
    <w:abstractNumId w:val="29"/>
  </w:num>
  <w:num w:numId="12">
    <w:abstractNumId w:val="33"/>
  </w:num>
  <w:num w:numId="13">
    <w:abstractNumId w:val="28"/>
  </w:num>
  <w:num w:numId="14">
    <w:abstractNumId w:val="19"/>
  </w:num>
  <w:num w:numId="15">
    <w:abstractNumId w:val="11"/>
  </w:num>
  <w:num w:numId="16">
    <w:abstractNumId w:val="24"/>
  </w:num>
  <w:num w:numId="17">
    <w:abstractNumId w:val="4"/>
  </w:num>
  <w:num w:numId="18">
    <w:abstractNumId w:val="16"/>
  </w:num>
  <w:num w:numId="19">
    <w:abstractNumId w:val="12"/>
  </w:num>
  <w:num w:numId="20">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23"/>
  </w:num>
  <w:num w:numId="25">
    <w:abstractNumId w:val="3"/>
  </w:num>
  <w:num w:numId="26">
    <w:abstractNumId w:val="2"/>
  </w:num>
  <w:num w:numId="27">
    <w:abstractNumId w:val="7"/>
  </w:num>
  <w:num w:numId="28">
    <w:abstractNumId w:val="31"/>
  </w:num>
  <w:num w:numId="29">
    <w:abstractNumId w:val="5"/>
  </w:num>
  <w:num w:numId="30">
    <w:abstractNumId w:val="30"/>
  </w:num>
  <w:num w:numId="31">
    <w:abstractNumId w:val="21"/>
  </w:num>
  <w:num w:numId="32">
    <w:abstractNumId w:val="27"/>
  </w:num>
  <w:num w:numId="33">
    <w:abstractNumId w:val="17"/>
  </w:num>
  <w:num w:numId="34">
    <w:abstractNumId w:val="15"/>
  </w:num>
  <w:num w:numId="35">
    <w:abstractNumId w:val="22"/>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D6"/>
    <w:rsid w:val="00001CBF"/>
    <w:rsid w:val="00011752"/>
    <w:rsid w:val="000129D5"/>
    <w:rsid w:val="000140B8"/>
    <w:rsid w:val="0003079D"/>
    <w:rsid w:val="0004002D"/>
    <w:rsid w:val="00047057"/>
    <w:rsid w:val="00050DB5"/>
    <w:rsid w:val="00056C74"/>
    <w:rsid w:val="00061076"/>
    <w:rsid w:val="00072001"/>
    <w:rsid w:val="00081610"/>
    <w:rsid w:val="00081D5E"/>
    <w:rsid w:val="00087745"/>
    <w:rsid w:val="00090835"/>
    <w:rsid w:val="00093E9A"/>
    <w:rsid w:val="000951D2"/>
    <w:rsid w:val="000A7378"/>
    <w:rsid w:val="000B0A14"/>
    <w:rsid w:val="000C02D1"/>
    <w:rsid w:val="000C61AC"/>
    <w:rsid w:val="000C630B"/>
    <w:rsid w:val="000E66D9"/>
    <w:rsid w:val="000F2911"/>
    <w:rsid w:val="000F75FC"/>
    <w:rsid w:val="001061E9"/>
    <w:rsid w:val="001063BB"/>
    <w:rsid w:val="00110D52"/>
    <w:rsid w:val="00132A53"/>
    <w:rsid w:val="0013605A"/>
    <w:rsid w:val="0014007B"/>
    <w:rsid w:val="00141255"/>
    <w:rsid w:val="001430B4"/>
    <w:rsid w:val="00147B8F"/>
    <w:rsid w:val="001510D7"/>
    <w:rsid w:val="00151F3F"/>
    <w:rsid w:val="0015231E"/>
    <w:rsid w:val="0015512C"/>
    <w:rsid w:val="00157FA6"/>
    <w:rsid w:val="001659D0"/>
    <w:rsid w:val="0017129E"/>
    <w:rsid w:val="00181046"/>
    <w:rsid w:val="00182221"/>
    <w:rsid w:val="00186AC4"/>
    <w:rsid w:val="00191026"/>
    <w:rsid w:val="00191916"/>
    <w:rsid w:val="00196C6A"/>
    <w:rsid w:val="001A7461"/>
    <w:rsid w:val="001B6A6B"/>
    <w:rsid w:val="001E1B68"/>
    <w:rsid w:val="001E630D"/>
    <w:rsid w:val="001F2530"/>
    <w:rsid w:val="001F2898"/>
    <w:rsid w:val="001F437B"/>
    <w:rsid w:val="001F61BF"/>
    <w:rsid w:val="00205489"/>
    <w:rsid w:val="00215297"/>
    <w:rsid w:val="002237D0"/>
    <w:rsid w:val="0022489A"/>
    <w:rsid w:val="002258E0"/>
    <w:rsid w:val="002263DD"/>
    <w:rsid w:val="002311BA"/>
    <w:rsid w:val="002346B5"/>
    <w:rsid w:val="0023771F"/>
    <w:rsid w:val="00245DAE"/>
    <w:rsid w:val="00251088"/>
    <w:rsid w:val="00251218"/>
    <w:rsid w:val="00257C69"/>
    <w:rsid w:val="00263123"/>
    <w:rsid w:val="00266A3F"/>
    <w:rsid w:val="00266C5B"/>
    <w:rsid w:val="00281DFB"/>
    <w:rsid w:val="00281EA9"/>
    <w:rsid w:val="0028531A"/>
    <w:rsid w:val="002859E4"/>
    <w:rsid w:val="00286838"/>
    <w:rsid w:val="00292DFE"/>
    <w:rsid w:val="00294DCD"/>
    <w:rsid w:val="002A279A"/>
    <w:rsid w:val="002A52AC"/>
    <w:rsid w:val="002B2C9B"/>
    <w:rsid w:val="002B3CC6"/>
    <w:rsid w:val="002C2746"/>
    <w:rsid w:val="002D2080"/>
    <w:rsid w:val="002D6FC9"/>
    <w:rsid w:val="002E6105"/>
    <w:rsid w:val="002E62DF"/>
    <w:rsid w:val="002F1451"/>
    <w:rsid w:val="002F343B"/>
    <w:rsid w:val="002F7412"/>
    <w:rsid w:val="003100F0"/>
    <w:rsid w:val="00311FC7"/>
    <w:rsid w:val="00312C13"/>
    <w:rsid w:val="0031445D"/>
    <w:rsid w:val="00320056"/>
    <w:rsid w:val="0032355E"/>
    <w:rsid w:val="00324007"/>
    <w:rsid w:val="003256FE"/>
    <w:rsid w:val="0033235E"/>
    <w:rsid w:val="00333A48"/>
    <w:rsid w:val="00335839"/>
    <w:rsid w:val="00335A14"/>
    <w:rsid w:val="00337926"/>
    <w:rsid w:val="003413EB"/>
    <w:rsid w:val="0034149B"/>
    <w:rsid w:val="003461BF"/>
    <w:rsid w:val="00346742"/>
    <w:rsid w:val="00347FF3"/>
    <w:rsid w:val="003507F0"/>
    <w:rsid w:val="00351E3B"/>
    <w:rsid w:val="003542FC"/>
    <w:rsid w:val="00364778"/>
    <w:rsid w:val="00370C3D"/>
    <w:rsid w:val="00371714"/>
    <w:rsid w:val="00373784"/>
    <w:rsid w:val="00377A23"/>
    <w:rsid w:val="0038044C"/>
    <w:rsid w:val="00380EE4"/>
    <w:rsid w:val="00383B95"/>
    <w:rsid w:val="00387290"/>
    <w:rsid w:val="00390026"/>
    <w:rsid w:val="003961B3"/>
    <w:rsid w:val="00396A9B"/>
    <w:rsid w:val="003A475F"/>
    <w:rsid w:val="003A70C3"/>
    <w:rsid w:val="003B0D19"/>
    <w:rsid w:val="003B2BB8"/>
    <w:rsid w:val="003B3EDA"/>
    <w:rsid w:val="003B7390"/>
    <w:rsid w:val="003C0273"/>
    <w:rsid w:val="003C6658"/>
    <w:rsid w:val="003D0FB9"/>
    <w:rsid w:val="003D34FF"/>
    <w:rsid w:val="003E003F"/>
    <w:rsid w:val="003E2B62"/>
    <w:rsid w:val="003E377B"/>
    <w:rsid w:val="003E435B"/>
    <w:rsid w:val="003E6AE9"/>
    <w:rsid w:val="00400B09"/>
    <w:rsid w:val="00403055"/>
    <w:rsid w:val="0040794F"/>
    <w:rsid w:val="00415B6C"/>
    <w:rsid w:val="004243F2"/>
    <w:rsid w:val="004313BC"/>
    <w:rsid w:val="004354E6"/>
    <w:rsid w:val="00436CE6"/>
    <w:rsid w:val="00440CB8"/>
    <w:rsid w:val="004462FA"/>
    <w:rsid w:val="004528C1"/>
    <w:rsid w:val="0045377D"/>
    <w:rsid w:val="004575A3"/>
    <w:rsid w:val="004620D6"/>
    <w:rsid w:val="00471456"/>
    <w:rsid w:val="0047659F"/>
    <w:rsid w:val="004802EA"/>
    <w:rsid w:val="004851E1"/>
    <w:rsid w:val="004854E9"/>
    <w:rsid w:val="004871C2"/>
    <w:rsid w:val="00487E19"/>
    <w:rsid w:val="004915FD"/>
    <w:rsid w:val="00497985"/>
    <w:rsid w:val="004A0440"/>
    <w:rsid w:val="004A16B3"/>
    <w:rsid w:val="004A190F"/>
    <w:rsid w:val="004A197C"/>
    <w:rsid w:val="004A323C"/>
    <w:rsid w:val="004B2993"/>
    <w:rsid w:val="004B5274"/>
    <w:rsid w:val="004B54CA"/>
    <w:rsid w:val="004B5EAE"/>
    <w:rsid w:val="004B6F07"/>
    <w:rsid w:val="004C643C"/>
    <w:rsid w:val="004D150A"/>
    <w:rsid w:val="004D3155"/>
    <w:rsid w:val="004D4118"/>
    <w:rsid w:val="004E3213"/>
    <w:rsid w:val="004E4B51"/>
    <w:rsid w:val="004E5CBF"/>
    <w:rsid w:val="004F7147"/>
    <w:rsid w:val="004F750A"/>
    <w:rsid w:val="004F77F4"/>
    <w:rsid w:val="005026C5"/>
    <w:rsid w:val="005070D1"/>
    <w:rsid w:val="00512B9D"/>
    <w:rsid w:val="00517A5A"/>
    <w:rsid w:val="00517AE4"/>
    <w:rsid w:val="005236C1"/>
    <w:rsid w:val="005312DA"/>
    <w:rsid w:val="00536E02"/>
    <w:rsid w:val="0054713E"/>
    <w:rsid w:val="005543A8"/>
    <w:rsid w:val="00554B7D"/>
    <w:rsid w:val="00557B0E"/>
    <w:rsid w:val="00561CD6"/>
    <w:rsid w:val="00567053"/>
    <w:rsid w:val="0057002E"/>
    <w:rsid w:val="00570A99"/>
    <w:rsid w:val="00577BC7"/>
    <w:rsid w:val="005827AC"/>
    <w:rsid w:val="00584FC1"/>
    <w:rsid w:val="00586246"/>
    <w:rsid w:val="005877DC"/>
    <w:rsid w:val="0059305C"/>
    <w:rsid w:val="005966FB"/>
    <w:rsid w:val="005A1DB0"/>
    <w:rsid w:val="005A3846"/>
    <w:rsid w:val="005A5CFA"/>
    <w:rsid w:val="005B45CC"/>
    <w:rsid w:val="005B6ADA"/>
    <w:rsid w:val="005C3AA9"/>
    <w:rsid w:val="005D5F4B"/>
    <w:rsid w:val="005E44F5"/>
    <w:rsid w:val="005E779F"/>
    <w:rsid w:val="005F5A78"/>
    <w:rsid w:val="006003F9"/>
    <w:rsid w:val="00604406"/>
    <w:rsid w:val="006113D3"/>
    <w:rsid w:val="006121EF"/>
    <w:rsid w:val="00617570"/>
    <w:rsid w:val="006241FF"/>
    <w:rsid w:val="006242E3"/>
    <w:rsid w:val="00624B4A"/>
    <w:rsid w:val="00626A1E"/>
    <w:rsid w:val="006316CC"/>
    <w:rsid w:val="00642584"/>
    <w:rsid w:val="00644ED9"/>
    <w:rsid w:val="00647B41"/>
    <w:rsid w:val="00654419"/>
    <w:rsid w:val="00660F44"/>
    <w:rsid w:val="00664247"/>
    <w:rsid w:val="00664758"/>
    <w:rsid w:val="006713BC"/>
    <w:rsid w:val="006727BC"/>
    <w:rsid w:val="006749CB"/>
    <w:rsid w:val="006769AE"/>
    <w:rsid w:val="00677212"/>
    <w:rsid w:val="006803C1"/>
    <w:rsid w:val="006838B6"/>
    <w:rsid w:val="00685B14"/>
    <w:rsid w:val="006A3A48"/>
    <w:rsid w:val="006A4CE7"/>
    <w:rsid w:val="006B11A1"/>
    <w:rsid w:val="006C45D6"/>
    <w:rsid w:val="006D0944"/>
    <w:rsid w:val="006D2531"/>
    <w:rsid w:val="006D2DA3"/>
    <w:rsid w:val="006D7BD9"/>
    <w:rsid w:val="006E2ADB"/>
    <w:rsid w:val="006F1A74"/>
    <w:rsid w:val="00704FF9"/>
    <w:rsid w:val="007065F3"/>
    <w:rsid w:val="007150BF"/>
    <w:rsid w:val="007220B8"/>
    <w:rsid w:val="00731066"/>
    <w:rsid w:val="0073320E"/>
    <w:rsid w:val="007473B2"/>
    <w:rsid w:val="0075147F"/>
    <w:rsid w:val="007519DD"/>
    <w:rsid w:val="00755868"/>
    <w:rsid w:val="0076390E"/>
    <w:rsid w:val="00772952"/>
    <w:rsid w:val="00775261"/>
    <w:rsid w:val="00777631"/>
    <w:rsid w:val="007779CB"/>
    <w:rsid w:val="00785261"/>
    <w:rsid w:val="0078748E"/>
    <w:rsid w:val="00796172"/>
    <w:rsid w:val="007A3AFC"/>
    <w:rsid w:val="007A3BFD"/>
    <w:rsid w:val="007A6673"/>
    <w:rsid w:val="007A673B"/>
    <w:rsid w:val="007A788A"/>
    <w:rsid w:val="007A7DF0"/>
    <w:rsid w:val="007B0256"/>
    <w:rsid w:val="007B6C4F"/>
    <w:rsid w:val="007C509A"/>
    <w:rsid w:val="007C64C6"/>
    <w:rsid w:val="007E3787"/>
    <w:rsid w:val="007E3959"/>
    <w:rsid w:val="007E3B8B"/>
    <w:rsid w:val="007E4545"/>
    <w:rsid w:val="007E4792"/>
    <w:rsid w:val="007F29E4"/>
    <w:rsid w:val="007F3A31"/>
    <w:rsid w:val="007F5E6E"/>
    <w:rsid w:val="007F5F92"/>
    <w:rsid w:val="00800A60"/>
    <w:rsid w:val="00801D1B"/>
    <w:rsid w:val="0080541A"/>
    <w:rsid w:val="008145D1"/>
    <w:rsid w:val="00817AE2"/>
    <w:rsid w:val="00832CFE"/>
    <w:rsid w:val="008333BB"/>
    <w:rsid w:val="00833857"/>
    <w:rsid w:val="008379C7"/>
    <w:rsid w:val="0084227C"/>
    <w:rsid w:val="008426DE"/>
    <w:rsid w:val="008470D5"/>
    <w:rsid w:val="008565DF"/>
    <w:rsid w:val="0085710F"/>
    <w:rsid w:val="008622A8"/>
    <w:rsid w:val="00863426"/>
    <w:rsid w:val="0086483B"/>
    <w:rsid w:val="008668D6"/>
    <w:rsid w:val="00870F08"/>
    <w:rsid w:val="00875E68"/>
    <w:rsid w:val="00876CA6"/>
    <w:rsid w:val="00877018"/>
    <w:rsid w:val="00886F71"/>
    <w:rsid w:val="008916D6"/>
    <w:rsid w:val="00891C78"/>
    <w:rsid w:val="00896DD3"/>
    <w:rsid w:val="008A3B04"/>
    <w:rsid w:val="008B345C"/>
    <w:rsid w:val="008B3A32"/>
    <w:rsid w:val="008B571F"/>
    <w:rsid w:val="008C11FF"/>
    <w:rsid w:val="008E3C17"/>
    <w:rsid w:val="008E58BB"/>
    <w:rsid w:val="008F3023"/>
    <w:rsid w:val="008F337E"/>
    <w:rsid w:val="008F3824"/>
    <w:rsid w:val="008F672E"/>
    <w:rsid w:val="00901678"/>
    <w:rsid w:val="00905126"/>
    <w:rsid w:val="0090791D"/>
    <w:rsid w:val="00911516"/>
    <w:rsid w:val="009179AA"/>
    <w:rsid w:val="009225F0"/>
    <w:rsid w:val="009243BD"/>
    <w:rsid w:val="00940E52"/>
    <w:rsid w:val="00943B65"/>
    <w:rsid w:val="00944E52"/>
    <w:rsid w:val="0094563F"/>
    <w:rsid w:val="00961C85"/>
    <w:rsid w:val="00966F7B"/>
    <w:rsid w:val="00977404"/>
    <w:rsid w:val="009774FE"/>
    <w:rsid w:val="009A1567"/>
    <w:rsid w:val="009A205A"/>
    <w:rsid w:val="009A5BC7"/>
    <w:rsid w:val="009A70D6"/>
    <w:rsid w:val="009A723F"/>
    <w:rsid w:val="009A73B2"/>
    <w:rsid w:val="009B0FAB"/>
    <w:rsid w:val="009B1D17"/>
    <w:rsid w:val="009B1E23"/>
    <w:rsid w:val="009B6D77"/>
    <w:rsid w:val="009C0C42"/>
    <w:rsid w:val="009C33A6"/>
    <w:rsid w:val="009C587C"/>
    <w:rsid w:val="009C5F20"/>
    <w:rsid w:val="009C6D7A"/>
    <w:rsid w:val="009D139B"/>
    <w:rsid w:val="009D2788"/>
    <w:rsid w:val="009D3CCB"/>
    <w:rsid w:val="009D529C"/>
    <w:rsid w:val="009D5AC2"/>
    <w:rsid w:val="009E4BC1"/>
    <w:rsid w:val="009F4394"/>
    <w:rsid w:val="00A05136"/>
    <w:rsid w:val="00A13549"/>
    <w:rsid w:val="00A21E0A"/>
    <w:rsid w:val="00A312EC"/>
    <w:rsid w:val="00A3714B"/>
    <w:rsid w:val="00A43E66"/>
    <w:rsid w:val="00A4462B"/>
    <w:rsid w:val="00A50D16"/>
    <w:rsid w:val="00A52F43"/>
    <w:rsid w:val="00A53318"/>
    <w:rsid w:val="00A538B9"/>
    <w:rsid w:val="00A57065"/>
    <w:rsid w:val="00A605A5"/>
    <w:rsid w:val="00A65A44"/>
    <w:rsid w:val="00A707C2"/>
    <w:rsid w:val="00A74769"/>
    <w:rsid w:val="00A91D31"/>
    <w:rsid w:val="00AA305F"/>
    <w:rsid w:val="00AA390F"/>
    <w:rsid w:val="00AA7226"/>
    <w:rsid w:val="00AB0461"/>
    <w:rsid w:val="00AB1BCB"/>
    <w:rsid w:val="00AC3DCE"/>
    <w:rsid w:val="00AC6B13"/>
    <w:rsid w:val="00AD3AD9"/>
    <w:rsid w:val="00AE2A6D"/>
    <w:rsid w:val="00AE5536"/>
    <w:rsid w:val="00AE5AEB"/>
    <w:rsid w:val="00AF2361"/>
    <w:rsid w:val="00AF309E"/>
    <w:rsid w:val="00AF40E6"/>
    <w:rsid w:val="00B019D7"/>
    <w:rsid w:val="00B10189"/>
    <w:rsid w:val="00B10EB1"/>
    <w:rsid w:val="00B17595"/>
    <w:rsid w:val="00B21956"/>
    <w:rsid w:val="00B25125"/>
    <w:rsid w:val="00B2568D"/>
    <w:rsid w:val="00B430E7"/>
    <w:rsid w:val="00B44BCF"/>
    <w:rsid w:val="00B47C6A"/>
    <w:rsid w:val="00B50A79"/>
    <w:rsid w:val="00B53320"/>
    <w:rsid w:val="00B541DC"/>
    <w:rsid w:val="00B606C9"/>
    <w:rsid w:val="00B6388E"/>
    <w:rsid w:val="00B63EFF"/>
    <w:rsid w:val="00B64092"/>
    <w:rsid w:val="00B657E5"/>
    <w:rsid w:val="00B673A4"/>
    <w:rsid w:val="00B700E7"/>
    <w:rsid w:val="00B71E05"/>
    <w:rsid w:val="00B807C2"/>
    <w:rsid w:val="00B80E14"/>
    <w:rsid w:val="00B824C3"/>
    <w:rsid w:val="00BA045F"/>
    <w:rsid w:val="00BA145B"/>
    <w:rsid w:val="00BA2DB9"/>
    <w:rsid w:val="00BA30BA"/>
    <w:rsid w:val="00BA4AEF"/>
    <w:rsid w:val="00BA6232"/>
    <w:rsid w:val="00BA68B8"/>
    <w:rsid w:val="00BA6A09"/>
    <w:rsid w:val="00BB03A8"/>
    <w:rsid w:val="00BD1E90"/>
    <w:rsid w:val="00BE4A6F"/>
    <w:rsid w:val="00BE6A4F"/>
    <w:rsid w:val="00BE7148"/>
    <w:rsid w:val="00BF2F32"/>
    <w:rsid w:val="00C027B8"/>
    <w:rsid w:val="00C05878"/>
    <w:rsid w:val="00C14ACA"/>
    <w:rsid w:val="00C204D8"/>
    <w:rsid w:val="00C20C8A"/>
    <w:rsid w:val="00C404AF"/>
    <w:rsid w:val="00C4061E"/>
    <w:rsid w:val="00C4753E"/>
    <w:rsid w:val="00C476B4"/>
    <w:rsid w:val="00C47AD8"/>
    <w:rsid w:val="00C50321"/>
    <w:rsid w:val="00C52EF2"/>
    <w:rsid w:val="00C557DA"/>
    <w:rsid w:val="00C5645B"/>
    <w:rsid w:val="00C56A57"/>
    <w:rsid w:val="00C57001"/>
    <w:rsid w:val="00C63BFA"/>
    <w:rsid w:val="00C76B3D"/>
    <w:rsid w:val="00C80CA0"/>
    <w:rsid w:val="00C80FDC"/>
    <w:rsid w:val="00C81ABD"/>
    <w:rsid w:val="00C85477"/>
    <w:rsid w:val="00C87BD3"/>
    <w:rsid w:val="00C938DF"/>
    <w:rsid w:val="00C941FE"/>
    <w:rsid w:val="00C95DCE"/>
    <w:rsid w:val="00C97647"/>
    <w:rsid w:val="00CA4A42"/>
    <w:rsid w:val="00CA5D88"/>
    <w:rsid w:val="00CB1653"/>
    <w:rsid w:val="00CB40FA"/>
    <w:rsid w:val="00CB521E"/>
    <w:rsid w:val="00CC3C9B"/>
    <w:rsid w:val="00CC3FA6"/>
    <w:rsid w:val="00CC5C7C"/>
    <w:rsid w:val="00CC76E1"/>
    <w:rsid w:val="00CD31BF"/>
    <w:rsid w:val="00CD4486"/>
    <w:rsid w:val="00CD52FA"/>
    <w:rsid w:val="00CE01D8"/>
    <w:rsid w:val="00CE1CB4"/>
    <w:rsid w:val="00CE779F"/>
    <w:rsid w:val="00CF2236"/>
    <w:rsid w:val="00D165A8"/>
    <w:rsid w:val="00D22484"/>
    <w:rsid w:val="00D22A8A"/>
    <w:rsid w:val="00D304A6"/>
    <w:rsid w:val="00D30E89"/>
    <w:rsid w:val="00D3328C"/>
    <w:rsid w:val="00D347C1"/>
    <w:rsid w:val="00D445FE"/>
    <w:rsid w:val="00D45EAF"/>
    <w:rsid w:val="00D51646"/>
    <w:rsid w:val="00D56F95"/>
    <w:rsid w:val="00D6014E"/>
    <w:rsid w:val="00D64F3C"/>
    <w:rsid w:val="00D71C54"/>
    <w:rsid w:val="00D74518"/>
    <w:rsid w:val="00D75456"/>
    <w:rsid w:val="00D76E7D"/>
    <w:rsid w:val="00D857B9"/>
    <w:rsid w:val="00D86E50"/>
    <w:rsid w:val="00D87012"/>
    <w:rsid w:val="00D90D3C"/>
    <w:rsid w:val="00D97EA6"/>
    <w:rsid w:val="00DA6AF2"/>
    <w:rsid w:val="00DB01D6"/>
    <w:rsid w:val="00DB75F7"/>
    <w:rsid w:val="00DB77C1"/>
    <w:rsid w:val="00DC64CF"/>
    <w:rsid w:val="00DC7DAC"/>
    <w:rsid w:val="00DD42A6"/>
    <w:rsid w:val="00E02589"/>
    <w:rsid w:val="00E0657D"/>
    <w:rsid w:val="00E14853"/>
    <w:rsid w:val="00E16F4F"/>
    <w:rsid w:val="00E30C3C"/>
    <w:rsid w:val="00E44912"/>
    <w:rsid w:val="00E46341"/>
    <w:rsid w:val="00E54673"/>
    <w:rsid w:val="00E63528"/>
    <w:rsid w:val="00E63AE0"/>
    <w:rsid w:val="00E708BB"/>
    <w:rsid w:val="00E73EEE"/>
    <w:rsid w:val="00E7504E"/>
    <w:rsid w:val="00E75201"/>
    <w:rsid w:val="00E80FDD"/>
    <w:rsid w:val="00E8250B"/>
    <w:rsid w:val="00E8533C"/>
    <w:rsid w:val="00E906E4"/>
    <w:rsid w:val="00E91413"/>
    <w:rsid w:val="00E922D1"/>
    <w:rsid w:val="00E92F3F"/>
    <w:rsid w:val="00E96F57"/>
    <w:rsid w:val="00E97CC8"/>
    <w:rsid w:val="00EA66F0"/>
    <w:rsid w:val="00EB3ACA"/>
    <w:rsid w:val="00EB5ECE"/>
    <w:rsid w:val="00EC5B90"/>
    <w:rsid w:val="00ED436E"/>
    <w:rsid w:val="00ED479D"/>
    <w:rsid w:val="00ED47A5"/>
    <w:rsid w:val="00ED50C4"/>
    <w:rsid w:val="00ED6925"/>
    <w:rsid w:val="00ED6F9E"/>
    <w:rsid w:val="00EE121A"/>
    <w:rsid w:val="00EE3834"/>
    <w:rsid w:val="00EE483F"/>
    <w:rsid w:val="00EF0BC7"/>
    <w:rsid w:val="00EF1A74"/>
    <w:rsid w:val="00EF2E07"/>
    <w:rsid w:val="00EF6E31"/>
    <w:rsid w:val="00F000AB"/>
    <w:rsid w:val="00F0467E"/>
    <w:rsid w:val="00F07218"/>
    <w:rsid w:val="00F10926"/>
    <w:rsid w:val="00F10A7C"/>
    <w:rsid w:val="00F16691"/>
    <w:rsid w:val="00F30908"/>
    <w:rsid w:val="00F327D7"/>
    <w:rsid w:val="00F35BE7"/>
    <w:rsid w:val="00F361DE"/>
    <w:rsid w:val="00F4274E"/>
    <w:rsid w:val="00F42E63"/>
    <w:rsid w:val="00F44C22"/>
    <w:rsid w:val="00F53308"/>
    <w:rsid w:val="00F6086A"/>
    <w:rsid w:val="00F61F79"/>
    <w:rsid w:val="00F65FF5"/>
    <w:rsid w:val="00F7110B"/>
    <w:rsid w:val="00F7765B"/>
    <w:rsid w:val="00F81CF5"/>
    <w:rsid w:val="00F81DAB"/>
    <w:rsid w:val="00F85669"/>
    <w:rsid w:val="00F92A02"/>
    <w:rsid w:val="00F94EE6"/>
    <w:rsid w:val="00FA3885"/>
    <w:rsid w:val="00FA72C0"/>
    <w:rsid w:val="00FB4351"/>
    <w:rsid w:val="00FB7CDD"/>
    <w:rsid w:val="00FC0922"/>
    <w:rsid w:val="00FC143A"/>
    <w:rsid w:val="00FC2550"/>
    <w:rsid w:val="00FC4CAE"/>
    <w:rsid w:val="00FD15C6"/>
    <w:rsid w:val="00FD1DA0"/>
    <w:rsid w:val="00FE2A2D"/>
    <w:rsid w:val="00FF6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079A5"/>
  <w15:docId w15:val="{B32968D3-7A74-48E6-9D19-417F935B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364778"/>
    <w:pPr>
      <w:spacing w:before="360" w:after="120" w:line="240" w:lineRule="auto"/>
      <w:contextualSpacing/>
      <w:outlineLvl w:val="0"/>
    </w:pPr>
    <w:rPr>
      <w:rFonts w:ascii="Georgia" w:eastAsiaTheme="majorEastAsia" w:hAnsi="Georgia" w:cstheme="majorBidi"/>
      <w:bCs/>
      <w:color w:val="24596E"/>
      <w:sz w:val="52"/>
      <w:szCs w:val="28"/>
    </w:rPr>
  </w:style>
  <w:style w:type="paragraph" w:styleId="Heading2">
    <w:name w:val="heading 2"/>
    <w:basedOn w:val="Normal"/>
    <w:next w:val="Normal"/>
    <w:link w:val="Heading2Char"/>
    <w:uiPriority w:val="2"/>
    <w:unhideWhenUsed/>
    <w:qFormat/>
    <w:rsid w:val="00364778"/>
    <w:pPr>
      <w:spacing w:before="240" w:after="120" w:line="240" w:lineRule="auto"/>
      <w:outlineLvl w:val="1"/>
    </w:pPr>
    <w:rPr>
      <w:rFonts w:ascii="Georgia" w:eastAsiaTheme="majorEastAsia" w:hAnsi="Georgia" w:cstheme="majorBidi"/>
      <w:bCs/>
      <w:color w:val="005A70"/>
      <w:sz w:val="36"/>
      <w:szCs w:val="26"/>
    </w:rPr>
  </w:style>
  <w:style w:type="paragraph" w:styleId="Heading3">
    <w:name w:val="heading 3"/>
    <w:basedOn w:val="Heading2"/>
    <w:next w:val="Normal"/>
    <w:link w:val="Heading3Char"/>
    <w:uiPriority w:val="9"/>
    <w:unhideWhenUsed/>
    <w:qFormat/>
    <w:rsid w:val="00191916"/>
    <w:pPr>
      <w:outlineLvl w:val="2"/>
    </w:pPr>
    <w:rPr>
      <w:sz w:val="28"/>
    </w:rPr>
  </w:style>
  <w:style w:type="paragraph" w:styleId="Heading4">
    <w:name w:val="heading 4"/>
    <w:basedOn w:val="Heading1"/>
    <w:next w:val="Normal"/>
    <w:link w:val="Heading4Char"/>
    <w:uiPriority w:val="9"/>
    <w:unhideWhenUsed/>
    <w:qFormat/>
    <w:rsid w:val="00512B9D"/>
    <w:pPr>
      <w:outlineLvl w:val="3"/>
    </w:pPr>
    <w:rPr>
      <w:szCs w:val="36"/>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64778"/>
    <w:rPr>
      <w:rFonts w:ascii="Georgia" w:eastAsiaTheme="majorEastAsia" w:hAnsi="Georgia" w:cstheme="majorBidi"/>
      <w:bCs/>
      <w:color w:val="24596E"/>
      <w:spacing w:val="4"/>
      <w:sz w:val="52"/>
      <w:szCs w:val="28"/>
      <w:lang w:eastAsia="en-AU"/>
    </w:rPr>
  </w:style>
  <w:style w:type="character" w:customStyle="1" w:styleId="Heading2Char">
    <w:name w:val="Heading 2 Char"/>
    <w:basedOn w:val="DefaultParagraphFont"/>
    <w:link w:val="Heading2"/>
    <w:uiPriority w:val="2"/>
    <w:rsid w:val="00364778"/>
    <w:rPr>
      <w:rFonts w:ascii="Georgia" w:eastAsiaTheme="majorEastAsia" w:hAnsi="Georgia" w:cstheme="majorBidi"/>
      <w:bCs/>
      <w:color w:val="005A70"/>
      <w:spacing w:val="4"/>
      <w:sz w:val="3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91916"/>
    <w:rPr>
      <w:rFonts w:ascii="Georgia" w:eastAsiaTheme="majorEastAsia" w:hAnsi="Georgia" w:cstheme="majorBidi"/>
      <w:bCs/>
      <w:color w:val="005A70"/>
      <w:spacing w:val="4"/>
      <w:sz w:val="28"/>
      <w:szCs w:val="26"/>
      <w:lang w:eastAsia="en-AU"/>
    </w:rPr>
  </w:style>
  <w:style w:type="character" w:customStyle="1" w:styleId="Heading4Char">
    <w:name w:val="Heading 4 Char"/>
    <w:basedOn w:val="DefaultParagraphFont"/>
    <w:link w:val="Heading4"/>
    <w:uiPriority w:val="9"/>
    <w:rsid w:val="00512B9D"/>
    <w:rPr>
      <w:rFonts w:ascii="Georgia" w:eastAsiaTheme="majorEastAsia" w:hAnsi="Georgia" w:cstheme="majorBidi"/>
      <w:bCs/>
      <w:color w:val="24596E"/>
      <w:spacing w:val="4"/>
      <w:sz w:val="36"/>
      <w:szCs w:val="36"/>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tabs>
        <w:tab w:val="left" w:pos="170"/>
      </w:tabs>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4575A3"/>
    <w:pPr>
      <w:tabs>
        <w:tab w:val="right" w:leader="dot" w:pos="9628"/>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aliases w:val="Table for Questions"/>
    <w:basedOn w:val="TableNormal"/>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semiHidden/>
    <w:unhideWhenUsed/>
    <w:rsid w:val="008668D6"/>
    <w:rPr>
      <w:sz w:val="16"/>
      <w:szCs w:val="16"/>
    </w:rPr>
  </w:style>
  <w:style w:type="paragraph" w:styleId="CommentText">
    <w:name w:val="annotation text"/>
    <w:basedOn w:val="Normal"/>
    <w:link w:val="CommentTextChar"/>
    <w:unhideWhenUsed/>
    <w:rsid w:val="008668D6"/>
    <w:pPr>
      <w:spacing w:line="240" w:lineRule="auto"/>
    </w:pPr>
    <w:rPr>
      <w:sz w:val="20"/>
      <w:szCs w:val="20"/>
    </w:rPr>
  </w:style>
  <w:style w:type="character" w:customStyle="1" w:styleId="CommentTextChar">
    <w:name w:val="Comment Text Char"/>
    <w:basedOn w:val="DefaultParagraphFont"/>
    <w:link w:val="CommentText"/>
    <w:rsid w:val="008668D6"/>
    <w:rPr>
      <w:rFonts w:ascii="Arial" w:eastAsia="Times New Roman" w:hAnsi="Arial" w:cs="Times New Roman"/>
      <w:spacing w:val="4"/>
      <w:sz w:val="20"/>
      <w:szCs w:val="20"/>
      <w:lang w:eastAsia="en-AU"/>
    </w:rPr>
  </w:style>
  <w:style w:type="character" w:styleId="FollowedHyperlink">
    <w:name w:val="FollowedHyperlink"/>
    <w:basedOn w:val="DefaultParagraphFont"/>
    <w:uiPriority w:val="99"/>
    <w:semiHidden/>
    <w:unhideWhenUsed/>
    <w:rsid w:val="008668D6"/>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151F3F"/>
    <w:rPr>
      <w:b/>
      <w:bCs/>
    </w:rPr>
  </w:style>
  <w:style w:type="character" w:customStyle="1" w:styleId="CommentSubjectChar">
    <w:name w:val="Comment Subject Char"/>
    <w:basedOn w:val="CommentTextChar"/>
    <w:link w:val="CommentSubject"/>
    <w:uiPriority w:val="99"/>
    <w:semiHidden/>
    <w:rsid w:val="00151F3F"/>
    <w:rPr>
      <w:rFonts w:ascii="Arial" w:eastAsia="Times New Roman" w:hAnsi="Arial" w:cs="Times New Roman"/>
      <w:b/>
      <w:bCs/>
      <w:spacing w:val="4"/>
      <w:sz w:val="20"/>
      <w:szCs w:val="20"/>
      <w:lang w:eastAsia="en-AU"/>
    </w:rPr>
  </w:style>
  <w:style w:type="paragraph" w:styleId="Revision">
    <w:name w:val="Revision"/>
    <w:hidden/>
    <w:uiPriority w:val="99"/>
    <w:semiHidden/>
    <w:rsid w:val="00151F3F"/>
    <w:pPr>
      <w:spacing w:after="0" w:line="240" w:lineRule="auto"/>
    </w:pPr>
    <w:rPr>
      <w:rFonts w:ascii="Arial" w:eastAsia="Times New Roman" w:hAnsi="Arial" w:cs="Times New Roman"/>
      <w:spacing w:val="4"/>
      <w:sz w:val="24"/>
      <w:szCs w:val="24"/>
      <w:lang w:eastAsia="en-AU"/>
    </w:rPr>
  </w:style>
  <w:style w:type="paragraph" w:styleId="FootnoteText">
    <w:name w:val="footnote text"/>
    <w:basedOn w:val="Normal"/>
    <w:link w:val="FootnoteTextChar"/>
    <w:semiHidden/>
    <w:unhideWhenUsed/>
    <w:rsid w:val="00775261"/>
    <w:pPr>
      <w:spacing w:before="0"/>
    </w:pPr>
    <w:rPr>
      <w:sz w:val="16"/>
      <w:szCs w:val="20"/>
    </w:rPr>
  </w:style>
  <w:style w:type="character" w:customStyle="1" w:styleId="FootnoteTextChar">
    <w:name w:val="Footnote Text Char"/>
    <w:basedOn w:val="DefaultParagraphFont"/>
    <w:link w:val="FootnoteText"/>
    <w:semiHidden/>
    <w:rsid w:val="00775261"/>
    <w:rPr>
      <w:rFonts w:ascii="Arial" w:eastAsia="Times New Roman" w:hAnsi="Arial" w:cs="Times New Roman"/>
      <w:spacing w:val="4"/>
      <w:sz w:val="16"/>
      <w:szCs w:val="20"/>
      <w:lang w:eastAsia="en-AU"/>
    </w:rPr>
  </w:style>
  <w:style w:type="character" w:styleId="FootnoteReference">
    <w:name w:val="footnote reference"/>
    <w:basedOn w:val="DefaultParagraphFont"/>
    <w:semiHidden/>
    <w:unhideWhenUsed/>
    <w:rsid w:val="00775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3618">
      <w:bodyDiv w:val="1"/>
      <w:marLeft w:val="0"/>
      <w:marRight w:val="0"/>
      <w:marTop w:val="0"/>
      <w:marBottom w:val="0"/>
      <w:divBdr>
        <w:top w:val="none" w:sz="0" w:space="0" w:color="auto"/>
        <w:left w:val="none" w:sz="0" w:space="0" w:color="auto"/>
        <w:bottom w:val="none" w:sz="0" w:space="0" w:color="auto"/>
        <w:right w:val="none" w:sz="0" w:space="0" w:color="auto"/>
      </w:divBdr>
      <w:divsChild>
        <w:div w:id="1147820969">
          <w:marLeft w:val="547"/>
          <w:marRight w:val="0"/>
          <w:marTop w:val="0"/>
          <w:marBottom w:val="0"/>
          <w:divBdr>
            <w:top w:val="none" w:sz="0" w:space="0" w:color="auto"/>
            <w:left w:val="none" w:sz="0" w:space="0" w:color="auto"/>
            <w:bottom w:val="none" w:sz="0" w:space="0" w:color="auto"/>
            <w:right w:val="none" w:sz="0" w:space="0" w:color="auto"/>
          </w:divBdr>
        </w:div>
      </w:divsChild>
    </w:div>
    <w:div w:id="69929555">
      <w:bodyDiv w:val="1"/>
      <w:marLeft w:val="0"/>
      <w:marRight w:val="0"/>
      <w:marTop w:val="0"/>
      <w:marBottom w:val="0"/>
      <w:divBdr>
        <w:top w:val="none" w:sz="0" w:space="0" w:color="auto"/>
        <w:left w:val="none" w:sz="0" w:space="0" w:color="auto"/>
        <w:bottom w:val="none" w:sz="0" w:space="0" w:color="auto"/>
        <w:right w:val="none" w:sz="0" w:space="0" w:color="auto"/>
      </w:divBdr>
    </w:div>
    <w:div w:id="176848463">
      <w:bodyDiv w:val="1"/>
      <w:marLeft w:val="0"/>
      <w:marRight w:val="0"/>
      <w:marTop w:val="0"/>
      <w:marBottom w:val="0"/>
      <w:divBdr>
        <w:top w:val="none" w:sz="0" w:space="0" w:color="auto"/>
        <w:left w:val="none" w:sz="0" w:space="0" w:color="auto"/>
        <w:bottom w:val="none" w:sz="0" w:space="0" w:color="auto"/>
        <w:right w:val="none" w:sz="0" w:space="0" w:color="auto"/>
      </w:divBdr>
      <w:divsChild>
        <w:div w:id="1432049277">
          <w:marLeft w:val="547"/>
          <w:marRight w:val="0"/>
          <w:marTop w:val="0"/>
          <w:marBottom w:val="0"/>
          <w:divBdr>
            <w:top w:val="none" w:sz="0" w:space="0" w:color="auto"/>
            <w:left w:val="none" w:sz="0" w:space="0" w:color="auto"/>
            <w:bottom w:val="none" w:sz="0" w:space="0" w:color="auto"/>
            <w:right w:val="none" w:sz="0" w:space="0" w:color="auto"/>
          </w:divBdr>
        </w:div>
        <w:div w:id="1853907357">
          <w:marLeft w:val="547"/>
          <w:marRight w:val="0"/>
          <w:marTop w:val="0"/>
          <w:marBottom w:val="0"/>
          <w:divBdr>
            <w:top w:val="none" w:sz="0" w:space="0" w:color="auto"/>
            <w:left w:val="none" w:sz="0" w:space="0" w:color="auto"/>
            <w:bottom w:val="none" w:sz="0" w:space="0" w:color="auto"/>
            <w:right w:val="none" w:sz="0" w:space="0" w:color="auto"/>
          </w:divBdr>
        </w:div>
      </w:divsChild>
    </w:div>
    <w:div w:id="291985831">
      <w:bodyDiv w:val="1"/>
      <w:marLeft w:val="0"/>
      <w:marRight w:val="0"/>
      <w:marTop w:val="0"/>
      <w:marBottom w:val="0"/>
      <w:divBdr>
        <w:top w:val="none" w:sz="0" w:space="0" w:color="auto"/>
        <w:left w:val="none" w:sz="0" w:space="0" w:color="auto"/>
        <w:bottom w:val="none" w:sz="0" w:space="0" w:color="auto"/>
        <w:right w:val="none" w:sz="0" w:space="0" w:color="auto"/>
      </w:divBdr>
    </w:div>
    <w:div w:id="498080273">
      <w:bodyDiv w:val="1"/>
      <w:marLeft w:val="0"/>
      <w:marRight w:val="0"/>
      <w:marTop w:val="0"/>
      <w:marBottom w:val="0"/>
      <w:divBdr>
        <w:top w:val="none" w:sz="0" w:space="0" w:color="auto"/>
        <w:left w:val="none" w:sz="0" w:space="0" w:color="auto"/>
        <w:bottom w:val="none" w:sz="0" w:space="0" w:color="auto"/>
        <w:right w:val="none" w:sz="0" w:space="0" w:color="auto"/>
      </w:divBdr>
      <w:divsChild>
        <w:div w:id="252855963">
          <w:marLeft w:val="1166"/>
          <w:marRight w:val="0"/>
          <w:marTop w:val="0"/>
          <w:marBottom w:val="0"/>
          <w:divBdr>
            <w:top w:val="none" w:sz="0" w:space="0" w:color="auto"/>
            <w:left w:val="none" w:sz="0" w:space="0" w:color="auto"/>
            <w:bottom w:val="none" w:sz="0" w:space="0" w:color="auto"/>
            <w:right w:val="none" w:sz="0" w:space="0" w:color="auto"/>
          </w:divBdr>
        </w:div>
        <w:div w:id="748380094">
          <w:marLeft w:val="1166"/>
          <w:marRight w:val="0"/>
          <w:marTop w:val="0"/>
          <w:marBottom w:val="0"/>
          <w:divBdr>
            <w:top w:val="none" w:sz="0" w:space="0" w:color="auto"/>
            <w:left w:val="none" w:sz="0" w:space="0" w:color="auto"/>
            <w:bottom w:val="none" w:sz="0" w:space="0" w:color="auto"/>
            <w:right w:val="none" w:sz="0" w:space="0" w:color="auto"/>
          </w:divBdr>
        </w:div>
        <w:div w:id="1162353607">
          <w:marLeft w:val="547"/>
          <w:marRight w:val="0"/>
          <w:marTop w:val="0"/>
          <w:marBottom w:val="0"/>
          <w:divBdr>
            <w:top w:val="none" w:sz="0" w:space="0" w:color="auto"/>
            <w:left w:val="none" w:sz="0" w:space="0" w:color="auto"/>
            <w:bottom w:val="none" w:sz="0" w:space="0" w:color="auto"/>
            <w:right w:val="none" w:sz="0" w:space="0" w:color="auto"/>
          </w:divBdr>
        </w:div>
      </w:divsChild>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65286024">
      <w:bodyDiv w:val="1"/>
      <w:marLeft w:val="0"/>
      <w:marRight w:val="0"/>
      <w:marTop w:val="0"/>
      <w:marBottom w:val="0"/>
      <w:divBdr>
        <w:top w:val="none" w:sz="0" w:space="0" w:color="auto"/>
        <w:left w:val="none" w:sz="0" w:space="0" w:color="auto"/>
        <w:bottom w:val="none" w:sz="0" w:space="0" w:color="auto"/>
        <w:right w:val="none" w:sz="0" w:space="0" w:color="auto"/>
      </w:divBdr>
    </w:div>
    <w:div w:id="764574186">
      <w:bodyDiv w:val="1"/>
      <w:marLeft w:val="0"/>
      <w:marRight w:val="0"/>
      <w:marTop w:val="0"/>
      <w:marBottom w:val="0"/>
      <w:divBdr>
        <w:top w:val="none" w:sz="0" w:space="0" w:color="auto"/>
        <w:left w:val="none" w:sz="0" w:space="0" w:color="auto"/>
        <w:bottom w:val="none" w:sz="0" w:space="0" w:color="auto"/>
        <w:right w:val="none" w:sz="0" w:space="0" w:color="auto"/>
      </w:divBdr>
    </w:div>
    <w:div w:id="773788518">
      <w:bodyDiv w:val="1"/>
      <w:marLeft w:val="0"/>
      <w:marRight w:val="0"/>
      <w:marTop w:val="0"/>
      <w:marBottom w:val="0"/>
      <w:divBdr>
        <w:top w:val="none" w:sz="0" w:space="0" w:color="auto"/>
        <w:left w:val="none" w:sz="0" w:space="0" w:color="auto"/>
        <w:bottom w:val="none" w:sz="0" w:space="0" w:color="auto"/>
        <w:right w:val="none" w:sz="0" w:space="0" w:color="auto"/>
      </w:divBdr>
    </w:div>
    <w:div w:id="1239242055">
      <w:bodyDiv w:val="1"/>
      <w:marLeft w:val="0"/>
      <w:marRight w:val="0"/>
      <w:marTop w:val="0"/>
      <w:marBottom w:val="0"/>
      <w:divBdr>
        <w:top w:val="none" w:sz="0" w:space="0" w:color="auto"/>
        <w:left w:val="none" w:sz="0" w:space="0" w:color="auto"/>
        <w:bottom w:val="none" w:sz="0" w:space="0" w:color="auto"/>
        <w:right w:val="none" w:sz="0" w:space="0" w:color="auto"/>
      </w:divBdr>
      <w:divsChild>
        <w:div w:id="295068171">
          <w:marLeft w:val="547"/>
          <w:marRight w:val="0"/>
          <w:marTop w:val="0"/>
          <w:marBottom w:val="0"/>
          <w:divBdr>
            <w:top w:val="none" w:sz="0" w:space="0" w:color="auto"/>
            <w:left w:val="none" w:sz="0" w:space="0" w:color="auto"/>
            <w:bottom w:val="none" w:sz="0" w:space="0" w:color="auto"/>
            <w:right w:val="none" w:sz="0" w:space="0" w:color="auto"/>
          </w:divBdr>
        </w:div>
        <w:div w:id="1227181126">
          <w:marLeft w:val="547"/>
          <w:marRight w:val="0"/>
          <w:marTop w:val="0"/>
          <w:marBottom w:val="0"/>
          <w:divBdr>
            <w:top w:val="none" w:sz="0" w:space="0" w:color="auto"/>
            <w:left w:val="none" w:sz="0" w:space="0" w:color="auto"/>
            <w:bottom w:val="none" w:sz="0" w:space="0" w:color="auto"/>
            <w:right w:val="none" w:sz="0" w:space="0" w:color="auto"/>
          </w:divBdr>
        </w:div>
      </w:divsChild>
    </w:div>
    <w:div w:id="1622103565">
      <w:bodyDiv w:val="1"/>
      <w:marLeft w:val="0"/>
      <w:marRight w:val="0"/>
      <w:marTop w:val="0"/>
      <w:marBottom w:val="0"/>
      <w:divBdr>
        <w:top w:val="none" w:sz="0" w:space="0" w:color="auto"/>
        <w:left w:val="none" w:sz="0" w:space="0" w:color="auto"/>
        <w:bottom w:val="none" w:sz="0" w:space="0" w:color="auto"/>
        <w:right w:val="none" w:sz="0" w:space="0" w:color="auto"/>
      </w:divBdr>
      <w:divsChild>
        <w:div w:id="141822081">
          <w:marLeft w:val="1166"/>
          <w:marRight w:val="0"/>
          <w:marTop w:val="0"/>
          <w:marBottom w:val="0"/>
          <w:divBdr>
            <w:top w:val="none" w:sz="0" w:space="0" w:color="auto"/>
            <w:left w:val="none" w:sz="0" w:space="0" w:color="auto"/>
            <w:bottom w:val="none" w:sz="0" w:space="0" w:color="auto"/>
            <w:right w:val="none" w:sz="0" w:space="0" w:color="auto"/>
          </w:divBdr>
        </w:div>
        <w:div w:id="817039513">
          <w:marLeft w:val="1166"/>
          <w:marRight w:val="0"/>
          <w:marTop w:val="0"/>
          <w:marBottom w:val="0"/>
          <w:divBdr>
            <w:top w:val="none" w:sz="0" w:space="0" w:color="auto"/>
            <w:left w:val="none" w:sz="0" w:space="0" w:color="auto"/>
            <w:bottom w:val="none" w:sz="0" w:space="0" w:color="auto"/>
            <w:right w:val="none" w:sz="0" w:space="0" w:color="auto"/>
          </w:divBdr>
        </w:div>
        <w:div w:id="1047610013">
          <w:marLeft w:val="547"/>
          <w:marRight w:val="0"/>
          <w:marTop w:val="0"/>
          <w:marBottom w:val="0"/>
          <w:divBdr>
            <w:top w:val="none" w:sz="0" w:space="0" w:color="auto"/>
            <w:left w:val="none" w:sz="0" w:space="0" w:color="auto"/>
            <w:bottom w:val="none" w:sz="0" w:space="0" w:color="auto"/>
            <w:right w:val="none" w:sz="0" w:space="0" w:color="auto"/>
          </w:divBdr>
        </w:div>
      </w:divsChild>
    </w:div>
    <w:div w:id="1724672592">
      <w:bodyDiv w:val="1"/>
      <w:marLeft w:val="0"/>
      <w:marRight w:val="0"/>
      <w:marTop w:val="0"/>
      <w:marBottom w:val="0"/>
      <w:divBdr>
        <w:top w:val="none" w:sz="0" w:space="0" w:color="auto"/>
        <w:left w:val="none" w:sz="0" w:space="0" w:color="auto"/>
        <w:bottom w:val="none" w:sz="0" w:space="0" w:color="auto"/>
        <w:right w:val="none" w:sz="0" w:space="0" w:color="auto"/>
      </w:divBdr>
      <w:divsChild>
        <w:div w:id="446704382">
          <w:marLeft w:val="547"/>
          <w:marRight w:val="0"/>
          <w:marTop w:val="0"/>
          <w:marBottom w:val="0"/>
          <w:divBdr>
            <w:top w:val="none" w:sz="0" w:space="0" w:color="auto"/>
            <w:left w:val="none" w:sz="0" w:space="0" w:color="auto"/>
            <w:bottom w:val="none" w:sz="0" w:space="0" w:color="auto"/>
            <w:right w:val="none" w:sz="0" w:space="0" w:color="auto"/>
          </w:divBdr>
        </w:div>
        <w:div w:id="1215239580">
          <w:marLeft w:val="547"/>
          <w:marRight w:val="0"/>
          <w:marTop w:val="0"/>
          <w:marBottom w:val="0"/>
          <w:divBdr>
            <w:top w:val="none" w:sz="0" w:space="0" w:color="auto"/>
            <w:left w:val="none" w:sz="0" w:space="0" w:color="auto"/>
            <w:bottom w:val="none" w:sz="0" w:space="0" w:color="auto"/>
            <w:right w:val="none" w:sz="0" w:space="0" w:color="auto"/>
          </w:divBdr>
        </w:div>
        <w:div w:id="1356031062">
          <w:marLeft w:val="547"/>
          <w:marRight w:val="0"/>
          <w:marTop w:val="0"/>
          <w:marBottom w:val="0"/>
          <w:divBdr>
            <w:top w:val="none" w:sz="0" w:space="0" w:color="auto"/>
            <w:left w:val="none" w:sz="0" w:space="0" w:color="auto"/>
            <w:bottom w:val="none" w:sz="0" w:space="0" w:color="auto"/>
            <w:right w:val="none" w:sz="0" w:space="0" w:color="auto"/>
          </w:divBdr>
        </w:div>
        <w:div w:id="1865513323">
          <w:marLeft w:val="547"/>
          <w:marRight w:val="0"/>
          <w:marTop w:val="0"/>
          <w:marBottom w:val="0"/>
          <w:divBdr>
            <w:top w:val="none" w:sz="0" w:space="0" w:color="auto"/>
            <w:left w:val="none" w:sz="0" w:space="0" w:color="auto"/>
            <w:bottom w:val="none" w:sz="0" w:space="0" w:color="auto"/>
            <w:right w:val="none" w:sz="0" w:space="0" w:color="auto"/>
          </w:divBdr>
        </w:div>
      </w:divsChild>
    </w:div>
    <w:div w:id="20173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ngage.dss.gov.au/national-centre-for-the-prevention-of-child-sexual-abus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nationalcentre@dss.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ationalcentre@dss.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ngage.dss.gov.au/" TargetMode="External"/><Relationship Id="rId20" Type="http://schemas.openxmlformats.org/officeDocument/2006/relationships/hyperlink" Target="https://engage.d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gage.d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abuseroyalcommission.gov.au/recommendations" TargetMode="External"/><Relationship Id="rId22" Type="http://schemas.openxmlformats.org/officeDocument/2006/relationships/hyperlink" Target="https://engage.dss.gov.au/national-centre-for-the-prevention-of-child-sexual-abus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15D8C79B8C6B74DA6AB7EDAB99DCBE9" ma:contentTypeVersion="" ma:contentTypeDescription="PDMS Document Site Content Type" ma:contentTypeScope="" ma:versionID="d560750306359e3795b3e09122aecb06">
  <xsd:schema xmlns:xsd="http://www.w3.org/2001/XMLSchema" xmlns:xs="http://www.w3.org/2001/XMLSchema" xmlns:p="http://schemas.microsoft.com/office/2006/metadata/properties" xmlns:ns2="AAEE9D22-4304-474B-8B7C-977D5B9F8D66" targetNamespace="http://schemas.microsoft.com/office/2006/metadata/properties" ma:root="true" ma:fieldsID="e1e217b2ed3929e2023063c6e8d90097" ns2:_="">
    <xsd:import namespace="AAEE9D22-4304-474B-8B7C-977D5B9F8D6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9D22-4304-474B-8B7C-977D5B9F8D6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AEE9D22-4304-474B-8B7C-977D5B9F8D6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31D1-1349-4035-B5ED-1F5A950C8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9D22-4304-474B-8B7C-977D5B9F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DDF5C-CBD1-4E1C-A86E-96D37C38903B}">
  <ds:schemaRefs>
    <ds:schemaRef ds:uri="http://schemas.microsoft.com/sharepoint/v3/contenttype/forms"/>
  </ds:schemaRefs>
</ds:datastoreItem>
</file>

<file path=customXml/itemProps3.xml><?xml version="1.0" encoding="utf-8"?>
<ds:datastoreItem xmlns:ds="http://schemas.openxmlformats.org/officeDocument/2006/customXml" ds:itemID="{FD0631AA-CBC0-480D-9A35-B0BDDC443BB2}">
  <ds:schemaRefs>
    <ds:schemaRef ds:uri="http://schemas.microsoft.com/office/2006/metadata/properties"/>
    <ds:schemaRef ds:uri="http://schemas.microsoft.com/office/infopath/2007/PartnerControls"/>
    <ds:schemaRef ds:uri="AAEE9D22-4304-474B-8B7C-977D5B9F8D66"/>
  </ds:schemaRefs>
</ds:datastoreItem>
</file>

<file path=customXml/itemProps4.xml><?xml version="1.0" encoding="utf-8"?>
<ds:datastoreItem xmlns:ds="http://schemas.openxmlformats.org/officeDocument/2006/customXml" ds:itemID="{5E78A29B-9FFB-46B6-9DB7-76154858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13</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NASH, Rosanne</dc:creator>
  <cp:keywords/>
  <cp:lastModifiedBy>LAING, Kim</cp:lastModifiedBy>
  <cp:revision>2</cp:revision>
  <cp:lastPrinted>2020-02-13T22:18:00Z</cp:lastPrinted>
  <dcterms:created xsi:type="dcterms:W3CDTF">2020-02-16T22:09:00Z</dcterms:created>
  <dcterms:modified xsi:type="dcterms:W3CDTF">2020-02-16T22:09:00Z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0x010100266966F133664895A6EE3632470D45F500D15D8C79B8C6B74DA6AB7EDAB99DCBE9</vt:lpwstr>
  </property>
</Properties>
</file>