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6FC" w14:textId="7564F6A3" w:rsidR="000E0158" w:rsidRPr="00EF02F7" w:rsidRDefault="000E0158" w:rsidP="000E0158">
      <w:pPr>
        <w:rPr>
          <w:sz w:val="24"/>
          <w:szCs w:val="24"/>
        </w:rPr>
      </w:pPr>
      <w:r>
        <w:rPr>
          <w:sz w:val="24"/>
          <w:szCs w:val="24"/>
        </w:rPr>
        <w:t>1</w:t>
      </w:r>
      <w:r w:rsidR="00724ECA">
        <w:rPr>
          <w:sz w:val="24"/>
          <w:szCs w:val="24"/>
        </w:rPr>
        <w:t>4</w:t>
      </w:r>
      <w:r>
        <w:rPr>
          <w:sz w:val="24"/>
          <w:szCs w:val="24"/>
        </w:rPr>
        <w:t xml:space="preserve"> May 2021</w:t>
      </w:r>
    </w:p>
    <w:p w14:paraId="65FF8C54" w14:textId="1D235AF5" w:rsidR="000E0158" w:rsidRPr="006F46C0" w:rsidRDefault="000E0158" w:rsidP="000E0158">
      <w:pPr>
        <w:rPr>
          <w:sz w:val="24"/>
          <w:szCs w:val="24"/>
        </w:rPr>
      </w:pPr>
      <w:r>
        <w:rPr>
          <w:sz w:val="24"/>
          <w:szCs w:val="24"/>
        </w:rPr>
        <w:t>Disability Employment Policy Section</w:t>
      </w:r>
      <w:r>
        <w:rPr>
          <w:sz w:val="24"/>
          <w:szCs w:val="24"/>
        </w:rPr>
        <w:br/>
        <w:t>Department of Social Services</w:t>
      </w:r>
      <w:r>
        <w:rPr>
          <w:sz w:val="24"/>
          <w:szCs w:val="24"/>
        </w:rPr>
        <w:br/>
        <w:t>GPO Box 9820</w:t>
      </w:r>
      <w:r>
        <w:rPr>
          <w:sz w:val="24"/>
          <w:szCs w:val="24"/>
        </w:rPr>
        <w:br/>
        <w:t>Canberra ACT 2601</w:t>
      </w:r>
      <w:r>
        <w:rPr>
          <w:sz w:val="24"/>
          <w:szCs w:val="24"/>
        </w:rPr>
        <w:br/>
      </w:r>
      <w:r w:rsidRPr="006F46C0">
        <w:rPr>
          <w:sz w:val="24"/>
          <w:szCs w:val="24"/>
        </w:rPr>
        <w:t xml:space="preserve">via email: </w:t>
      </w:r>
      <w:hyperlink r:id="rId11" w:history="1">
        <w:r w:rsidRPr="00B55263">
          <w:rPr>
            <w:rStyle w:val="Hyperlink"/>
            <w:sz w:val="24"/>
            <w:szCs w:val="24"/>
          </w:rPr>
          <w:t>dep@dss.gov.au</w:t>
        </w:r>
      </w:hyperlink>
      <w:r>
        <w:rPr>
          <w:sz w:val="24"/>
          <w:szCs w:val="24"/>
        </w:rPr>
        <w:t xml:space="preserve"> </w:t>
      </w:r>
      <w:r w:rsidRPr="006F46C0">
        <w:rPr>
          <w:sz w:val="24"/>
          <w:szCs w:val="24"/>
        </w:rPr>
        <w:t xml:space="preserve"> </w:t>
      </w:r>
    </w:p>
    <w:p w14:paraId="72180144" w14:textId="0B927B3B" w:rsidR="000E0158" w:rsidRPr="00826B96" w:rsidRDefault="000E0158" w:rsidP="00826B96">
      <w:pPr>
        <w:pStyle w:val="Heading1"/>
      </w:pPr>
      <w:r w:rsidRPr="00826B96">
        <w:t>Re: National Disability Employment Strategy</w:t>
      </w:r>
    </w:p>
    <w:p w14:paraId="486F1DC0" w14:textId="3389C0F1" w:rsidR="000E0158" w:rsidRDefault="000E0158" w:rsidP="000E0158">
      <w:pPr>
        <w:jc w:val="both"/>
        <w:rPr>
          <w:sz w:val="24"/>
          <w:szCs w:val="24"/>
        </w:rPr>
      </w:pPr>
      <w:r>
        <w:rPr>
          <w:sz w:val="24"/>
          <w:szCs w:val="24"/>
        </w:rPr>
        <w:t xml:space="preserve">The Australian Communications Consumer Action Network (ACCAN) thanks the Department of Social Services (the Department) for the opportunity to contribute to the National Disability Employment Strategy. </w:t>
      </w:r>
    </w:p>
    <w:p w14:paraId="6DD0CBCA" w14:textId="7787CDE7" w:rsidR="000E0158" w:rsidRDefault="000E0158" w:rsidP="000E0158">
      <w:pPr>
        <w:jc w:val="both"/>
        <w:rPr>
          <w:sz w:val="24"/>
          <w:szCs w:val="24"/>
        </w:rPr>
      </w:pPr>
      <w:r>
        <w:rPr>
          <w:sz w:val="24"/>
          <w:szCs w:val="24"/>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r w:rsidRPr="000E0158">
        <w:rPr>
          <w:sz w:val="24"/>
          <w:szCs w:val="24"/>
        </w:rPr>
        <w:t>We</w:t>
      </w:r>
      <w:r>
        <w:rPr>
          <w:sz w:val="24"/>
          <w:szCs w:val="24"/>
        </w:rPr>
        <w:t xml:space="preserve"> </w:t>
      </w:r>
      <w:r w:rsidRPr="000E0158">
        <w:rPr>
          <w:sz w:val="24"/>
          <w:szCs w:val="24"/>
        </w:rPr>
        <w:t>represent the views of our broad and diverse membership base, which includes</w:t>
      </w:r>
      <w:r>
        <w:rPr>
          <w:sz w:val="24"/>
          <w:szCs w:val="24"/>
        </w:rPr>
        <w:t xml:space="preserve"> </w:t>
      </w:r>
      <w:r w:rsidRPr="000E0158">
        <w:rPr>
          <w:sz w:val="24"/>
          <w:szCs w:val="24"/>
        </w:rPr>
        <w:t>groups such as community legal centres, disability advocacy organisations,</w:t>
      </w:r>
      <w:r>
        <w:rPr>
          <w:sz w:val="24"/>
          <w:szCs w:val="24"/>
        </w:rPr>
        <w:t xml:space="preserve"> </w:t>
      </w:r>
      <w:r w:rsidRPr="000E0158">
        <w:rPr>
          <w:sz w:val="24"/>
          <w:szCs w:val="24"/>
        </w:rPr>
        <w:t>indigenous organisations, farmers’ federations, financial counsellors, parents’</w:t>
      </w:r>
      <w:r>
        <w:rPr>
          <w:sz w:val="24"/>
          <w:szCs w:val="24"/>
        </w:rPr>
        <w:t xml:space="preserve"> </w:t>
      </w:r>
      <w:r w:rsidRPr="000E0158">
        <w:rPr>
          <w:sz w:val="24"/>
          <w:szCs w:val="24"/>
        </w:rPr>
        <w:t xml:space="preserve">groups, regional organisations, </w:t>
      </w:r>
      <w:proofErr w:type="gramStart"/>
      <w:r w:rsidRPr="000E0158">
        <w:rPr>
          <w:sz w:val="24"/>
          <w:szCs w:val="24"/>
        </w:rPr>
        <w:t>seniors</w:t>
      </w:r>
      <w:proofErr w:type="gramEnd"/>
      <w:r w:rsidRPr="000E0158">
        <w:rPr>
          <w:sz w:val="24"/>
          <w:szCs w:val="24"/>
        </w:rPr>
        <w:t xml:space="preserve"> organisations, and other individual members.</w:t>
      </w:r>
      <w:r>
        <w:rPr>
          <w:sz w:val="24"/>
          <w:szCs w:val="24"/>
        </w:rPr>
        <w:t xml:space="preserve"> ACCAN has always been a strong voice for consumers with disability in the communications arena</w:t>
      </w:r>
      <w:r w:rsidRPr="00272DD1">
        <w:rPr>
          <w:sz w:val="24"/>
          <w:szCs w:val="24"/>
        </w:rPr>
        <w:t xml:space="preserve">. </w:t>
      </w:r>
      <w:r>
        <w:rPr>
          <w:sz w:val="24"/>
          <w:szCs w:val="24"/>
        </w:rPr>
        <w:t>We are</w:t>
      </w:r>
      <w:r w:rsidRPr="00272DD1">
        <w:rPr>
          <w:sz w:val="24"/>
          <w:szCs w:val="24"/>
        </w:rPr>
        <w:t xml:space="preserve"> proud to have a wide range of disability organisations as members, and as valuable contributors to and supporters of our work. </w:t>
      </w:r>
    </w:p>
    <w:p w14:paraId="2FF2FD6C" w14:textId="718A636F" w:rsidR="000E0158" w:rsidRDefault="00826B96" w:rsidP="000E0158">
      <w:pPr>
        <w:jc w:val="both"/>
        <w:rPr>
          <w:sz w:val="24"/>
          <w:szCs w:val="24"/>
        </w:rPr>
      </w:pPr>
      <w:r>
        <w:rPr>
          <w:sz w:val="24"/>
          <w:szCs w:val="24"/>
        </w:rPr>
        <w:t xml:space="preserve">ACCAN is pleased that the </w:t>
      </w:r>
      <w:r w:rsidR="00A11E42">
        <w:rPr>
          <w:sz w:val="24"/>
          <w:szCs w:val="24"/>
        </w:rPr>
        <w:t>National Disability Employment Strategy Consultation Paper (the C</w:t>
      </w:r>
      <w:r>
        <w:rPr>
          <w:sz w:val="24"/>
          <w:szCs w:val="24"/>
        </w:rPr>
        <w:t>on</w:t>
      </w:r>
      <w:r w:rsidR="00A11E42">
        <w:rPr>
          <w:sz w:val="24"/>
          <w:szCs w:val="24"/>
        </w:rPr>
        <w:t>sultation Paper)</w:t>
      </w:r>
      <w:r>
        <w:rPr>
          <w:sz w:val="24"/>
          <w:szCs w:val="24"/>
        </w:rPr>
        <w:t xml:space="preserve"> outlines that greater workforce participation of people with disability is a driver of economic growth. We agree that there are significant benefits – economic and otherwise – of more people with disability being in paid employment.  </w:t>
      </w:r>
      <w:r w:rsidR="002D40D9">
        <w:rPr>
          <w:sz w:val="24"/>
          <w:szCs w:val="24"/>
        </w:rPr>
        <w:t xml:space="preserve">ACCAN believes that communications technologies </w:t>
      </w:r>
      <w:r w:rsidR="00175AB2">
        <w:rPr>
          <w:sz w:val="24"/>
          <w:szCs w:val="24"/>
        </w:rPr>
        <w:t>are a fundamental cornerstone in increasing</w:t>
      </w:r>
      <w:r w:rsidR="002D40D9">
        <w:rPr>
          <w:sz w:val="24"/>
          <w:szCs w:val="24"/>
        </w:rPr>
        <w:t xml:space="preserve"> the employment of people with disability in Australia. As such, the ten-year commitment made in the National Disability Employment Strategy must include a focus on accessible and affordable communications technologies and services</w:t>
      </w:r>
      <w:r w:rsidR="00B77C42">
        <w:rPr>
          <w:sz w:val="24"/>
          <w:szCs w:val="24"/>
        </w:rPr>
        <w:t>, the procurement of accessible ICT, and digital inclusion</w:t>
      </w:r>
      <w:r w:rsidR="00225BC9">
        <w:rPr>
          <w:sz w:val="24"/>
          <w:szCs w:val="24"/>
        </w:rPr>
        <w:t xml:space="preserve"> of people with disability</w:t>
      </w:r>
      <w:r w:rsidR="002D40D9">
        <w:rPr>
          <w:sz w:val="24"/>
          <w:szCs w:val="24"/>
        </w:rPr>
        <w:t xml:space="preserve">. </w:t>
      </w:r>
    </w:p>
    <w:p w14:paraId="5252FD02" w14:textId="64AD6C9B" w:rsidR="00826B96" w:rsidRDefault="00826B96" w:rsidP="00826B96">
      <w:pPr>
        <w:pStyle w:val="Heading2"/>
      </w:pPr>
      <w:r>
        <w:lastRenderedPageBreak/>
        <w:t>Ideal Accessible Communications Roadmap</w:t>
      </w:r>
    </w:p>
    <w:p w14:paraId="39946411" w14:textId="4BA7E217" w:rsidR="000E0158" w:rsidRDefault="002D40D9" w:rsidP="000E0158">
      <w:pPr>
        <w:jc w:val="both"/>
        <w:rPr>
          <w:sz w:val="24"/>
          <w:szCs w:val="24"/>
        </w:rPr>
      </w:pPr>
      <w:r>
        <w:rPr>
          <w:sz w:val="24"/>
          <w:szCs w:val="24"/>
        </w:rPr>
        <w:t xml:space="preserve">In 2019-2020, ACCAN developed </w:t>
      </w:r>
      <w:r w:rsidR="00ED427D">
        <w:rPr>
          <w:sz w:val="24"/>
          <w:szCs w:val="24"/>
        </w:rPr>
        <w:t>an Ideal Accessible Communications Roadmap</w:t>
      </w:r>
      <w:r w:rsidR="00ED427D">
        <w:rPr>
          <w:rStyle w:val="FootnoteReference"/>
          <w:sz w:val="24"/>
          <w:szCs w:val="24"/>
        </w:rPr>
        <w:footnoteReference w:id="1"/>
      </w:r>
      <w:r w:rsidR="00ED427D">
        <w:rPr>
          <w:sz w:val="24"/>
          <w:szCs w:val="24"/>
        </w:rPr>
        <w:t xml:space="preserve"> to illustrate what it would look like if all people with disability in Australia had full and equal access to communications technologies and services. In developing this Roadmap ACCAN sought feedback from a range of organisations supporting people with disability. W</w:t>
      </w:r>
      <w:r w:rsidR="000E0158">
        <w:rPr>
          <w:sz w:val="24"/>
          <w:szCs w:val="24"/>
        </w:rPr>
        <w:t>e</w:t>
      </w:r>
      <w:r w:rsidR="000E0158" w:rsidRPr="00272DD1">
        <w:rPr>
          <w:sz w:val="24"/>
          <w:szCs w:val="24"/>
        </w:rPr>
        <w:t xml:space="preserve"> asked about the communications issues that were currently affecting people with disability,</w:t>
      </w:r>
      <w:r w:rsidR="00F95645">
        <w:rPr>
          <w:sz w:val="24"/>
          <w:szCs w:val="24"/>
        </w:rPr>
        <w:t xml:space="preserve"> </w:t>
      </w:r>
      <w:r w:rsidR="000E0158" w:rsidRPr="00272DD1">
        <w:rPr>
          <w:sz w:val="24"/>
          <w:szCs w:val="24"/>
        </w:rPr>
        <w:t xml:space="preserve">the communications issues that </w:t>
      </w:r>
      <w:proofErr w:type="gramStart"/>
      <w:r w:rsidR="000E0158" w:rsidRPr="00272DD1">
        <w:rPr>
          <w:sz w:val="24"/>
          <w:szCs w:val="24"/>
        </w:rPr>
        <w:t>contributors</w:t>
      </w:r>
      <w:proofErr w:type="gramEnd"/>
      <w:r w:rsidR="000E0158" w:rsidRPr="00272DD1">
        <w:rPr>
          <w:sz w:val="24"/>
          <w:szCs w:val="24"/>
        </w:rPr>
        <w:t xml:space="preserve"> thought would affect people with disability in the future, and suggestions for possible solutions to address these existing and anticipated communications </w:t>
      </w:r>
      <w:r w:rsidR="00813DA9">
        <w:rPr>
          <w:sz w:val="24"/>
          <w:szCs w:val="24"/>
        </w:rPr>
        <w:t>barriers</w:t>
      </w:r>
      <w:r w:rsidR="000E0158" w:rsidRPr="00272DD1">
        <w:rPr>
          <w:sz w:val="24"/>
          <w:szCs w:val="24"/>
        </w:rPr>
        <w:t>.</w:t>
      </w:r>
      <w:bookmarkStart w:id="0" w:name="_Hlk42608871"/>
      <w:r w:rsidR="00F95645">
        <w:rPr>
          <w:sz w:val="24"/>
          <w:szCs w:val="24"/>
        </w:rPr>
        <w:t xml:space="preserve"> </w:t>
      </w:r>
      <w:r w:rsidR="000E0158" w:rsidRPr="00272DD1">
        <w:rPr>
          <w:sz w:val="24"/>
          <w:szCs w:val="24"/>
        </w:rPr>
        <w:t>Through</w:t>
      </w:r>
      <w:r w:rsidR="000E0158">
        <w:rPr>
          <w:sz w:val="24"/>
          <w:szCs w:val="24"/>
        </w:rPr>
        <w:t xml:space="preserve"> this broad community engagement</w:t>
      </w:r>
      <w:r w:rsidR="000E0158" w:rsidRPr="00272DD1">
        <w:rPr>
          <w:sz w:val="24"/>
          <w:szCs w:val="24"/>
        </w:rPr>
        <w:t xml:space="preserve">, </w:t>
      </w:r>
      <w:bookmarkEnd w:id="0"/>
      <w:r w:rsidR="000E0158" w:rsidRPr="00272DD1">
        <w:rPr>
          <w:sz w:val="24"/>
          <w:szCs w:val="24"/>
        </w:rPr>
        <w:t xml:space="preserve">we received responses from 35 organisations, including Disabled Peoples Organisations, advocacy groups and disability service providers, as well as 9 individuals with disability who offered insights independently of any organisation. </w:t>
      </w:r>
    </w:p>
    <w:p w14:paraId="5FC5C686" w14:textId="41407C23" w:rsidR="000E0158" w:rsidRDefault="000E0158" w:rsidP="00ED427D">
      <w:pPr>
        <w:spacing w:before="100" w:beforeAutospacing="1" w:after="100" w:afterAutospacing="1"/>
        <w:jc w:val="both"/>
        <w:rPr>
          <w:sz w:val="24"/>
          <w:szCs w:val="24"/>
        </w:rPr>
      </w:pPr>
      <w:r w:rsidRPr="00272DD1">
        <w:rPr>
          <w:sz w:val="24"/>
          <w:szCs w:val="24"/>
        </w:rPr>
        <w:t>The insights offered by contributors illustrate that people with disability encounter a range of barriers to equ</w:t>
      </w:r>
      <w:r>
        <w:rPr>
          <w:sz w:val="24"/>
          <w:szCs w:val="24"/>
        </w:rPr>
        <w:t>itable</w:t>
      </w:r>
      <w:r w:rsidRPr="00272DD1">
        <w:rPr>
          <w:sz w:val="24"/>
          <w:szCs w:val="24"/>
        </w:rPr>
        <w:t xml:space="preserve"> communications access</w:t>
      </w:r>
      <w:r>
        <w:rPr>
          <w:sz w:val="24"/>
          <w:szCs w:val="24"/>
        </w:rPr>
        <w:t>, and there are concerns that these barriers will continue (or worsen) in the future</w:t>
      </w:r>
      <w:r w:rsidRPr="00272DD1">
        <w:rPr>
          <w:sz w:val="24"/>
          <w:szCs w:val="24"/>
        </w:rPr>
        <w:t>.</w:t>
      </w:r>
      <w:r>
        <w:rPr>
          <w:sz w:val="24"/>
          <w:szCs w:val="24"/>
        </w:rPr>
        <w:t xml:space="preserve"> </w:t>
      </w:r>
      <w:r w:rsidR="00B65C8A" w:rsidRPr="00B65C8A">
        <w:rPr>
          <w:sz w:val="24"/>
          <w:szCs w:val="24"/>
        </w:rPr>
        <w:t>The Roadmap encompasses the following: the accessibility of telecommunications services and devices, online environments, and audio-visual content; the affordability of communications technologies; and the safety and reliability of communications technologies for people with disability in Australia.</w:t>
      </w:r>
      <w:r w:rsidR="00B65C8A">
        <w:rPr>
          <w:sz w:val="24"/>
          <w:szCs w:val="24"/>
        </w:rPr>
        <w:t xml:space="preserve"> </w:t>
      </w:r>
    </w:p>
    <w:p w14:paraId="1457201B" w14:textId="78F409F7" w:rsidR="00ED427D" w:rsidRDefault="00B65C8A" w:rsidP="000E0158">
      <w:pPr>
        <w:jc w:val="both"/>
        <w:rPr>
          <w:sz w:val="24"/>
          <w:szCs w:val="24"/>
        </w:rPr>
      </w:pPr>
      <w:r>
        <w:rPr>
          <w:sz w:val="24"/>
          <w:szCs w:val="24"/>
        </w:rPr>
        <w:t>A few</w:t>
      </w:r>
      <w:r w:rsidR="001D6777">
        <w:rPr>
          <w:sz w:val="24"/>
          <w:szCs w:val="24"/>
        </w:rPr>
        <w:t xml:space="preserve"> Roadmap contributors referenced communications technologies and services in relation to employment </w:t>
      </w:r>
      <w:r w:rsidR="009A42E7">
        <w:rPr>
          <w:sz w:val="24"/>
          <w:szCs w:val="24"/>
        </w:rPr>
        <w:t xml:space="preserve">or economic participation. Some of the issues </w:t>
      </w:r>
      <w:r w:rsidR="00D5693A">
        <w:rPr>
          <w:sz w:val="24"/>
          <w:szCs w:val="24"/>
        </w:rPr>
        <w:t xml:space="preserve">they highlighted as </w:t>
      </w:r>
      <w:r w:rsidR="009A42E7">
        <w:rPr>
          <w:sz w:val="24"/>
          <w:szCs w:val="24"/>
        </w:rPr>
        <w:t>affecting people with disability included:</w:t>
      </w:r>
    </w:p>
    <w:p w14:paraId="6BC888F6" w14:textId="1FE1CDD9" w:rsidR="009A42E7" w:rsidRDefault="0013273C" w:rsidP="009A42E7">
      <w:pPr>
        <w:pStyle w:val="ListParagraph"/>
        <w:numPr>
          <w:ilvl w:val="0"/>
          <w:numId w:val="1"/>
        </w:numPr>
        <w:jc w:val="both"/>
        <w:rPr>
          <w:sz w:val="24"/>
          <w:szCs w:val="24"/>
        </w:rPr>
      </w:pPr>
      <w:r>
        <w:rPr>
          <w:sz w:val="24"/>
          <w:szCs w:val="24"/>
        </w:rPr>
        <w:t xml:space="preserve">Lack of awareness </w:t>
      </w:r>
      <w:r w:rsidR="00B95E45">
        <w:rPr>
          <w:sz w:val="24"/>
          <w:szCs w:val="24"/>
        </w:rPr>
        <w:t>about</w:t>
      </w:r>
      <w:r>
        <w:rPr>
          <w:sz w:val="24"/>
          <w:szCs w:val="24"/>
        </w:rPr>
        <w:t xml:space="preserve"> technology-based workplace adjustments</w:t>
      </w:r>
      <w:r w:rsidR="00C01728">
        <w:rPr>
          <w:sz w:val="24"/>
          <w:szCs w:val="24"/>
        </w:rPr>
        <w:t>.</w:t>
      </w:r>
    </w:p>
    <w:p w14:paraId="6994B0C9" w14:textId="2CC05B2A" w:rsidR="00ED24E9" w:rsidRDefault="00ED24E9" w:rsidP="009A42E7">
      <w:pPr>
        <w:pStyle w:val="ListParagraph"/>
        <w:numPr>
          <w:ilvl w:val="0"/>
          <w:numId w:val="1"/>
        </w:numPr>
        <w:jc w:val="both"/>
        <w:rPr>
          <w:sz w:val="24"/>
          <w:szCs w:val="24"/>
        </w:rPr>
      </w:pPr>
      <w:r>
        <w:rPr>
          <w:sz w:val="24"/>
          <w:szCs w:val="24"/>
        </w:rPr>
        <w:t xml:space="preserve">Lack of digital skill to </w:t>
      </w:r>
      <w:r w:rsidR="00B07E57">
        <w:rPr>
          <w:sz w:val="24"/>
          <w:szCs w:val="24"/>
        </w:rPr>
        <w:t xml:space="preserve">search and </w:t>
      </w:r>
      <w:r>
        <w:rPr>
          <w:sz w:val="24"/>
          <w:szCs w:val="24"/>
        </w:rPr>
        <w:t xml:space="preserve">apply for jobs </w:t>
      </w:r>
      <w:r w:rsidR="00B07E57">
        <w:rPr>
          <w:sz w:val="24"/>
          <w:szCs w:val="24"/>
        </w:rPr>
        <w:t>online.</w:t>
      </w:r>
    </w:p>
    <w:p w14:paraId="0651355D" w14:textId="6012869A" w:rsidR="005933EA" w:rsidRDefault="0057624A" w:rsidP="009A42E7">
      <w:pPr>
        <w:pStyle w:val="ListParagraph"/>
        <w:numPr>
          <w:ilvl w:val="0"/>
          <w:numId w:val="1"/>
        </w:numPr>
        <w:jc w:val="both"/>
        <w:rPr>
          <w:sz w:val="24"/>
          <w:szCs w:val="24"/>
        </w:rPr>
      </w:pPr>
      <w:r>
        <w:rPr>
          <w:sz w:val="24"/>
          <w:szCs w:val="24"/>
        </w:rPr>
        <w:t xml:space="preserve">Inaccessible </w:t>
      </w:r>
      <w:r w:rsidR="005933EA">
        <w:rPr>
          <w:sz w:val="24"/>
          <w:szCs w:val="24"/>
        </w:rPr>
        <w:t>information and communications technologies (ICT) used in the workplace.</w:t>
      </w:r>
    </w:p>
    <w:p w14:paraId="60072F3A" w14:textId="6FBED07D" w:rsidR="006343CA" w:rsidRDefault="006343CA" w:rsidP="009A42E7">
      <w:pPr>
        <w:pStyle w:val="ListParagraph"/>
        <w:numPr>
          <w:ilvl w:val="0"/>
          <w:numId w:val="1"/>
        </w:numPr>
        <w:jc w:val="both"/>
        <w:rPr>
          <w:sz w:val="24"/>
          <w:szCs w:val="24"/>
        </w:rPr>
      </w:pPr>
      <w:r>
        <w:rPr>
          <w:sz w:val="24"/>
          <w:szCs w:val="24"/>
        </w:rPr>
        <w:t>Difficulty being contacted by colleagues and clients</w:t>
      </w:r>
      <w:r w:rsidR="00241FAB">
        <w:rPr>
          <w:sz w:val="24"/>
          <w:szCs w:val="24"/>
        </w:rPr>
        <w:t xml:space="preserve"> through </w:t>
      </w:r>
      <w:r w:rsidR="00F72F3A">
        <w:rPr>
          <w:sz w:val="24"/>
          <w:szCs w:val="24"/>
        </w:rPr>
        <w:t xml:space="preserve">the </w:t>
      </w:r>
      <w:r w:rsidR="00584851">
        <w:rPr>
          <w:sz w:val="24"/>
          <w:szCs w:val="24"/>
        </w:rPr>
        <w:t>National Relay Service</w:t>
      </w:r>
      <w:r w:rsidR="00591426">
        <w:rPr>
          <w:sz w:val="24"/>
          <w:szCs w:val="24"/>
        </w:rPr>
        <w:t xml:space="preserve"> (NRS), as not all call options allow NRS users to be called via a direct line</w:t>
      </w:r>
      <w:r w:rsidR="00584851">
        <w:rPr>
          <w:sz w:val="24"/>
          <w:szCs w:val="24"/>
        </w:rPr>
        <w:t>.</w:t>
      </w:r>
    </w:p>
    <w:p w14:paraId="4FA7B89F" w14:textId="77777777" w:rsidR="00ED24E9" w:rsidRDefault="00ED24E9" w:rsidP="00ED24E9">
      <w:pPr>
        <w:pStyle w:val="ListParagraph"/>
        <w:numPr>
          <w:ilvl w:val="0"/>
          <w:numId w:val="1"/>
        </w:numPr>
        <w:jc w:val="both"/>
        <w:rPr>
          <w:sz w:val="24"/>
          <w:szCs w:val="24"/>
        </w:rPr>
      </w:pPr>
      <w:r>
        <w:rPr>
          <w:sz w:val="24"/>
          <w:szCs w:val="24"/>
        </w:rPr>
        <w:t>Being unable to afford communications technologies and services, due to the high costs of these products and services alongside the high rates of unemployment of people with disability.</w:t>
      </w:r>
    </w:p>
    <w:p w14:paraId="45FE6256" w14:textId="30B5B3F5" w:rsidR="00C978DC" w:rsidRDefault="00C978DC" w:rsidP="009A42E7">
      <w:pPr>
        <w:pStyle w:val="ListParagraph"/>
        <w:numPr>
          <w:ilvl w:val="0"/>
          <w:numId w:val="1"/>
        </w:numPr>
        <w:jc w:val="both"/>
        <w:rPr>
          <w:sz w:val="24"/>
          <w:szCs w:val="24"/>
        </w:rPr>
      </w:pPr>
      <w:r>
        <w:rPr>
          <w:sz w:val="24"/>
          <w:szCs w:val="24"/>
        </w:rPr>
        <w:t xml:space="preserve">Being unable to contact </w:t>
      </w:r>
      <w:r w:rsidR="0061060B">
        <w:rPr>
          <w:sz w:val="24"/>
          <w:szCs w:val="24"/>
        </w:rPr>
        <w:t xml:space="preserve">government services such as </w:t>
      </w:r>
      <w:r>
        <w:rPr>
          <w:sz w:val="24"/>
          <w:szCs w:val="24"/>
        </w:rPr>
        <w:t>Centrelink</w:t>
      </w:r>
      <w:r w:rsidR="00705C04">
        <w:rPr>
          <w:sz w:val="24"/>
          <w:szCs w:val="24"/>
        </w:rPr>
        <w:t xml:space="preserve"> due to accessibility barriers (</w:t>
      </w:r>
      <w:r w:rsidR="00102634">
        <w:rPr>
          <w:sz w:val="24"/>
          <w:szCs w:val="24"/>
        </w:rPr>
        <w:t>e.g.,</w:t>
      </w:r>
      <w:r w:rsidR="00705C04">
        <w:rPr>
          <w:sz w:val="24"/>
          <w:szCs w:val="24"/>
        </w:rPr>
        <w:t xml:space="preserve"> lack of app accessibility</w:t>
      </w:r>
      <w:r w:rsidR="00DA0AC6">
        <w:rPr>
          <w:sz w:val="24"/>
          <w:szCs w:val="24"/>
        </w:rPr>
        <w:t xml:space="preserve">, </w:t>
      </w:r>
      <w:r w:rsidR="00B11BA5">
        <w:rPr>
          <w:sz w:val="24"/>
          <w:szCs w:val="24"/>
        </w:rPr>
        <w:t xml:space="preserve">lack of disability awareness from Centrelink staff, </w:t>
      </w:r>
      <w:r w:rsidR="00EE1E67">
        <w:rPr>
          <w:sz w:val="24"/>
          <w:szCs w:val="24"/>
        </w:rPr>
        <w:t>lack of digital skills).</w:t>
      </w:r>
      <w:r w:rsidR="00DA0AC6">
        <w:rPr>
          <w:sz w:val="24"/>
          <w:szCs w:val="24"/>
        </w:rPr>
        <w:t xml:space="preserve"> </w:t>
      </w:r>
    </w:p>
    <w:p w14:paraId="0EFC6F9A" w14:textId="4A67CD74" w:rsidR="004E23F5" w:rsidRDefault="004E23F5" w:rsidP="004E23F5">
      <w:pPr>
        <w:pStyle w:val="Heading2"/>
      </w:pPr>
      <w:r>
        <w:lastRenderedPageBreak/>
        <w:t xml:space="preserve">Accessible ICT Procurement </w:t>
      </w:r>
    </w:p>
    <w:p w14:paraId="796ED102" w14:textId="673F3560" w:rsidR="00F357AA" w:rsidRDefault="00F357AA" w:rsidP="000E0158">
      <w:pPr>
        <w:jc w:val="both"/>
        <w:rPr>
          <w:sz w:val="24"/>
          <w:szCs w:val="24"/>
        </w:rPr>
      </w:pPr>
      <w:r>
        <w:rPr>
          <w:sz w:val="24"/>
          <w:szCs w:val="24"/>
        </w:rPr>
        <w:t>ACCAN agrees that ‘inclusive procurement policies and practices can be a powerful motivator to change behaviour and attitudes.’</w:t>
      </w:r>
      <w:r>
        <w:rPr>
          <w:rStyle w:val="FootnoteReference"/>
          <w:sz w:val="24"/>
          <w:szCs w:val="24"/>
        </w:rPr>
        <w:footnoteReference w:id="2"/>
      </w:r>
      <w:r>
        <w:rPr>
          <w:sz w:val="24"/>
          <w:szCs w:val="24"/>
        </w:rPr>
        <w:t xml:space="preserve"> </w:t>
      </w:r>
      <w:r w:rsidR="00D8606C">
        <w:rPr>
          <w:sz w:val="24"/>
          <w:szCs w:val="24"/>
        </w:rPr>
        <w:t xml:space="preserve">Furthermore, </w:t>
      </w:r>
      <w:r w:rsidR="00F51886">
        <w:rPr>
          <w:sz w:val="24"/>
          <w:szCs w:val="24"/>
        </w:rPr>
        <w:t xml:space="preserve">we believe that </w:t>
      </w:r>
      <w:r w:rsidR="00D8606C">
        <w:rPr>
          <w:sz w:val="24"/>
          <w:szCs w:val="24"/>
        </w:rPr>
        <w:t xml:space="preserve">inclusive procurement policies that </w:t>
      </w:r>
      <w:r w:rsidR="00CF3F54">
        <w:rPr>
          <w:sz w:val="24"/>
          <w:szCs w:val="24"/>
        </w:rPr>
        <w:t xml:space="preserve">require the procurement of accessible goods and services can support the </w:t>
      </w:r>
      <w:r w:rsidR="00EF5869">
        <w:rPr>
          <w:sz w:val="24"/>
          <w:szCs w:val="24"/>
        </w:rPr>
        <w:t xml:space="preserve">direct </w:t>
      </w:r>
      <w:r w:rsidR="00CF3F54">
        <w:rPr>
          <w:sz w:val="24"/>
          <w:szCs w:val="24"/>
        </w:rPr>
        <w:t xml:space="preserve">employment of people with disability. </w:t>
      </w:r>
    </w:p>
    <w:p w14:paraId="441B358E" w14:textId="6191F5D0" w:rsidR="00405851" w:rsidRDefault="00405851" w:rsidP="00405851">
      <w:pPr>
        <w:jc w:val="both"/>
        <w:rPr>
          <w:sz w:val="24"/>
          <w:szCs w:val="24"/>
        </w:rPr>
      </w:pPr>
      <w:r>
        <w:rPr>
          <w:sz w:val="24"/>
          <w:szCs w:val="24"/>
        </w:rPr>
        <w:t xml:space="preserve">In 2016 Australia adopted the </w:t>
      </w:r>
      <w:r w:rsidRPr="00771131">
        <w:rPr>
          <w:sz w:val="24"/>
          <w:szCs w:val="24"/>
        </w:rPr>
        <w:t xml:space="preserve">European Standard AS EN 301 549 </w:t>
      </w:r>
      <w:r>
        <w:rPr>
          <w:sz w:val="24"/>
          <w:szCs w:val="24"/>
        </w:rPr>
        <w:t>‘</w:t>
      </w:r>
      <w:r w:rsidRPr="00771131">
        <w:rPr>
          <w:sz w:val="24"/>
          <w:szCs w:val="24"/>
        </w:rPr>
        <w:t xml:space="preserve">Accessibility requirements suitable for public procurement of ICT products and </w:t>
      </w:r>
      <w:proofErr w:type="gramStart"/>
      <w:r w:rsidRPr="00771131">
        <w:rPr>
          <w:sz w:val="24"/>
          <w:szCs w:val="24"/>
        </w:rPr>
        <w:t>services</w:t>
      </w:r>
      <w:r>
        <w:rPr>
          <w:sz w:val="24"/>
          <w:szCs w:val="24"/>
        </w:rPr>
        <w:t>’</w:t>
      </w:r>
      <w:proofErr w:type="gramEnd"/>
      <w:r>
        <w:rPr>
          <w:sz w:val="24"/>
          <w:szCs w:val="24"/>
        </w:rPr>
        <w:t xml:space="preserve">. This Standard sets </w:t>
      </w:r>
      <w:r w:rsidR="00B005C3">
        <w:rPr>
          <w:sz w:val="24"/>
          <w:szCs w:val="24"/>
        </w:rPr>
        <w:t xml:space="preserve">accessibility </w:t>
      </w:r>
      <w:r>
        <w:rPr>
          <w:sz w:val="24"/>
          <w:szCs w:val="24"/>
        </w:rPr>
        <w:t xml:space="preserve">requirements </w:t>
      </w:r>
      <w:r w:rsidR="001115DE">
        <w:rPr>
          <w:sz w:val="24"/>
          <w:szCs w:val="24"/>
        </w:rPr>
        <w:t>in relation to the procurement of</w:t>
      </w:r>
      <w:r>
        <w:rPr>
          <w:sz w:val="24"/>
          <w:szCs w:val="24"/>
        </w:rPr>
        <w:t xml:space="preserve"> </w:t>
      </w:r>
      <w:r w:rsidR="00B005C3">
        <w:rPr>
          <w:sz w:val="24"/>
          <w:szCs w:val="24"/>
        </w:rPr>
        <w:t xml:space="preserve">ICT products and services, </w:t>
      </w:r>
      <w:r w:rsidR="00497F96">
        <w:rPr>
          <w:sz w:val="24"/>
          <w:szCs w:val="24"/>
        </w:rPr>
        <w:t>including</w:t>
      </w:r>
      <w:r>
        <w:rPr>
          <w:sz w:val="24"/>
          <w:szCs w:val="24"/>
        </w:rPr>
        <w:t xml:space="preserve"> software</w:t>
      </w:r>
      <w:r w:rsidR="00B005C3">
        <w:rPr>
          <w:sz w:val="24"/>
          <w:szCs w:val="24"/>
        </w:rPr>
        <w:t xml:space="preserve">, </w:t>
      </w:r>
      <w:r w:rsidR="001115DE">
        <w:rPr>
          <w:sz w:val="24"/>
          <w:szCs w:val="24"/>
        </w:rPr>
        <w:t xml:space="preserve">ICT </w:t>
      </w:r>
      <w:r>
        <w:rPr>
          <w:sz w:val="24"/>
          <w:szCs w:val="24"/>
        </w:rPr>
        <w:t>devices</w:t>
      </w:r>
      <w:r w:rsidR="00574AA8">
        <w:rPr>
          <w:sz w:val="24"/>
          <w:szCs w:val="24"/>
        </w:rPr>
        <w:t xml:space="preserve"> and websites</w:t>
      </w:r>
      <w:r>
        <w:rPr>
          <w:sz w:val="24"/>
          <w:szCs w:val="24"/>
        </w:rPr>
        <w:t>.</w:t>
      </w:r>
      <w:r w:rsidR="00CE333F">
        <w:rPr>
          <w:rStyle w:val="FootnoteReference"/>
          <w:sz w:val="24"/>
          <w:szCs w:val="24"/>
        </w:rPr>
        <w:footnoteReference w:id="3"/>
      </w:r>
      <w:r>
        <w:rPr>
          <w:sz w:val="24"/>
          <w:szCs w:val="24"/>
        </w:rPr>
        <w:t xml:space="preserve"> </w:t>
      </w:r>
      <w:r w:rsidR="00A37526">
        <w:rPr>
          <w:sz w:val="24"/>
          <w:szCs w:val="24"/>
        </w:rPr>
        <w:t>However, d</w:t>
      </w:r>
      <w:r w:rsidR="00F117B8">
        <w:rPr>
          <w:sz w:val="24"/>
          <w:szCs w:val="24"/>
        </w:rPr>
        <w:t xml:space="preserve">espite adopting the Standard and recently updating it to align with </w:t>
      </w:r>
      <w:r w:rsidR="00066622">
        <w:rPr>
          <w:sz w:val="24"/>
          <w:szCs w:val="24"/>
        </w:rPr>
        <w:t xml:space="preserve">the </w:t>
      </w:r>
      <w:r w:rsidR="00A37526">
        <w:rPr>
          <w:sz w:val="24"/>
          <w:szCs w:val="24"/>
        </w:rPr>
        <w:t xml:space="preserve">current </w:t>
      </w:r>
      <w:r w:rsidR="00066622">
        <w:rPr>
          <w:sz w:val="24"/>
          <w:szCs w:val="24"/>
        </w:rPr>
        <w:t xml:space="preserve">European </w:t>
      </w:r>
      <w:r w:rsidR="00A37526">
        <w:rPr>
          <w:sz w:val="24"/>
          <w:szCs w:val="24"/>
        </w:rPr>
        <w:t>Standard</w:t>
      </w:r>
      <w:r w:rsidR="00066622">
        <w:rPr>
          <w:sz w:val="24"/>
          <w:szCs w:val="24"/>
        </w:rPr>
        <w:t xml:space="preserve">, </w:t>
      </w:r>
      <w:r w:rsidR="00A37526">
        <w:rPr>
          <w:sz w:val="24"/>
          <w:szCs w:val="24"/>
        </w:rPr>
        <w:t xml:space="preserve">AS EN 301 549 </w:t>
      </w:r>
      <w:r w:rsidR="00066622">
        <w:rPr>
          <w:sz w:val="24"/>
          <w:szCs w:val="24"/>
        </w:rPr>
        <w:t xml:space="preserve">is not yet implemented by all levels of government. </w:t>
      </w:r>
    </w:p>
    <w:p w14:paraId="28349D78" w14:textId="2B1C2D9A" w:rsidR="00F14E9B" w:rsidRDefault="008571F4" w:rsidP="00BA172F">
      <w:pPr>
        <w:jc w:val="both"/>
        <w:rPr>
          <w:sz w:val="24"/>
          <w:szCs w:val="24"/>
        </w:rPr>
      </w:pPr>
      <w:r>
        <w:rPr>
          <w:sz w:val="24"/>
          <w:szCs w:val="24"/>
        </w:rPr>
        <w:t xml:space="preserve">A </w:t>
      </w:r>
      <w:r w:rsidR="00E35DB7">
        <w:rPr>
          <w:sz w:val="24"/>
          <w:szCs w:val="24"/>
        </w:rPr>
        <w:t>consistent</w:t>
      </w:r>
      <w:r>
        <w:rPr>
          <w:sz w:val="24"/>
          <w:szCs w:val="24"/>
        </w:rPr>
        <w:t>, whole</w:t>
      </w:r>
      <w:r w:rsidR="006E50A4">
        <w:rPr>
          <w:sz w:val="24"/>
          <w:szCs w:val="24"/>
        </w:rPr>
        <w:t>-</w:t>
      </w:r>
      <w:r>
        <w:rPr>
          <w:sz w:val="24"/>
          <w:szCs w:val="24"/>
        </w:rPr>
        <w:t>of</w:t>
      </w:r>
      <w:r w:rsidR="006E50A4">
        <w:rPr>
          <w:sz w:val="24"/>
          <w:szCs w:val="24"/>
        </w:rPr>
        <w:t>-</w:t>
      </w:r>
      <w:r>
        <w:rPr>
          <w:sz w:val="24"/>
          <w:szCs w:val="24"/>
        </w:rPr>
        <w:t xml:space="preserve">government commitment to the procurement of accessible ICT would bring significant benefits to people with disability, the economy and </w:t>
      </w:r>
      <w:proofErr w:type="gramStart"/>
      <w:r>
        <w:rPr>
          <w:sz w:val="24"/>
          <w:szCs w:val="24"/>
        </w:rPr>
        <w:t>society as a whole</w:t>
      </w:r>
      <w:proofErr w:type="gramEnd"/>
      <w:r>
        <w:rPr>
          <w:sz w:val="24"/>
          <w:szCs w:val="24"/>
        </w:rPr>
        <w:t>.</w:t>
      </w:r>
      <w:r w:rsidR="006E50A4">
        <w:rPr>
          <w:sz w:val="24"/>
          <w:szCs w:val="24"/>
        </w:rPr>
        <w:t xml:space="preserve"> </w:t>
      </w:r>
      <w:r w:rsidR="006A0CA4">
        <w:rPr>
          <w:sz w:val="24"/>
          <w:szCs w:val="24"/>
        </w:rPr>
        <w:t xml:space="preserve">As such, </w:t>
      </w:r>
      <w:r w:rsidR="00867BE9">
        <w:rPr>
          <w:sz w:val="24"/>
          <w:szCs w:val="24"/>
        </w:rPr>
        <w:t>ACCAN echoes Vision Australia’s r</w:t>
      </w:r>
      <w:r w:rsidR="00F14E9B">
        <w:rPr>
          <w:sz w:val="24"/>
          <w:szCs w:val="24"/>
        </w:rPr>
        <w:t>ecent r</w:t>
      </w:r>
      <w:r w:rsidR="00867BE9">
        <w:rPr>
          <w:sz w:val="24"/>
          <w:szCs w:val="24"/>
        </w:rPr>
        <w:t xml:space="preserve">ecommendation to the </w:t>
      </w:r>
      <w:r w:rsidR="009A050D" w:rsidRPr="009A050D">
        <w:rPr>
          <w:sz w:val="24"/>
          <w:szCs w:val="24"/>
        </w:rPr>
        <w:t xml:space="preserve">Royal Commission into violence, abuse, </w:t>
      </w:r>
      <w:proofErr w:type="gramStart"/>
      <w:r w:rsidR="009A050D" w:rsidRPr="009A050D">
        <w:rPr>
          <w:sz w:val="24"/>
          <w:szCs w:val="24"/>
        </w:rPr>
        <w:t>neglect</w:t>
      </w:r>
      <w:proofErr w:type="gramEnd"/>
      <w:r w:rsidR="009A050D" w:rsidRPr="009A050D">
        <w:rPr>
          <w:sz w:val="24"/>
          <w:szCs w:val="24"/>
        </w:rPr>
        <w:t xml:space="preserve"> and exploitation of people with disability</w:t>
      </w:r>
      <w:r w:rsidR="006A0CA4">
        <w:rPr>
          <w:sz w:val="24"/>
          <w:szCs w:val="24"/>
        </w:rPr>
        <w:t xml:space="preserve">: that </w:t>
      </w:r>
      <w:r w:rsidR="00867BE9">
        <w:rPr>
          <w:sz w:val="24"/>
          <w:szCs w:val="24"/>
        </w:rPr>
        <w:t xml:space="preserve">all levels of </w:t>
      </w:r>
      <w:r w:rsidR="00B47966">
        <w:rPr>
          <w:sz w:val="24"/>
          <w:szCs w:val="24"/>
        </w:rPr>
        <w:t xml:space="preserve">Australian </w:t>
      </w:r>
      <w:r w:rsidR="00867BE9">
        <w:rPr>
          <w:sz w:val="24"/>
          <w:szCs w:val="24"/>
        </w:rPr>
        <w:t>government implement</w:t>
      </w:r>
      <w:r w:rsidR="00B47966">
        <w:rPr>
          <w:sz w:val="24"/>
          <w:szCs w:val="24"/>
        </w:rPr>
        <w:t xml:space="preserve"> robust and</w:t>
      </w:r>
      <w:r w:rsidR="00867BE9">
        <w:rPr>
          <w:sz w:val="24"/>
          <w:szCs w:val="24"/>
        </w:rPr>
        <w:t xml:space="preserve"> consistent policies </w:t>
      </w:r>
      <w:r w:rsidR="00B47966">
        <w:rPr>
          <w:sz w:val="24"/>
          <w:szCs w:val="24"/>
        </w:rPr>
        <w:t>for</w:t>
      </w:r>
      <w:r w:rsidR="00867BE9">
        <w:rPr>
          <w:sz w:val="24"/>
          <w:szCs w:val="24"/>
        </w:rPr>
        <w:t xml:space="preserve"> accessible ICT procurement</w:t>
      </w:r>
      <w:r w:rsidR="00F14E9B">
        <w:rPr>
          <w:sz w:val="24"/>
          <w:szCs w:val="24"/>
        </w:rPr>
        <w:t xml:space="preserve">, complete with transparent reporting mechanisms and </w:t>
      </w:r>
      <w:r w:rsidR="00806CD4">
        <w:rPr>
          <w:sz w:val="24"/>
          <w:szCs w:val="24"/>
        </w:rPr>
        <w:t>sanctions</w:t>
      </w:r>
      <w:r w:rsidR="00F14E9B">
        <w:rPr>
          <w:sz w:val="24"/>
          <w:szCs w:val="24"/>
        </w:rPr>
        <w:t xml:space="preserve"> for non-compliance.</w:t>
      </w:r>
      <w:r w:rsidR="00AC5D51">
        <w:rPr>
          <w:rStyle w:val="FootnoteReference"/>
          <w:sz w:val="24"/>
          <w:szCs w:val="24"/>
        </w:rPr>
        <w:footnoteReference w:id="4"/>
      </w:r>
      <w:r w:rsidR="00F14E9B">
        <w:rPr>
          <w:sz w:val="24"/>
          <w:szCs w:val="24"/>
        </w:rPr>
        <w:t xml:space="preserve"> </w:t>
      </w:r>
    </w:p>
    <w:p w14:paraId="19345325" w14:textId="77777777" w:rsidR="00BD57EF" w:rsidRDefault="00BD57EF" w:rsidP="00BD57EF">
      <w:pPr>
        <w:jc w:val="both"/>
        <w:rPr>
          <w:sz w:val="24"/>
          <w:szCs w:val="24"/>
        </w:rPr>
      </w:pPr>
      <w:r>
        <w:rPr>
          <w:sz w:val="24"/>
          <w:szCs w:val="24"/>
        </w:rPr>
        <w:t>Furthermore, it is worth noting that as part of its Human Rights and Technology project,</w:t>
      </w:r>
      <w:r>
        <w:rPr>
          <w:rStyle w:val="FootnoteReference"/>
          <w:sz w:val="24"/>
          <w:szCs w:val="24"/>
        </w:rPr>
        <w:footnoteReference w:id="5"/>
      </w:r>
      <w:r>
        <w:rPr>
          <w:sz w:val="24"/>
          <w:szCs w:val="24"/>
        </w:rPr>
        <w:t xml:space="preserve"> the Australian Human Rights Commission recently proposed that:</w:t>
      </w:r>
    </w:p>
    <w:p w14:paraId="07666DF0" w14:textId="77777777" w:rsidR="00BD57EF" w:rsidRPr="00A82082" w:rsidRDefault="00BD57EF" w:rsidP="00A82082">
      <w:pPr>
        <w:pStyle w:val="Quote"/>
      </w:pPr>
      <w:r w:rsidRPr="00A82082">
        <w:t>Federal, state, territory and local governments should commit to using Digital Technology that complies with recognised accessibility standards, currently WCAG 2.1 and Australian Standard EN 301 549, and successor standards. To this end, all Australian governments should:</w:t>
      </w:r>
    </w:p>
    <w:p w14:paraId="7F944C34" w14:textId="60B434FC" w:rsidR="00BD57EF" w:rsidRPr="00A82082" w:rsidRDefault="00BD57EF" w:rsidP="00A82082">
      <w:pPr>
        <w:pStyle w:val="Quote"/>
        <w:numPr>
          <w:ilvl w:val="0"/>
          <w:numId w:val="3"/>
        </w:numPr>
      </w:pPr>
      <w:r w:rsidRPr="00A82082">
        <w:t>Adopt an accessible procurement policy, promoting the procurement of goods, services and facilities that use Digital Technology in a way that meets the above accessibility standards. Such a policy would also favour government procurement from entities that implement such accessibility standards in their own activities.</w:t>
      </w:r>
    </w:p>
    <w:p w14:paraId="017A76E8" w14:textId="17F90429" w:rsidR="00BD57EF" w:rsidRPr="00A82082" w:rsidRDefault="00BD57EF" w:rsidP="00A82082">
      <w:pPr>
        <w:pStyle w:val="Quote"/>
        <w:numPr>
          <w:ilvl w:val="0"/>
          <w:numId w:val="3"/>
        </w:numPr>
      </w:pPr>
      <w:r w:rsidRPr="00A82082">
        <w:lastRenderedPageBreak/>
        <w:t>Develop policies that increase the availability of accessible communication services such as Easy English versions and human customer supports.</w:t>
      </w:r>
      <w:r w:rsidR="00A82082">
        <w:rPr>
          <w:rStyle w:val="FootnoteReference"/>
        </w:rPr>
        <w:footnoteReference w:id="6"/>
      </w:r>
    </w:p>
    <w:p w14:paraId="79F3B52A" w14:textId="5FF00453" w:rsidR="00BA172F" w:rsidRDefault="00BD57EF" w:rsidP="00BA172F">
      <w:pPr>
        <w:jc w:val="both"/>
        <w:rPr>
          <w:sz w:val="24"/>
          <w:szCs w:val="24"/>
        </w:rPr>
      </w:pPr>
      <w:r>
        <w:rPr>
          <w:sz w:val="24"/>
          <w:szCs w:val="24"/>
        </w:rPr>
        <w:t>T</w:t>
      </w:r>
      <w:r w:rsidR="006E50A4">
        <w:rPr>
          <w:sz w:val="24"/>
          <w:szCs w:val="24"/>
        </w:rPr>
        <w:t xml:space="preserve">hrough mandating accessible ICT procurement, the </w:t>
      </w:r>
      <w:r w:rsidR="00A82082">
        <w:rPr>
          <w:sz w:val="24"/>
          <w:szCs w:val="24"/>
        </w:rPr>
        <w:t xml:space="preserve">Australian </w:t>
      </w:r>
      <w:r w:rsidR="006E50A4">
        <w:rPr>
          <w:sz w:val="24"/>
          <w:szCs w:val="24"/>
        </w:rPr>
        <w:t>government would signal to the broader community (including the private sector) that accessibility, inclusion and the rights of people with disability is a priority.</w:t>
      </w:r>
      <w:r w:rsidR="006E50A4">
        <w:rPr>
          <w:rStyle w:val="FootnoteReference"/>
          <w:sz w:val="24"/>
          <w:szCs w:val="24"/>
        </w:rPr>
        <w:footnoteReference w:id="7"/>
      </w:r>
      <w:r w:rsidR="00BA172F" w:rsidRPr="00BA172F">
        <w:rPr>
          <w:sz w:val="24"/>
          <w:szCs w:val="24"/>
        </w:rPr>
        <w:t xml:space="preserve"> </w:t>
      </w:r>
      <w:r w:rsidR="00BA172F">
        <w:rPr>
          <w:sz w:val="24"/>
          <w:szCs w:val="24"/>
        </w:rPr>
        <w:t>In addition, embedding AS EN 301 549 into a whole-of-government procurement policy would support Australia to meet its obligations under the Convention on the Rights of Persons with Disabilities (CRPD)</w:t>
      </w:r>
      <w:r w:rsidR="00BA172F" w:rsidRPr="00771131">
        <w:rPr>
          <w:sz w:val="24"/>
          <w:szCs w:val="24"/>
        </w:rPr>
        <w:t xml:space="preserve">, </w:t>
      </w:r>
      <w:r w:rsidR="00BA172F">
        <w:rPr>
          <w:sz w:val="24"/>
          <w:szCs w:val="24"/>
        </w:rPr>
        <w:t xml:space="preserve">which requires States Parties to </w:t>
      </w:r>
      <w:r w:rsidR="00BA172F" w:rsidRPr="00771131">
        <w:rPr>
          <w:sz w:val="24"/>
          <w:szCs w:val="24"/>
        </w:rPr>
        <w:t>actively research, promote and procure accessible technology for people with disability.</w:t>
      </w:r>
      <w:r w:rsidR="00BA172F" w:rsidRPr="00771131">
        <w:rPr>
          <w:rStyle w:val="FootnoteReference"/>
          <w:sz w:val="24"/>
          <w:szCs w:val="24"/>
        </w:rPr>
        <w:footnoteReference w:id="8"/>
      </w:r>
      <w:r w:rsidR="00BA172F" w:rsidRPr="00771131">
        <w:rPr>
          <w:sz w:val="24"/>
          <w:szCs w:val="24"/>
        </w:rPr>
        <w:t xml:space="preserve"> </w:t>
      </w:r>
    </w:p>
    <w:p w14:paraId="55052BAB" w14:textId="3A538EF1" w:rsidR="00330D9A" w:rsidRDefault="00E576EA" w:rsidP="000E0158">
      <w:pPr>
        <w:jc w:val="both"/>
        <w:rPr>
          <w:sz w:val="24"/>
          <w:szCs w:val="24"/>
        </w:rPr>
      </w:pPr>
      <w:r>
        <w:rPr>
          <w:sz w:val="24"/>
          <w:szCs w:val="24"/>
        </w:rPr>
        <w:t xml:space="preserve">A whole-of-government commitment to the procurement of accessible ICT </w:t>
      </w:r>
      <w:r w:rsidR="00D03AC6">
        <w:rPr>
          <w:sz w:val="24"/>
          <w:szCs w:val="24"/>
        </w:rPr>
        <w:t>would support greater</w:t>
      </w:r>
      <w:r w:rsidR="004A1E2C">
        <w:rPr>
          <w:sz w:val="24"/>
          <w:szCs w:val="24"/>
        </w:rPr>
        <w:t xml:space="preserve"> educational and</w:t>
      </w:r>
      <w:r w:rsidR="00D03AC6">
        <w:rPr>
          <w:sz w:val="24"/>
          <w:szCs w:val="24"/>
        </w:rPr>
        <w:t xml:space="preserve"> employment opportunities for people with disability</w:t>
      </w:r>
      <w:r w:rsidR="00515258">
        <w:rPr>
          <w:sz w:val="24"/>
          <w:szCs w:val="24"/>
        </w:rPr>
        <w:t xml:space="preserve"> and would </w:t>
      </w:r>
      <w:r w:rsidR="000E0158">
        <w:rPr>
          <w:sz w:val="24"/>
          <w:szCs w:val="24"/>
        </w:rPr>
        <w:t>have a huge impact on the accessibility of</w:t>
      </w:r>
      <w:r w:rsidR="00515258">
        <w:rPr>
          <w:sz w:val="24"/>
          <w:szCs w:val="24"/>
        </w:rPr>
        <w:t xml:space="preserve"> digital</w:t>
      </w:r>
      <w:r w:rsidR="000E0158">
        <w:rPr>
          <w:sz w:val="24"/>
          <w:szCs w:val="24"/>
        </w:rPr>
        <w:t xml:space="preserve"> technologies more broadly available in Australia</w:t>
      </w:r>
      <w:r w:rsidR="00515258">
        <w:rPr>
          <w:sz w:val="24"/>
          <w:szCs w:val="24"/>
        </w:rPr>
        <w:t>. This in turn could help</w:t>
      </w:r>
      <w:r w:rsidR="000E0158">
        <w:rPr>
          <w:sz w:val="24"/>
          <w:szCs w:val="24"/>
        </w:rPr>
        <w:t xml:space="preserve"> improve the affordability of such devices</w:t>
      </w:r>
      <w:r w:rsidR="00C821CC">
        <w:rPr>
          <w:sz w:val="24"/>
          <w:szCs w:val="24"/>
        </w:rPr>
        <w:t xml:space="preserve"> and help</w:t>
      </w:r>
      <w:r w:rsidR="001C485C">
        <w:rPr>
          <w:sz w:val="24"/>
          <w:szCs w:val="24"/>
        </w:rPr>
        <w:t xml:space="preserve"> make</w:t>
      </w:r>
      <w:r w:rsidR="00DB307A">
        <w:rPr>
          <w:sz w:val="24"/>
          <w:szCs w:val="24"/>
        </w:rPr>
        <w:t xml:space="preserve"> </w:t>
      </w:r>
      <w:r w:rsidR="00803FB9">
        <w:rPr>
          <w:sz w:val="24"/>
          <w:szCs w:val="24"/>
        </w:rPr>
        <w:t xml:space="preserve">communications technologies </w:t>
      </w:r>
      <w:r w:rsidR="001C485C">
        <w:rPr>
          <w:sz w:val="24"/>
          <w:szCs w:val="24"/>
        </w:rPr>
        <w:t>(</w:t>
      </w:r>
      <w:r w:rsidR="00803FB9">
        <w:rPr>
          <w:sz w:val="24"/>
          <w:szCs w:val="24"/>
        </w:rPr>
        <w:t>and t</w:t>
      </w:r>
      <w:r w:rsidR="00C821CC">
        <w:rPr>
          <w:sz w:val="24"/>
          <w:szCs w:val="24"/>
        </w:rPr>
        <w:t xml:space="preserve">he benefits </w:t>
      </w:r>
      <w:r w:rsidR="001C485C">
        <w:rPr>
          <w:sz w:val="24"/>
          <w:szCs w:val="24"/>
        </w:rPr>
        <w:t>they bring)</w:t>
      </w:r>
      <w:r w:rsidR="00C821CC">
        <w:rPr>
          <w:sz w:val="24"/>
          <w:szCs w:val="24"/>
        </w:rPr>
        <w:t xml:space="preserve"> more obtainable to people with disability across Australia</w:t>
      </w:r>
      <w:r w:rsidR="000E0158">
        <w:rPr>
          <w:sz w:val="24"/>
          <w:szCs w:val="24"/>
        </w:rPr>
        <w:t>.</w:t>
      </w:r>
      <w:r w:rsidR="00821978">
        <w:rPr>
          <w:sz w:val="24"/>
          <w:szCs w:val="24"/>
        </w:rPr>
        <w:t xml:space="preserve"> </w:t>
      </w:r>
    </w:p>
    <w:p w14:paraId="60163BE0" w14:textId="11F590DD" w:rsidR="00913A4A" w:rsidRDefault="004036CC" w:rsidP="00964FB5">
      <w:pPr>
        <w:pStyle w:val="Heading2"/>
      </w:pPr>
      <w:r>
        <w:t>Digital inclusion</w:t>
      </w:r>
    </w:p>
    <w:p w14:paraId="41155391" w14:textId="7811342E" w:rsidR="00E32F17" w:rsidRDefault="008A555E" w:rsidP="000360EB">
      <w:pPr>
        <w:jc w:val="both"/>
        <w:rPr>
          <w:sz w:val="24"/>
          <w:szCs w:val="24"/>
        </w:rPr>
      </w:pPr>
      <w:r w:rsidRPr="000360EB">
        <w:rPr>
          <w:sz w:val="24"/>
          <w:szCs w:val="24"/>
        </w:rPr>
        <w:t xml:space="preserve">People with disability </w:t>
      </w:r>
      <w:r w:rsidR="000360EB">
        <w:rPr>
          <w:sz w:val="24"/>
          <w:szCs w:val="24"/>
        </w:rPr>
        <w:t>continue to be</w:t>
      </w:r>
      <w:r w:rsidRPr="000360EB">
        <w:rPr>
          <w:sz w:val="24"/>
          <w:szCs w:val="24"/>
        </w:rPr>
        <w:t xml:space="preserve"> less digitally included than other cohorts, with the digital inclusion gap experienced by people with disability in Australia </w:t>
      </w:r>
      <w:r w:rsidR="000360EB" w:rsidRPr="000360EB">
        <w:rPr>
          <w:sz w:val="24"/>
          <w:szCs w:val="24"/>
        </w:rPr>
        <w:t>changing very little since 2014.</w:t>
      </w:r>
      <w:r w:rsidR="000360EB" w:rsidRPr="000360EB">
        <w:rPr>
          <w:rStyle w:val="FootnoteReference"/>
          <w:sz w:val="24"/>
          <w:szCs w:val="24"/>
        </w:rPr>
        <w:footnoteReference w:id="9"/>
      </w:r>
      <w:r w:rsidR="005350FA">
        <w:rPr>
          <w:sz w:val="24"/>
          <w:szCs w:val="24"/>
        </w:rPr>
        <w:t xml:space="preserve"> </w:t>
      </w:r>
      <w:r w:rsidR="006A6B70">
        <w:rPr>
          <w:sz w:val="24"/>
          <w:szCs w:val="24"/>
        </w:rPr>
        <w:t xml:space="preserve">The existing digital divide between those with and without readily available (and affordable) access to online environments and digital communications technologies is further exacerbated by inaccessible </w:t>
      </w:r>
      <w:r w:rsidR="00330EC9">
        <w:rPr>
          <w:sz w:val="24"/>
          <w:szCs w:val="24"/>
        </w:rPr>
        <w:t>ICT, including inaccessible websites</w:t>
      </w:r>
      <w:r w:rsidR="006A6B70">
        <w:rPr>
          <w:sz w:val="24"/>
          <w:szCs w:val="24"/>
        </w:rPr>
        <w:t xml:space="preserve">. </w:t>
      </w:r>
      <w:r w:rsidR="00330EC9">
        <w:rPr>
          <w:sz w:val="24"/>
          <w:szCs w:val="24"/>
        </w:rPr>
        <w:t>Indeed, contributors to the Roadmap</w:t>
      </w:r>
      <w:r w:rsidR="006A6B70">
        <w:rPr>
          <w:sz w:val="24"/>
          <w:szCs w:val="24"/>
        </w:rPr>
        <w:t xml:space="preserve"> felt that specific and accessible digital inclusion training, targeted to people with disability regardless of their existing digital skills, could help address this digital divide. Contributors also outlined that peer education could be an inclusive and supportive means to deliver this important training. </w:t>
      </w:r>
      <w:r w:rsidR="00175AB2">
        <w:rPr>
          <w:sz w:val="24"/>
          <w:szCs w:val="24"/>
        </w:rPr>
        <w:t xml:space="preserve">As such, ACCAN recommends that the government commit to funding the development and delivery of free, tailored digital inclusion training programs for people with disability, </w:t>
      </w:r>
      <w:proofErr w:type="gramStart"/>
      <w:r w:rsidR="00175AB2">
        <w:rPr>
          <w:sz w:val="24"/>
          <w:szCs w:val="24"/>
        </w:rPr>
        <w:t>similar to</w:t>
      </w:r>
      <w:proofErr w:type="gramEnd"/>
      <w:r w:rsidR="00175AB2">
        <w:rPr>
          <w:sz w:val="24"/>
          <w:szCs w:val="24"/>
        </w:rPr>
        <w:t xml:space="preserve"> those run for older people in Australia.  </w:t>
      </w:r>
    </w:p>
    <w:p w14:paraId="43599E21" w14:textId="40246370" w:rsidR="006A6B70" w:rsidRPr="000360EB" w:rsidRDefault="006A6B70" w:rsidP="000360EB">
      <w:pPr>
        <w:jc w:val="both"/>
        <w:rPr>
          <w:sz w:val="24"/>
          <w:szCs w:val="24"/>
        </w:rPr>
      </w:pPr>
      <w:r>
        <w:rPr>
          <w:sz w:val="24"/>
          <w:szCs w:val="24"/>
        </w:rPr>
        <w:lastRenderedPageBreak/>
        <w:t xml:space="preserve">Given the digital divide and the difficulties that some people with disability experience when accessing online content and services, </w:t>
      </w:r>
      <w:r w:rsidR="00E32F17">
        <w:rPr>
          <w:sz w:val="24"/>
          <w:szCs w:val="24"/>
        </w:rPr>
        <w:t xml:space="preserve">Roadmap </w:t>
      </w:r>
      <w:r>
        <w:rPr>
          <w:sz w:val="24"/>
          <w:szCs w:val="24"/>
        </w:rPr>
        <w:t xml:space="preserve">contributors argued that it is essential that people with disability are afforded full choice and control when it comes to online environments. This would include having the opportunity to choose how and through what methods they could access the internet, online services or supports. Online options or services must not be thrust upon people with disability without adequate consultation and training. </w:t>
      </w:r>
    </w:p>
    <w:p w14:paraId="512425CD" w14:textId="703F878C" w:rsidR="000E0158" w:rsidRDefault="000E0158" w:rsidP="000E0158">
      <w:pPr>
        <w:jc w:val="both"/>
        <w:rPr>
          <w:sz w:val="24"/>
          <w:szCs w:val="24"/>
        </w:rPr>
      </w:pPr>
      <w:r>
        <w:rPr>
          <w:sz w:val="24"/>
          <w:szCs w:val="24"/>
        </w:rPr>
        <w:t xml:space="preserve">Furthermore, </w:t>
      </w:r>
      <w:r w:rsidR="00330EC9">
        <w:rPr>
          <w:sz w:val="24"/>
          <w:szCs w:val="24"/>
        </w:rPr>
        <w:t xml:space="preserve">Roadmap </w:t>
      </w:r>
      <w:r>
        <w:rPr>
          <w:sz w:val="24"/>
          <w:szCs w:val="24"/>
        </w:rPr>
        <w:t xml:space="preserve">contributors felt that many </w:t>
      </w:r>
      <w:r w:rsidR="00330EC9">
        <w:rPr>
          <w:sz w:val="24"/>
          <w:szCs w:val="24"/>
        </w:rPr>
        <w:t>ICT</w:t>
      </w:r>
      <w:r>
        <w:rPr>
          <w:sz w:val="24"/>
          <w:szCs w:val="24"/>
        </w:rPr>
        <w:t xml:space="preserve"> designers </w:t>
      </w:r>
      <w:r w:rsidR="00E32F17">
        <w:rPr>
          <w:sz w:val="24"/>
          <w:szCs w:val="24"/>
        </w:rPr>
        <w:t>and</w:t>
      </w:r>
      <w:r>
        <w:rPr>
          <w:sz w:val="24"/>
          <w:szCs w:val="24"/>
        </w:rPr>
        <w:t xml:space="preserve"> developers lacked disability awareness and did not prioritise the involvement of people with disability in these processes. </w:t>
      </w:r>
      <w:r w:rsidR="00330EC9">
        <w:rPr>
          <w:sz w:val="24"/>
          <w:szCs w:val="24"/>
        </w:rPr>
        <w:t>Contributors</w:t>
      </w:r>
      <w:r>
        <w:rPr>
          <w:sz w:val="24"/>
          <w:szCs w:val="24"/>
        </w:rPr>
        <w:t xml:space="preserve"> expressed their desire for people with disability to be involved in the design, </w:t>
      </w:r>
      <w:proofErr w:type="gramStart"/>
      <w:r>
        <w:rPr>
          <w:sz w:val="24"/>
          <w:szCs w:val="24"/>
        </w:rPr>
        <w:t>development</w:t>
      </w:r>
      <w:proofErr w:type="gramEnd"/>
      <w:r>
        <w:rPr>
          <w:sz w:val="24"/>
          <w:szCs w:val="24"/>
        </w:rPr>
        <w:t xml:space="preserve"> and procurement of accessible communications devices from the earliest possible stage, to ensure that devices appropriately meet the needs of people with varied accessibility needs. </w:t>
      </w:r>
      <w:r w:rsidR="0006195D">
        <w:rPr>
          <w:sz w:val="24"/>
          <w:szCs w:val="24"/>
        </w:rPr>
        <w:t>This aligns with other feedback ACCAN has received regarding the need for user testing to supplement automated accessibility audits or testing</w:t>
      </w:r>
      <w:r w:rsidR="002B6E80">
        <w:rPr>
          <w:sz w:val="24"/>
          <w:szCs w:val="24"/>
        </w:rPr>
        <w:t>. It is essential that people with disability are involved in this user testing – in addition to</w:t>
      </w:r>
      <w:r w:rsidR="00E65B11">
        <w:rPr>
          <w:sz w:val="24"/>
          <w:szCs w:val="24"/>
        </w:rPr>
        <w:t xml:space="preserve"> ensuring a more robust accessibility audit, this is also an avenue t</w:t>
      </w:r>
      <w:r w:rsidR="00191FB4">
        <w:rPr>
          <w:sz w:val="24"/>
          <w:szCs w:val="24"/>
        </w:rPr>
        <w:t>hat can</w:t>
      </w:r>
      <w:r w:rsidR="00E65B11">
        <w:rPr>
          <w:sz w:val="24"/>
          <w:szCs w:val="24"/>
        </w:rPr>
        <w:t xml:space="preserve"> </w:t>
      </w:r>
      <w:r w:rsidR="005F4DD2">
        <w:rPr>
          <w:sz w:val="24"/>
          <w:szCs w:val="24"/>
        </w:rPr>
        <w:t>lead to</w:t>
      </w:r>
      <w:r w:rsidR="00E65B11">
        <w:rPr>
          <w:sz w:val="24"/>
          <w:szCs w:val="24"/>
        </w:rPr>
        <w:t xml:space="preserve"> </w:t>
      </w:r>
      <w:r w:rsidR="005F4DD2">
        <w:rPr>
          <w:sz w:val="24"/>
          <w:szCs w:val="24"/>
        </w:rPr>
        <w:t>paid employment opportunities for</w:t>
      </w:r>
      <w:r w:rsidR="00E65B11">
        <w:rPr>
          <w:sz w:val="24"/>
          <w:szCs w:val="24"/>
        </w:rPr>
        <w:t xml:space="preserve"> people with disability.</w:t>
      </w:r>
    </w:p>
    <w:p w14:paraId="497734C1" w14:textId="7E7B2804" w:rsidR="005F4DD2" w:rsidRDefault="005F4DD2" w:rsidP="000E0158">
      <w:pPr>
        <w:jc w:val="both"/>
        <w:rPr>
          <w:sz w:val="24"/>
          <w:szCs w:val="24"/>
        </w:rPr>
      </w:pPr>
      <w:r>
        <w:rPr>
          <w:sz w:val="24"/>
          <w:szCs w:val="24"/>
        </w:rPr>
        <w:t xml:space="preserve">ACCAN believes that the National Disability Employment Strategy and the National Disability Strategy must </w:t>
      </w:r>
      <w:r w:rsidR="00D36E56">
        <w:rPr>
          <w:sz w:val="24"/>
          <w:szCs w:val="24"/>
        </w:rPr>
        <w:t xml:space="preserve">collaboratively implement measures to improve rates of digital inclusion and reduce the digital divide experienced by people with disability. </w:t>
      </w:r>
      <w:r w:rsidR="00BD610F">
        <w:rPr>
          <w:sz w:val="24"/>
          <w:szCs w:val="24"/>
        </w:rPr>
        <w:t>This must include supporting</w:t>
      </w:r>
      <w:r w:rsidR="00DC207D">
        <w:rPr>
          <w:sz w:val="24"/>
          <w:szCs w:val="24"/>
        </w:rPr>
        <w:t xml:space="preserve"> people with disability </w:t>
      </w:r>
      <w:r w:rsidR="00BD610F">
        <w:rPr>
          <w:sz w:val="24"/>
          <w:szCs w:val="24"/>
        </w:rPr>
        <w:t>to</w:t>
      </w:r>
      <w:r w:rsidR="00DC207D">
        <w:rPr>
          <w:sz w:val="24"/>
          <w:szCs w:val="24"/>
        </w:rPr>
        <w:t xml:space="preserve"> develop basic digital skills. </w:t>
      </w:r>
      <w:r w:rsidR="003D69D9">
        <w:rPr>
          <w:sz w:val="24"/>
          <w:szCs w:val="24"/>
        </w:rPr>
        <w:t>In addition, both</w:t>
      </w:r>
      <w:r w:rsidR="00D36E56">
        <w:rPr>
          <w:sz w:val="24"/>
          <w:szCs w:val="24"/>
        </w:rPr>
        <w:t xml:space="preserve"> Strategi</w:t>
      </w:r>
      <w:r w:rsidR="003D69D9">
        <w:rPr>
          <w:sz w:val="24"/>
          <w:szCs w:val="24"/>
        </w:rPr>
        <w:t>es must ensure that the experiences and needs of people with disability are embedded within the broader, recently announced Digital Economy Strategy.</w:t>
      </w:r>
      <w:r w:rsidR="003D69D9">
        <w:rPr>
          <w:rStyle w:val="FootnoteReference"/>
          <w:sz w:val="24"/>
          <w:szCs w:val="24"/>
        </w:rPr>
        <w:footnoteReference w:id="10"/>
      </w:r>
      <w:r w:rsidR="00557290">
        <w:rPr>
          <w:sz w:val="24"/>
          <w:szCs w:val="24"/>
        </w:rPr>
        <w:t xml:space="preserve"> This must include</w:t>
      </w:r>
      <w:r w:rsidR="002116BF">
        <w:rPr>
          <w:sz w:val="24"/>
          <w:szCs w:val="24"/>
        </w:rPr>
        <w:t>, for instance,</w:t>
      </w:r>
      <w:r w:rsidR="00557290">
        <w:rPr>
          <w:sz w:val="24"/>
          <w:szCs w:val="24"/>
        </w:rPr>
        <w:t xml:space="preserve"> ensu</w:t>
      </w:r>
      <w:r w:rsidR="002116BF">
        <w:rPr>
          <w:sz w:val="24"/>
          <w:szCs w:val="24"/>
        </w:rPr>
        <w:t>r</w:t>
      </w:r>
      <w:r w:rsidR="00557290">
        <w:rPr>
          <w:sz w:val="24"/>
          <w:szCs w:val="24"/>
        </w:rPr>
        <w:t xml:space="preserve">ing that the new pilot program for work-based digital cadetships </w:t>
      </w:r>
      <w:r w:rsidR="002116BF">
        <w:rPr>
          <w:sz w:val="24"/>
          <w:szCs w:val="24"/>
        </w:rPr>
        <w:t>is fully</w:t>
      </w:r>
      <w:r w:rsidR="00557290">
        <w:rPr>
          <w:sz w:val="24"/>
          <w:szCs w:val="24"/>
        </w:rPr>
        <w:t xml:space="preserve"> inclusive and </w:t>
      </w:r>
      <w:r w:rsidR="002116BF">
        <w:rPr>
          <w:sz w:val="24"/>
          <w:szCs w:val="24"/>
        </w:rPr>
        <w:t xml:space="preserve">actively </w:t>
      </w:r>
      <w:r w:rsidR="008A4418">
        <w:rPr>
          <w:sz w:val="24"/>
          <w:szCs w:val="24"/>
        </w:rPr>
        <w:t>support</w:t>
      </w:r>
      <w:r w:rsidR="002116BF">
        <w:rPr>
          <w:sz w:val="24"/>
          <w:szCs w:val="24"/>
        </w:rPr>
        <w:t>s</w:t>
      </w:r>
      <w:r w:rsidR="008A4418">
        <w:rPr>
          <w:sz w:val="24"/>
          <w:szCs w:val="24"/>
        </w:rPr>
        <w:t xml:space="preserve"> the </w:t>
      </w:r>
      <w:r w:rsidR="00811FC0">
        <w:rPr>
          <w:sz w:val="24"/>
          <w:szCs w:val="24"/>
        </w:rPr>
        <w:t>employment</w:t>
      </w:r>
      <w:r w:rsidR="008A4418">
        <w:rPr>
          <w:sz w:val="24"/>
          <w:szCs w:val="24"/>
        </w:rPr>
        <w:t xml:space="preserve"> of people with disability</w:t>
      </w:r>
      <w:r w:rsidR="002116BF">
        <w:rPr>
          <w:sz w:val="24"/>
          <w:szCs w:val="24"/>
        </w:rPr>
        <w:t xml:space="preserve">, and </w:t>
      </w:r>
      <w:r w:rsidR="008A4418">
        <w:rPr>
          <w:sz w:val="24"/>
          <w:szCs w:val="24"/>
        </w:rPr>
        <w:t>ensuring th</w:t>
      </w:r>
      <w:r w:rsidR="002116BF">
        <w:rPr>
          <w:sz w:val="24"/>
          <w:szCs w:val="24"/>
        </w:rPr>
        <w:t xml:space="preserve">at enhancements </w:t>
      </w:r>
      <w:r w:rsidR="008A4418">
        <w:rPr>
          <w:sz w:val="24"/>
          <w:szCs w:val="24"/>
        </w:rPr>
        <w:t xml:space="preserve">to </w:t>
      </w:r>
      <w:proofErr w:type="spellStart"/>
      <w:r w:rsidR="008A4418">
        <w:rPr>
          <w:sz w:val="24"/>
          <w:szCs w:val="24"/>
        </w:rPr>
        <w:t>myGov</w:t>
      </w:r>
      <w:proofErr w:type="spellEnd"/>
      <w:r w:rsidR="002116BF">
        <w:rPr>
          <w:sz w:val="24"/>
          <w:szCs w:val="24"/>
        </w:rPr>
        <w:t xml:space="preserve"> and other essential government services</w:t>
      </w:r>
      <w:r w:rsidR="008A4418">
        <w:rPr>
          <w:sz w:val="24"/>
          <w:szCs w:val="24"/>
        </w:rPr>
        <w:t xml:space="preserve"> meet accessibility standards</w:t>
      </w:r>
      <w:r w:rsidR="002116BF">
        <w:rPr>
          <w:sz w:val="24"/>
          <w:szCs w:val="24"/>
        </w:rPr>
        <w:t>.</w:t>
      </w:r>
      <w:r w:rsidR="005F70CC">
        <w:rPr>
          <w:sz w:val="24"/>
          <w:szCs w:val="24"/>
        </w:rPr>
        <w:t xml:space="preserve"> </w:t>
      </w:r>
    </w:p>
    <w:p w14:paraId="2F125422" w14:textId="1FCF8FEF" w:rsidR="000E0158" w:rsidRDefault="000E0158" w:rsidP="000E0158">
      <w:pPr>
        <w:jc w:val="both"/>
        <w:rPr>
          <w:sz w:val="24"/>
          <w:szCs w:val="24"/>
        </w:rPr>
      </w:pPr>
      <w:r>
        <w:rPr>
          <w:sz w:val="24"/>
          <w:szCs w:val="24"/>
        </w:rPr>
        <w:t xml:space="preserve">Thank you for </w:t>
      </w:r>
      <w:r w:rsidR="00826B96">
        <w:rPr>
          <w:sz w:val="24"/>
          <w:szCs w:val="24"/>
        </w:rPr>
        <w:t>the</w:t>
      </w:r>
      <w:r>
        <w:rPr>
          <w:sz w:val="24"/>
          <w:szCs w:val="24"/>
        </w:rPr>
        <w:t xml:space="preserve"> opportunity to feed into the National Disability Employment Strategy. </w:t>
      </w:r>
      <w:r w:rsidR="00826B96">
        <w:rPr>
          <w:sz w:val="24"/>
          <w:szCs w:val="24"/>
        </w:rPr>
        <w:t>We welcome any additional opportunities to provide input to this Strategy before it is released later this year, so pl</w:t>
      </w:r>
      <w:r>
        <w:rPr>
          <w:sz w:val="24"/>
          <w:szCs w:val="24"/>
        </w:rPr>
        <w:t xml:space="preserve">ease do not hesitate to contact </w:t>
      </w:r>
      <w:r w:rsidR="00826B96">
        <w:rPr>
          <w:sz w:val="24"/>
          <w:szCs w:val="24"/>
        </w:rPr>
        <w:t>ACCAN</w:t>
      </w:r>
      <w:r>
        <w:rPr>
          <w:sz w:val="24"/>
          <w:szCs w:val="24"/>
        </w:rPr>
        <w:t xml:space="preserve"> should you require </w:t>
      </w:r>
      <w:r w:rsidR="00826B96">
        <w:rPr>
          <w:sz w:val="24"/>
          <w:szCs w:val="24"/>
        </w:rPr>
        <w:t>further</w:t>
      </w:r>
      <w:r>
        <w:rPr>
          <w:sz w:val="24"/>
          <w:szCs w:val="24"/>
        </w:rPr>
        <w:t xml:space="preserve"> information about any of the topics raised in our submission. </w:t>
      </w:r>
    </w:p>
    <w:p w14:paraId="16F3E1E3" w14:textId="75CF1AC9" w:rsidR="000E0158" w:rsidRDefault="000E0158" w:rsidP="000E0158">
      <w:pPr>
        <w:rPr>
          <w:sz w:val="24"/>
          <w:szCs w:val="24"/>
        </w:rPr>
      </w:pPr>
      <w:r>
        <w:rPr>
          <w:sz w:val="24"/>
          <w:szCs w:val="24"/>
        </w:rPr>
        <w:t>Yours sincerely,</w:t>
      </w:r>
      <w:r>
        <w:rPr>
          <w:sz w:val="24"/>
          <w:szCs w:val="24"/>
        </w:rPr>
        <w:br/>
      </w:r>
    </w:p>
    <w:p w14:paraId="5BB9DFB2" w14:textId="5D4687A8" w:rsidR="000E0158" w:rsidRDefault="000E0158" w:rsidP="000E0158">
      <w:pPr>
        <w:rPr>
          <w:sz w:val="24"/>
          <w:szCs w:val="24"/>
        </w:rPr>
        <w:sectPr w:rsidR="000E0158" w:rsidSect="00175AB2">
          <w:headerReference w:type="default" r:id="rId12"/>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pPr>
      <w:r>
        <w:rPr>
          <w:sz w:val="24"/>
          <w:szCs w:val="24"/>
        </w:rPr>
        <w:t xml:space="preserve">Meredith Lea </w:t>
      </w:r>
      <w:r>
        <w:rPr>
          <w:sz w:val="24"/>
          <w:szCs w:val="24"/>
        </w:rPr>
        <w:br/>
        <w:t>Disability Policy Adviser</w:t>
      </w:r>
    </w:p>
    <w:p w14:paraId="552071DD" w14:textId="3B08F665" w:rsidR="00826B96" w:rsidRPr="00826B96" w:rsidRDefault="00826B96" w:rsidP="000E0158">
      <w:pPr>
        <w:rPr>
          <w:sz w:val="24"/>
          <w:szCs w:val="24"/>
        </w:rPr>
      </w:pPr>
      <w:r w:rsidRPr="00826B96">
        <w:rPr>
          <w:sz w:val="24"/>
          <w:szCs w:val="24"/>
        </w:rPr>
        <w:t xml:space="preserve">Attached: </w:t>
      </w:r>
      <w:r w:rsidRPr="00826B96">
        <w:rPr>
          <w:sz w:val="24"/>
          <w:szCs w:val="24"/>
        </w:rPr>
        <w:tab/>
        <w:t>Ideal Accessible Communications Roadmap</w:t>
      </w:r>
      <w:r w:rsidRPr="00826B96">
        <w:rPr>
          <w:sz w:val="24"/>
          <w:szCs w:val="24"/>
        </w:rPr>
        <w:br/>
      </w:r>
      <w:r w:rsidRPr="00826B96">
        <w:rPr>
          <w:sz w:val="24"/>
          <w:szCs w:val="24"/>
        </w:rPr>
        <w:tab/>
      </w:r>
      <w:r w:rsidRPr="00826B96">
        <w:rPr>
          <w:sz w:val="24"/>
          <w:szCs w:val="24"/>
        </w:rPr>
        <w:tab/>
        <w:t>ACCAN submission – National Disability Strategy</w:t>
      </w:r>
    </w:p>
    <w:sectPr w:rsidR="00826B96" w:rsidRPr="00826B96" w:rsidSect="000E015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0D04" w14:textId="77777777" w:rsidR="00E559E2" w:rsidRDefault="00E559E2" w:rsidP="000E0158">
      <w:pPr>
        <w:spacing w:after="0" w:line="240" w:lineRule="auto"/>
      </w:pPr>
      <w:r>
        <w:separator/>
      </w:r>
    </w:p>
  </w:endnote>
  <w:endnote w:type="continuationSeparator" w:id="0">
    <w:p w14:paraId="4F422909" w14:textId="77777777" w:rsidR="00E559E2" w:rsidRDefault="00E559E2" w:rsidP="000E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980D" w14:textId="77777777" w:rsidR="000E0158" w:rsidRPr="0082329E" w:rsidRDefault="000E0158"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72E5" w14:textId="77777777" w:rsidR="000E0158" w:rsidRPr="00026E5B" w:rsidRDefault="000E0158" w:rsidP="00F014D6">
    <w:pPr>
      <w:pStyle w:val="Footerpage1"/>
      <w:ind w:right="-1440"/>
      <w:rPr>
        <w:color w:val="00B0F0"/>
      </w:rPr>
    </w:pPr>
    <w:r>
      <w:rPr>
        <w:color w:val="00B0F0"/>
      </w:rPr>
      <w:t xml:space="preserve">  </w:t>
    </w:r>
    <w:r w:rsidRPr="00026E5B">
      <w:rPr>
        <w:color w:val="00B0F0"/>
      </w:rPr>
      <w:t>Australian Communications Consumer Action Network (ACCAN)</w:t>
    </w:r>
  </w:p>
  <w:p w14:paraId="28267F9A" w14:textId="77777777" w:rsidR="000E0158" w:rsidRPr="00026E5B" w:rsidRDefault="000E0158" w:rsidP="00F014D6">
    <w:pPr>
      <w:pStyle w:val="Footerpage1"/>
      <w:rPr>
        <w:i/>
        <w:color w:val="00B0F0"/>
      </w:rPr>
    </w:pPr>
    <w:r>
      <w:rPr>
        <w:i/>
        <w:color w:val="00B0F0"/>
      </w:rPr>
      <w:t xml:space="preserve">  </w:t>
    </w:r>
    <w:r w:rsidRPr="00026E5B">
      <w:rPr>
        <w:i/>
        <w:color w:val="00B0F0"/>
      </w:rPr>
      <w:t xml:space="preserve">Australia’s peak body </w:t>
    </w:r>
    <w:proofErr w:type="gramStart"/>
    <w:r w:rsidRPr="00026E5B">
      <w:rPr>
        <w:i/>
        <w:color w:val="00B0F0"/>
      </w:rPr>
      <w:t>representing</w:t>
    </w:r>
    <w:proofErr w:type="gramEnd"/>
    <w:r w:rsidRPr="00026E5B">
      <w:rPr>
        <w:i/>
        <w:color w:val="00B0F0"/>
      </w:rPr>
      <w:t xml:space="preserve"> communications consumers</w:t>
    </w:r>
  </w:p>
  <w:p w14:paraId="67FA0A90" w14:textId="77777777" w:rsidR="000E0158" w:rsidRPr="00026E5B" w:rsidRDefault="000E0158" w:rsidP="00F014D6">
    <w:pPr>
      <w:pStyle w:val="Footerpage1"/>
      <w:ind w:right="-1440"/>
      <w:rPr>
        <w:i/>
      </w:rPr>
    </w:pPr>
    <w:r>
      <w:rPr>
        <w:noProof/>
        <w:lang w:val="en-US"/>
      </w:rPr>
      <mc:AlternateContent>
        <mc:Choice Requires="wps">
          <w:drawing>
            <wp:anchor distT="0" distB="0" distL="114300" distR="114300" simplePos="0" relativeHeight="251661312" behindDoc="0" locked="0" layoutInCell="1" allowOverlap="1" wp14:anchorId="77C0FC6D" wp14:editId="41A0C9F9">
              <wp:simplePos x="0" y="0"/>
              <wp:positionH relativeFrom="column">
                <wp:posOffset>-430924</wp:posOffset>
              </wp:positionH>
              <wp:positionV relativeFrom="paragraph">
                <wp:posOffset>90279</wp:posOffset>
              </wp:positionV>
              <wp:extent cx="6579476" cy="0"/>
              <wp:effectExtent l="0" t="19050" r="1206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92D06" id="Straight Connector 1"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7bSmIdwAAAAJAQAADwAAAGRycy9kb3ducmV2LnhtbEyPMW/CMBCFdyT+g3WV&#10;uoEDrdIQ4iBaKWMHoENHE1/j0PgcxQbS/vpe1aFsd/ee3n2v2IyuExccQutJwWKegECqvWmpUfB2&#10;qGYZiBA1Gd15QgVfGGBTTieFzo2/0g4v+9gIDqGQawU2xj6XMtQWnQ5z3yOx9uEHpyOvQyPNoK8c&#10;7jq5TJJUOt0Sf7C6xxeL9ef+7BS8N+nD9/Oro6yqxnbhbDjtfKbU/d24XYOIOMZ/M/ziMzqUzHT0&#10;ZzJBdApm6dOKrSw8LkGwYZVmPBz/DrIs5G2D8gcAAP//AwBQSwECLQAUAAYACAAAACEAtoM4kv4A&#10;AADhAQAAEwAAAAAAAAAAAAAAAAAAAAAAW0NvbnRlbnRfVHlwZXNdLnhtbFBLAQItABQABgAIAAAA&#10;IQA4/SH/1gAAAJQBAAALAAAAAAAAAAAAAAAAAC8BAABfcmVscy8ucmVsc1BLAQItABQABgAIAAAA&#10;IQA0a8ju3wEAAA4EAAAOAAAAAAAAAAAAAAAAAC4CAABkcnMvZTJvRG9jLnhtbFBLAQItABQABgAI&#10;AAAAIQDttKYh3AAAAAkBAAAPAAAAAAAAAAAAAAAAADkEAABkcnMvZG93bnJldi54bWxQSwUGAAAA&#10;AAQABADzAAAAQgUAAAAA&#10;" strokecolor="#23b0e6" strokeweight="3pt">
              <v:stroke joinstyle="miter"/>
            </v:line>
          </w:pict>
        </mc:Fallback>
      </mc:AlternateContent>
    </w:r>
  </w:p>
  <w:p w14:paraId="7E742B6C" w14:textId="3F1CDC48" w:rsidR="000E0158" w:rsidRPr="00026E5B" w:rsidRDefault="000E0158" w:rsidP="00F014D6">
    <w:pPr>
      <w:pStyle w:val="Footerpage1"/>
    </w:pPr>
    <w:r>
      <w:t xml:space="preserve">  </w:t>
    </w:r>
    <w:r w:rsidRPr="000E0158">
      <w:t>PO Box A1158 Sydney South, NSW 1235</w:t>
    </w:r>
  </w:p>
  <w:p w14:paraId="49B2CAC4" w14:textId="76158F89" w:rsidR="000E0158" w:rsidRPr="00026E5B" w:rsidRDefault="000E0158" w:rsidP="00F014D6">
    <w:pPr>
      <w:pStyle w:val="Footerpage1"/>
      <w:rPr>
        <w:color w:val="00B0F0"/>
      </w:rPr>
    </w:pPr>
    <w:r>
      <w:t xml:space="preserve">  </w:t>
    </w:r>
    <w:r w:rsidRPr="00026E5B">
      <w:t xml:space="preserve">Tel: (02) 9288 4000 | </w:t>
    </w:r>
    <w:r w:rsidRPr="00CB19F4">
      <w:t xml:space="preserve">Contact us through the </w:t>
    </w:r>
    <w:hyperlink r:id="rId1" w:history="1">
      <w:r w:rsidRPr="00CB19F4">
        <w:rPr>
          <w:rStyle w:val="Hyperlink"/>
          <w:color w:val="auto"/>
        </w:rPr>
        <w:t>National Relay Service</w:t>
      </w:r>
    </w:hyperlink>
  </w:p>
  <w:p w14:paraId="6B1996D8" w14:textId="77777777" w:rsidR="000E0158" w:rsidRPr="004D706D" w:rsidRDefault="000E0158"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4FBCCDE9" w14:textId="77777777" w:rsidR="000E0158" w:rsidRDefault="000E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E66C" w14:textId="77777777" w:rsidR="00E559E2" w:rsidRDefault="00E559E2" w:rsidP="000E0158">
      <w:pPr>
        <w:spacing w:after="0" w:line="240" w:lineRule="auto"/>
      </w:pPr>
      <w:r>
        <w:separator/>
      </w:r>
    </w:p>
  </w:footnote>
  <w:footnote w:type="continuationSeparator" w:id="0">
    <w:p w14:paraId="23532E9D" w14:textId="77777777" w:rsidR="00E559E2" w:rsidRDefault="00E559E2" w:rsidP="000E0158">
      <w:pPr>
        <w:spacing w:after="0" w:line="240" w:lineRule="auto"/>
      </w:pPr>
      <w:r>
        <w:continuationSeparator/>
      </w:r>
    </w:p>
  </w:footnote>
  <w:footnote w:id="1">
    <w:p w14:paraId="5EC7AA92" w14:textId="00753566" w:rsidR="00ED427D" w:rsidRDefault="00ED427D">
      <w:pPr>
        <w:pStyle w:val="FootnoteText"/>
      </w:pPr>
      <w:r>
        <w:rPr>
          <w:rStyle w:val="FootnoteReference"/>
        </w:rPr>
        <w:footnoteRef/>
      </w:r>
      <w:r>
        <w:t xml:space="preserve"> </w:t>
      </w:r>
      <w:r w:rsidRPr="00CC4253">
        <w:t xml:space="preserve">Attached for your reference, </w:t>
      </w:r>
      <w:proofErr w:type="gramStart"/>
      <w:r w:rsidRPr="00CC4253">
        <w:t>and also</w:t>
      </w:r>
      <w:proofErr w:type="gramEnd"/>
      <w:r w:rsidRPr="00CC4253">
        <w:t xml:space="preserve"> available on ACCAN’s website: </w:t>
      </w:r>
      <w:hyperlink r:id="rId1" w:history="1">
        <w:r w:rsidRPr="00CC4253">
          <w:rPr>
            <w:rStyle w:val="Hyperlink"/>
          </w:rPr>
          <w:t>http://accan.org.au/our-work/1765-accessible-comms-roadmap</w:t>
        </w:r>
      </w:hyperlink>
    </w:p>
  </w:footnote>
  <w:footnote w:id="2">
    <w:p w14:paraId="55B6EF51" w14:textId="44303A23" w:rsidR="00F357AA" w:rsidRDefault="00F357AA">
      <w:pPr>
        <w:pStyle w:val="FootnoteText"/>
      </w:pPr>
      <w:r>
        <w:rPr>
          <w:rStyle w:val="FootnoteReference"/>
        </w:rPr>
        <w:footnoteRef/>
      </w:r>
      <w:r>
        <w:t xml:space="preserve"> Consultation </w:t>
      </w:r>
      <w:r w:rsidR="00665BF3">
        <w:t>P</w:t>
      </w:r>
      <w:r>
        <w:t xml:space="preserve">aper, p10. </w:t>
      </w:r>
    </w:p>
  </w:footnote>
  <w:footnote w:id="3">
    <w:p w14:paraId="0527BBBC" w14:textId="1E074BB1" w:rsidR="00CE333F" w:rsidRPr="00CE333F" w:rsidRDefault="00CE333F">
      <w:pPr>
        <w:pStyle w:val="FootnoteText"/>
      </w:pPr>
      <w:r>
        <w:rPr>
          <w:rStyle w:val="FootnoteReference"/>
        </w:rPr>
        <w:footnoteRef/>
      </w:r>
      <w:r>
        <w:t xml:space="preserve"> </w:t>
      </w:r>
      <w:proofErr w:type="spellStart"/>
      <w:r>
        <w:t>Intopia</w:t>
      </w:r>
      <w:proofErr w:type="spellEnd"/>
      <w:r>
        <w:t xml:space="preserve"> 2017, </w:t>
      </w:r>
      <w:r>
        <w:rPr>
          <w:i/>
          <w:iCs/>
        </w:rPr>
        <w:t>EN 301 549: What it means for Australia</w:t>
      </w:r>
      <w:r>
        <w:t xml:space="preserve">. Available: </w:t>
      </w:r>
      <w:hyperlink r:id="rId2" w:history="1">
        <w:r w:rsidRPr="002524D8">
          <w:rPr>
            <w:rStyle w:val="Hyperlink"/>
          </w:rPr>
          <w:t>https://intopia.digital/articles/en-301-549-australia/</w:t>
        </w:r>
      </w:hyperlink>
      <w:r>
        <w:t xml:space="preserve"> </w:t>
      </w:r>
    </w:p>
  </w:footnote>
  <w:footnote w:id="4">
    <w:p w14:paraId="43C70ACE" w14:textId="1CCB11AF" w:rsidR="00AC5D51" w:rsidRDefault="00AC5D51">
      <w:pPr>
        <w:pStyle w:val="FootnoteText"/>
      </w:pPr>
      <w:r>
        <w:rPr>
          <w:rStyle w:val="FootnoteReference"/>
        </w:rPr>
        <w:footnoteRef/>
      </w:r>
      <w:r>
        <w:t xml:space="preserve"> Vision Australia </w:t>
      </w:r>
      <w:r w:rsidR="00B41EEB">
        <w:t xml:space="preserve">2020, </w:t>
      </w:r>
      <w:r w:rsidR="0086381B" w:rsidRPr="0086381B">
        <w:t>Submission to: Royal Commission into Violence, Abuse, Neglect and Exploitation of People with Disability, Employment Issues Paper</w:t>
      </w:r>
      <w:r w:rsidR="0086381B">
        <w:t xml:space="preserve">. Available: </w:t>
      </w:r>
      <w:hyperlink r:id="rId3" w:history="1">
        <w:r w:rsidR="00794CBB" w:rsidRPr="002524D8">
          <w:rPr>
            <w:rStyle w:val="Hyperlink"/>
          </w:rPr>
          <w:t>https://www.visionaustralia.org/sites/default/files/2020-09/Vision%20Australia%20Response%20to%20the%20DRC%20issues%20paper%20-%20Employment.docx</w:t>
        </w:r>
      </w:hyperlink>
      <w:r w:rsidR="00794CBB">
        <w:t xml:space="preserve"> </w:t>
      </w:r>
    </w:p>
  </w:footnote>
  <w:footnote w:id="5">
    <w:p w14:paraId="606356E2" w14:textId="77777777" w:rsidR="00BD57EF" w:rsidRDefault="00BD57EF" w:rsidP="00BD57EF">
      <w:pPr>
        <w:pStyle w:val="FootnoteText"/>
      </w:pPr>
      <w:r>
        <w:rPr>
          <w:rStyle w:val="FootnoteReference"/>
        </w:rPr>
        <w:footnoteRef/>
      </w:r>
      <w:r>
        <w:t xml:space="preserve"> Information available: </w:t>
      </w:r>
      <w:hyperlink r:id="rId4" w:history="1">
        <w:r w:rsidRPr="002524D8">
          <w:rPr>
            <w:rStyle w:val="Hyperlink"/>
          </w:rPr>
          <w:t>https://tech.humanrights.gov.au/</w:t>
        </w:r>
      </w:hyperlink>
      <w:r>
        <w:t xml:space="preserve"> </w:t>
      </w:r>
    </w:p>
  </w:footnote>
  <w:footnote w:id="6">
    <w:p w14:paraId="4F8BE9A4" w14:textId="77777777" w:rsidR="00A82082" w:rsidRPr="00A97435" w:rsidRDefault="00A82082" w:rsidP="00A82082">
      <w:pPr>
        <w:pStyle w:val="FootnoteText"/>
        <w:rPr>
          <w:i/>
          <w:iCs/>
        </w:rPr>
      </w:pPr>
      <w:r>
        <w:rPr>
          <w:rStyle w:val="FootnoteReference"/>
        </w:rPr>
        <w:footnoteRef/>
      </w:r>
      <w:r>
        <w:t xml:space="preserve"> Australian Human Rights Commission (AHRC) 2019,</w:t>
      </w:r>
      <w:r w:rsidRPr="00A97435">
        <w:rPr>
          <w:i/>
          <w:iCs/>
        </w:rPr>
        <w:t xml:space="preserve"> Human Rights and Technology: Discussion Paper,</w:t>
      </w:r>
    </w:p>
    <w:p w14:paraId="3F4CEB33" w14:textId="458F1F28" w:rsidR="00A82082" w:rsidRDefault="00A82082" w:rsidP="00A82082">
      <w:pPr>
        <w:pStyle w:val="FootnoteText"/>
      </w:pPr>
      <w:r>
        <w:t xml:space="preserve">proposal 20. Available: </w:t>
      </w:r>
      <w:hyperlink r:id="rId5" w:history="1">
        <w:r w:rsidRPr="002524D8">
          <w:rPr>
            <w:rStyle w:val="Hyperlink"/>
          </w:rPr>
          <w:t>https://tech.humanrights.gov.au/consultation</w:t>
        </w:r>
      </w:hyperlink>
    </w:p>
  </w:footnote>
  <w:footnote w:id="7">
    <w:p w14:paraId="1D7FB60A" w14:textId="77777777" w:rsidR="006E50A4" w:rsidRPr="00D911EC" w:rsidRDefault="006E50A4" w:rsidP="006E50A4">
      <w:pPr>
        <w:pStyle w:val="FootnoteText"/>
      </w:pPr>
      <w:r>
        <w:rPr>
          <w:rStyle w:val="FootnoteReference"/>
        </w:rPr>
        <w:footnoteRef/>
      </w:r>
      <w:r>
        <w:t xml:space="preserve"> ACCAN 2013, </w:t>
      </w:r>
      <w:r>
        <w:rPr>
          <w:i/>
          <w:iCs/>
        </w:rPr>
        <w:t xml:space="preserve">Improving the employment participation of people with disability in Australia: </w:t>
      </w:r>
      <w:r w:rsidRPr="00743FE9">
        <w:rPr>
          <w:i/>
          <w:iCs/>
        </w:rPr>
        <w:t>Submission to the Department of Education, Employment and Workplace Relations Discussion Paper</w:t>
      </w:r>
      <w:r>
        <w:t xml:space="preserve">. Available: </w:t>
      </w:r>
      <w:hyperlink r:id="rId6" w:history="1">
        <w:r w:rsidRPr="002524D8">
          <w:rPr>
            <w:rStyle w:val="Hyperlink"/>
          </w:rPr>
          <w:t>http://accan.org.au/our-work/submissions/552-inquiry-into-improving-the-employment-participation-of-people-with-disability-in-australia</w:t>
        </w:r>
      </w:hyperlink>
      <w:r>
        <w:t xml:space="preserve"> ; Kaplan, D. ‘Chapter 5: Public Financing of Information Technology and Human Rights for People with Disabilities’, in J. Lazar and M. A. Stein (eds) Disability, Human Rights, and Information Technology, University of Pennsylvania Press, Philadelphia, p77. </w:t>
      </w:r>
    </w:p>
  </w:footnote>
  <w:footnote w:id="8">
    <w:p w14:paraId="05906461" w14:textId="77777777" w:rsidR="00BA172F" w:rsidRPr="00CC4253" w:rsidRDefault="00BA172F" w:rsidP="00BA172F">
      <w:pPr>
        <w:pStyle w:val="FootnoteText"/>
        <w:rPr>
          <w:lang w:val="en-US"/>
        </w:rPr>
      </w:pPr>
      <w:r w:rsidRPr="00CC4253">
        <w:rPr>
          <w:rStyle w:val="FootnoteReference"/>
        </w:rPr>
        <w:footnoteRef/>
      </w:r>
      <w:r w:rsidRPr="00CC4253">
        <w:t xml:space="preserve"> </w:t>
      </w:r>
      <w:r w:rsidRPr="00CC4253">
        <w:rPr>
          <w:lang w:val="en-US"/>
        </w:rPr>
        <w:t>As articulated in article 4 of the CRPD.</w:t>
      </w:r>
    </w:p>
  </w:footnote>
  <w:footnote w:id="9">
    <w:p w14:paraId="29240ABD" w14:textId="77777777" w:rsidR="000360EB" w:rsidRDefault="000360EB" w:rsidP="000360EB">
      <w:pPr>
        <w:pStyle w:val="FootnoteText"/>
      </w:pPr>
      <w:r>
        <w:rPr>
          <w:rStyle w:val="FootnoteReference"/>
        </w:rPr>
        <w:footnoteRef/>
      </w:r>
      <w:r>
        <w:t xml:space="preserve"> Thomas, J, </w:t>
      </w:r>
      <w:proofErr w:type="spellStart"/>
      <w:r>
        <w:t>Barraket</w:t>
      </w:r>
      <w:proofErr w:type="spellEnd"/>
      <w:r>
        <w:t>, J, Wilson, CK, Holcombe-James, I, Kennedy, J, Rennie, E, Ewing, S, and T MacDonald,</w:t>
      </w:r>
    </w:p>
    <w:p w14:paraId="66BCC4D5" w14:textId="77777777" w:rsidR="000360EB" w:rsidRDefault="000360EB" w:rsidP="000360EB">
      <w:pPr>
        <w:pStyle w:val="FootnoteText"/>
      </w:pPr>
      <w:r>
        <w:t>2020. Measuring Australia’s Digital Divide: The Australian Digital Inclusion Index 2020, RMIT and</w:t>
      </w:r>
    </w:p>
    <w:p w14:paraId="0920BBB0" w14:textId="33DD1F5A" w:rsidR="000360EB" w:rsidRDefault="000360EB" w:rsidP="000360EB">
      <w:pPr>
        <w:pStyle w:val="FootnoteText"/>
      </w:pPr>
      <w:r>
        <w:t xml:space="preserve">Swinburne University of Technology, Melbourne, for Telstra, p20. Available: </w:t>
      </w:r>
      <w:hyperlink r:id="rId7" w:history="1">
        <w:r w:rsidRPr="002524D8">
          <w:rPr>
            <w:rStyle w:val="Hyperlink"/>
          </w:rPr>
          <w:t>https://digitalinclusionindex.org.au/</w:t>
        </w:r>
      </w:hyperlink>
      <w:r>
        <w:t xml:space="preserve"> </w:t>
      </w:r>
    </w:p>
  </w:footnote>
  <w:footnote w:id="10">
    <w:p w14:paraId="0B3191C0" w14:textId="77777777" w:rsidR="003D69D9" w:rsidRPr="002E6B93" w:rsidRDefault="003D69D9" w:rsidP="003D69D9">
      <w:pPr>
        <w:pStyle w:val="FootnoteText"/>
      </w:pPr>
      <w:r>
        <w:rPr>
          <w:rStyle w:val="FootnoteReference"/>
        </w:rPr>
        <w:footnoteRef/>
      </w:r>
      <w:r>
        <w:t xml:space="preserve"> Media Release available:</w:t>
      </w:r>
      <w:r w:rsidRPr="002E6B93">
        <w:t xml:space="preserve"> </w:t>
      </w:r>
      <w:hyperlink r:id="rId8" w:history="1">
        <w:r w:rsidRPr="002524D8">
          <w:rPr>
            <w:rStyle w:val="Hyperlink"/>
          </w:rPr>
          <w:t>https://www.pm.gov.au/media/modern-digital-economy-secure-australias-future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2B90" w14:textId="77777777" w:rsidR="000E0158" w:rsidRDefault="000E0158"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04330F35" wp14:editId="35DB06CC">
          <wp:simplePos x="0" y="0"/>
          <wp:positionH relativeFrom="column">
            <wp:posOffset>5175445</wp:posOffset>
          </wp:positionH>
          <wp:positionV relativeFrom="paragraph">
            <wp:posOffset>90805</wp:posOffset>
          </wp:positionV>
          <wp:extent cx="773723" cy="358680"/>
          <wp:effectExtent l="0" t="0" r="7620" b="381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F0DB" w14:textId="77777777" w:rsidR="000E0158" w:rsidRDefault="000E0158">
    <w:pPr>
      <w:pStyle w:val="Header"/>
    </w:pPr>
    <w:r>
      <w:rPr>
        <w:noProof/>
        <w:lang w:val="en-US" w:eastAsia="en-US"/>
      </w:rPr>
      <w:drawing>
        <wp:anchor distT="0" distB="0" distL="114300" distR="114300" simplePos="0" relativeHeight="251660288" behindDoc="1" locked="0" layoutInCell="1" allowOverlap="1" wp14:anchorId="2EA08FD6" wp14:editId="60BAC268">
          <wp:simplePos x="0" y="0"/>
          <wp:positionH relativeFrom="column">
            <wp:posOffset>4112078</wp:posOffset>
          </wp:positionH>
          <wp:positionV relativeFrom="paragraph">
            <wp:posOffset>332740</wp:posOffset>
          </wp:positionV>
          <wp:extent cx="1630800" cy="756000"/>
          <wp:effectExtent l="0" t="0" r="7620" b="635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41EF"/>
    <w:multiLevelType w:val="hybridMultilevel"/>
    <w:tmpl w:val="71F8BEDC"/>
    <w:lvl w:ilvl="0" w:tplc="203287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76585173"/>
    <w:multiLevelType w:val="hybridMultilevel"/>
    <w:tmpl w:val="A3D6BBCC"/>
    <w:lvl w:ilvl="0" w:tplc="B318489A">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6044B2"/>
    <w:multiLevelType w:val="hybridMultilevel"/>
    <w:tmpl w:val="DBD050AA"/>
    <w:lvl w:ilvl="0" w:tplc="ACA0E5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58"/>
    <w:rsid w:val="000360EB"/>
    <w:rsid w:val="0006195D"/>
    <w:rsid w:val="00066622"/>
    <w:rsid w:val="000A5D48"/>
    <w:rsid w:val="000E0158"/>
    <w:rsid w:val="00102634"/>
    <w:rsid w:val="001115DE"/>
    <w:rsid w:val="001152E4"/>
    <w:rsid w:val="0013273C"/>
    <w:rsid w:val="00140254"/>
    <w:rsid w:val="00171D36"/>
    <w:rsid w:val="00175AB2"/>
    <w:rsid w:val="00190024"/>
    <w:rsid w:val="00191FB4"/>
    <w:rsid w:val="001A0A48"/>
    <w:rsid w:val="001C485C"/>
    <w:rsid w:val="001D6777"/>
    <w:rsid w:val="002116BF"/>
    <w:rsid w:val="00225BC9"/>
    <w:rsid w:val="00241FAB"/>
    <w:rsid w:val="0028549A"/>
    <w:rsid w:val="002B6E80"/>
    <w:rsid w:val="002D40D9"/>
    <w:rsid w:val="002E6B93"/>
    <w:rsid w:val="0032471E"/>
    <w:rsid w:val="00330D9A"/>
    <w:rsid w:val="00330EC9"/>
    <w:rsid w:val="00337D05"/>
    <w:rsid w:val="00357A83"/>
    <w:rsid w:val="00375CED"/>
    <w:rsid w:val="003D2A51"/>
    <w:rsid w:val="003D69D9"/>
    <w:rsid w:val="004036CC"/>
    <w:rsid w:val="00405851"/>
    <w:rsid w:val="00497F96"/>
    <w:rsid w:val="004A1E2C"/>
    <w:rsid w:val="004A476C"/>
    <w:rsid w:val="004C3634"/>
    <w:rsid w:val="004E1FAC"/>
    <w:rsid w:val="004E23F5"/>
    <w:rsid w:val="00511F79"/>
    <w:rsid w:val="00515258"/>
    <w:rsid w:val="00515F90"/>
    <w:rsid w:val="005350FA"/>
    <w:rsid w:val="00557290"/>
    <w:rsid w:val="00574AA8"/>
    <w:rsid w:val="0057624A"/>
    <w:rsid w:val="00584851"/>
    <w:rsid w:val="00591426"/>
    <w:rsid w:val="005933EA"/>
    <w:rsid w:val="00597107"/>
    <w:rsid w:val="005E60B0"/>
    <w:rsid w:val="005F4DD2"/>
    <w:rsid w:val="005F70CC"/>
    <w:rsid w:val="0061060B"/>
    <w:rsid w:val="00614AB8"/>
    <w:rsid w:val="00615911"/>
    <w:rsid w:val="00633E6F"/>
    <w:rsid w:val="006343CA"/>
    <w:rsid w:val="00665BF3"/>
    <w:rsid w:val="006A0CA4"/>
    <w:rsid w:val="006A6B70"/>
    <w:rsid w:val="006A7B4B"/>
    <w:rsid w:val="006D558B"/>
    <w:rsid w:val="006E50A4"/>
    <w:rsid w:val="006E7E68"/>
    <w:rsid w:val="006F5956"/>
    <w:rsid w:val="00702AEC"/>
    <w:rsid w:val="00705C04"/>
    <w:rsid w:val="00724ECA"/>
    <w:rsid w:val="00743FE9"/>
    <w:rsid w:val="00760128"/>
    <w:rsid w:val="007632BA"/>
    <w:rsid w:val="00794CBB"/>
    <w:rsid w:val="007A4A3C"/>
    <w:rsid w:val="007B1185"/>
    <w:rsid w:val="00803FB9"/>
    <w:rsid w:val="00806CD4"/>
    <w:rsid w:val="00811FC0"/>
    <w:rsid w:val="00813DA9"/>
    <w:rsid w:val="00821978"/>
    <w:rsid w:val="00826B96"/>
    <w:rsid w:val="00830ADD"/>
    <w:rsid w:val="008558EE"/>
    <w:rsid w:val="008571F4"/>
    <w:rsid w:val="0086381B"/>
    <w:rsid w:val="008648EA"/>
    <w:rsid w:val="00867BE9"/>
    <w:rsid w:val="008A4418"/>
    <w:rsid w:val="008A555E"/>
    <w:rsid w:val="008F6C07"/>
    <w:rsid w:val="00913A4A"/>
    <w:rsid w:val="00936DA1"/>
    <w:rsid w:val="00964FB5"/>
    <w:rsid w:val="00985979"/>
    <w:rsid w:val="009A050D"/>
    <w:rsid w:val="009A42E7"/>
    <w:rsid w:val="009C5C86"/>
    <w:rsid w:val="009F4AC8"/>
    <w:rsid w:val="00A11E42"/>
    <w:rsid w:val="00A37526"/>
    <w:rsid w:val="00A4653E"/>
    <w:rsid w:val="00A62296"/>
    <w:rsid w:val="00A764FC"/>
    <w:rsid w:val="00A82082"/>
    <w:rsid w:val="00A97435"/>
    <w:rsid w:val="00AA1ECE"/>
    <w:rsid w:val="00AC5D51"/>
    <w:rsid w:val="00AF7DE8"/>
    <w:rsid w:val="00B005C3"/>
    <w:rsid w:val="00B07E57"/>
    <w:rsid w:val="00B11BA5"/>
    <w:rsid w:val="00B2230D"/>
    <w:rsid w:val="00B41EEB"/>
    <w:rsid w:val="00B47966"/>
    <w:rsid w:val="00B65C8A"/>
    <w:rsid w:val="00B77C42"/>
    <w:rsid w:val="00B95E45"/>
    <w:rsid w:val="00BA172F"/>
    <w:rsid w:val="00BD57EF"/>
    <w:rsid w:val="00BD610F"/>
    <w:rsid w:val="00BE6CF6"/>
    <w:rsid w:val="00C01728"/>
    <w:rsid w:val="00C36F52"/>
    <w:rsid w:val="00C477BD"/>
    <w:rsid w:val="00C642DD"/>
    <w:rsid w:val="00C821CC"/>
    <w:rsid w:val="00C9331D"/>
    <w:rsid w:val="00C978DC"/>
    <w:rsid w:val="00CE333F"/>
    <w:rsid w:val="00CF3F54"/>
    <w:rsid w:val="00D03AC6"/>
    <w:rsid w:val="00D36E56"/>
    <w:rsid w:val="00D5693A"/>
    <w:rsid w:val="00D8606C"/>
    <w:rsid w:val="00D911EC"/>
    <w:rsid w:val="00DA0AC6"/>
    <w:rsid w:val="00DA0C81"/>
    <w:rsid w:val="00DB307A"/>
    <w:rsid w:val="00DC207D"/>
    <w:rsid w:val="00E00829"/>
    <w:rsid w:val="00E061C0"/>
    <w:rsid w:val="00E32F17"/>
    <w:rsid w:val="00E35DB7"/>
    <w:rsid w:val="00E559E2"/>
    <w:rsid w:val="00E576EA"/>
    <w:rsid w:val="00E65B11"/>
    <w:rsid w:val="00E91813"/>
    <w:rsid w:val="00ED24E9"/>
    <w:rsid w:val="00ED427D"/>
    <w:rsid w:val="00EE1E67"/>
    <w:rsid w:val="00EF5869"/>
    <w:rsid w:val="00F117B8"/>
    <w:rsid w:val="00F14E9B"/>
    <w:rsid w:val="00F357AA"/>
    <w:rsid w:val="00F51886"/>
    <w:rsid w:val="00F72F3A"/>
    <w:rsid w:val="00F95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8DC3"/>
  <w15:chartTrackingRefBased/>
  <w15:docId w15:val="{BB2BB9A0-ABF5-4F49-BDFD-2A19D296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58"/>
    <w:pPr>
      <w:spacing w:after="200" w:line="276" w:lineRule="auto"/>
    </w:pPr>
    <w:rPr>
      <w:rFonts w:eastAsiaTheme="minorEastAsia"/>
      <w:lang w:eastAsia="en-AU"/>
    </w:rPr>
  </w:style>
  <w:style w:type="paragraph" w:styleId="Heading1">
    <w:name w:val="heading 1"/>
    <w:basedOn w:val="Title"/>
    <w:next w:val="Normal"/>
    <w:link w:val="Heading1Char"/>
    <w:uiPriority w:val="9"/>
    <w:qFormat/>
    <w:rsid w:val="00826B96"/>
    <w:pPr>
      <w:spacing w:line="276" w:lineRule="auto"/>
      <w:outlineLvl w:val="0"/>
    </w:pPr>
  </w:style>
  <w:style w:type="paragraph" w:styleId="Heading2">
    <w:name w:val="heading 2"/>
    <w:basedOn w:val="Normal"/>
    <w:next w:val="Normal"/>
    <w:link w:val="Heading2Char"/>
    <w:uiPriority w:val="9"/>
    <w:unhideWhenUsed/>
    <w:qFormat/>
    <w:rsid w:val="00826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158"/>
    <w:rPr>
      <w:rFonts w:eastAsiaTheme="minorEastAsia"/>
      <w:lang w:eastAsia="en-AU"/>
    </w:rPr>
  </w:style>
  <w:style w:type="paragraph" w:styleId="Footer">
    <w:name w:val="footer"/>
    <w:basedOn w:val="Normal"/>
    <w:link w:val="FooterChar"/>
    <w:uiPriority w:val="99"/>
    <w:unhideWhenUsed/>
    <w:rsid w:val="000E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58"/>
    <w:rPr>
      <w:rFonts w:eastAsiaTheme="minorEastAsia"/>
      <w:lang w:eastAsia="en-AU"/>
    </w:rPr>
  </w:style>
  <w:style w:type="character" w:styleId="Hyperlink">
    <w:name w:val="Hyperlink"/>
    <w:basedOn w:val="DefaultParagraphFont"/>
    <w:uiPriority w:val="99"/>
    <w:unhideWhenUsed/>
    <w:rsid w:val="000E0158"/>
    <w:rPr>
      <w:color w:val="0563C1" w:themeColor="hyperlink"/>
      <w:u w:val="single"/>
    </w:rPr>
  </w:style>
  <w:style w:type="paragraph" w:customStyle="1" w:styleId="Footerpage1">
    <w:name w:val="Footer page 1"/>
    <w:rsid w:val="000E0158"/>
    <w:pPr>
      <w:spacing w:after="200" w:line="240" w:lineRule="auto"/>
      <w:ind w:left="-754"/>
      <w:contextualSpacing/>
    </w:pPr>
    <w:rPr>
      <w:sz w:val="20"/>
      <w:szCs w:val="20"/>
    </w:rPr>
  </w:style>
  <w:style w:type="paragraph" w:styleId="FootnoteText">
    <w:name w:val="footnote text"/>
    <w:basedOn w:val="Normal"/>
    <w:link w:val="FootnoteTextChar"/>
    <w:uiPriority w:val="99"/>
    <w:unhideWhenUsed/>
    <w:rsid w:val="000E0158"/>
    <w:pPr>
      <w:spacing w:after="0" w:line="240" w:lineRule="auto"/>
    </w:pPr>
    <w:rPr>
      <w:sz w:val="20"/>
      <w:szCs w:val="20"/>
    </w:rPr>
  </w:style>
  <w:style w:type="character" w:customStyle="1" w:styleId="FootnoteTextChar">
    <w:name w:val="Footnote Text Char"/>
    <w:basedOn w:val="DefaultParagraphFont"/>
    <w:link w:val="FootnoteText"/>
    <w:uiPriority w:val="99"/>
    <w:rsid w:val="000E0158"/>
    <w:rPr>
      <w:rFonts w:eastAsiaTheme="minorEastAsia"/>
      <w:sz w:val="20"/>
      <w:szCs w:val="20"/>
      <w:lang w:eastAsia="en-AU"/>
    </w:rPr>
  </w:style>
  <w:style w:type="character" w:styleId="FootnoteReference">
    <w:name w:val="footnote reference"/>
    <w:basedOn w:val="DefaultParagraphFont"/>
    <w:uiPriority w:val="99"/>
    <w:semiHidden/>
    <w:unhideWhenUsed/>
    <w:rsid w:val="000E0158"/>
    <w:rPr>
      <w:vertAlign w:val="superscript"/>
    </w:rPr>
  </w:style>
  <w:style w:type="paragraph" w:styleId="Subtitle">
    <w:name w:val="Subtitle"/>
    <w:basedOn w:val="Normal"/>
    <w:next w:val="Normal"/>
    <w:link w:val="SubtitleChar"/>
    <w:uiPriority w:val="11"/>
    <w:qFormat/>
    <w:rsid w:val="000E0158"/>
    <w:pPr>
      <w:numPr>
        <w:ilvl w:val="1"/>
      </w:numPr>
      <w:spacing w:after="160"/>
    </w:pPr>
    <w:rPr>
      <w:b/>
      <w:sz w:val="24"/>
    </w:rPr>
  </w:style>
  <w:style w:type="character" w:customStyle="1" w:styleId="SubtitleChar">
    <w:name w:val="Subtitle Char"/>
    <w:basedOn w:val="DefaultParagraphFont"/>
    <w:link w:val="Subtitle"/>
    <w:uiPriority w:val="11"/>
    <w:rsid w:val="000E0158"/>
    <w:rPr>
      <w:rFonts w:eastAsiaTheme="minorEastAsia"/>
      <w:b/>
      <w:sz w:val="24"/>
      <w:lang w:eastAsia="en-AU"/>
    </w:rPr>
  </w:style>
  <w:style w:type="paragraph" w:styleId="Title">
    <w:name w:val="Title"/>
    <w:basedOn w:val="Normal"/>
    <w:next w:val="Normal"/>
    <w:link w:val="TitleChar"/>
    <w:uiPriority w:val="10"/>
    <w:qFormat/>
    <w:rsid w:val="000E0158"/>
    <w:pPr>
      <w:spacing w:before="24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E0158"/>
    <w:rPr>
      <w:rFonts w:eastAsiaTheme="majorEastAsia" w:cstheme="majorBidi"/>
      <w:b/>
      <w:spacing w:val="-10"/>
      <w:kern w:val="28"/>
      <w:sz w:val="28"/>
      <w:szCs w:val="56"/>
      <w:lang w:eastAsia="en-AU"/>
    </w:rPr>
  </w:style>
  <w:style w:type="character" w:styleId="UnresolvedMention">
    <w:name w:val="Unresolved Mention"/>
    <w:basedOn w:val="DefaultParagraphFont"/>
    <w:uiPriority w:val="99"/>
    <w:semiHidden/>
    <w:unhideWhenUsed/>
    <w:rsid w:val="000E0158"/>
    <w:rPr>
      <w:color w:val="605E5C"/>
      <w:shd w:val="clear" w:color="auto" w:fill="E1DFDD"/>
    </w:rPr>
  </w:style>
  <w:style w:type="character" w:customStyle="1" w:styleId="Heading2Char">
    <w:name w:val="Heading 2 Char"/>
    <w:basedOn w:val="DefaultParagraphFont"/>
    <w:link w:val="Heading2"/>
    <w:uiPriority w:val="9"/>
    <w:rsid w:val="00826B96"/>
    <w:rPr>
      <w:rFonts w:asciiTheme="majorHAnsi" w:eastAsiaTheme="majorEastAsia" w:hAnsiTheme="majorHAnsi" w:cstheme="majorBidi"/>
      <w:color w:val="2F5496" w:themeColor="accent1" w:themeShade="BF"/>
      <w:sz w:val="26"/>
      <w:szCs w:val="26"/>
      <w:lang w:eastAsia="en-AU"/>
    </w:rPr>
  </w:style>
  <w:style w:type="character" w:customStyle="1" w:styleId="Heading1Char">
    <w:name w:val="Heading 1 Char"/>
    <w:basedOn w:val="DefaultParagraphFont"/>
    <w:link w:val="Heading1"/>
    <w:uiPriority w:val="9"/>
    <w:rsid w:val="00826B96"/>
    <w:rPr>
      <w:rFonts w:eastAsiaTheme="majorEastAsia" w:cstheme="majorBidi"/>
      <w:b/>
      <w:spacing w:val="-10"/>
      <w:kern w:val="28"/>
      <w:sz w:val="28"/>
      <w:szCs w:val="56"/>
      <w:lang w:eastAsia="en-AU"/>
    </w:rPr>
  </w:style>
  <w:style w:type="paragraph" w:styleId="ListParagraph">
    <w:name w:val="List Paragraph"/>
    <w:basedOn w:val="Normal"/>
    <w:uiPriority w:val="34"/>
    <w:qFormat/>
    <w:rsid w:val="009A42E7"/>
    <w:pPr>
      <w:ind w:left="720"/>
      <w:contextualSpacing/>
    </w:pPr>
  </w:style>
  <w:style w:type="paragraph" w:styleId="Quote">
    <w:name w:val="Quote"/>
    <w:basedOn w:val="Normal"/>
    <w:next w:val="Normal"/>
    <w:link w:val="QuoteChar"/>
    <w:uiPriority w:val="29"/>
    <w:qFormat/>
    <w:rsid w:val="00A82082"/>
    <w:pPr>
      <w:ind w:left="720" w:right="1088"/>
      <w:jc w:val="both"/>
    </w:pPr>
    <w:rPr>
      <w:i/>
      <w:iCs/>
      <w:sz w:val="24"/>
      <w:szCs w:val="24"/>
    </w:rPr>
  </w:style>
  <w:style w:type="character" w:customStyle="1" w:styleId="QuoteChar">
    <w:name w:val="Quote Char"/>
    <w:basedOn w:val="DefaultParagraphFont"/>
    <w:link w:val="Quote"/>
    <w:uiPriority w:val="29"/>
    <w:rsid w:val="00A82082"/>
    <w:rPr>
      <w:rFonts w:eastAsiaTheme="minorEastAsia"/>
      <w:i/>
      <w:iCs/>
      <w:sz w:val="24"/>
      <w:szCs w:val="24"/>
      <w:lang w:eastAsia="en-AU"/>
    </w:rPr>
  </w:style>
  <w:style w:type="character" w:styleId="CommentReference">
    <w:name w:val="annotation reference"/>
    <w:basedOn w:val="DefaultParagraphFont"/>
    <w:uiPriority w:val="99"/>
    <w:semiHidden/>
    <w:unhideWhenUsed/>
    <w:rsid w:val="00337D05"/>
    <w:rPr>
      <w:sz w:val="16"/>
      <w:szCs w:val="16"/>
    </w:rPr>
  </w:style>
  <w:style w:type="paragraph" w:styleId="CommentText">
    <w:name w:val="annotation text"/>
    <w:basedOn w:val="Normal"/>
    <w:link w:val="CommentTextChar"/>
    <w:uiPriority w:val="99"/>
    <w:semiHidden/>
    <w:unhideWhenUsed/>
    <w:rsid w:val="00337D05"/>
    <w:pPr>
      <w:spacing w:line="240" w:lineRule="auto"/>
    </w:pPr>
    <w:rPr>
      <w:sz w:val="20"/>
      <w:szCs w:val="20"/>
    </w:rPr>
  </w:style>
  <w:style w:type="character" w:customStyle="1" w:styleId="CommentTextChar">
    <w:name w:val="Comment Text Char"/>
    <w:basedOn w:val="DefaultParagraphFont"/>
    <w:link w:val="CommentText"/>
    <w:uiPriority w:val="99"/>
    <w:semiHidden/>
    <w:rsid w:val="00337D05"/>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337D05"/>
    <w:rPr>
      <w:b/>
      <w:bCs/>
    </w:rPr>
  </w:style>
  <w:style w:type="character" w:customStyle="1" w:styleId="CommentSubjectChar">
    <w:name w:val="Comment Subject Char"/>
    <w:basedOn w:val="CommentTextChar"/>
    <w:link w:val="CommentSubject"/>
    <w:uiPriority w:val="99"/>
    <w:semiHidden/>
    <w:rsid w:val="00337D05"/>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001">
      <w:bodyDiv w:val="1"/>
      <w:marLeft w:val="0"/>
      <w:marRight w:val="0"/>
      <w:marTop w:val="0"/>
      <w:marBottom w:val="0"/>
      <w:divBdr>
        <w:top w:val="none" w:sz="0" w:space="0" w:color="auto"/>
        <w:left w:val="none" w:sz="0" w:space="0" w:color="auto"/>
        <w:bottom w:val="none" w:sz="0" w:space="0" w:color="auto"/>
        <w:right w:val="none" w:sz="0" w:space="0" w:color="auto"/>
      </w:divBdr>
    </w:div>
    <w:div w:id="280379494">
      <w:bodyDiv w:val="1"/>
      <w:marLeft w:val="0"/>
      <w:marRight w:val="0"/>
      <w:marTop w:val="0"/>
      <w:marBottom w:val="0"/>
      <w:divBdr>
        <w:top w:val="none" w:sz="0" w:space="0" w:color="auto"/>
        <w:left w:val="none" w:sz="0" w:space="0" w:color="auto"/>
        <w:bottom w:val="none" w:sz="0" w:space="0" w:color="auto"/>
        <w:right w:val="none" w:sz="0" w:space="0" w:color="auto"/>
      </w:divBdr>
    </w:div>
    <w:div w:id="15340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d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m.gov.au/media/modern-digital-economy-secure-australias-future" TargetMode="External"/><Relationship Id="rId3" Type="http://schemas.openxmlformats.org/officeDocument/2006/relationships/hyperlink" Target="https://www.visionaustralia.org/sites/default/files/2020-09/Vision%20Australia%20Response%20to%20the%20DRC%20issues%20paper%20-%20Employment.docx" TargetMode="External"/><Relationship Id="rId7" Type="http://schemas.openxmlformats.org/officeDocument/2006/relationships/hyperlink" Target="https://digitalinclusionindex.org.au/" TargetMode="External"/><Relationship Id="rId2" Type="http://schemas.openxmlformats.org/officeDocument/2006/relationships/hyperlink" Target="https://intopia.digital/articles/en-301-549-australia/" TargetMode="External"/><Relationship Id="rId1" Type="http://schemas.openxmlformats.org/officeDocument/2006/relationships/hyperlink" Target="http://accan.org.au/our-work/1765-accessible-comms-roadmap" TargetMode="External"/><Relationship Id="rId6" Type="http://schemas.openxmlformats.org/officeDocument/2006/relationships/hyperlink" Target="http://accan.org.au/our-work/submissions/552-inquiry-into-improving-the-employment-participation-of-people-with-disability-in-australia" TargetMode="External"/><Relationship Id="rId5" Type="http://schemas.openxmlformats.org/officeDocument/2006/relationships/hyperlink" Target="https://tech.humanrights.gov.au/consultation" TargetMode="External"/><Relationship Id="rId4" Type="http://schemas.openxmlformats.org/officeDocument/2006/relationships/hyperlink" Target="https://tech.humanrigh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8D36B-CDF1-4EAD-BA1A-798336E62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31BBE-5B6F-471D-A66F-3BD873EF1592}">
  <ds:schemaRefs>
    <ds:schemaRef ds:uri="http://schemas.microsoft.com/sharepoint/v3/contenttype/forms"/>
  </ds:schemaRefs>
</ds:datastoreItem>
</file>

<file path=customXml/itemProps3.xml><?xml version="1.0" encoding="utf-8"?>
<ds:datastoreItem xmlns:ds="http://schemas.openxmlformats.org/officeDocument/2006/customXml" ds:itemID="{2310FB13-1162-4369-8CEF-647977442227}">
  <ds:schemaRefs>
    <ds:schemaRef ds:uri="http://schemas.openxmlformats.org/officeDocument/2006/bibliography"/>
  </ds:schemaRefs>
</ds:datastoreItem>
</file>

<file path=customXml/itemProps4.xml><?xml version="1.0" encoding="utf-8"?>
<ds:datastoreItem xmlns:ds="http://schemas.openxmlformats.org/officeDocument/2006/customXml" ds:itemID="{C142499C-8938-420C-8B4B-B93C0217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3</cp:revision>
  <dcterms:created xsi:type="dcterms:W3CDTF">2021-05-11T02:58:00Z</dcterms:created>
  <dcterms:modified xsi:type="dcterms:W3CDTF">2021-05-14T04:08:00Z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