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0750" w14:textId="3AAD51AD" w:rsidR="00745BE1" w:rsidRPr="00D0335E" w:rsidRDefault="007B6295">
      <w:pPr>
        <w:rPr>
          <w:sz w:val="24"/>
          <w:szCs w:val="24"/>
        </w:rPr>
      </w:pPr>
      <w:r w:rsidRPr="00D0335E">
        <w:rPr>
          <w:sz w:val="24"/>
          <w:szCs w:val="24"/>
        </w:rPr>
        <w:t>Legislation.ref</w:t>
      </w:r>
    </w:p>
    <w:p w14:paraId="68B271C8" w14:textId="5595F00A" w:rsidR="0051328B" w:rsidRPr="00D0335E" w:rsidRDefault="005054C5" w:rsidP="005054C5">
      <w:pPr>
        <w:rPr>
          <w:b/>
          <w:bCs/>
          <w:sz w:val="24"/>
          <w:szCs w:val="24"/>
        </w:rPr>
      </w:pPr>
      <w:r w:rsidRPr="00D0335E">
        <w:rPr>
          <w:b/>
          <w:bCs/>
          <w:sz w:val="24"/>
          <w:szCs w:val="24"/>
        </w:rPr>
        <w:t>Australian Dual Diagnosis Recovery Network Inc.</w:t>
      </w:r>
      <w:r w:rsidRPr="00D0335E">
        <w:rPr>
          <w:b/>
          <w:bCs/>
          <w:sz w:val="24"/>
          <w:szCs w:val="24"/>
        </w:rPr>
        <w:tab/>
        <w:t xml:space="preserve">                                                                           ABN 838300123570        Prov. 4050005828</w:t>
      </w:r>
      <w:r w:rsidRPr="00D0335E">
        <w:rPr>
          <w:b/>
          <w:bCs/>
          <w:sz w:val="24"/>
          <w:szCs w:val="24"/>
        </w:rPr>
        <w:tab/>
      </w:r>
      <w:r w:rsidR="00C55EB4">
        <w:rPr>
          <w:b/>
          <w:bCs/>
          <w:sz w:val="24"/>
          <w:szCs w:val="24"/>
        </w:rPr>
        <w:t xml:space="preserve">     </w:t>
      </w:r>
      <w:r w:rsidRPr="00D0335E">
        <w:rPr>
          <w:b/>
          <w:bCs/>
          <w:sz w:val="24"/>
          <w:szCs w:val="24"/>
        </w:rPr>
        <w:t>SDA # 4-3LLK-2321</w:t>
      </w:r>
    </w:p>
    <w:p w14:paraId="09B75B8A" w14:textId="77777777" w:rsidR="005054C5" w:rsidRPr="00D0335E" w:rsidRDefault="005054C5" w:rsidP="005054C5">
      <w:pPr>
        <w:rPr>
          <w:sz w:val="24"/>
          <w:szCs w:val="24"/>
        </w:rPr>
      </w:pPr>
      <w:r w:rsidRPr="00D0335E">
        <w:rPr>
          <w:sz w:val="24"/>
          <w:szCs w:val="24"/>
        </w:rPr>
        <w:t>The Australian Dual Diagnosis Recovery Network Inc. is a registered provider of Specialist Disability Accommodation (SDA) (Reg. # 4-3LLK-2321) and as such has requested that the NDIA provides the appropriate payment (from 01/07/2016) for providing Vincenzo Filardo, NDIS participant, ref # 430127366, his request for residency at apartment # 1/35 Godber Road Diamond Creek, 3089</w:t>
      </w:r>
    </w:p>
    <w:p w14:paraId="61DF0A6F" w14:textId="7FF7BB89" w:rsidR="0051328B" w:rsidRPr="00D0335E" w:rsidRDefault="005054C5" w:rsidP="0051328B">
      <w:pPr>
        <w:rPr>
          <w:sz w:val="24"/>
          <w:szCs w:val="24"/>
        </w:rPr>
      </w:pPr>
      <w:r w:rsidRPr="00D0335E">
        <w:rPr>
          <w:sz w:val="24"/>
          <w:szCs w:val="24"/>
        </w:rPr>
        <w:t>The Respondent, National Disability Insurance Agency (NDIA) has refused our payment requests.</w:t>
      </w:r>
    </w:p>
    <w:p w14:paraId="5DE26882" w14:textId="77777777" w:rsidR="006918AA" w:rsidRPr="00D0335E" w:rsidRDefault="006918AA" w:rsidP="0051328B">
      <w:pPr>
        <w:rPr>
          <w:sz w:val="24"/>
          <w:szCs w:val="24"/>
        </w:rPr>
      </w:pPr>
    </w:p>
    <w:p w14:paraId="44A041D4" w14:textId="373178E5" w:rsidR="0051328B" w:rsidRPr="00D0335E" w:rsidRDefault="0051328B" w:rsidP="0051328B">
      <w:pPr>
        <w:pBdr>
          <w:top w:val="single" w:sz="4" w:space="1" w:color="auto"/>
          <w:left w:val="single" w:sz="4" w:space="4" w:color="auto"/>
          <w:bottom w:val="single" w:sz="4" w:space="1" w:color="auto"/>
          <w:right w:val="single" w:sz="4" w:space="4" w:color="auto"/>
        </w:pBdr>
        <w:rPr>
          <w:b/>
          <w:bCs/>
          <w:sz w:val="24"/>
          <w:szCs w:val="24"/>
        </w:rPr>
      </w:pPr>
      <w:r w:rsidRPr="00D0335E">
        <w:rPr>
          <w:b/>
          <w:bCs/>
          <w:sz w:val="24"/>
          <w:szCs w:val="24"/>
        </w:rPr>
        <w:t>Vincenzo’s deci</w:t>
      </w:r>
      <w:r w:rsidRPr="00D0335E">
        <w:rPr>
          <w:b/>
          <w:bCs/>
          <w:sz w:val="24"/>
          <w:szCs w:val="24"/>
        </w:rPr>
        <w:t>ded</w:t>
      </w:r>
      <w:r w:rsidRPr="00D0335E">
        <w:rPr>
          <w:b/>
          <w:bCs/>
          <w:sz w:val="24"/>
          <w:szCs w:val="24"/>
        </w:rPr>
        <w:t xml:space="preserve"> to</w:t>
      </w:r>
      <w:r w:rsidR="006918AA" w:rsidRPr="00D0335E">
        <w:rPr>
          <w:b/>
          <w:bCs/>
          <w:sz w:val="24"/>
          <w:szCs w:val="24"/>
        </w:rPr>
        <w:t xml:space="preserve"> continue on</w:t>
      </w:r>
      <w:r w:rsidRPr="00D0335E">
        <w:rPr>
          <w:b/>
          <w:bCs/>
          <w:sz w:val="24"/>
          <w:szCs w:val="24"/>
        </w:rPr>
        <w:t xml:space="preserve"> </w:t>
      </w:r>
      <w:r w:rsidRPr="00D0335E">
        <w:rPr>
          <w:b/>
          <w:bCs/>
          <w:sz w:val="24"/>
          <w:szCs w:val="24"/>
        </w:rPr>
        <w:t>liv</w:t>
      </w:r>
      <w:r w:rsidRPr="00D0335E">
        <w:rPr>
          <w:b/>
          <w:bCs/>
          <w:sz w:val="24"/>
          <w:szCs w:val="24"/>
        </w:rPr>
        <w:t>in</w:t>
      </w:r>
      <w:r w:rsidR="006918AA" w:rsidRPr="00D0335E">
        <w:rPr>
          <w:b/>
          <w:bCs/>
          <w:sz w:val="24"/>
          <w:szCs w:val="24"/>
        </w:rPr>
        <w:t>g in</w:t>
      </w:r>
      <w:r w:rsidRPr="00D0335E">
        <w:rPr>
          <w:b/>
          <w:bCs/>
          <w:sz w:val="24"/>
          <w:szCs w:val="24"/>
        </w:rPr>
        <w:t xml:space="preserve"> his DHHS supported disability accommodation (SDA) dwelling </w:t>
      </w:r>
      <w:r w:rsidRPr="00D0335E">
        <w:rPr>
          <w:b/>
          <w:bCs/>
          <w:sz w:val="24"/>
          <w:szCs w:val="24"/>
        </w:rPr>
        <w:t xml:space="preserve">which </w:t>
      </w:r>
      <w:r w:rsidRPr="00D0335E">
        <w:rPr>
          <w:b/>
          <w:bCs/>
          <w:sz w:val="24"/>
          <w:szCs w:val="24"/>
        </w:rPr>
        <w:t>concurred with the NDIS Act 2013 SDA Rules 2016 section 4.11</w:t>
      </w:r>
    </w:p>
    <w:p w14:paraId="5A3F6225" w14:textId="3389DEE9" w:rsidR="005054C5" w:rsidRPr="00D0335E" w:rsidRDefault="005054C5" w:rsidP="005054C5">
      <w:pPr>
        <w:rPr>
          <w:sz w:val="24"/>
          <w:szCs w:val="24"/>
        </w:rPr>
      </w:pPr>
      <w:r w:rsidRPr="00D0335E">
        <w:rPr>
          <w:sz w:val="24"/>
          <w:szCs w:val="24"/>
        </w:rPr>
        <w:t xml:space="preserve"> </w:t>
      </w:r>
    </w:p>
    <w:p w14:paraId="4CA51B4E" w14:textId="693CE9A2" w:rsidR="005054C5" w:rsidRPr="00D0335E" w:rsidRDefault="005054C5" w:rsidP="005054C5">
      <w:pPr>
        <w:rPr>
          <w:rStyle w:val="BookTitle"/>
          <w:b/>
          <w:bCs/>
          <w:i w:val="0"/>
          <w:iCs w:val="0"/>
          <w:smallCaps w:val="0"/>
          <w:sz w:val="24"/>
          <w:szCs w:val="24"/>
          <w:u w:val="single"/>
        </w:rPr>
      </w:pPr>
      <w:r w:rsidRPr="00D0335E">
        <w:rPr>
          <w:b/>
          <w:bCs/>
          <w:sz w:val="24"/>
          <w:szCs w:val="24"/>
          <w:u w:val="single"/>
        </w:rPr>
        <w:t>The</w:t>
      </w:r>
      <w:r w:rsidR="006918AA" w:rsidRPr="00D0335E">
        <w:rPr>
          <w:b/>
          <w:bCs/>
          <w:sz w:val="24"/>
          <w:szCs w:val="24"/>
          <w:u w:val="single"/>
        </w:rPr>
        <w:t xml:space="preserve"> ADDRNI’s</w:t>
      </w:r>
      <w:r w:rsidRPr="00D0335E">
        <w:rPr>
          <w:b/>
          <w:bCs/>
          <w:sz w:val="24"/>
          <w:szCs w:val="24"/>
          <w:u w:val="single"/>
        </w:rPr>
        <w:t xml:space="preserve"> request has been made a</w:t>
      </w:r>
      <w:r w:rsidR="006918AA" w:rsidRPr="00D0335E">
        <w:rPr>
          <w:b/>
          <w:bCs/>
          <w:sz w:val="24"/>
          <w:szCs w:val="24"/>
          <w:u w:val="single"/>
        </w:rPr>
        <w:t xml:space="preserve">ccording </w:t>
      </w:r>
      <w:r w:rsidR="00D0335E">
        <w:rPr>
          <w:b/>
          <w:bCs/>
          <w:sz w:val="24"/>
          <w:szCs w:val="24"/>
          <w:u w:val="single"/>
        </w:rPr>
        <w:t>to</w:t>
      </w:r>
      <w:r w:rsidR="006918AA" w:rsidRPr="00D0335E">
        <w:rPr>
          <w:b/>
          <w:bCs/>
          <w:sz w:val="24"/>
          <w:szCs w:val="24"/>
          <w:u w:val="single"/>
        </w:rPr>
        <w:t xml:space="preserve"> the </w:t>
      </w:r>
      <w:r w:rsidRPr="00D0335E">
        <w:rPr>
          <w:b/>
          <w:bCs/>
          <w:sz w:val="24"/>
          <w:szCs w:val="24"/>
          <w:u w:val="single"/>
        </w:rPr>
        <w:t>follow</w:t>
      </w:r>
      <w:r w:rsidR="006918AA" w:rsidRPr="00D0335E">
        <w:rPr>
          <w:b/>
          <w:bCs/>
          <w:sz w:val="24"/>
          <w:szCs w:val="24"/>
          <w:u w:val="single"/>
        </w:rPr>
        <w:t>ing</w:t>
      </w:r>
      <w:r w:rsidRPr="00D0335E">
        <w:rPr>
          <w:b/>
          <w:bCs/>
          <w:sz w:val="24"/>
          <w:szCs w:val="24"/>
          <w:u w:val="single"/>
        </w:rPr>
        <w:t xml:space="preserve">: -                                                                                                            </w:t>
      </w:r>
    </w:p>
    <w:p w14:paraId="75154E75" w14:textId="77777777" w:rsidR="005054C5" w:rsidRPr="00D0335E" w:rsidRDefault="005054C5" w:rsidP="005054C5">
      <w:pPr>
        <w:spacing w:after="240"/>
        <w:contextualSpacing/>
        <w:jc w:val="both"/>
        <w:rPr>
          <w:b/>
          <w:bCs/>
          <w:sz w:val="24"/>
          <w:szCs w:val="24"/>
          <w:u w:val="single"/>
        </w:rPr>
      </w:pPr>
      <w:r w:rsidRPr="00D0335E">
        <w:rPr>
          <w:b/>
          <w:bCs/>
          <w:sz w:val="24"/>
          <w:szCs w:val="24"/>
          <w:u w:val="single"/>
        </w:rPr>
        <w:t>1. Ref. F2020L00769ES</w:t>
      </w:r>
    </w:p>
    <w:p w14:paraId="4D6FD783" w14:textId="77777777" w:rsidR="005054C5" w:rsidRPr="00D0335E" w:rsidRDefault="005054C5" w:rsidP="005054C5">
      <w:pPr>
        <w:spacing w:after="240"/>
        <w:contextualSpacing/>
        <w:jc w:val="both"/>
        <w:rPr>
          <w:rStyle w:val="BookTitle"/>
          <w:rFonts w:ascii="Arial" w:hAnsi="Arial" w:cs="Arial"/>
          <w:b/>
          <w:i w:val="0"/>
          <w:iCs w:val="0"/>
          <w:smallCaps w:val="0"/>
          <w:sz w:val="24"/>
          <w:szCs w:val="24"/>
          <w:u w:val="single"/>
        </w:rPr>
      </w:pPr>
      <w:r w:rsidRPr="00D0335E">
        <w:rPr>
          <w:rStyle w:val="BookTitle"/>
          <w:rFonts w:ascii="Arial" w:hAnsi="Arial" w:cs="Arial"/>
          <w:b/>
          <w:sz w:val="24"/>
          <w:szCs w:val="24"/>
          <w:u w:val="single"/>
        </w:rPr>
        <w:t xml:space="preserve">  Part 5 – Transitional, savings and application provisions</w:t>
      </w:r>
    </w:p>
    <w:p w14:paraId="56ABA3EA" w14:textId="77777777" w:rsidR="005054C5" w:rsidRPr="00D0335E" w:rsidRDefault="005054C5" w:rsidP="005054C5">
      <w:pPr>
        <w:spacing w:after="240"/>
        <w:contextualSpacing/>
        <w:jc w:val="both"/>
        <w:rPr>
          <w:rStyle w:val="BookTitle"/>
          <w:rFonts w:ascii="Arial" w:hAnsi="Arial" w:cs="Arial"/>
          <w:b/>
          <w:i w:val="0"/>
          <w:iCs w:val="0"/>
          <w:smallCaps w:val="0"/>
          <w:sz w:val="24"/>
          <w:szCs w:val="24"/>
          <w:u w:val="single"/>
        </w:rPr>
      </w:pPr>
    </w:p>
    <w:p w14:paraId="11BC345B" w14:textId="2225B57C" w:rsidR="005054C5" w:rsidRPr="00D0335E" w:rsidRDefault="005054C5" w:rsidP="005054C5">
      <w:pPr>
        <w:spacing w:after="240"/>
        <w:contextualSpacing/>
        <w:rPr>
          <w:rStyle w:val="BookTitle"/>
          <w:rFonts w:ascii="Arial" w:hAnsi="Arial" w:cs="Arial"/>
          <w:b/>
          <w:i w:val="0"/>
          <w:iCs w:val="0"/>
          <w:smallCaps w:val="0"/>
          <w:sz w:val="24"/>
          <w:szCs w:val="24"/>
          <w:u w:val="single"/>
        </w:rPr>
      </w:pPr>
      <w:r w:rsidRPr="00D0335E">
        <w:rPr>
          <w:rStyle w:val="BookTitle"/>
          <w:rFonts w:ascii="Arial" w:hAnsi="Arial" w:cs="Arial"/>
          <w:b/>
          <w:sz w:val="24"/>
          <w:szCs w:val="24"/>
          <w:u w:val="single"/>
        </w:rPr>
        <w:t xml:space="preserve">Division 1 – National Disability Insurance Scheme                                                       </w:t>
      </w:r>
      <w:r w:rsidRPr="00D0335E">
        <w:rPr>
          <w:rStyle w:val="BookTitle"/>
          <w:rFonts w:ascii="Arial" w:hAnsi="Arial" w:cs="Arial"/>
          <w:b/>
          <w:sz w:val="24"/>
          <w:szCs w:val="24"/>
          <w:u w:val="single"/>
        </w:rPr>
        <w:t xml:space="preserve">                 </w:t>
      </w:r>
      <w:proofErr w:type="gramStart"/>
      <w:r w:rsidRPr="00D0335E">
        <w:rPr>
          <w:rStyle w:val="BookTitle"/>
          <w:rFonts w:ascii="Arial" w:hAnsi="Arial" w:cs="Arial"/>
          <w:b/>
          <w:sz w:val="24"/>
          <w:szCs w:val="24"/>
          <w:u w:val="single"/>
        </w:rPr>
        <w:t xml:space="preserve">   </w:t>
      </w:r>
      <w:r w:rsidRPr="00D0335E">
        <w:rPr>
          <w:rStyle w:val="BookTitle"/>
          <w:rFonts w:ascii="Arial" w:hAnsi="Arial" w:cs="Arial"/>
          <w:b/>
          <w:sz w:val="24"/>
          <w:szCs w:val="24"/>
          <w:u w:val="single"/>
        </w:rPr>
        <w:t>(</w:t>
      </w:r>
      <w:proofErr w:type="gramEnd"/>
      <w:r w:rsidRPr="00D0335E">
        <w:rPr>
          <w:rStyle w:val="BookTitle"/>
          <w:rFonts w:ascii="Arial" w:hAnsi="Arial" w:cs="Arial"/>
          <w:b/>
          <w:sz w:val="24"/>
          <w:szCs w:val="24"/>
          <w:u w:val="single"/>
        </w:rPr>
        <w:t>Specialist Disability Accommodation) Rules 2020</w:t>
      </w:r>
    </w:p>
    <w:p w14:paraId="3358A443" w14:textId="77777777" w:rsidR="006918AA" w:rsidRPr="00D0335E" w:rsidRDefault="006918AA" w:rsidP="005054C5">
      <w:pPr>
        <w:rPr>
          <w:b/>
          <w:bCs/>
          <w:sz w:val="24"/>
          <w:szCs w:val="24"/>
          <w:u w:val="single"/>
        </w:rPr>
      </w:pPr>
    </w:p>
    <w:p w14:paraId="63C71280" w14:textId="7CCEBAD4" w:rsidR="005054C5" w:rsidRPr="00D0335E" w:rsidRDefault="005054C5" w:rsidP="005054C5">
      <w:pPr>
        <w:rPr>
          <w:b/>
          <w:bCs/>
          <w:sz w:val="24"/>
          <w:szCs w:val="24"/>
          <w:u w:val="single"/>
        </w:rPr>
      </w:pPr>
      <w:r w:rsidRPr="00D0335E">
        <w:rPr>
          <w:b/>
          <w:bCs/>
          <w:sz w:val="24"/>
          <w:szCs w:val="24"/>
          <w:u w:val="single"/>
        </w:rPr>
        <w:t xml:space="preserve">2.Ref. </w:t>
      </w:r>
      <w:r w:rsidR="007349BA" w:rsidRPr="00D0335E">
        <w:rPr>
          <w:b/>
          <w:bCs/>
          <w:sz w:val="24"/>
          <w:szCs w:val="24"/>
          <w:u w:val="single"/>
        </w:rPr>
        <w:t>Schedule 1 Amendments</w:t>
      </w:r>
      <w:r w:rsidR="007349BA" w:rsidRPr="00D0335E">
        <w:rPr>
          <w:b/>
          <w:bCs/>
          <w:sz w:val="24"/>
          <w:szCs w:val="24"/>
          <w:u w:val="single"/>
        </w:rPr>
        <w:t xml:space="preserve"> </w:t>
      </w:r>
    </w:p>
    <w:p w14:paraId="0C6BD6CD" w14:textId="6B4C490D" w:rsidR="007349BA" w:rsidRPr="00D0335E" w:rsidRDefault="007349BA" w:rsidP="005054C5">
      <w:pPr>
        <w:rPr>
          <w:b/>
          <w:bCs/>
          <w:sz w:val="24"/>
          <w:szCs w:val="24"/>
          <w:u w:val="single"/>
        </w:rPr>
      </w:pPr>
      <w:r w:rsidRPr="00D0335E">
        <w:rPr>
          <w:b/>
          <w:bCs/>
          <w:sz w:val="24"/>
          <w:szCs w:val="24"/>
          <w:u w:val="single"/>
        </w:rPr>
        <w:t xml:space="preserve">3. </w:t>
      </w:r>
      <w:r w:rsidRPr="00D0335E">
        <w:rPr>
          <w:b/>
          <w:bCs/>
          <w:sz w:val="24"/>
          <w:szCs w:val="24"/>
          <w:u w:val="single"/>
        </w:rPr>
        <w:t>NDIS Act 2013 SDA Rules 2016 Sect 4.11</w:t>
      </w:r>
    </w:p>
    <w:p w14:paraId="689B674A" w14:textId="74669815" w:rsidR="007349BA" w:rsidRPr="00D0335E" w:rsidRDefault="007349BA" w:rsidP="005054C5">
      <w:pPr>
        <w:rPr>
          <w:b/>
          <w:bCs/>
          <w:sz w:val="24"/>
          <w:szCs w:val="24"/>
          <w:u w:val="single"/>
        </w:rPr>
      </w:pPr>
      <w:r w:rsidRPr="00D0335E">
        <w:rPr>
          <w:b/>
          <w:bCs/>
          <w:sz w:val="24"/>
          <w:szCs w:val="24"/>
          <w:u w:val="single"/>
        </w:rPr>
        <w:t>4. OG SDA DOCS</w:t>
      </w:r>
    </w:p>
    <w:p w14:paraId="4627AF10" w14:textId="527ADFFF" w:rsidR="009429D9" w:rsidRDefault="007349BA" w:rsidP="005054C5">
      <w:pPr>
        <w:rPr>
          <w:b/>
          <w:bCs/>
          <w:sz w:val="24"/>
          <w:szCs w:val="24"/>
          <w:u w:val="single"/>
        </w:rPr>
      </w:pPr>
      <w:r w:rsidRPr="00D0335E">
        <w:rPr>
          <w:b/>
          <w:bCs/>
          <w:sz w:val="24"/>
          <w:szCs w:val="24"/>
          <w:u w:val="single"/>
        </w:rPr>
        <w:t>4.</w:t>
      </w:r>
      <w:r w:rsidR="009429D9">
        <w:rPr>
          <w:b/>
          <w:bCs/>
          <w:sz w:val="24"/>
          <w:szCs w:val="24"/>
          <w:u w:val="single"/>
        </w:rPr>
        <w:t xml:space="preserve"> NDIS Pricing Arrangements</w:t>
      </w:r>
    </w:p>
    <w:p w14:paraId="33406DD6" w14:textId="6AAFFE92" w:rsidR="007349BA" w:rsidRPr="00D0335E" w:rsidRDefault="009429D9" w:rsidP="005054C5">
      <w:pPr>
        <w:rPr>
          <w:b/>
          <w:bCs/>
          <w:sz w:val="24"/>
          <w:szCs w:val="24"/>
          <w:u w:val="single"/>
        </w:rPr>
      </w:pPr>
      <w:r>
        <w:rPr>
          <w:b/>
          <w:bCs/>
          <w:sz w:val="24"/>
          <w:szCs w:val="24"/>
          <w:u w:val="single"/>
        </w:rPr>
        <w:t xml:space="preserve">5. </w:t>
      </w:r>
      <w:r w:rsidR="007349BA" w:rsidRPr="00D0335E">
        <w:rPr>
          <w:b/>
          <w:bCs/>
          <w:sz w:val="24"/>
          <w:szCs w:val="24"/>
          <w:u w:val="single"/>
        </w:rPr>
        <w:t xml:space="preserve"> NDIS Planner’s letter 28 August 2018</w:t>
      </w:r>
    </w:p>
    <w:p w14:paraId="6D7B871F" w14:textId="3404A9DA" w:rsidR="006918AA" w:rsidRPr="00D0335E" w:rsidRDefault="009429D9" w:rsidP="005054C5">
      <w:pPr>
        <w:rPr>
          <w:b/>
          <w:bCs/>
          <w:sz w:val="24"/>
          <w:szCs w:val="24"/>
        </w:rPr>
      </w:pPr>
      <w:r>
        <w:rPr>
          <w:b/>
          <w:bCs/>
          <w:sz w:val="24"/>
          <w:szCs w:val="24"/>
          <w:u w:val="single"/>
        </w:rPr>
        <w:t>6</w:t>
      </w:r>
      <w:r w:rsidR="006918AA" w:rsidRPr="00D0335E">
        <w:rPr>
          <w:b/>
          <w:bCs/>
          <w:sz w:val="24"/>
          <w:szCs w:val="24"/>
          <w:u w:val="single"/>
        </w:rPr>
        <w:t xml:space="preserve">. As well as other relevant Specialist Disability Accommodation </w:t>
      </w:r>
      <w:r w:rsidRPr="00D0335E">
        <w:rPr>
          <w:b/>
          <w:bCs/>
          <w:sz w:val="24"/>
          <w:szCs w:val="24"/>
          <w:u w:val="single"/>
        </w:rPr>
        <w:t xml:space="preserve">(SDA) </w:t>
      </w:r>
      <w:r>
        <w:rPr>
          <w:b/>
          <w:bCs/>
          <w:sz w:val="24"/>
          <w:szCs w:val="24"/>
          <w:u w:val="single"/>
        </w:rPr>
        <w:t xml:space="preserve">information. </w:t>
      </w:r>
    </w:p>
    <w:p w14:paraId="3C30B639" w14:textId="77777777" w:rsidR="006918AA" w:rsidRPr="00D0335E" w:rsidRDefault="006918AA" w:rsidP="00D93D17">
      <w:pPr>
        <w:spacing w:after="240"/>
        <w:ind w:left="7200" w:firstLine="720"/>
        <w:contextualSpacing/>
        <w:jc w:val="both"/>
        <w:rPr>
          <w:b/>
          <w:bCs/>
          <w:sz w:val="24"/>
          <w:szCs w:val="24"/>
          <w:u w:val="single"/>
        </w:rPr>
      </w:pPr>
    </w:p>
    <w:p w14:paraId="1F0BE12D" w14:textId="77777777" w:rsidR="006918AA" w:rsidRPr="00D0335E" w:rsidRDefault="006918AA" w:rsidP="00D93D17">
      <w:pPr>
        <w:spacing w:after="240"/>
        <w:ind w:left="7200" w:firstLine="720"/>
        <w:contextualSpacing/>
        <w:jc w:val="both"/>
        <w:rPr>
          <w:b/>
          <w:bCs/>
          <w:sz w:val="24"/>
          <w:szCs w:val="24"/>
          <w:u w:val="single"/>
        </w:rPr>
      </w:pPr>
    </w:p>
    <w:p w14:paraId="591F9E90" w14:textId="77777777" w:rsidR="006918AA" w:rsidRPr="00D0335E" w:rsidRDefault="006918AA" w:rsidP="00D93D17">
      <w:pPr>
        <w:spacing w:after="240"/>
        <w:ind w:left="7200" w:firstLine="720"/>
        <w:contextualSpacing/>
        <w:jc w:val="both"/>
        <w:rPr>
          <w:b/>
          <w:bCs/>
          <w:sz w:val="24"/>
          <w:szCs w:val="24"/>
          <w:u w:val="single"/>
        </w:rPr>
      </w:pPr>
    </w:p>
    <w:p w14:paraId="4980C9E3" w14:textId="77777777" w:rsidR="006918AA" w:rsidRDefault="006918AA" w:rsidP="00D93D17">
      <w:pPr>
        <w:spacing w:after="240"/>
        <w:ind w:left="7200" w:firstLine="720"/>
        <w:contextualSpacing/>
        <w:jc w:val="both"/>
        <w:rPr>
          <w:b/>
          <w:bCs/>
          <w:sz w:val="24"/>
          <w:szCs w:val="24"/>
          <w:u w:val="single"/>
        </w:rPr>
      </w:pPr>
    </w:p>
    <w:p w14:paraId="324DF0BB" w14:textId="77777777" w:rsidR="006918AA" w:rsidRDefault="006918AA" w:rsidP="00D93D17">
      <w:pPr>
        <w:spacing w:after="240"/>
        <w:ind w:left="7200" w:firstLine="720"/>
        <w:contextualSpacing/>
        <w:jc w:val="both"/>
        <w:rPr>
          <w:b/>
          <w:bCs/>
          <w:sz w:val="24"/>
          <w:szCs w:val="24"/>
          <w:u w:val="single"/>
        </w:rPr>
      </w:pPr>
    </w:p>
    <w:p w14:paraId="242B68D8" w14:textId="77777777" w:rsidR="006918AA" w:rsidRDefault="006918AA" w:rsidP="00D93D17">
      <w:pPr>
        <w:spacing w:after="240"/>
        <w:ind w:left="7200" w:firstLine="720"/>
        <w:contextualSpacing/>
        <w:jc w:val="both"/>
        <w:rPr>
          <w:b/>
          <w:bCs/>
          <w:sz w:val="24"/>
          <w:szCs w:val="24"/>
          <w:u w:val="single"/>
        </w:rPr>
      </w:pPr>
    </w:p>
    <w:p w14:paraId="3817C660" w14:textId="77777777" w:rsidR="006918AA" w:rsidRDefault="006918AA" w:rsidP="00D93D17">
      <w:pPr>
        <w:spacing w:after="240"/>
        <w:ind w:left="7200" w:firstLine="720"/>
        <w:contextualSpacing/>
        <w:jc w:val="both"/>
        <w:rPr>
          <w:b/>
          <w:bCs/>
          <w:sz w:val="24"/>
          <w:szCs w:val="24"/>
          <w:u w:val="single"/>
        </w:rPr>
      </w:pPr>
    </w:p>
    <w:p w14:paraId="5049461A" w14:textId="77777777" w:rsidR="006918AA" w:rsidRDefault="006918AA" w:rsidP="00D93D17">
      <w:pPr>
        <w:spacing w:after="240"/>
        <w:ind w:left="7200" w:firstLine="720"/>
        <w:contextualSpacing/>
        <w:jc w:val="both"/>
        <w:rPr>
          <w:b/>
          <w:bCs/>
          <w:sz w:val="24"/>
          <w:szCs w:val="24"/>
          <w:u w:val="single"/>
        </w:rPr>
      </w:pPr>
    </w:p>
    <w:p w14:paraId="1D7237D6" w14:textId="77777777" w:rsidR="006918AA" w:rsidRDefault="006918AA" w:rsidP="007349BA">
      <w:pPr>
        <w:spacing w:after="240"/>
        <w:contextualSpacing/>
        <w:jc w:val="both"/>
        <w:rPr>
          <w:b/>
          <w:bCs/>
          <w:sz w:val="24"/>
          <w:szCs w:val="24"/>
          <w:u w:val="single"/>
        </w:rPr>
      </w:pPr>
    </w:p>
    <w:p w14:paraId="2DCDCC45" w14:textId="241D91E1" w:rsidR="00D93D17" w:rsidRDefault="00D93D17" w:rsidP="00D93D17">
      <w:pPr>
        <w:spacing w:after="240"/>
        <w:ind w:left="7200" w:firstLine="720"/>
        <w:contextualSpacing/>
        <w:jc w:val="both"/>
        <w:rPr>
          <w:b/>
          <w:bCs/>
          <w:sz w:val="24"/>
          <w:szCs w:val="24"/>
          <w:u w:val="single"/>
        </w:rPr>
      </w:pPr>
      <w:r w:rsidRPr="003D0424">
        <w:rPr>
          <w:b/>
          <w:bCs/>
          <w:sz w:val="24"/>
          <w:szCs w:val="24"/>
          <w:u w:val="single"/>
        </w:rPr>
        <w:lastRenderedPageBreak/>
        <w:t xml:space="preserve">ATTACH </w:t>
      </w:r>
      <w:r w:rsidR="0035517F">
        <w:rPr>
          <w:b/>
          <w:bCs/>
          <w:sz w:val="24"/>
          <w:szCs w:val="24"/>
          <w:u w:val="single"/>
        </w:rPr>
        <w:t>1</w:t>
      </w:r>
    </w:p>
    <w:p w14:paraId="4B2232AE" w14:textId="77777777" w:rsidR="00D93D17" w:rsidRPr="003D0424" w:rsidRDefault="00D93D17" w:rsidP="00D93D17">
      <w:pPr>
        <w:spacing w:after="240"/>
        <w:ind w:left="7200" w:firstLine="720"/>
        <w:contextualSpacing/>
        <w:jc w:val="both"/>
        <w:rPr>
          <w:b/>
          <w:bCs/>
          <w:sz w:val="24"/>
          <w:szCs w:val="24"/>
          <w:u w:val="single"/>
        </w:rPr>
      </w:pPr>
    </w:p>
    <w:p w14:paraId="79FF1F37" w14:textId="77777777" w:rsidR="00D93D17" w:rsidRPr="00C579F0" w:rsidRDefault="00D93D17" w:rsidP="00D93D17">
      <w:pPr>
        <w:spacing w:after="240"/>
        <w:contextualSpacing/>
        <w:jc w:val="both"/>
        <w:rPr>
          <w:b/>
          <w:bCs/>
          <w:sz w:val="24"/>
          <w:szCs w:val="24"/>
          <w:u w:val="single"/>
        </w:rPr>
      </w:pPr>
      <w:r w:rsidRPr="00C579F0">
        <w:rPr>
          <w:b/>
          <w:bCs/>
          <w:sz w:val="24"/>
          <w:szCs w:val="24"/>
          <w:u w:val="single"/>
        </w:rPr>
        <w:t>Ref. F2020L00769ES</w:t>
      </w:r>
    </w:p>
    <w:p w14:paraId="4B5D714C" w14:textId="77777777" w:rsidR="00D93D17" w:rsidRPr="00C579F0" w:rsidRDefault="00D93D17" w:rsidP="00D93D17">
      <w:pPr>
        <w:spacing w:after="240"/>
        <w:contextualSpacing/>
        <w:jc w:val="both"/>
        <w:rPr>
          <w:rStyle w:val="BookTitle"/>
          <w:rFonts w:ascii="Arial" w:hAnsi="Arial" w:cs="Arial"/>
          <w:b/>
          <w:sz w:val="24"/>
          <w:szCs w:val="24"/>
          <w:u w:val="single"/>
        </w:rPr>
      </w:pPr>
    </w:p>
    <w:p w14:paraId="5AD0553D" w14:textId="77777777" w:rsidR="00D93D17" w:rsidRPr="00C579F0" w:rsidRDefault="00D93D17" w:rsidP="00D93D17">
      <w:pPr>
        <w:spacing w:after="240"/>
        <w:contextualSpacing/>
        <w:jc w:val="both"/>
        <w:rPr>
          <w:rStyle w:val="BookTitle"/>
          <w:rFonts w:ascii="Arial" w:hAnsi="Arial" w:cs="Arial"/>
          <w:b/>
          <w:i w:val="0"/>
          <w:iCs w:val="0"/>
          <w:smallCaps w:val="0"/>
          <w:sz w:val="24"/>
          <w:szCs w:val="24"/>
          <w:u w:val="single"/>
        </w:rPr>
      </w:pPr>
      <w:r w:rsidRPr="00C579F0">
        <w:rPr>
          <w:rStyle w:val="BookTitle"/>
          <w:rFonts w:ascii="Arial" w:hAnsi="Arial" w:cs="Arial"/>
          <w:b/>
          <w:sz w:val="24"/>
          <w:szCs w:val="24"/>
          <w:u w:val="single"/>
        </w:rPr>
        <w:t>Part 5 – Transitional, savings and application provisions</w:t>
      </w:r>
    </w:p>
    <w:p w14:paraId="0562DCD5" w14:textId="77777777" w:rsidR="00D93D17" w:rsidRPr="00C579F0" w:rsidRDefault="00D93D17" w:rsidP="00D93D17">
      <w:pPr>
        <w:spacing w:after="240"/>
        <w:contextualSpacing/>
        <w:jc w:val="both"/>
        <w:rPr>
          <w:rStyle w:val="BookTitle"/>
          <w:rFonts w:ascii="Arial" w:hAnsi="Arial" w:cs="Arial"/>
          <w:b/>
          <w:i w:val="0"/>
          <w:iCs w:val="0"/>
          <w:smallCaps w:val="0"/>
          <w:sz w:val="24"/>
          <w:szCs w:val="24"/>
          <w:u w:val="single"/>
        </w:rPr>
      </w:pPr>
    </w:p>
    <w:p w14:paraId="3CBE786C" w14:textId="6EDBF09A" w:rsidR="00D93D17" w:rsidRPr="00C579F0" w:rsidRDefault="00D93D17" w:rsidP="00D93D17">
      <w:pPr>
        <w:spacing w:after="240"/>
        <w:contextualSpacing/>
        <w:rPr>
          <w:rStyle w:val="BookTitle"/>
          <w:rFonts w:ascii="Arial" w:hAnsi="Arial" w:cs="Arial"/>
          <w:b/>
          <w:i w:val="0"/>
          <w:iCs w:val="0"/>
          <w:smallCaps w:val="0"/>
          <w:sz w:val="24"/>
          <w:szCs w:val="24"/>
          <w:u w:val="single"/>
        </w:rPr>
      </w:pPr>
      <w:r w:rsidRPr="00C579F0">
        <w:rPr>
          <w:rStyle w:val="BookTitle"/>
          <w:rFonts w:ascii="Arial" w:hAnsi="Arial" w:cs="Arial"/>
          <w:b/>
          <w:sz w:val="24"/>
          <w:szCs w:val="24"/>
          <w:u w:val="single"/>
        </w:rPr>
        <w:t xml:space="preserve">Division 1 – National Disability Insurance Scheme                            </w:t>
      </w:r>
      <w:r w:rsidR="005054C5">
        <w:rPr>
          <w:rStyle w:val="BookTitle"/>
          <w:rFonts w:ascii="Arial" w:hAnsi="Arial" w:cs="Arial"/>
          <w:b/>
          <w:sz w:val="24"/>
          <w:szCs w:val="24"/>
          <w:u w:val="single"/>
        </w:rPr>
        <w:t xml:space="preserve">           </w:t>
      </w:r>
      <w:proofErr w:type="gramStart"/>
      <w:r w:rsidR="005054C5">
        <w:rPr>
          <w:rStyle w:val="BookTitle"/>
          <w:rFonts w:ascii="Arial" w:hAnsi="Arial" w:cs="Arial"/>
          <w:b/>
          <w:sz w:val="24"/>
          <w:szCs w:val="24"/>
          <w:u w:val="single"/>
        </w:rPr>
        <w:t xml:space="preserve">  </w:t>
      </w:r>
      <w:r w:rsidRPr="00C579F0">
        <w:rPr>
          <w:rStyle w:val="BookTitle"/>
          <w:rFonts w:ascii="Arial" w:hAnsi="Arial" w:cs="Arial"/>
          <w:b/>
          <w:sz w:val="24"/>
          <w:szCs w:val="24"/>
          <w:u w:val="single"/>
        </w:rPr>
        <w:t xml:space="preserve"> (</w:t>
      </w:r>
      <w:proofErr w:type="gramEnd"/>
      <w:r w:rsidRPr="00C579F0">
        <w:rPr>
          <w:rStyle w:val="BookTitle"/>
          <w:rFonts w:ascii="Arial" w:hAnsi="Arial" w:cs="Arial"/>
          <w:b/>
          <w:sz w:val="24"/>
          <w:szCs w:val="24"/>
          <w:u w:val="single"/>
        </w:rPr>
        <w:t>Specialist Disability Accommodation) Rules 2020</w:t>
      </w:r>
    </w:p>
    <w:p w14:paraId="721EA50B" w14:textId="77777777" w:rsidR="00D93D17" w:rsidRPr="00C579F0" w:rsidRDefault="00D93D17" w:rsidP="00D93D17">
      <w:pPr>
        <w:spacing w:after="240"/>
        <w:contextualSpacing/>
        <w:jc w:val="both"/>
        <w:rPr>
          <w:rStyle w:val="BookTitle"/>
          <w:rFonts w:ascii="Arial" w:hAnsi="Arial" w:cs="Arial"/>
          <w:b/>
          <w:i w:val="0"/>
          <w:iCs w:val="0"/>
          <w:smallCaps w:val="0"/>
          <w:sz w:val="24"/>
          <w:szCs w:val="24"/>
          <w:u w:val="single"/>
        </w:rPr>
      </w:pPr>
    </w:p>
    <w:p w14:paraId="1CAE80B9" w14:textId="77777777" w:rsidR="00D93D17" w:rsidRPr="00C579F0" w:rsidRDefault="00D93D17" w:rsidP="00D93D17">
      <w:pPr>
        <w:pStyle w:val="ListParagraph"/>
        <w:numPr>
          <w:ilvl w:val="0"/>
          <w:numId w:val="1"/>
        </w:numPr>
        <w:jc w:val="both"/>
        <w:rPr>
          <w:rStyle w:val="BookTitle"/>
          <w:rFonts w:ascii="Arial" w:hAnsi="Arial" w:cs="Arial"/>
          <w:b/>
          <w:i w:val="0"/>
          <w:iCs w:val="0"/>
          <w:smallCaps w:val="0"/>
          <w:sz w:val="24"/>
          <w:szCs w:val="24"/>
        </w:rPr>
      </w:pPr>
      <w:r w:rsidRPr="00C579F0">
        <w:rPr>
          <w:rStyle w:val="BookTitle"/>
          <w:rFonts w:ascii="Arial" w:hAnsi="Arial" w:cs="Arial"/>
          <w:b/>
          <w:sz w:val="24"/>
          <w:szCs w:val="24"/>
        </w:rPr>
        <w:t>Section 40 applies where an action took place under the “</w:t>
      </w:r>
      <w:r w:rsidRPr="00C579F0">
        <w:rPr>
          <w:rStyle w:val="BookTitle"/>
          <w:rFonts w:ascii="Arial" w:hAnsi="Arial" w:cs="Arial"/>
          <w:b/>
          <w:sz w:val="24"/>
          <w:szCs w:val="24"/>
          <w:u w:val="single"/>
        </w:rPr>
        <w:t>SDA Rules 2016 as in force immediately before those rules were repealed”</w:t>
      </w:r>
      <w:r w:rsidRPr="00C579F0">
        <w:rPr>
          <w:rStyle w:val="BookTitle"/>
          <w:rFonts w:ascii="Arial" w:hAnsi="Arial" w:cs="Arial"/>
          <w:b/>
          <w:sz w:val="24"/>
          <w:szCs w:val="24"/>
        </w:rPr>
        <w:t xml:space="preserve"> </w:t>
      </w:r>
      <w:r w:rsidRPr="00C579F0">
        <w:rPr>
          <w:rStyle w:val="BookTitle"/>
          <w:rFonts w:ascii="Arial" w:hAnsi="Arial" w:cs="Arial"/>
          <w:b/>
          <w:sz w:val="24"/>
          <w:szCs w:val="24"/>
          <w:u w:val="single"/>
        </w:rPr>
        <w:t>and the same action could take place under this instrument for the same purpose.</w:t>
      </w:r>
      <w:r w:rsidRPr="00C579F0">
        <w:rPr>
          <w:rStyle w:val="BookTitle"/>
          <w:rFonts w:ascii="Arial" w:hAnsi="Arial" w:cs="Arial"/>
          <w:b/>
          <w:sz w:val="24"/>
          <w:szCs w:val="24"/>
        </w:rPr>
        <w:t xml:space="preserve"> </w:t>
      </w:r>
    </w:p>
    <w:p w14:paraId="6D8CF812" w14:textId="77777777" w:rsidR="00D93D17" w:rsidRPr="00C579F0" w:rsidRDefault="00D93D17" w:rsidP="00D93D17">
      <w:pPr>
        <w:pStyle w:val="ListParagraph"/>
        <w:numPr>
          <w:ilvl w:val="0"/>
          <w:numId w:val="1"/>
        </w:numPr>
        <w:jc w:val="both"/>
        <w:rPr>
          <w:rStyle w:val="BookTitle"/>
          <w:rFonts w:ascii="Arial" w:hAnsi="Arial" w:cs="Arial"/>
          <w:b/>
          <w:i w:val="0"/>
          <w:iCs w:val="0"/>
          <w:smallCaps w:val="0"/>
          <w:sz w:val="24"/>
          <w:szCs w:val="24"/>
        </w:rPr>
      </w:pPr>
      <w:r w:rsidRPr="00C579F0">
        <w:rPr>
          <w:rStyle w:val="BookTitle"/>
          <w:rFonts w:ascii="Arial" w:hAnsi="Arial" w:cs="Arial"/>
          <w:b/>
          <w:sz w:val="24"/>
          <w:szCs w:val="24"/>
        </w:rPr>
        <w:t xml:space="preserve"> Where this section applies, the CEO has discretionary power to accept the action as done for that purpose under this instrument, or to accept the action as done, subject to the completion of additional matters.</w:t>
      </w:r>
    </w:p>
    <w:p w14:paraId="5415B396" w14:textId="77777777" w:rsidR="00D93D17" w:rsidRPr="00C579F0" w:rsidRDefault="00D93D17" w:rsidP="00D93D17">
      <w:pPr>
        <w:pStyle w:val="ListParagraph"/>
        <w:numPr>
          <w:ilvl w:val="0"/>
          <w:numId w:val="1"/>
        </w:numPr>
        <w:jc w:val="both"/>
        <w:rPr>
          <w:rStyle w:val="BookTitle"/>
          <w:rFonts w:ascii="Arial" w:hAnsi="Arial" w:cs="Arial"/>
          <w:b/>
          <w:i w:val="0"/>
          <w:iCs w:val="0"/>
          <w:smallCaps w:val="0"/>
          <w:sz w:val="24"/>
          <w:szCs w:val="24"/>
        </w:rPr>
      </w:pPr>
      <w:r w:rsidRPr="00C579F0">
        <w:rPr>
          <w:rStyle w:val="BookTitle"/>
          <w:rFonts w:ascii="Arial" w:hAnsi="Arial" w:cs="Arial"/>
          <w:b/>
          <w:sz w:val="24"/>
          <w:szCs w:val="24"/>
        </w:rPr>
        <w:t xml:space="preserve">For example, if under the SDA Rules 2016 the CEO had determined that the participant could reside in a dwelling that was not what they had been determined eligible for, the CEO may under this instrument determine that the participant may continue to reside in that dwelling. </w:t>
      </w:r>
    </w:p>
    <w:p w14:paraId="5F9774CE" w14:textId="77777777" w:rsidR="00D93D17" w:rsidRPr="00C579F0" w:rsidRDefault="00D93D17" w:rsidP="00D93D17">
      <w:pPr>
        <w:pStyle w:val="ListParagraph"/>
        <w:numPr>
          <w:ilvl w:val="0"/>
          <w:numId w:val="1"/>
        </w:numPr>
        <w:jc w:val="both"/>
        <w:rPr>
          <w:rStyle w:val="BookTitle"/>
          <w:rFonts w:ascii="Arial" w:hAnsi="Arial" w:cs="Arial"/>
          <w:b/>
          <w:i w:val="0"/>
          <w:iCs w:val="0"/>
          <w:smallCaps w:val="0"/>
          <w:sz w:val="24"/>
          <w:szCs w:val="24"/>
          <w:u w:val="single"/>
        </w:rPr>
      </w:pPr>
      <w:r w:rsidRPr="00C579F0">
        <w:rPr>
          <w:rStyle w:val="BookTitle"/>
          <w:rFonts w:ascii="Arial" w:hAnsi="Arial" w:cs="Arial"/>
          <w:b/>
          <w:sz w:val="24"/>
          <w:szCs w:val="24"/>
          <w:u w:val="single"/>
        </w:rPr>
        <w:t xml:space="preserve">It is not intended that this provision will be exercised by the CEO to alter or amend a previous decision that was made under the SDA Rules 2016 including where an eligible participant is currently residing. </w:t>
      </w:r>
    </w:p>
    <w:p w14:paraId="5068F194" w14:textId="77777777" w:rsidR="00D93D17" w:rsidRPr="00C579F0" w:rsidRDefault="00D93D17" w:rsidP="00D93D17">
      <w:pPr>
        <w:jc w:val="both"/>
        <w:rPr>
          <w:rStyle w:val="BookTitle"/>
          <w:rFonts w:ascii="Arial" w:hAnsi="Arial" w:cs="Arial"/>
          <w:b/>
          <w:i w:val="0"/>
          <w:iCs w:val="0"/>
          <w:smallCaps w:val="0"/>
          <w:sz w:val="24"/>
          <w:szCs w:val="24"/>
          <w:u w:val="single"/>
        </w:rPr>
      </w:pPr>
    </w:p>
    <w:p w14:paraId="6508A670" w14:textId="77777777" w:rsidR="00D93D17" w:rsidRDefault="00D93D17" w:rsidP="00D93D17">
      <w:pPr>
        <w:jc w:val="both"/>
        <w:rPr>
          <w:rStyle w:val="BookTitle"/>
          <w:rFonts w:ascii="Arial" w:hAnsi="Arial" w:cs="Arial"/>
          <w:b/>
          <w:i w:val="0"/>
          <w:iCs w:val="0"/>
          <w:smallCaps w:val="0"/>
          <w:sz w:val="24"/>
          <w:szCs w:val="24"/>
        </w:rPr>
      </w:pPr>
    </w:p>
    <w:p w14:paraId="17E5F134" w14:textId="324569F8" w:rsidR="00D93D17" w:rsidRDefault="00D93D17" w:rsidP="0035517F">
      <w:pPr>
        <w:ind w:left="7200" w:firstLine="720"/>
        <w:jc w:val="both"/>
        <w:rPr>
          <w:rStyle w:val="BookTitle"/>
          <w:rFonts w:ascii="Arial" w:hAnsi="Arial" w:cs="Arial"/>
          <w:b/>
        </w:rPr>
      </w:pPr>
      <w:r w:rsidRPr="00D93D17">
        <w:rPr>
          <w:rStyle w:val="BookTitle"/>
          <w:rFonts w:ascii="Arial" w:hAnsi="Arial" w:cs="Arial"/>
          <w:b/>
        </w:rPr>
        <w:t xml:space="preserve">ATTACH </w:t>
      </w:r>
      <w:r w:rsidR="0035517F">
        <w:rPr>
          <w:rStyle w:val="BookTitle"/>
          <w:rFonts w:ascii="Arial" w:hAnsi="Arial" w:cs="Arial"/>
          <w:b/>
        </w:rPr>
        <w:t>2</w:t>
      </w:r>
    </w:p>
    <w:p w14:paraId="2BFF2C28" w14:textId="77777777" w:rsidR="0035517F" w:rsidRPr="00D93D17" w:rsidRDefault="0035517F" w:rsidP="0035517F">
      <w:pPr>
        <w:ind w:left="7200" w:firstLine="720"/>
        <w:jc w:val="both"/>
        <w:rPr>
          <w:rStyle w:val="BookTitle"/>
          <w:rFonts w:ascii="Arial" w:hAnsi="Arial" w:cs="Arial"/>
          <w:b/>
          <w:i w:val="0"/>
          <w:iCs w:val="0"/>
          <w:smallCaps w:val="0"/>
        </w:rPr>
      </w:pPr>
    </w:p>
    <w:p w14:paraId="1DF3B92C" w14:textId="77777777" w:rsidR="00D0335E" w:rsidRPr="00F30194" w:rsidRDefault="00D0335E" w:rsidP="00D0335E">
      <w:pPr>
        <w:rPr>
          <w:b/>
          <w:bCs/>
          <w:sz w:val="28"/>
          <w:szCs w:val="28"/>
          <w:u w:val="single"/>
        </w:rPr>
      </w:pPr>
      <w:r w:rsidRPr="00F30194">
        <w:rPr>
          <w:b/>
          <w:bCs/>
          <w:sz w:val="28"/>
          <w:szCs w:val="28"/>
          <w:u w:val="single"/>
        </w:rPr>
        <w:t>Explanation of the provisions.</w:t>
      </w:r>
    </w:p>
    <w:p w14:paraId="2A138841" w14:textId="77777777" w:rsidR="00D0335E" w:rsidRPr="00B132AC" w:rsidRDefault="00D0335E" w:rsidP="00D0335E">
      <w:pPr>
        <w:rPr>
          <w:b/>
          <w:bCs/>
          <w:sz w:val="28"/>
          <w:szCs w:val="28"/>
        </w:rPr>
      </w:pPr>
      <w:r w:rsidRPr="00B132AC">
        <w:rPr>
          <w:b/>
          <w:bCs/>
          <w:sz w:val="28"/>
          <w:szCs w:val="28"/>
        </w:rPr>
        <w:t>Schedule 1 - Amendments</w:t>
      </w:r>
    </w:p>
    <w:p w14:paraId="4A5EF317" w14:textId="77777777" w:rsidR="00D0335E" w:rsidRPr="00B132AC" w:rsidRDefault="00D0335E" w:rsidP="00D0335E">
      <w:pPr>
        <w:rPr>
          <w:rStyle w:val="BookTitle"/>
          <w:rFonts w:ascii="Arial" w:hAnsi="Arial" w:cs="Arial"/>
          <w:b/>
          <w:bCs/>
          <w:i w:val="0"/>
          <w:iCs w:val="0"/>
          <w:smallCaps w:val="0"/>
          <w:sz w:val="28"/>
          <w:szCs w:val="28"/>
        </w:rPr>
      </w:pPr>
      <w:bookmarkStart w:id="0" w:name="_Hlk77246130"/>
      <w:r w:rsidRPr="00B132AC">
        <w:rPr>
          <w:rStyle w:val="BookTitle"/>
          <w:rFonts w:ascii="Arial" w:hAnsi="Arial" w:cs="Arial"/>
          <w:b/>
          <w:bCs/>
          <w:sz w:val="28"/>
          <w:szCs w:val="28"/>
        </w:rPr>
        <w:t>Item 12 – Section 4.11</w:t>
      </w:r>
    </w:p>
    <w:p w14:paraId="37A08C27" w14:textId="77777777" w:rsidR="00D0335E" w:rsidRDefault="00D0335E" w:rsidP="00D0335E">
      <w:pPr>
        <w:rPr>
          <w:rStyle w:val="BookTitle"/>
          <w:rFonts w:ascii="Arial" w:hAnsi="Arial" w:cs="Arial"/>
          <w:b/>
          <w:bCs/>
          <w:sz w:val="28"/>
          <w:szCs w:val="28"/>
        </w:rPr>
      </w:pPr>
      <w:r w:rsidRPr="00B132AC">
        <w:rPr>
          <w:rStyle w:val="BookTitle"/>
          <w:rFonts w:ascii="Arial" w:hAnsi="Arial" w:cs="Arial"/>
          <w:b/>
          <w:bCs/>
          <w:sz w:val="28"/>
          <w:szCs w:val="28"/>
        </w:rPr>
        <w:t xml:space="preserve">Item 12 amends paragraph 4.11 to clarify that </w:t>
      </w:r>
    </w:p>
    <w:p w14:paraId="252D82FF" w14:textId="77777777" w:rsidR="00D0335E" w:rsidRDefault="00D0335E" w:rsidP="00D0335E">
      <w:pPr>
        <w:rPr>
          <w:rStyle w:val="BookTitle"/>
          <w:rFonts w:ascii="Arial" w:hAnsi="Arial" w:cs="Arial"/>
          <w:b/>
          <w:bCs/>
          <w:sz w:val="28"/>
          <w:szCs w:val="28"/>
          <w:u w:val="single"/>
        </w:rPr>
      </w:pPr>
      <w:r w:rsidRPr="00B132AC">
        <w:rPr>
          <w:rStyle w:val="BookTitle"/>
          <w:rFonts w:ascii="Arial" w:hAnsi="Arial" w:cs="Arial"/>
          <w:b/>
          <w:bCs/>
          <w:sz w:val="28"/>
          <w:szCs w:val="28"/>
        </w:rPr>
        <w:t>the purpose of determining a participant’s current dwelling under paragraph </w:t>
      </w:r>
      <w:r w:rsidRPr="00B132AC">
        <w:rPr>
          <w:rStyle w:val="BookTitle"/>
          <w:rFonts w:ascii="Arial" w:hAnsi="Arial" w:cs="Arial"/>
          <w:b/>
          <w:bCs/>
          <w:sz w:val="28"/>
          <w:szCs w:val="28"/>
          <w:u w:val="single"/>
        </w:rPr>
        <w:t xml:space="preserve">4.11 is to ensure that </w:t>
      </w:r>
    </w:p>
    <w:p w14:paraId="5E072768" w14:textId="77777777" w:rsidR="00D0335E" w:rsidRPr="00B132AC" w:rsidRDefault="00D0335E" w:rsidP="00D0335E">
      <w:pPr>
        <w:rPr>
          <w:rStyle w:val="BookTitle"/>
          <w:rFonts w:ascii="Arial" w:hAnsi="Arial" w:cs="Arial"/>
          <w:b/>
          <w:bCs/>
          <w:i w:val="0"/>
          <w:iCs w:val="0"/>
          <w:smallCaps w:val="0"/>
          <w:sz w:val="28"/>
          <w:szCs w:val="28"/>
          <w:u w:val="single"/>
        </w:rPr>
      </w:pPr>
      <w:r w:rsidRPr="00B132AC">
        <w:rPr>
          <w:rStyle w:val="BookTitle"/>
          <w:rFonts w:ascii="Arial" w:hAnsi="Arial" w:cs="Arial"/>
          <w:b/>
          <w:bCs/>
          <w:sz w:val="28"/>
          <w:szCs w:val="28"/>
          <w:u w:val="single"/>
        </w:rPr>
        <w:t xml:space="preserve">they can be funded for SDA while residing in their current enrolled SDA property. </w:t>
      </w:r>
    </w:p>
    <w:bookmarkEnd w:id="0"/>
    <w:p w14:paraId="65D683D5" w14:textId="77777777" w:rsidR="00D0335E" w:rsidRDefault="00D0335E" w:rsidP="00D93D17">
      <w:pPr>
        <w:jc w:val="both"/>
        <w:rPr>
          <w:rStyle w:val="BookTitle"/>
          <w:rFonts w:ascii="Arial" w:hAnsi="Arial" w:cs="Arial"/>
          <w:b/>
        </w:rPr>
      </w:pPr>
    </w:p>
    <w:p w14:paraId="7C25D1B4" w14:textId="3ACE51BD" w:rsidR="00D0335E" w:rsidRDefault="00D0335E" w:rsidP="00D0335E">
      <w:pPr>
        <w:pStyle w:val="NDISSubsection"/>
        <w:numPr>
          <w:ilvl w:val="0"/>
          <w:numId w:val="0"/>
        </w:numPr>
        <w:ind w:left="6741" w:firstLine="459"/>
        <w:rPr>
          <w:b/>
          <w:bCs/>
        </w:rPr>
      </w:pPr>
      <w:r w:rsidRPr="009C761A">
        <w:rPr>
          <w:b/>
          <w:bCs/>
        </w:rPr>
        <w:lastRenderedPageBreak/>
        <w:t xml:space="preserve">ATTACH </w:t>
      </w:r>
      <w:r w:rsidR="009429D9">
        <w:rPr>
          <w:b/>
          <w:bCs/>
        </w:rPr>
        <w:t>3</w:t>
      </w:r>
    </w:p>
    <w:p w14:paraId="51EAE432" w14:textId="77777777" w:rsidR="00D0335E" w:rsidRDefault="00D0335E" w:rsidP="00D0335E">
      <w:pPr>
        <w:pStyle w:val="NDISSubsection"/>
        <w:numPr>
          <w:ilvl w:val="0"/>
          <w:numId w:val="0"/>
        </w:numPr>
        <w:ind w:left="567" w:hanging="567"/>
        <w:rPr>
          <w:b/>
          <w:bCs/>
        </w:rPr>
      </w:pPr>
      <w:r>
        <w:rPr>
          <w:b/>
          <w:bCs/>
        </w:rPr>
        <w:t>NATIONAL DISABILITY INSURANCE SCHEME ACT 2013</w:t>
      </w:r>
    </w:p>
    <w:p w14:paraId="3B412B1B" w14:textId="77777777" w:rsidR="00D0335E" w:rsidRPr="005D2EDB" w:rsidRDefault="00D0335E" w:rsidP="00D0335E">
      <w:pPr>
        <w:pStyle w:val="NDISSubsection"/>
        <w:numPr>
          <w:ilvl w:val="0"/>
          <w:numId w:val="0"/>
        </w:numPr>
        <w:ind w:left="567" w:hanging="567"/>
        <w:rPr>
          <w:b/>
          <w:bCs/>
        </w:rPr>
      </w:pPr>
      <w:r>
        <w:rPr>
          <w:b/>
          <w:bCs/>
        </w:rPr>
        <w:t>SPECIALIST DISABILITY ACCOMMODATION RULES 2016 SECTION 4.11</w:t>
      </w:r>
    </w:p>
    <w:p w14:paraId="4E1F7596" w14:textId="77777777" w:rsidR="00D0335E" w:rsidRDefault="00D0335E" w:rsidP="00D0335E">
      <w:pPr>
        <w:pStyle w:val="NDISSubheading"/>
      </w:pPr>
      <w:r>
        <w:t>Participants already residing in SDA who wish to stay there</w:t>
      </w:r>
    </w:p>
    <w:p w14:paraId="27EEDFF9" w14:textId="77777777" w:rsidR="00D0335E" w:rsidRDefault="00D0335E" w:rsidP="00D0335E">
      <w:pPr>
        <w:pStyle w:val="NDISSubsection"/>
        <w:numPr>
          <w:ilvl w:val="0"/>
          <w:numId w:val="0"/>
        </w:numPr>
        <w:ind w:left="567" w:hanging="567"/>
      </w:pPr>
      <w:r>
        <w:t>Sect. 4.11    If a participant is:</w:t>
      </w:r>
    </w:p>
    <w:p w14:paraId="12131D31" w14:textId="77777777" w:rsidR="00D0335E" w:rsidRDefault="00D0335E" w:rsidP="00D0335E">
      <w:pPr>
        <w:pStyle w:val="NDISParagraph"/>
      </w:pPr>
      <w:r>
        <w:t xml:space="preserve">currently residing in SDA (whether or not it is of the appropriate SDA type or in the appropriate location determined for the participant under paragraphs </w:t>
      </w:r>
      <w:r>
        <w:fldChar w:fldCharType="begin"/>
      </w:r>
      <w:r>
        <w:instrText xml:space="preserve"> REF _Ref450722070 \r \h </w:instrText>
      </w:r>
      <w:r>
        <w:fldChar w:fldCharType="separate"/>
      </w:r>
      <w:r>
        <w:t>4.3</w:t>
      </w:r>
      <w:r>
        <w:fldChar w:fldCharType="end"/>
      </w:r>
      <w:r>
        <w:t>-</w:t>
      </w:r>
      <w:r>
        <w:fldChar w:fldCharType="begin"/>
      </w:r>
      <w:r>
        <w:instrText xml:space="preserve"> REF _Ref450723100 \r \h </w:instrText>
      </w:r>
      <w:r>
        <w:fldChar w:fldCharType="separate"/>
      </w:r>
      <w:r>
        <w:t>4.9</w:t>
      </w:r>
      <w:r>
        <w:fldChar w:fldCharType="end"/>
      </w:r>
      <w:r>
        <w:t>) because:</w:t>
      </w:r>
    </w:p>
    <w:p w14:paraId="02538A17" w14:textId="77777777" w:rsidR="00D0335E" w:rsidRPr="005525CF" w:rsidRDefault="00D0335E" w:rsidP="00D0335E">
      <w:pPr>
        <w:pStyle w:val="NDISSubparagraph"/>
      </w:pPr>
      <w:r>
        <w:t xml:space="preserve">the </w:t>
      </w:r>
      <w:r w:rsidRPr="005525CF">
        <w:t xml:space="preserve">participant was residing there before </w:t>
      </w:r>
      <w:r>
        <w:t>any determination was made under this Part in relation to the participant</w:t>
      </w:r>
      <w:r w:rsidRPr="005525CF">
        <w:t>; or</w:t>
      </w:r>
    </w:p>
    <w:p w14:paraId="59E54B0D" w14:textId="77777777" w:rsidR="00D0335E" w:rsidRDefault="00D0335E" w:rsidP="00D0335E">
      <w:pPr>
        <w:pStyle w:val="NDISSubparagraph"/>
      </w:pPr>
      <w:r w:rsidRPr="005525CF">
        <w:t>th</w:t>
      </w:r>
      <w:r>
        <w:t>e participant moved there in accordance with an earlier determination under this Part; and</w:t>
      </w:r>
    </w:p>
    <w:p w14:paraId="4C7D227E" w14:textId="77777777" w:rsidR="00D0335E" w:rsidRDefault="00D0335E" w:rsidP="00D0335E">
      <w:pPr>
        <w:pStyle w:val="NDISParagraph"/>
      </w:pPr>
      <w:r>
        <w:t>the participant wishes to continue to reside there for a period of time; then</w:t>
      </w:r>
    </w:p>
    <w:p w14:paraId="77A11469" w14:textId="610A9048" w:rsidR="00D0335E" w:rsidRDefault="00D0335E" w:rsidP="00D0335E">
      <w:pPr>
        <w:pStyle w:val="NDISParagraph"/>
        <w:numPr>
          <w:ilvl w:val="0"/>
          <w:numId w:val="0"/>
        </w:numPr>
        <w:ind w:left="720" w:firstLine="153"/>
      </w:pPr>
      <w:r>
        <w:t xml:space="preserve">the dwelling in which the participant currently resides may be determined for   the participant so that the participant can continue to reside there.  </w:t>
      </w:r>
    </w:p>
    <w:p w14:paraId="6D4E133D" w14:textId="6744F961" w:rsidR="00C55EB4" w:rsidRDefault="00C55EB4" w:rsidP="00D0335E">
      <w:pPr>
        <w:pStyle w:val="NDISParagraph"/>
        <w:numPr>
          <w:ilvl w:val="0"/>
          <w:numId w:val="0"/>
        </w:numPr>
        <w:ind w:left="720" w:firstLine="153"/>
      </w:pPr>
    </w:p>
    <w:p w14:paraId="5C1FDF92" w14:textId="77777777" w:rsidR="00C55EB4" w:rsidRDefault="00C55EB4" w:rsidP="00D0335E">
      <w:pPr>
        <w:pStyle w:val="NDISParagraph"/>
        <w:numPr>
          <w:ilvl w:val="0"/>
          <w:numId w:val="0"/>
        </w:numPr>
        <w:ind w:left="720" w:firstLine="153"/>
      </w:pPr>
    </w:p>
    <w:p w14:paraId="7998FBC6" w14:textId="77777777" w:rsidR="00D0335E" w:rsidRPr="00F24F80" w:rsidRDefault="00D0335E" w:rsidP="00D0335E">
      <w:pPr>
        <w:pStyle w:val="ItemHead"/>
      </w:pPr>
    </w:p>
    <w:p w14:paraId="7CFFD00A" w14:textId="03A6A6D2" w:rsidR="00D0335E" w:rsidRPr="00C55EB4" w:rsidRDefault="00C55EB4" w:rsidP="00C55EB4">
      <w:pPr>
        <w:spacing w:after="240"/>
        <w:ind w:left="6480" w:firstLine="720"/>
        <w:contextualSpacing/>
        <w:jc w:val="both"/>
        <w:rPr>
          <w:b/>
          <w:bCs/>
          <w:sz w:val="24"/>
          <w:szCs w:val="24"/>
          <w:u w:val="single"/>
        </w:rPr>
      </w:pPr>
      <w:r>
        <w:rPr>
          <w:b/>
          <w:bCs/>
          <w:sz w:val="24"/>
          <w:szCs w:val="24"/>
          <w:u w:val="single"/>
        </w:rPr>
        <w:t>ATT</w:t>
      </w:r>
      <w:r w:rsidRPr="003D0424">
        <w:rPr>
          <w:b/>
          <w:bCs/>
          <w:sz w:val="24"/>
          <w:szCs w:val="24"/>
          <w:u w:val="single"/>
        </w:rPr>
        <w:t xml:space="preserve">ACH </w:t>
      </w:r>
      <w:r w:rsidR="009429D9">
        <w:rPr>
          <w:b/>
          <w:bCs/>
          <w:sz w:val="24"/>
          <w:szCs w:val="24"/>
          <w:u w:val="single"/>
        </w:rPr>
        <w:t>4</w:t>
      </w:r>
    </w:p>
    <w:p w14:paraId="7CDD0C3C" w14:textId="77777777" w:rsidR="00D0335E" w:rsidRPr="00C36D22" w:rsidRDefault="00D0335E" w:rsidP="00D0335E">
      <w:pPr>
        <w:pStyle w:val="NDISParagraph"/>
        <w:numPr>
          <w:ilvl w:val="0"/>
          <w:numId w:val="0"/>
        </w:numPr>
        <w:tabs>
          <w:tab w:val="left" w:pos="720"/>
        </w:tabs>
        <w:ind w:left="567"/>
        <w:rPr>
          <w:b/>
          <w:bCs/>
          <w:sz w:val="28"/>
          <w:szCs w:val="28"/>
          <w:u w:val="single"/>
        </w:rPr>
      </w:pPr>
      <w:r w:rsidRPr="00C36D22">
        <w:rPr>
          <w:b/>
          <w:bCs/>
          <w:sz w:val="28"/>
          <w:szCs w:val="28"/>
          <w:u w:val="single"/>
        </w:rPr>
        <w:t>NDIS Pricing arrangement for SDA 2021-2022</w:t>
      </w:r>
    </w:p>
    <w:p w14:paraId="472B5CB2" w14:textId="77777777" w:rsidR="00D0335E" w:rsidRPr="006D7785" w:rsidRDefault="00D0335E" w:rsidP="00D0335E">
      <w:pPr>
        <w:pStyle w:val="Heading2"/>
      </w:pPr>
      <w:bookmarkStart w:id="1" w:name="_Toc76025023"/>
      <w:r w:rsidRPr="006D7785">
        <w:t>Relatives of participants who provide SDA</w:t>
      </w:r>
      <w:bookmarkEnd w:id="1"/>
    </w:p>
    <w:p w14:paraId="658FFF17" w14:textId="77777777" w:rsidR="00D0335E" w:rsidRPr="006D7785" w:rsidRDefault="00D0335E" w:rsidP="00D0335E">
      <w:pPr>
        <w:pStyle w:val="ListParagraph"/>
        <w:numPr>
          <w:ilvl w:val="0"/>
          <w:numId w:val="3"/>
        </w:numPr>
      </w:pPr>
      <w:r w:rsidRPr="006D7785">
        <w:t>The Gifts, Benefits and Commissions requirements in the Terms of Business for Registered Providers do not apply to a Registered Provider of SDA who provides SDA to a participant who is also a family member.</w:t>
      </w:r>
    </w:p>
    <w:p w14:paraId="6039FACF" w14:textId="77777777" w:rsidR="00D0335E" w:rsidRPr="00C36D22" w:rsidRDefault="00D0335E" w:rsidP="00D0335E">
      <w:pPr>
        <w:pStyle w:val="ListParagraph"/>
        <w:numPr>
          <w:ilvl w:val="0"/>
          <w:numId w:val="3"/>
        </w:numPr>
        <w:rPr>
          <w:b/>
          <w:bCs/>
        </w:rPr>
      </w:pPr>
      <w:r w:rsidRPr="00C36D22">
        <w:rPr>
          <w:b/>
          <w:bCs/>
        </w:rPr>
        <w:t xml:space="preserve">In these cases, registered providers of SDA </w:t>
      </w:r>
      <w:r w:rsidRPr="00183D92">
        <w:rPr>
          <w:b/>
          <w:bCs/>
          <w:u w:val="single"/>
        </w:rPr>
        <w:t>may have a financial or other personal</w:t>
      </w:r>
      <w:r w:rsidRPr="00C36D22">
        <w:rPr>
          <w:b/>
          <w:bCs/>
        </w:rPr>
        <w:t xml:space="preserve"> </w:t>
      </w:r>
      <w:r w:rsidRPr="00183D92">
        <w:rPr>
          <w:b/>
          <w:bCs/>
          <w:u w:val="single"/>
        </w:rPr>
        <w:t>interest d</w:t>
      </w:r>
      <w:r w:rsidRPr="00C36D22">
        <w:rPr>
          <w:b/>
          <w:bCs/>
          <w:u w:val="single"/>
        </w:rPr>
        <w:t>irectly or indirectly related to the benefit they receive from providing SDA</w:t>
      </w:r>
      <w:r w:rsidRPr="00C36D22">
        <w:rPr>
          <w:b/>
          <w:bCs/>
        </w:rPr>
        <w:t>.</w:t>
      </w:r>
    </w:p>
    <w:p w14:paraId="630B6C64" w14:textId="5D90A2D1" w:rsidR="00C55EB4" w:rsidRDefault="00D0335E" w:rsidP="00C55EB4">
      <w:pPr>
        <w:pStyle w:val="ListParagraph"/>
        <w:numPr>
          <w:ilvl w:val="0"/>
          <w:numId w:val="3"/>
        </w:numPr>
      </w:pPr>
      <w:r w:rsidRPr="006D7785">
        <w:t>Registered Providers of SDA who are providing SDA to a family member must not compromise</w:t>
      </w:r>
      <w:r w:rsidR="00C55EB4" w:rsidRPr="00C55EB4">
        <w:t xml:space="preserve"> </w:t>
      </w:r>
      <w:r w:rsidR="00C55EB4" w:rsidRPr="006D7785">
        <w:t>the participant’s choice of SDA or other supports.</w:t>
      </w:r>
    </w:p>
    <w:p w14:paraId="1F1952BA" w14:textId="4DD0BC01" w:rsidR="00C55EB4" w:rsidRDefault="00D0335E" w:rsidP="00D0335E">
      <w:pPr>
        <w:jc w:val="both"/>
      </w:pPr>
      <w:r w:rsidRPr="006D7785">
        <w:t xml:space="preserve"> </w:t>
      </w:r>
    </w:p>
    <w:p w14:paraId="5BC955A4" w14:textId="55E76844" w:rsidR="00C55EB4" w:rsidRDefault="00C55EB4" w:rsidP="00D0335E">
      <w:pPr>
        <w:jc w:val="both"/>
      </w:pPr>
    </w:p>
    <w:p w14:paraId="2997E3ED" w14:textId="430FD22A" w:rsidR="00C55EB4" w:rsidRDefault="00C55EB4" w:rsidP="00D0335E">
      <w:pPr>
        <w:jc w:val="both"/>
      </w:pPr>
    </w:p>
    <w:p w14:paraId="50FE71A5" w14:textId="4C5A9F5B" w:rsidR="00C55EB4" w:rsidRDefault="00C55EB4" w:rsidP="00D0335E">
      <w:pPr>
        <w:jc w:val="both"/>
      </w:pPr>
    </w:p>
    <w:p w14:paraId="4BA04CC9" w14:textId="5FAE95FB" w:rsidR="00C55EB4" w:rsidRDefault="00C55EB4" w:rsidP="00D0335E">
      <w:pPr>
        <w:jc w:val="both"/>
      </w:pPr>
    </w:p>
    <w:p w14:paraId="47BCABA7" w14:textId="2C120DF8" w:rsidR="00C55EB4" w:rsidRDefault="00C55EB4" w:rsidP="00D0335E">
      <w:pPr>
        <w:jc w:val="both"/>
      </w:pPr>
    </w:p>
    <w:p w14:paraId="4BAEB6F0" w14:textId="08ACF8D9" w:rsidR="00C55EB4" w:rsidRDefault="00C55EB4" w:rsidP="00D0335E">
      <w:pPr>
        <w:jc w:val="both"/>
      </w:pPr>
    </w:p>
    <w:p w14:paraId="6ED34045" w14:textId="77777777" w:rsidR="00C55EB4" w:rsidRDefault="00C55EB4" w:rsidP="00D0335E">
      <w:pPr>
        <w:jc w:val="both"/>
      </w:pPr>
    </w:p>
    <w:p w14:paraId="4C03BE62" w14:textId="495D019B" w:rsidR="00C55EB4" w:rsidRPr="003D0424" w:rsidRDefault="00C55EB4" w:rsidP="00C55EB4">
      <w:pPr>
        <w:spacing w:after="240"/>
        <w:ind w:left="6480" w:firstLine="720"/>
        <w:contextualSpacing/>
        <w:jc w:val="both"/>
        <w:rPr>
          <w:b/>
          <w:bCs/>
          <w:sz w:val="24"/>
          <w:szCs w:val="24"/>
          <w:u w:val="single"/>
        </w:rPr>
      </w:pPr>
      <w:r>
        <w:rPr>
          <w:b/>
          <w:bCs/>
          <w:sz w:val="24"/>
          <w:szCs w:val="24"/>
          <w:u w:val="single"/>
        </w:rPr>
        <w:lastRenderedPageBreak/>
        <w:t>ATT</w:t>
      </w:r>
      <w:r w:rsidRPr="003D0424">
        <w:rPr>
          <w:b/>
          <w:bCs/>
          <w:sz w:val="24"/>
          <w:szCs w:val="24"/>
          <w:u w:val="single"/>
        </w:rPr>
        <w:t xml:space="preserve">ACH </w:t>
      </w:r>
      <w:r w:rsidR="009429D9">
        <w:rPr>
          <w:b/>
          <w:bCs/>
          <w:sz w:val="24"/>
          <w:szCs w:val="24"/>
          <w:u w:val="single"/>
        </w:rPr>
        <w:t>5</w:t>
      </w:r>
    </w:p>
    <w:p w14:paraId="4C62007E" w14:textId="77777777" w:rsidR="00C55EB4" w:rsidRDefault="00C55EB4" w:rsidP="00D0335E">
      <w:pPr>
        <w:jc w:val="both"/>
      </w:pPr>
    </w:p>
    <w:p w14:paraId="6B631B8C" w14:textId="29877360" w:rsidR="00D93D17" w:rsidRPr="00D93D17" w:rsidRDefault="00D93D17" w:rsidP="00D0335E">
      <w:pPr>
        <w:jc w:val="both"/>
        <w:rPr>
          <w:rFonts w:asciiTheme="majorHAnsi" w:eastAsiaTheme="majorEastAsia" w:hAnsiTheme="majorHAnsi" w:cstheme="majorBidi"/>
          <w:bCs/>
          <w:color w:val="1F3763" w:themeColor="accent1" w:themeShade="7F"/>
          <w:u w:val="single"/>
        </w:rPr>
      </w:pPr>
      <w:r w:rsidRPr="00D93D17">
        <w:rPr>
          <w:rStyle w:val="BookTitle"/>
          <w:rFonts w:ascii="Arial" w:hAnsi="Arial" w:cs="Arial"/>
          <w:b/>
        </w:rPr>
        <w:t>Ref. OG SDA DOCS</w:t>
      </w:r>
      <w:r w:rsidRPr="00D93D17">
        <w:rPr>
          <w:rStyle w:val="BookTitle"/>
          <w:rFonts w:ascii="Arial" w:hAnsi="Arial" w:cs="Arial"/>
          <w:b/>
        </w:rPr>
        <w:tab/>
      </w:r>
      <w:r w:rsidRPr="00D93D17">
        <w:rPr>
          <w:rStyle w:val="BookTitle"/>
          <w:rFonts w:ascii="Arial" w:hAnsi="Arial" w:cs="Arial"/>
          <w:b/>
        </w:rPr>
        <w:tab/>
      </w:r>
      <w:r w:rsidRPr="00D93D17">
        <w:rPr>
          <w:rStyle w:val="BookTitle"/>
          <w:rFonts w:ascii="Arial" w:hAnsi="Arial" w:cs="Arial"/>
          <w:b/>
        </w:rPr>
        <w:tab/>
      </w:r>
      <w:r w:rsidRPr="00D93D17">
        <w:rPr>
          <w:rStyle w:val="BookTitle"/>
          <w:rFonts w:ascii="Arial" w:hAnsi="Arial" w:cs="Arial"/>
          <w:b/>
        </w:rPr>
        <w:tab/>
      </w:r>
      <w:r w:rsidRPr="00D93D17">
        <w:rPr>
          <w:rStyle w:val="BookTitle"/>
          <w:rFonts w:ascii="Arial" w:hAnsi="Arial" w:cs="Arial"/>
          <w:b/>
        </w:rPr>
        <w:tab/>
      </w:r>
      <w:r w:rsidRPr="00D93D17">
        <w:rPr>
          <w:rStyle w:val="BookTitle"/>
          <w:rFonts w:ascii="Arial" w:hAnsi="Arial" w:cs="Arial"/>
          <w:b/>
        </w:rPr>
        <w:tab/>
      </w:r>
      <w:r w:rsidRPr="00D93D17">
        <w:rPr>
          <w:rStyle w:val="BookTitle"/>
          <w:rFonts w:ascii="Arial" w:hAnsi="Arial" w:cs="Arial"/>
          <w:b/>
        </w:rPr>
        <w:tab/>
      </w:r>
    </w:p>
    <w:p w14:paraId="5424CAE3" w14:textId="77777777" w:rsidR="00D93D17" w:rsidRPr="004C1BB0" w:rsidRDefault="00D93D17" w:rsidP="00D93D17">
      <w:pPr>
        <w:pStyle w:val="Heading3"/>
        <w:rPr>
          <w:b/>
          <w:bCs/>
          <w:u w:val="single"/>
        </w:rPr>
      </w:pPr>
      <w:r w:rsidRPr="004C1BB0">
        <w:rPr>
          <w:b/>
          <w:bCs/>
          <w:u w:val="single"/>
        </w:rPr>
        <w:t>How do you get funding to keep living in SDA?</w:t>
      </w:r>
    </w:p>
    <w:p w14:paraId="22883837" w14:textId="77777777" w:rsidR="00D93D17" w:rsidRDefault="00D93D17" w:rsidP="00D93D17">
      <w:r>
        <w:t>If you already live in SDA, then you don’t need your eligibility tested again.</w:t>
      </w:r>
    </w:p>
    <w:p w14:paraId="5EE14FF9" w14:textId="77777777" w:rsidR="00D93D17" w:rsidRDefault="00D93D17" w:rsidP="00D93D17">
      <w:r>
        <w:t>But if you currently live in Basic SDA, we’ll work out a design category, building type, and location in your plan that’s best for you.</w:t>
      </w:r>
    </w:p>
    <w:p w14:paraId="04C5F3EE" w14:textId="77777777" w:rsidR="00D93D17" w:rsidRDefault="00D93D17" w:rsidP="00D93D17">
      <w:r>
        <w:t>We’ll ask you to confirm if you want to stay in your current home, or if you’re thinking about moving.</w:t>
      </w:r>
    </w:p>
    <w:p w14:paraId="392B973A" w14:textId="77777777" w:rsidR="00D93D17" w:rsidRDefault="00D93D17" w:rsidP="00D93D17">
      <w:r>
        <w:t>If you want to move into another home, we’ll make a decision on what is reasonable and necessary to fund. We look at your needs if you want to move into something more expensive or a place with different features.</w:t>
      </w:r>
    </w:p>
    <w:p w14:paraId="58555486" w14:textId="6D4BA075" w:rsidR="00D93D17" w:rsidRDefault="00D93D17" w:rsidP="00D93D17">
      <w:r>
        <w:t>Once SDA is in your plan, it won’t be removed unless you request this (or in some very rare circumstances). But the amount of money funded in each plan may change based on your needs.</w:t>
      </w:r>
    </w:p>
    <w:p w14:paraId="09579886" w14:textId="231D694D" w:rsidR="00F24F80" w:rsidRDefault="00F24F80" w:rsidP="00D93D17"/>
    <w:p w14:paraId="3A5D79C0" w14:textId="2F149F3B" w:rsidR="00C55EB4" w:rsidRDefault="00C55EB4" w:rsidP="00D93D17"/>
    <w:p w14:paraId="452D642A" w14:textId="77777777" w:rsidR="00C55EB4" w:rsidRDefault="00C55EB4" w:rsidP="00D93D17"/>
    <w:p w14:paraId="02DA603D" w14:textId="5775131E" w:rsidR="005054C5" w:rsidRPr="00282E7A" w:rsidRDefault="005054C5" w:rsidP="005054C5">
      <w:pPr>
        <w:jc w:val="center"/>
        <w:rPr>
          <w:b/>
          <w:bCs/>
          <w:sz w:val="28"/>
          <w:szCs w:val="28"/>
          <w:u w:val="single"/>
          <w:lang w:val="en"/>
        </w:rPr>
      </w:pPr>
      <w:r>
        <w:rPr>
          <w:b/>
          <w:bCs/>
          <w:sz w:val="24"/>
          <w:szCs w:val="24"/>
        </w:rPr>
        <w:t xml:space="preserve">                                                                                                                                         </w:t>
      </w:r>
      <w:r w:rsidRPr="002C6749">
        <w:rPr>
          <w:b/>
          <w:bCs/>
          <w:sz w:val="24"/>
          <w:szCs w:val="24"/>
        </w:rPr>
        <w:t xml:space="preserve">ATTACH </w:t>
      </w:r>
      <w:r w:rsidR="009429D9">
        <w:rPr>
          <w:b/>
          <w:bCs/>
          <w:sz w:val="24"/>
          <w:szCs w:val="24"/>
        </w:rPr>
        <w:t>6</w:t>
      </w:r>
      <w:r>
        <w:rPr>
          <w:b/>
          <w:bCs/>
          <w:sz w:val="24"/>
          <w:szCs w:val="24"/>
        </w:rPr>
        <w:t xml:space="preserve">                                                                                                                                            </w:t>
      </w:r>
      <w:r w:rsidRPr="00282E7A">
        <w:rPr>
          <w:b/>
          <w:bCs/>
          <w:sz w:val="28"/>
          <w:szCs w:val="28"/>
          <w:u w:val="single"/>
          <w:lang w:val="en"/>
        </w:rPr>
        <w:t>Ref. Specialist Disability Accommodation pricing and Payment Framework</w:t>
      </w:r>
    </w:p>
    <w:p w14:paraId="0EAABB50" w14:textId="77777777" w:rsidR="005054C5" w:rsidRDefault="005054C5" w:rsidP="005054C5">
      <w:pPr>
        <w:jc w:val="center"/>
        <w:rPr>
          <w:b/>
          <w:bCs/>
          <w:sz w:val="24"/>
          <w:szCs w:val="24"/>
          <w:u w:val="single"/>
          <w:lang w:val="en"/>
        </w:rPr>
      </w:pPr>
      <w:r>
        <w:rPr>
          <w:b/>
          <w:bCs/>
          <w:sz w:val="24"/>
          <w:szCs w:val="24"/>
          <w:u w:val="single"/>
          <w:lang w:val="en"/>
        </w:rPr>
        <w:t>Part 3. For whom in what circumstances.</w:t>
      </w:r>
    </w:p>
    <w:p w14:paraId="46E0938D" w14:textId="77777777" w:rsidR="005054C5" w:rsidRDefault="005054C5" w:rsidP="005054C5">
      <w:pPr>
        <w:rPr>
          <w:b/>
          <w:bCs/>
          <w:sz w:val="24"/>
          <w:szCs w:val="24"/>
          <w:u w:val="single"/>
          <w:lang w:val="en"/>
        </w:rPr>
      </w:pPr>
      <w:r>
        <w:rPr>
          <w:b/>
          <w:bCs/>
          <w:sz w:val="24"/>
          <w:szCs w:val="24"/>
          <w:u w:val="single"/>
          <w:lang w:val="en"/>
        </w:rPr>
        <w:t>Participants for whom specialist disability accommodation is reasonable and necessary.</w:t>
      </w:r>
    </w:p>
    <w:p w14:paraId="30896E80" w14:textId="77777777" w:rsidR="005054C5" w:rsidRDefault="005054C5" w:rsidP="005054C5">
      <w:pPr>
        <w:rPr>
          <w:sz w:val="24"/>
          <w:szCs w:val="24"/>
          <w:lang w:val="en"/>
        </w:rPr>
      </w:pPr>
      <w:r w:rsidRPr="00282E7A">
        <w:rPr>
          <w:sz w:val="24"/>
          <w:szCs w:val="24"/>
          <w:lang w:val="en"/>
        </w:rPr>
        <w:t xml:space="preserve">60. </w:t>
      </w:r>
      <w:r>
        <w:rPr>
          <w:sz w:val="24"/>
          <w:szCs w:val="24"/>
          <w:lang w:val="en"/>
        </w:rPr>
        <w:t>The NDIS will support specialist disability accommodation, including for: -                          a) *participants in existing supported accommodation, such as group homes, large residential centres, cluster or village-based accommodation.                                                   *Including participants with psycho-social disability.</w:t>
      </w:r>
    </w:p>
    <w:p w14:paraId="2360FC05" w14:textId="77777777" w:rsidR="005054C5" w:rsidRDefault="005054C5" w:rsidP="005054C5">
      <w:pPr>
        <w:rPr>
          <w:sz w:val="24"/>
          <w:szCs w:val="24"/>
          <w:lang w:val="en"/>
        </w:rPr>
      </w:pPr>
      <w:r>
        <w:rPr>
          <w:sz w:val="24"/>
          <w:szCs w:val="24"/>
          <w:lang w:val="en"/>
        </w:rPr>
        <w:t>61. Funding to support participants who require specialist disability accommodation will be available, if it is reasonable and necessary, for: - a) participants who are currently in specialist supported accommodation and wish to stay there.</w:t>
      </w:r>
    </w:p>
    <w:p w14:paraId="2387AAD5" w14:textId="77777777" w:rsidR="00F24F80" w:rsidRDefault="005054C5" w:rsidP="005054C5">
      <w:pPr>
        <w:pStyle w:val="paragraph"/>
        <w:rPr>
          <w:sz w:val="24"/>
          <w:szCs w:val="24"/>
        </w:rPr>
      </w:pPr>
      <w:r>
        <w:rPr>
          <w:sz w:val="24"/>
          <w:szCs w:val="24"/>
        </w:rPr>
        <w:t>62. People residing in supported accommodation have already established, through State</w:t>
      </w:r>
      <w:r w:rsidR="00F24F80">
        <w:rPr>
          <w:sz w:val="24"/>
          <w:szCs w:val="24"/>
        </w:rPr>
        <w:t xml:space="preserve"> </w:t>
      </w:r>
      <w:r>
        <w:rPr>
          <w:sz w:val="24"/>
          <w:szCs w:val="24"/>
        </w:rPr>
        <w:t xml:space="preserve">processes, a need for reasonable and necessary based supports, but this requires confirmation by the NDIA. It is envisaged that at a minimum, funding for specialist disability accommodation will fund current clients in the existing stock of supported accommodation.   </w:t>
      </w:r>
    </w:p>
    <w:p w14:paraId="356CB334" w14:textId="77777777" w:rsidR="00EC3CAA" w:rsidRDefault="00EC3CAA" w:rsidP="00EC3CAA">
      <w:pPr>
        <w:rPr>
          <w:sz w:val="24"/>
          <w:szCs w:val="24"/>
        </w:rPr>
      </w:pPr>
    </w:p>
    <w:p w14:paraId="3175799C" w14:textId="77777777" w:rsidR="00D0335E" w:rsidRDefault="00D0335E" w:rsidP="00EC3CAA">
      <w:pPr>
        <w:pStyle w:val="NDISSubsection"/>
        <w:numPr>
          <w:ilvl w:val="0"/>
          <w:numId w:val="0"/>
        </w:numPr>
        <w:ind w:left="6741" w:firstLine="459"/>
        <w:rPr>
          <w:b/>
          <w:bCs/>
        </w:rPr>
      </w:pPr>
    </w:p>
    <w:p w14:paraId="2E8205BF" w14:textId="77777777" w:rsidR="00D0335E" w:rsidRDefault="00D0335E" w:rsidP="00EC3CAA">
      <w:pPr>
        <w:pStyle w:val="NDISSubsection"/>
        <w:numPr>
          <w:ilvl w:val="0"/>
          <w:numId w:val="0"/>
        </w:numPr>
        <w:ind w:left="6741" w:firstLine="459"/>
        <w:rPr>
          <w:b/>
          <w:bCs/>
        </w:rPr>
      </w:pPr>
    </w:p>
    <w:p w14:paraId="38F58D61" w14:textId="146C70F4" w:rsidR="00F24F80" w:rsidRDefault="00F24F80" w:rsidP="00F24F80">
      <w:pPr>
        <w:rPr>
          <w:b/>
          <w:bCs/>
          <w:u w:val="single"/>
        </w:rPr>
      </w:pPr>
    </w:p>
    <w:p w14:paraId="2493547A" w14:textId="31A1BD47" w:rsidR="001846F4" w:rsidRPr="002C6749" w:rsidRDefault="001846F4" w:rsidP="001846F4">
      <w:pPr>
        <w:ind w:left="7200" w:firstLine="720"/>
        <w:rPr>
          <w:b/>
          <w:bCs/>
          <w:sz w:val="24"/>
          <w:szCs w:val="24"/>
          <w:u w:val="single"/>
        </w:rPr>
      </w:pPr>
      <w:r w:rsidRPr="002C6749">
        <w:rPr>
          <w:b/>
          <w:bCs/>
          <w:sz w:val="24"/>
          <w:szCs w:val="24"/>
          <w:u w:val="single"/>
        </w:rPr>
        <w:lastRenderedPageBreak/>
        <w:t xml:space="preserve">ATTACH </w:t>
      </w:r>
      <w:r>
        <w:rPr>
          <w:b/>
          <w:bCs/>
          <w:sz w:val="24"/>
          <w:szCs w:val="24"/>
          <w:u w:val="single"/>
        </w:rPr>
        <w:t>7</w:t>
      </w:r>
    </w:p>
    <w:p w14:paraId="431C9407" w14:textId="77777777" w:rsidR="001846F4" w:rsidRPr="002C6749" w:rsidRDefault="001846F4" w:rsidP="001846F4">
      <w:pPr>
        <w:pStyle w:val="subsection"/>
        <w:shd w:val="clear" w:color="auto" w:fill="FFFFFF"/>
        <w:rPr>
          <w:color w:val="000000"/>
          <w:sz w:val="24"/>
          <w:szCs w:val="24"/>
          <w:u w:val="single"/>
        </w:rPr>
      </w:pPr>
    </w:p>
    <w:p w14:paraId="3A67A3DD" w14:textId="77777777" w:rsidR="001846F4" w:rsidRPr="00C91C3B" w:rsidRDefault="001846F4" w:rsidP="001846F4">
      <w:pPr>
        <w:rPr>
          <w:b/>
          <w:bCs/>
          <w:sz w:val="28"/>
          <w:szCs w:val="28"/>
        </w:rPr>
      </w:pPr>
      <w:r w:rsidRPr="00C91C3B">
        <w:rPr>
          <w:b/>
          <w:bCs/>
          <w:sz w:val="28"/>
          <w:szCs w:val="28"/>
        </w:rPr>
        <w:t>Ref. 97-109a098</w:t>
      </w:r>
    </w:p>
    <w:p w14:paraId="35062E87" w14:textId="77777777" w:rsidR="001846F4" w:rsidRPr="00C91C3B" w:rsidRDefault="001846F4" w:rsidP="001846F4">
      <w:pPr>
        <w:pStyle w:val="DraftHeading1"/>
        <w:tabs>
          <w:tab w:val="right" w:pos="680"/>
        </w:tabs>
        <w:ind w:left="1176" w:hanging="1176"/>
        <w:rPr>
          <w:bCs/>
          <w:sz w:val="28"/>
          <w:szCs w:val="28"/>
          <w:u w:val="single"/>
        </w:rPr>
      </w:pPr>
      <w:r w:rsidRPr="00C91C3B">
        <w:rPr>
          <w:bCs/>
          <w:sz w:val="28"/>
          <w:szCs w:val="28"/>
          <w:u w:val="single"/>
        </w:rPr>
        <w:tab/>
      </w:r>
      <w:bookmarkStart w:id="2" w:name="_Toc68086390"/>
      <w:r w:rsidRPr="00C91C3B">
        <w:rPr>
          <w:bCs/>
          <w:sz w:val="28"/>
          <w:szCs w:val="28"/>
          <w:u w:val="single"/>
        </w:rPr>
        <w:t>498ZZZR</w:t>
      </w:r>
      <w:r w:rsidRPr="00C91C3B">
        <w:rPr>
          <w:bCs/>
          <w:sz w:val="28"/>
          <w:szCs w:val="28"/>
          <w:u w:val="single"/>
        </w:rPr>
        <w:tab/>
        <w:t>Offence to persuade person not to exercise rights or take proceedings</w:t>
      </w:r>
      <w:bookmarkEnd w:id="2"/>
    </w:p>
    <w:p w14:paraId="4933B155" w14:textId="77777777" w:rsidR="001846F4" w:rsidRPr="00C91C3B" w:rsidRDefault="001846F4" w:rsidP="001846F4">
      <w:pPr>
        <w:pStyle w:val="BodySectionSub"/>
        <w:rPr>
          <w:b/>
          <w:bCs/>
          <w:sz w:val="28"/>
          <w:szCs w:val="28"/>
        </w:rPr>
      </w:pPr>
      <w:r w:rsidRPr="00C91C3B">
        <w:rPr>
          <w:b/>
          <w:bCs/>
          <w:sz w:val="28"/>
          <w:szCs w:val="28"/>
        </w:rPr>
        <w:t>A person must not, in relation to an SDA residency agreement, a proposed SDA residency agreement or a right under this Part, by threat or intimidation persuade or attempt to persuade a party to the SDA residency agreement or proposed SDA residency agreement not to exercise their rights to take or continue proceedings under this Part.</w:t>
      </w:r>
    </w:p>
    <w:p w14:paraId="5F26DDDF" w14:textId="77777777" w:rsidR="001846F4" w:rsidRPr="00C91C3B" w:rsidRDefault="001846F4" w:rsidP="001846F4">
      <w:pPr>
        <w:pStyle w:val="DraftPenalty2"/>
        <w:tabs>
          <w:tab w:val="clear" w:pos="851"/>
          <w:tab w:val="clear" w:pos="1361"/>
          <w:tab w:val="clear" w:pos="1871"/>
          <w:tab w:val="clear" w:pos="2381"/>
          <w:tab w:val="clear" w:pos="2892"/>
          <w:tab w:val="clear" w:pos="3402"/>
        </w:tabs>
        <w:rPr>
          <w:b/>
          <w:bCs/>
          <w:sz w:val="28"/>
          <w:szCs w:val="28"/>
        </w:rPr>
      </w:pPr>
      <w:r w:rsidRPr="00C91C3B">
        <w:rPr>
          <w:b/>
          <w:bCs/>
          <w:sz w:val="28"/>
          <w:szCs w:val="28"/>
        </w:rPr>
        <w:t>Penalty:</w:t>
      </w:r>
      <w:r w:rsidRPr="00C91C3B">
        <w:rPr>
          <w:b/>
          <w:bCs/>
          <w:sz w:val="28"/>
          <w:szCs w:val="28"/>
        </w:rPr>
        <w:tab/>
        <w:t>300 penalty units in the case of a natural person;</w:t>
      </w:r>
    </w:p>
    <w:p w14:paraId="711AA59A" w14:textId="5E6C580B" w:rsidR="001846F4" w:rsidRPr="00C91C3B" w:rsidRDefault="001846F4" w:rsidP="001846F4">
      <w:pPr>
        <w:pStyle w:val="DraftPenalty2"/>
        <w:tabs>
          <w:tab w:val="clear" w:pos="851"/>
          <w:tab w:val="clear" w:pos="1361"/>
          <w:tab w:val="clear" w:pos="1871"/>
          <w:tab w:val="clear" w:pos="2381"/>
          <w:tab w:val="clear" w:pos="2892"/>
          <w:tab w:val="clear" w:pos="3402"/>
        </w:tabs>
        <w:ind w:firstLine="0"/>
        <w:rPr>
          <w:b/>
          <w:bCs/>
          <w:sz w:val="28"/>
          <w:szCs w:val="28"/>
        </w:rPr>
      </w:pPr>
      <w:r w:rsidRPr="00C91C3B">
        <w:rPr>
          <w:b/>
          <w:bCs/>
          <w:sz w:val="28"/>
          <w:szCs w:val="28"/>
        </w:rPr>
        <w:t>750 penalty units in the case of a body corporate.</w:t>
      </w:r>
    </w:p>
    <w:p w14:paraId="7D7A9401" w14:textId="628CEDC9" w:rsidR="001846F4" w:rsidRPr="00C91C3B" w:rsidRDefault="001846F4" w:rsidP="001846F4">
      <w:pPr>
        <w:rPr>
          <w:b/>
          <w:bCs/>
          <w:sz w:val="28"/>
          <w:szCs w:val="28"/>
        </w:rPr>
      </w:pPr>
    </w:p>
    <w:p w14:paraId="538B28F0" w14:textId="77777777" w:rsidR="001846F4" w:rsidRPr="001846F4" w:rsidRDefault="001846F4" w:rsidP="001846F4"/>
    <w:p w14:paraId="1F360713" w14:textId="77777777" w:rsidR="00C55EB4" w:rsidRDefault="00C55EB4" w:rsidP="00F24F80">
      <w:pPr>
        <w:rPr>
          <w:b/>
          <w:bCs/>
          <w:u w:val="single"/>
        </w:rPr>
      </w:pPr>
    </w:p>
    <w:p w14:paraId="3F3D9D47" w14:textId="50802084" w:rsidR="00F24F80" w:rsidRPr="004166C5" w:rsidRDefault="00F24F80" w:rsidP="00F24F80">
      <w:pPr>
        <w:ind w:left="7200"/>
        <w:rPr>
          <w:b/>
          <w:bCs/>
          <w:sz w:val="24"/>
          <w:szCs w:val="24"/>
          <w:u w:val="single"/>
        </w:rPr>
      </w:pPr>
      <w:r w:rsidRPr="004166C5">
        <w:rPr>
          <w:b/>
          <w:bCs/>
          <w:sz w:val="24"/>
          <w:szCs w:val="24"/>
          <w:u w:val="single"/>
        </w:rPr>
        <w:t xml:space="preserve">ATTACH </w:t>
      </w:r>
      <w:r w:rsidR="001846F4">
        <w:rPr>
          <w:b/>
          <w:bCs/>
          <w:sz w:val="24"/>
          <w:szCs w:val="24"/>
          <w:u w:val="single"/>
        </w:rPr>
        <w:t>8</w:t>
      </w:r>
    </w:p>
    <w:p w14:paraId="39C77ADE" w14:textId="77777777" w:rsidR="00F24F80" w:rsidRDefault="00F24F80" w:rsidP="00F24F80">
      <w:pPr>
        <w:pStyle w:val="subsection"/>
        <w:shd w:val="clear" w:color="auto" w:fill="FFFFFF"/>
        <w:rPr>
          <w:color w:val="000000"/>
          <w:sz w:val="20"/>
          <w:u w:val="single"/>
        </w:rPr>
      </w:pPr>
    </w:p>
    <w:p w14:paraId="34C17AD4" w14:textId="77777777" w:rsidR="00F24F80" w:rsidRPr="00B132AC" w:rsidRDefault="00F24F80" w:rsidP="00F24F80">
      <w:pPr>
        <w:rPr>
          <w:sz w:val="28"/>
          <w:szCs w:val="28"/>
        </w:rPr>
      </w:pPr>
      <w:r w:rsidRPr="00B132AC">
        <w:rPr>
          <w:sz w:val="28"/>
          <w:szCs w:val="28"/>
        </w:rPr>
        <w:t>Ref. 97-109a098</w:t>
      </w:r>
    </w:p>
    <w:p w14:paraId="7D91EB3B" w14:textId="77777777" w:rsidR="00F24F80" w:rsidRDefault="00F24F80" w:rsidP="00F24F80"/>
    <w:p w14:paraId="61FA3CEE" w14:textId="77777777" w:rsidR="00F24F80" w:rsidRPr="00BF0E8C" w:rsidRDefault="00F24F80" w:rsidP="00F24F80"/>
    <w:p w14:paraId="58005219" w14:textId="77777777" w:rsidR="00F24F80" w:rsidRPr="00B132AC" w:rsidRDefault="00F24F80" w:rsidP="00F24F80">
      <w:pPr>
        <w:pStyle w:val="DraftHeading1"/>
        <w:tabs>
          <w:tab w:val="right" w:pos="680"/>
        </w:tabs>
        <w:ind w:left="850" w:hanging="850"/>
        <w:rPr>
          <w:sz w:val="28"/>
          <w:szCs w:val="28"/>
        </w:rPr>
      </w:pPr>
      <w:bookmarkStart w:id="3" w:name="_Toc68086407"/>
      <w:r w:rsidRPr="00B132AC">
        <w:rPr>
          <w:sz w:val="28"/>
          <w:szCs w:val="28"/>
        </w:rPr>
        <w:t>507</w:t>
      </w:r>
      <w:r w:rsidRPr="00B132AC">
        <w:rPr>
          <w:sz w:val="28"/>
          <w:szCs w:val="28"/>
        </w:rPr>
        <w:tab/>
      </w:r>
      <w:r w:rsidRPr="00B132AC">
        <w:rPr>
          <w:sz w:val="28"/>
          <w:szCs w:val="28"/>
        </w:rPr>
        <w:tab/>
        <w:t>Onus of proof that the Act does not apply</w:t>
      </w:r>
      <w:bookmarkEnd w:id="3"/>
    </w:p>
    <w:p w14:paraId="1F5A688B" w14:textId="77777777" w:rsidR="00F24F80" w:rsidRPr="00B132AC" w:rsidRDefault="00F24F80" w:rsidP="00F24F80">
      <w:pPr>
        <w:pStyle w:val="BodySectionSub"/>
        <w:pBdr>
          <w:top w:val="single" w:sz="4" w:space="1" w:color="auto"/>
          <w:left w:val="single" w:sz="4" w:space="4" w:color="auto"/>
          <w:bottom w:val="single" w:sz="4" w:space="1" w:color="auto"/>
          <w:right w:val="single" w:sz="4" w:space="4" w:color="auto"/>
        </w:pBdr>
        <w:rPr>
          <w:b/>
          <w:sz w:val="28"/>
          <w:szCs w:val="28"/>
        </w:rPr>
      </w:pPr>
      <w:r w:rsidRPr="00B132AC">
        <w:rPr>
          <w:b/>
          <w:sz w:val="28"/>
          <w:szCs w:val="28"/>
        </w:rPr>
        <w:t>If, in any proceedings, a person claims that this Act, or a provision of this Act, does not apply in relation to the subject-matter of the proceedings, the onus of proving that this Act or that provision does not so apply lies on that person.</w:t>
      </w:r>
    </w:p>
    <w:p w14:paraId="43012BA9" w14:textId="77777777" w:rsidR="00F24F80" w:rsidRPr="00F24F80" w:rsidRDefault="00F24F80" w:rsidP="00F24F80">
      <w:pPr>
        <w:pStyle w:val="ItemHead"/>
      </w:pPr>
    </w:p>
    <w:p w14:paraId="5AB10549" w14:textId="31D06A38" w:rsidR="005054C5" w:rsidRDefault="005054C5" w:rsidP="005054C5">
      <w:pPr>
        <w:pStyle w:val="paragraph"/>
        <w:rPr>
          <w:sz w:val="24"/>
          <w:szCs w:val="24"/>
        </w:rPr>
      </w:pPr>
      <w:r>
        <w:rPr>
          <w:sz w:val="24"/>
          <w:szCs w:val="24"/>
        </w:rPr>
        <w:t xml:space="preserve">     </w:t>
      </w:r>
    </w:p>
    <w:p w14:paraId="51FA2F2E" w14:textId="77777777" w:rsidR="005054C5" w:rsidRPr="004C1BB0" w:rsidRDefault="005054C5" w:rsidP="00D93D17"/>
    <w:p w14:paraId="2623284D" w14:textId="77777777" w:rsidR="00D93D17" w:rsidRDefault="00D93D17"/>
    <w:sectPr w:rsidR="00D93D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B685" w14:textId="77777777" w:rsidR="00C91C3B" w:rsidRDefault="00C91C3B" w:rsidP="00C91C3B">
      <w:pPr>
        <w:spacing w:after="0" w:line="240" w:lineRule="auto"/>
      </w:pPr>
      <w:r>
        <w:separator/>
      </w:r>
    </w:p>
  </w:endnote>
  <w:endnote w:type="continuationSeparator" w:id="0">
    <w:p w14:paraId="6DAF63B5" w14:textId="77777777" w:rsidR="00C91C3B" w:rsidRDefault="00C91C3B" w:rsidP="00C9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91000"/>
      <w:docPartObj>
        <w:docPartGallery w:val="Page Numbers (Bottom of Page)"/>
        <w:docPartUnique/>
      </w:docPartObj>
    </w:sdtPr>
    <w:sdtEndPr>
      <w:rPr>
        <w:noProof/>
      </w:rPr>
    </w:sdtEndPr>
    <w:sdtContent>
      <w:p w14:paraId="27890DAB" w14:textId="19DA3E9A" w:rsidR="00C91C3B" w:rsidRDefault="00C91C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9AECA" w14:textId="77777777" w:rsidR="00C91C3B" w:rsidRDefault="00C9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D72B" w14:textId="77777777" w:rsidR="00C91C3B" w:rsidRDefault="00C91C3B" w:rsidP="00C91C3B">
      <w:pPr>
        <w:spacing w:after="0" w:line="240" w:lineRule="auto"/>
      </w:pPr>
      <w:r>
        <w:separator/>
      </w:r>
    </w:p>
  </w:footnote>
  <w:footnote w:type="continuationSeparator" w:id="0">
    <w:p w14:paraId="7CC0E235" w14:textId="77777777" w:rsidR="00C91C3B" w:rsidRDefault="00C91C3B" w:rsidP="00C91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A2B94"/>
    <w:multiLevelType w:val="hybridMultilevel"/>
    <w:tmpl w:val="BB763D1E"/>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 w15:restartNumberingAfterBreak="0">
    <w:nsid w:val="72394531"/>
    <w:multiLevelType w:val="multilevel"/>
    <w:tmpl w:val="77AED54C"/>
    <w:lvl w:ilvl="0">
      <w:start w:val="1"/>
      <w:numFmt w:val="none"/>
      <w:suff w:val="nothing"/>
      <w:lvlText w:val=""/>
      <w:lvlJc w:val="left"/>
      <w:pPr>
        <w:ind w:left="0" w:firstLine="0"/>
      </w:pPr>
      <w:rPr>
        <w:rFonts w:hint="default"/>
        <w:b w:val="0"/>
        <w:i w:val="0"/>
        <w:sz w:val="24"/>
      </w:rPr>
    </w:lvl>
    <w:lvl w:ilvl="1">
      <w:start w:val="1"/>
      <w:numFmt w:val="decimal"/>
      <w:pStyle w:val="NDISPart"/>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DISDivision"/>
      <w:lvlText w:val="Division %3"/>
      <w:lvlJc w:val="left"/>
      <w:pPr>
        <w:tabs>
          <w:tab w:val="num" w:pos="1134"/>
        </w:tabs>
        <w:ind w:left="1134" w:hanging="1134"/>
      </w:pPr>
      <w:rPr>
        <w:rFonts w:ascii="Arial Bold" w:hAnsi="Arial Bold" w:hint="default"/>
        <w:b/>
        <w:i w:val="0"/>
        <w:sz w:val="28"/>
      </w:rPr>
    </w:lvl>
    <w:lvl w:ilvl="3">
      <w:start w:val="1"/>
      <w:numFmt w:val="upperLetter"/>
      <w:lvlRestart w:val="2"/>
      <w:pStyle w:val="NDISSubdivision"/>
      <w:lvlText w:val="Subdivision %4"/>
      <w:lvlJc w:val="left"/>
      <w:pPr>
        <w:tabs>
          <w:tab w:val="num" w:pos="1701"/>
        </w:tabs>
        <w:ind w:left="1701" w:hanging="1701"/>
      </w:pPr>
      <w:rPr>
        <w:rFonts w:ascii="Arial Bold" w:hAnsi="Arial Bold" w:hint="default"/>
        <w:b/>
        <w:i w:val="0"/>
        <w:sz w:val="26"/>
      </w:rPr>
    </w:lvl>
    <w:lvl w:ilvl="4">
      <w:start w:val="1"/>
      <w:numFmt w:val="decimal"/>
      <w:lvlRestart w:val="2"/>
      <w:pStyle w:val="NDISSubsection"/>
      <w:lvlText w:val="%2.%5"/>
      <w:lvlJc w:val="left"/>
      <w:pPr>
        <w:tabs>
          <w:tab w:val="num" w:pos="567"/>
        </w:tabs>
        <w:ind w:left="567" w:hanging="567"/>
      </w:pPr>
      <w:rPr>
        <w:rFonts w:ascii="Arial" w:hAnsi="Arial" w:hint="default"/>
        <w:b w:val="0"/>
        <w:i w:val="0"/>
        <w:sz w:val="22"/>
      </w:rPr>
    </w:lvl>
    <w:lvl w:ilvl="5">
      <w:start w:val="1"/>
      <w:numFmt w:val="lowerLetter"/>
      <w:pStyle w:val="NDISParagraph"/>
      <w:lvlText w:val="(%6)"/>
      <w:lvlJc w:val="left"/>
      <w:pPr>
        <w:tabs>
          <w:tab w:val="num" w:pos="1559"/>
        </w:tabs>
        <w:ind w:left="1559" w:hanging="567"/>
      </w:pPr>
      <w:rPr>
        <w:rFonts w:ascii="Arial" w:hAnsi="Arial" w:cs="Arial" w:hint="default"/>
        <w:b w:val="0"/>
        <w:sz w:val="22"/>
        <w:szCs w:val="22"/>
      </w:rPr>
    </w:lvl>
    <w:lvl w:ilvl="6">
      <w:start w:val="1"/>
      <w:numFmt w:val="lowerRoman"/>
      <w:pStyle w:val="NDISSubparagraph"/>
      <w:lvlText w:val="(%7)"/>
      <w:lvlJc w:val="left"/>
      <w:pPr>
        <w:tabs>
          <w:tab w:val="num" w:pos="1701"/>
        </w:tabs>
        <w:ind w:left="1701" w:hanging="567"/>
      </w:pPr>
      <w:rPr>
        <w:rFonts w:ascii="Arial" w:hAnsi="Arial" w:hint="default"/>
        <w:b w:val="0"/>
        <w:i w:val="0"/>
        <w:sz w:val="22"/>
      </w:rPr>
    </w:lvl>
    <w:lvl w:ilvl="7">
      <w:start w:val="1"/>
      <w:numFmt w:val="upperLetter"/>
      <w:pStyle w:val="NDISSubsubparagraph"/>
      <w:lvlText w:val="(%8)"/>
      <w:lvlJc w:val="left"/>
      <w:pPr>
        <w:tabs>
          <w:tab w:val="num" w:pos="2268"/>
        </w:tabs>
        <w:ind w:left="2268" w:hanging="567"/>
      </w:pPr>
      <w:rPr>
        <w:rFonts w:ascii="Arial" w:hAnsi="Arial" w:hint="default"/>
        <w:b w:val="0"/>
        <w:i w:val="0"/>
        <w:sz w:val="22"/>
      </w:rPr>
    </w:lvl>
    <w:lvl w:ilvl="8">
      <w:start w:val="1"/>
      <w:numFmt w:val="upperLetter"/>
      <w:lvlText w:val="(%9)"/>
      <w:lvlJc w:val="left"/>
      <w:pPr>
        <w:tabs>
          <w:tab w:val="num" w:pos="5955"/>
        </w:tabs>
        <w:ind w:left="5955" w:hanging="567"/>
      </w:pPr>
      <w:rPr>
        <w:rFonts w:hint="default"/>
      </w:rPr>
    </w:lvl>
  </w:abstractNum>
  <w:abstractNum w:abstractNumId="3" w15:restartNumberingAfterBreak="0">
    <w:nsid w:val="77AE11EB"/>
    <w:multiLevelType w:val="multilevel"/>
    <w:tmpl w:val="50E036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95"/>
    <w:rsid w:val="000E7AD3"/>
    <w:rsid w:val="001846F4"/>
    <w:rsid w:val="0035517F"/>
    <w:rsid w:val="005054C5"/>
    <w:rsid w:val="0051328B"/>
    <w:rsid w:val="006918AA"/>
    <w:rsid w:val="007349BA"/>
    <w:rsid w:val="007B6295"/>
    <w:rsid w:val="009429D9"/>
    <w:rsid w:val="00C55EB4"/>
    <w:rsid w:val="00C91C3B"/>
    <w:rsid w:val="00D0335E"/>
    <w:rsid w:val="00D93D17"/>
    <w:rsid w:val="00EC3CAA"/>
    <w:rsid w:val="00F146B5"/>
    <w:rsid w:val="00F24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D1E5"/>
  <w15:chartTrackingRefBased/>
  <w15:docId w15:val="{33786526-FE78-4B19-81B1-B32A5611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3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3D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93D17"/>
    <w:rPr>
      <w:rFonts w:asciiTheme="majorHAnsi" w:eastAsiaTheme="majorEastAsia" w:hAnsiTheme="majorHAnsi" w:cstheme="majorBidi"/>
      <w:color w:val="1F3763" w:themeColor="accent1" w:themeShade="7F"/>
      <w:sz w:val="24"/>
      <w:szCs w:val="24"/>
    </w:rPr>
  </w:style>
  <w:style w:type="character" w:styleId="BookTitle">
    <w:name w:val="Book Title"/>
    <w:uiPriority w:val="33"/>
    <w:qFormat/>
    <w:rsid w:val="00D93D17"/>
    <w:rPr>
      <w:i/>
      <w:iCs/>
      <w:smallCaps/>
      <w:spacing w:val="5"/>
    </w:rPr>
  </w:style>
  <w:style w:type="paragraph" w:styleId="ListParagraph">
    <w:name w:val="List Paragraph"/>
    <w:basedOn w:val="Normal"/>
    <w:link w:val="ListParagraphChar"/>
    <w:uiPriority w:val="34"/>
    <w:qFormat/>
    <w:rsid w:val="00D93D17"/>
    <w:pPr>
      <w:spacing w:before="100" w:after="100" w:line="240" w:lineRule="atLeast"/>
    </w:pPr>
  </w:style>
  <w:style w:type="character" w:customStyle="1" w:styleId="ListParagraphChar">
    <w:name w:val="List Paragraph Char"/>
    <w:link w:val="ListParagraph"/>
    <w:uiPriority w:val="34"/>
    <w:locked/>
    <w:rsid w:val="00D93D17"/>
  </w:style>
  <w:style w:type="paragraph" w:customStyle="1" w:styleId="paragraph">
    <w:name w:val="paragraph"/>
    <w:aliases w:val="a"/>
    <w:basedOn w:val="Normal"/>
    <w:link w:val="paragraphChar"/>
    <w:rsid w:val="005054C5"/>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5054C5"/>
    <w:rPr>
      <w:rFonts w:ascii="Times New Roman" w:eastAsia="Times New Roman" w:hAnsi="Times New Roman" w:cs="Times New Roman"/>
      <w:szCs w:val="20"/>
      <w:lang w:eastAsia="en-AU"/>
    </w:rPr>
  </w:style>
  <w:style w:type="paragraph" w:customStyle="1" w:styleId="ActHead6">
    <w:name w:val="ActHead 6"/>
    <w:aliases w:val="as"/>
    <w:basedOn w:val="Normal"/>
    <w:next w:val="Normal"/>
    <w:qFormat/>
    <w:rsid w:val="00F24F80"/>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paragraph" w:customStyle="1" w:styleId="ActHead9">
    <w:name w:val="ActHead 9"/>
    <w:aliases w:val="aat"/>
    <w:basedOn w:val="Normal"/>
    <w:next w:val="Normal"/>
    <w:qFormat/>
    <w:rsid w:val="00F24F80"/>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customStyle="1" w:styleId="CharAmSchNo">
    <w:name w:val="CharAmSchNo"/>
    <w:basedOn w:val="DefaultParagraphFont"/>
    <w:uiPriority w:val="1"/>
    <w:qFormat/>
    <w:rsid w:val="00F24F80"/>
  </w:style>
  <w:style w:type="character" w:customStyle="1" w:styleId="CharAmSchText">
    <w:name w:val="CharAmSchText"/>
    <w:basedOn w:val="DefaultParagraphFont"/>
    <w:uiPriority w:val="1"/>
    <w:qFormat/>
    <w:rsid w:val="00F24F80"/>
  </w:style>
  <w:style w:type="paragraph" w:customStyle="1" w:styleId="Item">
    <w:name w:val="Item"/>
    <w:aliases w:val="i"/>
    <w:basedOn w:val="Normal"/>
    <w:next w:val="ItemHead"/>
    <w:rsid w:val="00F24F80"/>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F24F80"/>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subsection">
    <w:name w:val="subsection"/>
    <w:aliases w:val="ss"/>
    <w:basedOn w:val="Normal"/>
    <w:link w:val="subsectionChar"/>
    <w:rsid w:val="00F24F80"/>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24F80"/>
    <w:rPr>
      <w:rFonts w:ascii="Times New Roman" w:eastAsia="Times New Roman" w:hAnsi="Times New Roman" w:cs="Times New Roman"/>
      <w:szCs w:val="20"/>
      <w:lang w:eastAsia="en-AU"/>
    </w:rPr>
  </w:style>
  <w:style w:type="paragraph" w:customStyle="1" w:styleId="BodySectionSub">
    <w:name w:val="Body Section (Sub)"/>
    <w:next w:val="Normal"/>
    <w:link w:val="BodySectionSubChar"/>
    <w:rsid w:val="00F24F80"/>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rsid w:val="00F24F80"/>
    <w:rPr>
      <w:rFonts w:ascii="Times New Roman" w:eastAsia="Times New Roman" w:hAnsi="Times New Roman" w:cs="Times New Roman"/>
      <w:sz w:val="24"/>
      <w:szCs w:val="20"/>
    </w:rPr>
  </w:style>
  <w:style w:type="paragraph" w:customStyle="1" w:styleId="DraftHeading1">
    <w:name w:val="Draft Heading 1"/>
    <w:basedOn w:val="Normal"/>
    <w:next w:val="Normal"/>
    <w:link w:val="DraftHeading1Char"/>
    <w:rsid w:val="00F24F80"/>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0"/>
    </w:rPr>
  </w:style>
  <w:style w:type="character" w:customStyle="1" w:styleId="DraftHeading1Char">
    <w:name w:val="Draft Heading 1 Char"/>
    <w:basedOn w:val="DefaultParagraphFont"/>
    <w:link w:val="DraftHeading1"/>
    <w:locked/>
    <w:rsid w:val="00F24F80"/>
    <w:rPr>
      <w:rFonts w:ascii="Times New Roman" w:eastAsia="Times New Roman" w:hAnsi="Times New Roman" w:cs="Times New Roman"/>
      <w:b/>
      <w:sz w:val="24"/>
      <w:szCs w:val="20"/>
    </w:rPr>
  </w:style>
  <w:style w:type="paragraph" w:customStyle="1" w:styleId="NDISPart">
    <w:name w:val="NDIS Part"/>
    <w:basedOn w:val="Heading2"/>
    <w:next w:val="NDISDivision"/>
    <w:rsid w:val="00EC3CAA"/>
    <w:pPr>
      <w:pageBreakBefore/>
      <w:numPr>
        <w:ilvl w:val="1"/>
        <w:numId w:val="2"/>
      </w:numPr>
      <w:tabs>
        <w:tab w:val="clear" w:pos="1134"/>
      </w:tabs>
      <w:spacing w:before="0" w:line="280" w:lineRule="atLeast"/>
      <w:ind w:left="1620" w:hanging="360"/>
    </w:pPr>
    <w:rPr>
      <w:rFonts w:ascii="Arial" w:eastAsia="Times New Roman" w:hAnsi="Arial" w:cs="Arial"/>
      <w:b/>
      <w:bCs/>
      <w:iCs/>
      <w:color w:val="auto"/>
      <w:sz w:val="32"/>
      <w:szCs w:val="28"/>
      <w:lang w:eastAsia="en-AU"/>
    </w:rPr>
  </w:style>
  <w:style w:type="paragraph" w:customStyle="1" w:styleId="NDISDivision">
    <w:name w:val="NDIS Division"/>
    <w:basedOn w:val="Heading3"/>
    <w:next w:val="NDISSubdivision"/>
    <w:rsid w:val="00EC3CAA"/>
    <w:pPr>
      <w:numPr>
        <w:ilvl w:val="2"/>
        <w:numId w:val="2"/>
      </w:numPr>
      <w:spacing w:before="480" w:line="280" w:lineRule="atLeast"/>
    </w:pPr>
    <w:rPr>
      <w:rFonts w:ascii="Arial" w:eastAsia="Times New Roman" w:hAnsi="Arial" w:cs="Arial"/>
      <w:b/>
      <w:bCs/>
      <w:color w:val="auto"/>
      <w:sz w:val="28"/>
      <w:szCs w:val="26"/>
      <w:lang w:eastAsia="en-AU"/>
    </w:rPr>
  </w:style>
  <w:style w:type="paragraph" w:customStyle="1" w:styleId="NDISSubsection">
    <w:name w:val="NDIS Subsection"/>
    <w:basedOn w:val="Normal"/>
    <w:rsid w:val="00EC3CAA"/>
    <w:pPr>
      <w:numPr>
        <w:ilvl w:val="4"/>
        <w:numId w:val="2"/>
      </w:numPr>
      <w:spacing w:before="240" w:after="40" w:line="280" w:lineRule="atLeast"/>
    </w:pPr>
    <w:rPr>
      <w:rFonts w:ascii="Arial" w:eastAsia="Times New Roman" w:hAnsi="Arial" w:cs="Arial"/>
      <w:lang w:eastAsia="en-AU"/>
    </w:rPr>
  </w:style>
  <w:style w:type="paragraph" w:customStyle="1" w:styleId="NDISParagraph">
    <w:name w:val="NDIS Paragraph"/>
    <w:basedOn w:val="Normal"/>
    <w:rsid w:val="00EC3CAA"/>
    <w:pPr>
      <w:numPr>
        <w:ilvl w:val="5"/>
        <w:numId w:val="2"/>
      </w:numPr>
      <w:spacing w:before="80" w:after="40" w:line="280" w:lineRule="atLeast"/>
      <w:ind w:left="1134"/>
    </w:pPr>
    <w:rPr>
      <w:rFonts w:ascii="Arial" w:eastAsia="Times New Roman" w:hAnsi="Arial" w:cs="Arial"/>
      <w:lang w:eastAsia="en-AU"/>
    </w:rPr>
  </w:style>
  <w:style w:type="paragraph" w:customStyle="1" w:styleId="NDISSubparagraph">
    <w:name w:val="NDIS Subparagraph"/>
    <w:basedOn w:val="NDISParagraph"/>
    <w:rsid w:val="00EC3CAA"/>
    <w:pPr>
      <w:numPr>
        <w:ilvl w:val="6"/>
      </w:numPr>
    </w:pPr>
  </w:style>
  <w:style w:type="paragraph" w:customStyle="1" w:styleId="NDISSubdivision">
    <w:name w:val="NDIS Subdivision"/>
    <w:basedOn w:val="NDISDivision"/>
    <w:next w:val="NDISSubsection"/>
    <w:rsid w:val="00EC3CAA"/>
    <w:pPr>
      <w:numPr>
        <w:ilvl w:val="3"/>
      </w:numPr>
    </w:pPr>
    <w:rPr>
      <w:sz w:val="26"/>
    </w:rPr>
  </w:style>
  <w:style w:type="paragraph" w:customStyle="1" w:styleId="NDISSubsubparagraph">
    <w:name w:val="NDIS Subsubparagraph"/>
    <w:basedOn w:val="NDISParagraph"/>
    <w:rsid w:val="00EC3CAA"/>
    <w:pPr>
      <w:numPr>
        <w:ilvl w:val="7"/>
      </w:numPr>
    </w:pPr>
  </w:style>
  <w:style w:type="paragraph" w:customStyle="1" w:styleId="NDISSubheading">
    <w:name w:val="NDIS Subheading"/>
    <w:basedOn w:val="NDISDivision"/>
    <w:next w:val="NDISSubsection"/>
    <w:rsid w:val="00EC3CAA"/>
    <w:pPr>
      <w:numPr>
        <w:ilvl w:val="0"/>
        <w:numId w:val="0"/>
      </w:numPr>
      <w:spacing w:before="280"/>
    </w:pPr>
    <w:rPr>
      <w:i/>
      <w:sz w:val="24"/>
    </w:rPr>
  </w:style>
  <w:style w:type="character" w:customStyle="1" w:styleId="Heading2Char">
    <w:name w:val="Heading 2 Char"/>
    <w:basedOn w:val="DefaultParagraphFont"/>
    <w:link w:val="Heading2"/>
    <w:uiPriority w:val="9"/>
    <w:semiHidden/>
    <w:rsid w:val="00EC3CAA"/>
    <w:rPr>
      <w:rFonts w:asciiTheme="majorHAnsi" w:eastAsiaTheme="majorEastAsia" w:hAnsiTheme="majorHAnsi" w:cstheme="majorBidi"/>
      <w:color w:val="2F5496" w:themeColor="accent1" w:themeShade="BF"/>
      <w:sz w:val="26"/>
      <w:szCs w:val="26"/>
    </w:rPr>
  </w:style>
  <w:style w:type="paragraph" w:customStyle="1" w:styleId="DraftPenalty2">
    <w:name w:val="Draft Penalty 2"/>
    <w:basedOn w:val="Normal"/>
    <w:next w:val="Normal"/>
    <w:rsid w:val="001846F4"/>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91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C3B"/>
  </w:style>
  <w:style w:type="paragraph" w:styleId="Footer">
    <w:name w:val="footer"/>
    <w:basedOn w:val="Normal"/>
    <w:link w:val="FooterChar"/>
    <w:uiPriority w:val="99"/>
    <w:unhideWhenUsed/>
    <w:rsid w:val="00C91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Filardo</dc:creator>
  <cp:keywords/>
  <dc:description/>
  <cp:lastModifiedBy>Frank Filardo</cp:lastModifiedBy>
  <cp:revision>9</cp:revision>
  <dcterms:created xsi:type="dcterms:W3CDTF">2021-09-09T01:23:00Z</dcterms:created>
  <dcterms:modified xsi:type="dcterms:W3CDTF">2021-09-09T02:47:00Z</dcterms:modified>
</cp:coreProperties>
</file>