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914" w:rsidRPr="00754FBB" w:rsidRDefault="00DA186E" w:rsidP="004776F6">
      <w:pPr>
        <w:pBdr>
          <w:bottom w:val="single" w:sz="4" w:space="1" w:color="auto"/>
        </w:pBdr>
        <w:rPr>
          <w:sz w:val="28"/>
        </w:rPr>
      </w:pPr>
      <w:bookmarkStart w:id="0" w:name="_GoBack"/>
      <w:bookmarkEnd w:id="0"/>
      <w:r w:rsidRPr="00754FBB">
        <w:rPr>
          <w:noProof/>
          <w:lang w:eastAsia="en-AU"/>
        </w:rPr>
        <w:drawing>
          <wp:inline distT="0" distB="0" distL="0" distR="0" wp14:anchorId="590F3538" wp14:editId="3779785D">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9"/>
      </w:tblGrid>
      <w:tr w:rsidR="00BE0F2B" w:rsidTr="00BE0F2B">
        <w:tc>
          <w:tcPr>
            <w:tcW w:w="5000" w:type="pct"/>
            <w:shd w:val="clear" w:color="auto" w:fill="auto"/>
          </w:tcPr>
          <w:p w:rsidR="00BE0F2B" w:rsidRDefault="00BE0F2B" w:rsidP="00BE0F2B">
            <w:pPr>
              <w:jc w:val="center"/>
              <w:rPr>
                <w:b/>
                <w:sz w:val="26"/>
              </w:rPr>
            </w:pPr>
            <w:r>
              <w:rPr>
                <w:b/>
                <w:sz w:val="26"/>
              </w:rPr>
              <w:t>EXPOSURE DRAFT</w:t>
            </w:r>
          </w:p>
          <w:p w:rsidR="00BE0F2B" w:rsidRPr="00BE0F2B" w:rsidRDefault="00BE0F2B" w:rsidP="00BE0F2B">
            <w:pPr>
              <w:rPr>
                <w:b/>
                <w:sz w:val="20"/>
              </w:rPr>
            </w:pPr>
          </w:p>
        </w:tc>
      </w:tr>
    </w:tbl>
    <w:p w:rsidR="00715914" w:rsidRDefault="00715914" w:rsidP="00715914">
      <w:pPr>
        <w:rPr>
          <w:sz w:val="19"/>
        </w:rPr>
      </w:pPr>
    </w:p>
    <w:p w:rsidR="00BE0F2B" w:rsidRPr="00754FBB" w:rsidRDefault="00BE0F2B" w:rsidP="00715914">
      <w:pPr>
        <w:rPr>
          <w:sz w:val="19"/>
        </w:rPr>
      </w:pPr>
    </w:p>
    <w:p w:rsidR="00715914" w:rsidRPr="00754FBB" w:rsidRDefault="00B549E0" w:rsidP="00715914">
      <w:pPr>
        <w:pStyle w:val="ShortT"/>
      </w:pPr>
      <w:r w:rsidRPr="00754FBB">
        <w:t>National Disability Insurance Scheme</w:t>
      </w:r>
      <w:bookmarkStart w:id="1" w:name="BK_S1P1L3C37"/>
      <w:bookmarkEnd w:id="1"/>
      <w:r w:rsidRPr="00754FBB">
        <w:t xml:space="preserve"> (Participant Service Guarantee) </w:t>
      </w:r>
      <w:r w:rsidR="00EF4AD2">
        <w:t>Rules 2</w:t>
      </w:r>
      <w:r w:rsidR="00D81CEA" w:rsidRPr="00754FBB">
        <w:t>02</w:t>
      </w:r>
      <w:r w:rsidR="00BB3A96" w:rsidRPr="00754FBB">
        <w:t>1</w:t>
      </w:r>
    </w:p>
    <w:p w:rsidR="00B549E0" w:rsidRPr="00754FBB" w:rsidRDefault="00B549E0" w:rsidP="00BC2807">
      <w:pPr>
        <w:pStyle w:val="SignCoverPageStart"/>
        <w:rPr>
          <w:szCs w:val="22"/>
        </w:rPr>
      </w:pPr>
      <w:r w:rsidRPr="00754FBB">
        <w:rPr>
          <w:szCs w:val="22"/>
        </w:rPr>
        <w:t xml:space="preserve">I, </w:t>
      </w:r>
      <w:r w:rsidR="00FB5B37" w:rsidRPr="0067470F">
        <w:rPr>
          <w:szCs w:val="22"/>
        </w:rPr>
        <w:t>Linda Reynolds</w:t>
      </w:r>
      <w:r w:rsidR="000F1ED1">
        <w:rPr>
          <w:szCs w:val="22"/>
        </w:rPr>
        <w:t xml:space="preserve"> CSC</w:t>
      </w:r>
      <w:r w:rsidRPr="00754FBB">
        <w:rPr>
          <w:szCs w:val="22"/>
        </w:rPr>
        <w:t>, Minister for the National Disability Insurance Scheme, make the following rules.</w:t>
      </w:r>
    </w:p>
    <w:p w:rsidR="00B549E0" w:rsidRPr="00754FBB" w:rsidRDefault="00B549E0" w:rsidP="00BC2807">
      <w:pPr>
        <w:keepNext/>
        <w:spacing w:before="300" w:line="240" w:lineRule="atLeast"/>
        <w:ind w:right="397"/>
        <w:jc w:val="both"/>
        <w:rPr>
          <w:szCs w:val="22"/>
        </w:rPr>
      </w:pPr>
      <w:r w:rsidRPr="00754FBB">
        <w:rPr>
          <w:szCs w:val="22"/>
        </w:rPr>
        <w:t>Dated</w:t>
      </w:r>
      <w:r w:rsidRPr="00754FBB">
        <w:rPr>
          <w:szCs w:val="22"/>
        </w:rPr>
        <w:tab/>
      </w:r>
      <w:r w:rsidRPr="00754FBB">
        <w:rPr>
          <w:szCs w:val="22"/>
        </w:rPr>
        <w:tab/>
      </w:r>
      <w:r w:rsidRPr="00754FBB">
        <w:rPr>
          <w:szCs w:val="22"/>
        </w:rPr>
        <w:tab/>
      </w:r>
      <w:r w:rsidRPr="00754FBB">
        <w:rPr>
          <w:szCs w:val="22"/>
        </w:rPr>
        <w:tab/>
      </w:r>
      <w:bookmarkStart w:id="2" w:name="BKCheck15B_1"/>
      <w:bookmarkEnd w:id="2"/>
      <w:r w:rsidRPr="00754FBB">
        <w:rPr>
          <w:szCs w:val="22"/>
        </w:rPr>
        <w:fldChar w:fldCharType="begin"/>
      </w:r>
      <w:r w:rsidRPr="00754FBB">
        <w:rPr>
          <w:szCs w:val="22"/>
        </w:rPr>
        <w:instrText xml:space="preserve"> DOCPROPERTY  DateMade </w:instrText>
      </w:r>
      <w:r w:rsidRPr="00754FBB">
        <w:rPr>
          <w:szCs w:val="22"/>
        </w:rPr>
        <w:fldChar w:fldCharType="separate"/>
      </w:r>
      <w:r w:rsidR="00891294">
        <w:rPr>
          <w:szCs w:val="22"/>
        </w:rPr>
        <w:t>2021</w:t>
      </w:r>
      <w:r w:rsidRPr="00754FBB">
        <w:rPr>
          <w:szCs w:val="22"/>
        </w:rPr>
        <w:fldChar w:fldCharType="end"/>
      </w:r>
    </w:p>
    <w:p w:rsidR="00B549E0" w:rsidRPr="00754FBB" w:rsidRDefault="0067470F" w:rsidP="00BC2807">
      <w:pPr>
        <w:keepNext/>
        <w:tabs>
          <w:tab w:val="left" w:pos="3402"/>
        </w:tabs>
        <w:spacing w:before="1440" w:line="300" w:lineRule="atLeast"/>
        <w:ind w:right="397"/>
        <w:rPr>
          <w:szCs w:val="22"/>
        </w:rPr>
      </w:pPr>
      <w:r w:rsidRPr="0067470F">
        <w:rPr>
          <w:szCs w:val="22"/>
        </w:rPr>
        <w:t>Linda Reynolds CSC</w:t>
      </w:r>
      <w:r w:rsidR="00B549E0" w:rsidRPr="00754FBB">
        <w:t xml:space="preserve"> </w:t>
      </w:r>
      <w:r w:rsidR="00B549E0" w:rsidRPr="00754FBB">
        <w:rPr>
          <w:b/>
          <w:szCs w:val="22"/>
        </w:rPr>
        <w:t>[DRAFT ONLY—NOT FOR SIGNATURE]</w:t>
      </w:r>
    </w:p>
    <w:p w:rsidR="00B549E0" w:rsidRPr="00754FBB" w:rsidRDefault="00B549E0" w:rsidP="00BC2807">
      <w:pPr>
        <w:pStyle w:val="SignCoverPageEnd"/>
        <w:rPr>
          <w:szCs w:val="22"/>
        </w:rPr>
      </w:pPr>
      <w:r w:rsidRPr="00754FBB">
        <w:rPr>
          <w:szCs w:val="22"/>
        </w:rPr>
        <w:t>Minister for the National Disability Insurance Scheme</w:t>
      </w:r>
    </w:p>
    <w:p w:rsidR="00B549E0" w:rsidRPr="00754FBB" w:rsidRDefault="00B549E0" w:rsidP="00BC2807"/>
    <w:p w:rsidR="00715914" w:rsidRPr="00BE0F2B" w:rsidRDefault="00715914" w:rsidP="00715914">
      <w:pPr>
        <w:pStyle w:val="Header"/>
        <w:tabs>
          <w:tab w:val="clear" w:pos="4150"/>
          <w:tab w:val="clear" w:pos="8307"/>
        </w:tabs>
      </w:pPr>
      <w:r w:rsidRPr="00BE0F2B">
        <w:rPr>
          <w:rStyle w:val="CharChapNo"/>
        </w:rPr>
        <w:t xml:space="preserve"> </w:t>
      </w:r>
      <w:r w:rsidRPr="00BE0F2B">
        <w:rPr>
          <w:rStyle w:val="CharChapText"/>
        </w:rPr>
        <w:t xml:space="preserve"> </w:t>
      </w:r>
    </w:p>
    <w:p w:rsidR="00715914" w:rsidRPr="00BE0F2B" w:rsidRDefault="00715914" w:rsidP="00715914">
      <w:pPr>
        <w:pStyle w:val="Header"/>
        <w:tabs>
          <w:tab w:val="clear" w:pos="4150"/>
          <w:tab w:val="clear" w:pos="8307"/>
        </w:tabs>
      </w:pPr>
      <w:r w:rsidRPr="00BE0F2B">
        <w:rPr>
          <w:rStyle w:val="CharPartNo"/>
        </w:rPr>
        <w:t xml:space="preserve"> </w:t>
      </w:r>
      <w:r w:rsidRPr="00BE0F2B">
        <w:rPr>
          <w:rStyle w:val="CharPartText"/>
        </w:rPr>
        <w:t xml:space="preserve"> </w:t>
      </w:r>
    </w:p>
    <w:p w:rsidR="00715914" w:rsidRPr="00BE0F2B" w:rsidRDefault="00715914" w:rsidP="00715914">
      <w:pPr>
        <w:pStyle w:val="Header"/>
        <w:tabs>
          <w:tab w:val="clear" w:pos="4150"/>
          <w:tab w:val="clear" w:pos="8307"/>
        </w:tabs>
      </w:pPr>
      <w:r w:rsidRPr="00BE0F2B">
        <w:rPr>
          <w:rStyle w:val="CharDivNo"/>
        </w:rPr>
        <w:t xml:space="preserve"> </w:t>
      </w:r>
      <w:r w:rsidRPr="00BE0F2B">
        <w:rPr>
          <w:rStyle w:val="CharDivText"/>
        </w:rPr>
        <w:t xml:space="preserve"> </w:t>
      </w:r>
    </w:p>
    <w:p w:rsidR="00715914" w:rsidRPr="00754FBB" w:rsidRDefault="00715914" w:rsidP="00715914">
      <w:pPr>
        <w:sectPr w:rsidR="00715914" w:rsidRPr="00754FBB" w:rsidSect="00FA1E52">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rsidR="00F67BCA" w:rsidRPr="00754FBB" w:rsidRDefault="00715914" w:rsidP="00715914">
      <w:pPr>
        <w:outlineLvl w:val="0"/>
        <w:rPr>
          <w:sz w:val="36"/>
        </w:rPr>
      </w:pPr>
      <w:r w:rsidRPr="00754FBB">
        <w:rPr>
          <w:sz w:val="36"/>
        </w:rPr>
        <w:lastRenderedPageBreak/>
        <w:t>Contents</w:t>
      </w:r>
    </w:p>
    <w:bookmarkStart w:id="3" w:name="BKCheck15B_2"/>
    <w:bookmarkEnd w:id="3"/>
    <w:p w:rsidR="00BE0F2B" w:rsidRDefault="00BE0F2B">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BE0F2B">
        <w:rPr>
          <w:b w:val="0"/>
          <w:noProof/>
          <w:sz w:val="18"/>
        </w:rPr>
        <w:tab/>
      </w:r>
      <w:r w:rsidRPr="00BE0F2B">
        <w:rPr>
          <w:b w:val="0"/>
          <w:noProof/>
          <w:sz w:val="18"/>
        </w:rPr>
        <w:fldChar w:fldCharType="begin"/>
      </w:r>
      <w:r w:rsidRPr="00BE0F2B">
        <w:rPr>
          <w:b w:val="0"/>
          <w:noProof/>
          <w:sz w:val="18"/>
        </w:rPr>
        <w:instrText xml:space="preserve"> PAGEREF _Toc80079244 \h </w:instrText>
      </w:r>
      <w:r w:rsidRPr="00BE0F2B">
        <w:rPr>
          <w:b w:val="0"/>
          <w:noProof/>
          <w:sz w:val="18"/>
        </w:rPr>
      </w:r>
      <w:r w:rsidRPr="00BE0F2B">
        <w:rPr>
          <w:b w:val="0"/>
          <w:noProof/>
          <w:sz w:val="18"/>
        </w:rPr>
        <w:fldChar w:fldCharType="separate"/>
      </w:r>
      <w:r w:rsidR="00891294">
        <w:rPr>
          <w:b w:val="0"/>
          <w:noProof/>
          <w:sz w:val="18"/>
        </w:rPr>
        <w:t>1</w:t>
      </w:r>
      <w:r w:rsidRPr="00BE0F2B">
        <w:rPr>
          <w:b w:val="0"/>
          <w:noProof/>
          <w:sz w:val="18"/>
        </w:rPr>
        <w:fldChar w:fldCharType="end"/>
      </w:r>
    </w:p>
    <w:p w:rsidR="00BE0F2B" w:rsidRDefault="00BE0F2B">
      <w:pPr>
        <w:pStyle w:val="TOC5"/>
        <w:rPr>
          <w:rFonts w:asciiTheme="minorHAnsi" w:eastAsiaTheme="minorEastAsia" w:hAnsiTheme="minorHAnsi" w:cstheme="minorBidi"/>
          <w:noProof/>
          <w:kern w:val="0"/>
          <w:sz w:val="22"/>
          <w:szCs w:val="22"/>
        </w:rPr>
      </w:pPr>
      <w:r>
        <w:rPr>
          <w:noProof/>
        </w:rPr>
        <w:t>1</w:t>
      </w:r>
      <w:r>
        <w:rPr>
          <w:noProof/>
        </w:rPr>
        <w:tab/>
        <w:t>Name</w:t>
      </w:r>
      <w:r w:rsidRPr="00BE0F2B">
        <w:rPr>
          <w:noProof/>
        </w:rPr>
        <w:tab/>
      </w:r>
      <w:r w:rsidRPr="00BE0F2B">
        <w:rPr>
          <w:noProof/>
        </w:rPr>
        <w:fldChar w:fldCharType="begin"/>
      </w:r>
      <w:r w:rsidRPr="00BE0F2B">
        <w:rPr>
          <w:noProof/>
        </w:rPr>
        <w:instrText xml:space="preserve"> PAGEREF _Toc80079245 \h </w:instrText>
      </w:r>
      <w:r w:rsidRPr="00BE0F2B">
        <w:rPr>
          <w:noProof/>
        </w:rPr>
      </w:r>
      <w:r w:rsidRPr="00BE0F2B">
        <w:rPr>
          <w:noProof/>
        </w:rPr>
        <w:fldChar w:fldCharType="separate"/>
      </w:r>
      <w:r w:rsidR="00891294">
        <w:rPr>
          <w:noProof/>
        </w:rPr>
        <w:t>1</w:t>
      </w:r>
      <w:r w:rsidRPr="00BE0F2B">
        <w:rPr>
          <w:noProof/>
        </w:rPr>
        <w:fldChar w:fldCharType="end"/>
      </w:r>
    </w:p>
    <w:p w:rsidR="00BE0F2B" w:rsidRDefault="00BE0F2B">
      <w:pPr>
        <w:pStyle w:val="TOC5"/>
        <w:rPr>
          <w:rFonts w:asciiTheme="minorHAnsi" w:eastAsiaTheme="minorEastAsia" w:hAnsiTheme="minorHAnsi" w:cstheme="minorBidi"/>
          <w:noProof/>
          <w:kern w:val="0"/>
          <w:sz w:val="22"/>
          <w:szCs w:val="22"/>
        </w:rPr>
      </w:pPr>
      <w:r>
        <w:rPr>
          <w:noProof/>
        </w:rPr>
        <w:t>2</w:t>
      </w:r>
      <w:r>
        <w:rPr>
          <w:noProof/>
        </w:rPr>
        <w:tab/>
        <w:t>Commencement</w:t>
      </w:r>
      <w:r w:rsidRPr="00BE0F2B">
        <w:rPr>
          <w:noProof/>
        </w:rPr>
        <w:tab/>
      </w:r>
      <w:r w:rsidRPr="00BE0F2B">
        <w:rPr>
          <w:noProof/>
        </w:rPr>
        <w:fldChar w:fldCharType="begin"/>
      </w:r>
      <w:r w:rsidRPr="00BE0F2B">
        <w:rPr>
          <w:noProof/>
        </w:rPr>
        <w:instrText xml:space="preserve"> PAGEREF _Toc80079246 \h </w:instrText>
      </w:r>
      <w:r w:rsidRPr="00BE0F2B">
        <w:rPr>
          <w:noProof/>
        </w:rPr>
      </w:r>
      <w:r w:rsidRPr="00BE0F2B">
        <w:rPr>
          <w:noProof/>
        </w:rPr>
        <w:fldChar w:fldCharType="separate"/>
      </w:r>
      <w:r w:rsidR="00891294">
        <w:rPr>
          <w:noProof/>
        </w:rPr>
        <w:t>1</w:t>
      </w:r>
      <w:r w:rsidRPr="00BE0F2B">
        <w:rPr>
          <w:noProof/>
        </w:rPr>
        <w:fldChar w:fldCharType="end"/>
      </w:r>
    </w:p>
    <w:p w:rsidR="00BE0F2B" w:rsidRDefault="00BE0F2B">
      <w:pPr>
        <w:pStyle w:val="TOC5"/>
        <w:rPr>
          <w:rFonts w:asciiTheme="minorHAnsi" w:eastAsiaTheme="minorEastAsia" w:hAnsiTheme="minorHAnsi" w:cstheme="minorBidi"/>
          <w:noProof/>
          <w:kern w:val="0"/>
          <w:sz w:val="22"/>
          <w:szCs w:val="22"/>
        </w:rPr>
      </w:pPr>
      <w:r>
        <w:rPr>
          <w:noProof/>
        </w:rPr>
        <w:t>3</w:t>
      </w:r>
      <w:r>
        <w:rPr>
          <w:noProof/>
        </w:rPr>
        <w:tab/>
        <w:t>Authority</w:t>
      </w:r>
      <w:r w:rsidRPr="00BE0F2B">
        <w:rPr>
          <w:noProof/>
        </w:rPr>
        <w:tab/>
      </w:r>
      <w:r w:rsidRPr="00BE0F2B">
        <w:rPr>
          <w:noProof/>
        </w:rPr>
        <w:fldChar w:fldCharType="begin"/>
      </w:r>
      <w:r w:rsidRPr="00BE0F2B">
        <w:rPr>
          <w:noProof/>
        </w:rPr>
        <w:instrText xml:space="preserve"> PAGEREF _Toc80079247 \h </w:instrText>
      </w:r>
      <w:r w:rsidRPr="00BE0F2B">
        <w:rPr>
          <w:noProof/>
        </w:rPr>
      </w:r>
      <w:r w:rsidRPr="00BE0F2B">
        <w:rPr>
          <w:noProof/>
        </w:rPr>
        <w:fldChar w:fldCharType="separate"/>
      </w:r>
      <w:r w:rsidR="00891294">
        <w:rPr>
          <w:noProof/>
        </w:rPr>
        <w:t>1</w:t>
      </w:r>
      <w:r w:rsidRPr="00BE0F2B">
        <w:rPr>
          <w:noProof/>
        </w:rPr>
        <w:fldChar w:fldCharType="end"/>
      </w:r>
    </w:p>
    <w:p w:rsidR="00BE0F2B" w:rsidRDefault="00BE0F2B">
      <w:pPr>
        <w:pStyle w:val="TOC5"/>
        <w:rPr>
          <w:rFonts w:asciiTheme="minorHAnsi" w:eastAsiaTheme="minorEastAsia" w:hAnsiTheme="minorHAnsi" w:cstheme="minorBidi"/>
          <w:noProof/>
          <w:kern w:val="0"/>
          <w:sz w:val="22"/>
          <w:szCs w:val="22"/>
        </w:rPr>
      </w:pPr>
      <w:r>
        <w:rPr>
          <w:noProof/>
        </w:rPr>
        <w:t>4</w:t>
      </w:r>
      <w:r>
        <w:rPr>
          <w:noProof/>
        </w:rPr>
        <w:tab/>
        <w:t>Definitions</w:t>
      </w:r>
      <w:r w:rsidRPr="00BE0F2B">
        <w:rPr>
          <w:noProof/>
        </w:rPr>
        <w:tab/>
      </w:r>
      <w:r w:rsidRPr="00BE0F2B">
        <w:rPr>
          <w:noProof/>
        </w:rPr>
        <w:fldChar w:fldCharType="begin"/>
      </w:r>
      <w:r w:rsidRPr="00BE0F2B">
        <w:rPr>
          <w:noProof/>
        </w:rPr>
        <w:instrText xml:space="preserve"> PAGEREF _Toc80079248 \h </w:instrText>
      </w:r>
      <w:r w:rsidRPr="00BE0F2B">
        <w:rPr>
          <w:noProof/>
        </w:rPr>
      </w:r>
      <w:r w:rsidRPr="00BE0F2B">
        <w:rPr>
          <w:noProof/>
        </w:rPr>
        <w:fldChar w:fldCharType="separate"/>
      </w:r>
      <w:r w:rsidR="00891294">
        <w:rPr>
          <w:noProof/>
        </w:rPr>
        <w:t>1</w:t>
      </w:r>
      <w:r w:rsidRPr="00BE0F2B">
        <w:rPr>
          <w:noProof/>
        </w:rPr>
        <w:fldChar w:fldCharType="end"/>
      </w:r>
    </w:p>
    <w:p w:rsidR="00BE0F2B" w:rsidRDefault="00BE0F2B">
      <w:pPr>
        <w:pStyle w:val="TOC2"/>
        <w:rPr>
          <w:rFonts w:asciiTheme="minorHAnsi" w:eastAsiaTheme="minorEastAsia" w:hAnsiTheme="minorHAnsi" w:cstheme="minorBidi"/>
          <w:b w:val="0"/>
          <w:noProof/>
          <w:kern w:val="0"/>
          <w:sz w:val="22"/>
          <w:szCs w:val="22"/>
        </w:rPr>
      </w:pPr>
      <w:r>
        <w:rPr>
          <w:noProof/>
        </w:rPr>
        <w:t>Part 2—Engagement principles and service standards</w:t>
      </w:r>
      <w:r w:rsidRPr="00BE0F2B">
        <w:rPr>
          <w:b w:val="0"/>
          <w:noProof/>
          <w:sz w:val="18"/>
        </w:rPr>
        <w:tab/>
      </w:r>
      <w:r w:rsidRPr="00BE0F2B">
        <w:rPr>
          <w:b w:val="0"/>
          <w:noProof/>
          <w:sz w:val="18"/>
        </w:rPr>
        <w:fldChar w:fldCharType="begin"/>
      </w:r>
      <w:r w:rsidRPr="00BE0F2B">
        <w:rPr>
          <w:b w:val="0"/>
          <w:noProof/>
          <w:sz w:val="18"/>
        </w:rPr>
        <w:instrText xml:space="preserve"> PAGEREF _Toc80079249 \h </w:instrText>
      </w:r>
      <w:r w:rsidRPr="00BE0F2B">
        <w:rPr>
          <w:b w:val="0"/>
          <w:noProof/>
          <w:sz w:val="18"/>
        </w:rPr>
      </w:r>
      <w:r w:rsidRPr="00BE0F2B">
        <w:rPr>
          <w:b w:val="0"/>
          <w:noProof/>
          <w:sz w:val="18"/>
        </w:rPr>
        <w:fldChar w:fldCharType="separate"/>
      </w:r>
      <w:r w:rsidR="00891294">
        <w:rPr>
          <w:b w:val="0"/>
          <w:noProof/>
          <w:sz w:val="18"/>
        </w:rPr>
        <w:t>1</w:t>
      </w:r>
      <w:r w:rsidRPr="00BE0F2B">
        <w:rPr>
          <w:b w:val="0"/>
          <w:noProof/>
          <w:sz w:val="18"/>
        </w:rPr>
        <w:fldChar w:fldCharType="end"/>
      </w:r>
    </w:p>
    <w:p w:rsidR="00BE0F2B" w:rsidRDefault="00BE0F2B">
      <w:pPr>
        <w:pStyle w:val="TOC5"/>
        <w:rPr>
          <w:rFonts w:asciiTheme="minorHAnsi" w:eastAsiaTheme="minorEastAsia" w:hAnsiTheme="minorHAnsi" w:cstheme="minorBidi"/>
          <w:noProof/>
          <w:kern w:val="0"/>
          <w:sz w:val="22"/>
          <w:szCs w:val="22"/>
        </w:rPr>
      </w:pPr>
      <w:r>
        <w:rPr>
          <w:noProof/>
        </w:rPr>
        <w:t>5</w:t>
      </w:r>
      <w:r>
        <w:rPr>
          <w:noProof/>
        </w:rPr>
        <w:tab/>
        <w:t>Engagement principles and service standards—Agency, CEO and other responsible persons</w:t>
      </w:r>
      <w:r w:rsidRPr="00BE0F2B">
        <w:rPr>
          <w:noProof/>
        </w:rPr>
        <w:tab/>
      </w:r>
      <w:r w:rsidRPr="00BE0F2B">
        <w:rPr>
          <w:noProof/>
        </w:rPr>
        <w:fldChar w:fldCharType="begin"/>
      </w:r>
      <w:r w:rsidRPr="00BE0F2B">
        <w:rPr>
          <w:noProof/>
        </w:rPr>
        <w:instrText xml:space="preserve"> PAGEREF _Toc80079250 \h </w:instrText>
      </w:r>
      <w:r w:rsidRPr="00BE0F2B">
        <w:rPr>
          <w:noProof/>
        </w:rPr>
      </w:r>
      <w:r w:rsidRPr="00BE0F2B">
        <w:rPr>
          <w:noProof/>
        </w:rPr>
        <w:fldChar w:fldCharType="separate"/>
      </w:r>
      <w:r w:rsidR="00891294">
        <w:rPr>
          <w:noProof/>
        </w:rPr>
        <w:t>1</w:t>
      </w:r>
      <w:r w:rsidRPr="00BE0F2B">
        <w:rPr>
          <w:noProof/>
        </w:rPr>
        <w:fldChar w:fldCharType="end"/>
      </w:r>
    </w:p>
    <w:p w:rsidR="00BE0F2B" w:rsidRDefault="00BE0F2B">
      <w:pPr>
        <w:pStyle w:val="TOC5"/>
        <w:rPr>
          <w:rFonts w:asciiTheme="minorHAnsi" w:eastAsiaTheme="minorEastAsia" w:hAnsiTheme="minorHAnsi" w:cstheme="minorBidi"/>
          <w:noProof/>
          <w:kern w:val="0"/>
          <w:sz w:val="22"/>
          <w:szCs w:val="22"/>
        </w:rPr>
      </w:pPr>
      <w:r>
        <w:rPr>
          <w:noProof/>
        </w:rPr>
        <w:t>6</w:t>
      </w:r>
      <w:r>
        <w:rPr>
          <w:noProof/>
        </w:rPr>
        <w:tab/>
        <w:t>Engagement principles and service standards—participants etc.</w:t>
      </w:r>
      <w:r w:rsidRPr="00BE0F2B">
        <w:rPr>
          <w:noProof/>
        </w:rPr>
        <w:tab/>
      </w:r>
      <w:r w:rsidRPr="00BE0F2B">
        <w:rPr>
          <w:noProof/>
        </w:rPr>
        <w:fldChar w:fldCharType="begin"/>
      </w:r>
      <w:r w:rsidRPr="00BE0F2B">
        <w:rPr>
          <w:noProof/>
        </w:rPr>
        <w:instrText xml:space="preserve"> PAGEREF _Toc80079251 \h </w:instrText>
      </w:r>
      <w:r w:rsidRPr="00BE0F2B">
        <w:rPr>
          <w:noProof/>
        </w:rPr>
      </w:r>
      <w:r w:rsidRPr="00BE0F2B">
        <w:rPr>
          <w:noProof/>
        </w:rPr>
        <w:fldChar w:fldCharType="separate"/>
      </w:r>
      <w:r w:rsidR="00891294">
        <w:rPr>
          <w:noProof/>
        </w:rPr>
        <w:t>1</w:t>
      </w:r>
      <w:r w:rsidRPr="00BE0F2B">
        <w:rPr>
          <w:noProof/>
        </w:rPr>
        <w:fldChar w:fldCharType="end"/>
      </w:r>
    </w:p>
    <w:p w:rsidR="00BE0F2B" w:rsidRDefault="00BE0F2B">
      <w:pPr>
        <w:pStyle w:val="TOC2"/>
        <w:rPr>
          <w:rFonts w:asciiTheme="minorHAnsi" w:eastAsiaTheme="minorEastAsia" w:hAnsiTheme="minorHAnsi" w:cstheme="minorBidi"/>
          <w:b w:val="0"/>
          <w:noProof/>
          <w:kern w:val="0"/>
          <w:sz w:val="22"/>
          <w:szCs w:val="22"/>
        </w:rPr>
      </w:pPr>
      <w:r>
        <w:rPr>
          <w:noProof/>
        </w:rPr>
        <w:t>Part 3—Timeframes and related obligations</w:t>
      </w:r>
      <w:r w:rsidRPr="00BE0F2B">
        <w:rPr>
          <w:b w:val="0"/>
          <w:noProof/>
          <w:sz w:val="18"/>
        </w:rPr>
        <w:tab/>
      </w:r>
      <w:r w:rsidRPr="00BE0F2B">
        <w:rPr>
          <w:b w:val="0"/>
          <w:noProof/>
          <w:sz w:val="18"/>
        </w:rPr>
        <w:fldChar w:fldCharType="begin"/>
      </w:r>
      <w:r w:rsidRPr="00BE0F2B">
        <w:rPr>
          <w:b w:val="0"/>
          <w:noProof/>
          <w:sz w:val="18"/>
        </w:rPr>
        <w:instrText xml:space="preserve"> PAGEREF _Toc80079252 \h </w:instrText>
      </w:r>
      <w:r w:rsidRPr="00BE0F2B">
        <w:rPr>
          <w:b w:val="0"/>
          <w:noProof/>
          <w:sz w:val="18"/>
        </w:rPr>
      </w:r>
      <w:r w:rsidRPr="00BE0F2B">
        <w:rPr>
          <w:b w:val="0"/>
          <w:noProof/>
          <w:sz w:val="18"/>
        </w:rPr>
        <w:fldChar w:fldCharType="separate"/>
      </w:r>
      <w:r w:rsidR="00891294">
        <w:rPr>
          <w:b w:val="0"/>
          <w:noProof/>
          <w:sz w:val="18"/>
        </w:rPr>
        <w:t>1</w:t>
      </w:r>
      <w:r w:rsidRPr="00BE0F2B">
        <w:rPr>
          <w:b w:val="0"/>
          <w:noProof/>
          <w:sz w:val="18"/>
        </w:rPr>
        <w:fldChar w:fldCharType="end"/>
      </w:r>
    </w:p>
    <w:p w:rsidR="00BE0F2B" w:rsidRDefault="00BE0F2B">
      <w:pPr>
        <w:pStyle w:val="TOC5"/>
        <w:rPr>
          <w:rFonts w:asciiTheme="minorHAnsi" w:eastAsiaTheme="minorEastAsia" w:hAnsiTheme="minorHAnsi" w:cstheme="minorBidi"/>
          <w:noProof/>
          <w:kern w:val="0"/>
          <w:sz w:val="22"/>
          <w:szCs w:val="22"/>
        </w:rPr>
      </w:pPr>
      <w:r>
        <w:rPr>
          <w:noProof/>
        </w:rPr>
        <w:t>7</w:t>
      </w:r>
      <w:r>
        <w:rPr>
          <w:noProof/>
        </w:rPr>
        <w:tab/>
        <w:t>Simplified outline of this Part</w:t>
      </w:r>
      <w:r w:rsidRPr="00BE0F2B">
        <w:rPr>
          <w:noProof/>
        </w:rPr>
        <w:tab/>
      </w:r>
      <w:r w:rsidRPr="00BE0F2B">
        <w:rPr>
          <w:noProof/>
        </w:rPr>
        <w:fldChar w:fldCharType="begin"/>
      </w:r>
      <w:r w:rsidRPr="00BE0F2B">
        <w:rPr>
          <w:noProof/>
        </w:rPr>
        <w:instrText xml:space="preserve"> PAGEREF _Toc80079253 \h </w:instrText>
      </w:r>
      <w:r w:rsidRPr="00BE0F2B">
        <w:rPr>
          <w:noProof/>
        </w:rPr>
      </w:r>
      <w:r w:rsidRPr="00BE0F2B">
        <w:rPr>
          <w:noProof/>
        </w:rPr>
        <w:fldChar w:fldCharType="separate"/>
      </w:r>
      <w:r w:rsidR="00891294">
        <w:rPr>
          <w:noProof/>
        </w:rPr>
        <w:t>1</w:t>
      </w:r>
      <w:r w:rsidRPr="00BE0F2B">
        <w:rPr>
          <w:noProof/>
        </w:rPr>
        <w:fldChar w:fldCharType="end"/>
      </w:r>
    </w:p>
    <w:p w:rsidR="00BE0F2B" w:rsidRDefault="00BE0F2B">
      <w:pPr>
        <w:pStyle w:val="TOC5"/>
        <w:rPr>
          <w:rFonts w:asciiTheme="minorHAnsi" w:eastAsiaTheme="minorEastAsia" w:hAnsiTheme="minorHAnsi" w:cstheme="minorBidi"/>
          <w:noProof/>
          <w:kern w:val="0"/>
          <w:sz w:val="22"/>
          <w:szCs w:val="22"/>
        </w:rPr>
      </w:pPr>
      <w:r>
        <w:rPr>
          <w:noProof/>
        </w:rPr>
        <w:t>8</w:t>
      </w:r>
      <w:r>
        <w:rPr>
          <w:noProof/>
        </w:rPr>
        <w:tab/>
        <w:t>Plans—approving a statement of participant supports in a plan</w:t>
      </w:r>
      <w:r w:rsidRPr="00BE0F2B">
        <w:rPr>
          <w:noProof/>
        </w:rPr>
        <w:tab/>
      </w:r>
      <w:r w:rsidRPr="00BE0F2B">
        <w:rPr>
          <w:noProof/>
        </w:rPr>
        <w:fldChar w:fldCharType="begin"/>
      </w:r>
      <w:r w:rsidRPr="00BE0F2B">
        <w:rPr>
          <w:noProof/>
        </w:rPr>
        <w:instrText xml:space="preserve"> PAGEREF _Toc80079254 \h </w:instrText>
      </w:r>
      <w:r w:rsidRPr="00BE0F2B">
        <w:rPr>
          <w:noProof/>
        </w:rPr>
      </w:r>
      <w:r w:rsidRPr="00BE0F2B">
        <w:rPr>
          <w:noProof/>
        </w:rPr>
        <w:fldChar w:fldCharType="separate"/>
      </w:r>
      <w:r w:rsidR="00891294">
        <w:rPr>
          <w:noProof/>
        </w:rPr>
        <w:t>1</w:t>
      </w:r>
      <w:r w:rsidRPr="00BE0F2B">
        <w:rPr>
          <w:noProof/>
        </w:rPr>
        <w:fldChar w:fldCharType="end"/>
      </w:r>
    </w:p>
    <w:p w:rsidR="00BE0F2B" w:rsidRDefault="00BE0F2B">
      <w:pPr>
        <w:pStyle w:val="TOC5"/>
        <w:rPr>
          <w:rFonts w:asciiTheme="minorHAnsi" w:eastAsiaTheme="minorEastAsia" w:hAnsiTheme="minorHAnsi" w:cstheme="minorBidi"/>
          <w:noProof/>
          <w:kern w:val="0"/>
          <w:sz w:val="22"/>
          <w:szCs w:val="22"/>
        </w:rPr>
      </w:pPr>
      <w:r>
        <w:rPr>
          <w:noProof/>
        </w:rPr>
        <w:t>9</w:t>
      </w:r>
      <w:r>
        <w:rPr>
          <w:noProof/>
        </w:rPr>
        <w:tab/>
        <w:t>Plans—assistance to implement a plan</w:t>
      </w:r>
      <w:r w:rsidRPr="00BE0F2B">
        <w:rPr>
          <w:noProof/>
        </w:rPr>
        <w:tab/>
      </w:r>
      <w:r w:rsidRPr="00BE0F2B">
        <w:rPr>
          <w:noProof/>
        </w:rPr>
        <w:fldChar w:fldCharType="begin"/>
      </w:r>
      <w:r w:rsidRPr="00BE0F2B">
        <w:rPr>
          <w:noProof/>
        </w:rPr>
        <w:instrText xml:space="preserve"> PAGEREF _Toc80079255 \h </w:instrText>
      </w:r>
      <w:r w:rsidRPr="00BE0F2B">
        <w:rPr>
          <w:noProof/>
        </w:rPr>
      </w:r>
      <w:r w:rsidRPr="00BE0F2B">
        <w:rPr>
          <w:noProof/>
        </w:rPr>
        <w:fldChar w:fldCharType="separate"/>
      </w:r>
      <w:r w:rsidR="00891294">
        <w:rPr>
          <w:noProof/>
        </w:rPr>
        <w:t>1</w:t>
      </w:r>
      <w:r w:rsidRPr="00BE0F2B">
        <w:rPr>
          <w:noProof/>
        </w:rPr>
        <w:fldChar w:fldCharType="end"/>
      </w:r>
    </w:p>
    <w:p w:rsidR="00BE0F2B" w:rsidRDefault="00BE0F2B">
      <w:pPr>
        <w:pStyle w:val="TOC5"/>
        <w:rPr>
          <w:rFonts w:asciiTheme="minorHAnsi" w:eastAsiaTheme="minorEastAsia" w:hAnsiTheme="minorHAnsi" w:cstheme="minorBidi"/>
          <w:noProof/>
          <w:kern w:val="0"/>
          <w:sz w:val="22"/>
          <w:szCs w:val="22"/>
        </w:rPr>
      </w:pPr>
      <w:r>
        <w:rPr>
          <w:noProof/>
        </w:rPr>
        <w:t>10</w:t>
      </w:r>
      <w:r>
        <w:rPr>
          <w:noProof/>
        </w:rPr>
        <w:tab/>
        <w:t>Plans—reassessments and variations</w:t>
      </w:r>
      <w:r w:rsidRPr="00BE0F2B">
        <w:rPr>
          <w:noProof/>
        </w:rPr>
        <w:tab/>
      </w:r>
      <w:r w:rsidRPr="00BE0F2B">
        <w:rPr>
          <w:noProof/>
        </w:rPr>
        <w:fldChar w:fldCharType="begin"/>
      </w:r>
      <w:r w:rsidRPr="00BE0F2B">
        <w:rPr>
          <w:noProof/>
        </w:rPr>
        <w:instrText xml:space="preserve"> PAGEREF _Toc80079256 \h </w:instrText>
      </w:r>
      <w:r w:rsidRPr="00BE0F2B">
        <w:rPr>
          <w:noProof/>
        </w:rPr>
      </w:r>
      <w:r w:rsidRPr="00BE0F2B">
        <w:rPr>
          <w:noProof/>
        </w:rPr>
        <w:fldChar w:fldCharType="separate"/>
      </w:r>
      <w:r w:rsidR="00891294">
        <w:rPr>
          <w:noProof/>
        </w:rPr>
        <w:t>1</w:t>
      </w:r>
      <w:r w:rsidRPr="00BE0F2B">
        <w:rPr>
          <w:noProof/>
        </w:rPr>
        <w:fldChar w:fldCharType="end"/>
      </w:r>
    </w:p>
    <w:p w:rsidR="00BE0F2B" w:rsidRDefault="00BE0F2B">
      <w:pPr>
        <w:pStyle w:val="TOC5"/>
        <w:rPr>
          <w:rFonts w:asciiTheme="minorHAnsi" w:eastAsiaTheme="minorEastAsia" w:hAnsiTheme="minorHAnsi" w:cstheme="minorBidi"/>
          <w:noProof/>
          <w:kern w:val="0"/>
          <w:sz w:val="22"/>
          <w:szCs w:val="22"/>
        </w:rPr>
      </w:pPr>
      <w:r>
        <w:rPr>
          <w:noProof/>
        </w:rPr>
        <w:t>11</w:t>
      </w:r>
      <w:r>
        <w:rPr>
          <w:noProof/>
        </w:rPr>
        <w:tab/>
        <w:t>Access and plans—giving effect to certain AAT decisions</w:t>
      </w:r>
      <w:r w:rsidRPr="00BE0F2B">
        <w:rPr>
          <w:noProof/>
        </w:rPr>
        <w:tab/>
      </w:r>
      <w:r w:rsidRPr="00BE0F2B">
        <w:rPr>
          <w:noProof/>
        </w:rPr>
        <w:fldChar w:fldCharType="begin"/>
      </w:r>
      <w:r w:rsidRPr="00BE0F2B">
        <w:rPr>
          <w:noProof/>
        </w:rPr>
        <w:instrText xml:space="preserve"> PAGEREF _Toc80079257 \h </w:instrText>
      </w:r>
      <w:r w:rsidRPr="00BE0F2B">
        <w:rPr>
          <w:noProof/>
        </w:rPr>
      </w:r>
      <w:r w:rsidRPr="00BE0F2B">
        <w:rPr>
          <w:noProof/>
        </w:rPr>
        <w:fldChar w:fldCharType="separate"/>
      </w:r>
      <w:r w:rsidR="00891294">
        <w:rPr>
          <w:noProof/>
        </w:rPr>
        <w:t>1</w:t>
      </w:r>
      <w:r w:rsidRPr="00BE0F2B">
        <w:rPr>
          <w:noProof/>
        </w:rPr>
        <w:fldChar w:fldCharType="end"/>
      </w:r>
    </w:p>
    <w:p w:rsidR="00BE0F2B" w:rsidRDefault="00BE0F2B">
      <w:pPr>
        <w:pStyle w:val="TOC5"/>
        <w:rPr>
          <w:rFonts w:asciiTheme="minorHAnsi" w:eastAsiaTheme="minorEastAsia" w:hAnsiTheme="minorHAnsi" w:cstheme="minorBidi"/>
          <w:noProof/>
          <w:kern w:val="0"/>
          <w:sz w:val="22"/>
          <w:szCs w:val="22"/>
        </w:rPr>
      </w:pPr>
      <w:r>
        <w:rPr>
          <w:noProof/>
        </w:rPr>
        <w:t>12</w:t>
      </w:r>
      <w:r>
        <w:rPr>
          <w:noProof/>
        </w:rPr>
        <w:tab/>
        <w:t>Periods for cancelling appointments of nominees</w:t>
      </w:r>
      <w:r w:rsidRPr="00BE0F2B">
        <w:rPr>
          <w:noProof/>
        </w:rPr>
        <w:tab/>
      </w:r>
      <w:r w:rsidRPr="00BE0F2B">
        <w:rPr>
          <w:noProof/>
        </w:rPr>
        <w:fldChar w:fldCharType="begin"/>
      </w:r>
      <w:r w:rsidRPr="00BE0F2B">
        <w:rPr>
          <w:noProof/>
        </w:rPr>
        <w:instrText xml:space="preserve"> PAGEREF _Toc80079258 \h </w:instrText>
      </w:r>
      <w:r w:rsidRPr="00BE0F2B">
        <w:rPr>
          <w:noProof/>
        </w:rPr>
      </w:r>
      <w:r w:rsidRPr="00BE0F2B">
        <w:rPr>
          <w:noProof/>
        </w:rPr>
        <w:fldChar w:fldCharType="separate"/>
      </w:r>
      <w:r w:rsidR="00891294">
        <w:rPr>
          <w:noProof/>
        </w:rPr>
        <w:t>1</w:t>
      </w:r>
      <w:r w:rsidRPr="00BE0F2B">
        <w:rPr>
          <w:noProof/>
        </w:rPr>
        <w:fldChar w:fldCharType="end"/>
      </w:r>
    </w:p>
    <w:p w:rsidR="00BE0F2B" w:rsidRDefault="00BE0F2B">
      <w:pPr>
        <w:pStyle w:val="TOC5"/>
        <w:rPr>
          <w:rFonts w:asciiTheme="minorHAnsi" w:eastAsiaTheme="minorEastAsia" w:hAnsiTheme="minorHAnsi" w:cstheme="minorBidi"/>
          <w:noProof/>
          <w:kern w:val="0"/>
          <w:sz w:val="22"/>
          <w:szCs w:val="22"/>
        </w:rPr>
      </w:pPr>
      <w:r>
        <w:rPr>
          <w:noProof/>
        </w:rPr>
        <w:t>13</w:t>
      </w:r>
      <w:r>
        <w:rPr>
          <w:noProof/>
        </w:rPr>
        <w:tab/>
        <w:t>Reviewing decisions—period for giving reasons for a reviewable decision</w:t>
      </w:r>
      <w:r w:rsidRPr="00BE0F2B">
        <w:rPr>
          <w:noProof/>
        </w:rPr>
        <w:tab/>
      </w:r>
      <w:r w:rsidRPr="00BE0F2B">
        <w:rPr>
          <w:noProof/>
        </w:rPr>
        <w:fldChar w:fldCharType="begin"/>
      </w:r>
      <w:r w:rsidRPr="00BE0F2B">
        <w:rPr>
          <w:noProof/>
        </w:rPr>
        <w:instrText xml:space="preserve"> PAGEREF _Toc80079259 \h </w:instrText>
      </w:r>
      <w:r w:rsidRPr="00BE0F2B">
        <w:rPr>
          <w:noProof/>
        </w:rPr>
      </w:r>
      <w:r w:rsidRPr="00BE0F2B">
        <w:rPr>
          <w:noProof/>
        </w:rPr>
        <w:fldChar w:fldCharType="separate"/>
      </w:r>
      <w:r w:rsidR="00891294">
        <w:rPr>
          <w:noProof/>
        </w:rPr>
        <w:t>1</w:t>
      </w:r>
      <w:r w:rsidRPr="00BE0F2B">
        <w:rPr>
          <w:noProof/>
        </w:rPr>
        <w:fldChar w:fldCharType="end"/>
      </w:r>
    </w:p>
    <w:p w:rsidR="00BE0F2B" w:rsidRDefault="00BE0F2B">
      <w:pPr>
        <w:pStyle w:val="TOC5"/>
        <w:rPr>
          <w:rFonts w:asciiTheme="minorHAnsi" w:eastAsiaTheme="minorEastAsia" w:hAnsiTheme="minorHAnsi" w:cstheme="minorBidi"/>
          <w:noProof/>
          <w:kern w:val="0"/>
          <w:sz w:val="22"/>
          <w:szCs w:val="22"/>
        </w:rPr>
      </w:pPr>
      <w:r>
        <w:rPr>
          <w:noProof/>
        </w:rPr>
        <w:t>14</w:t>
      </w:r>
      <w:r>
        <w:rPr>
          <w:noProof/>
        </w:rPr>
        <w:tab/>
        <w:t>Reviewing decisions—period for reviewing a reviewable decision</w:t>
      </w:r>
      <w:r w:rsidRPr="00BE0F2B">
        <w:rPr>
          <w:noProof/>
        </w:rPr>
        <w:tab/>
      </w:r>
      <w:r w:rsidRPr="00BE0F2B">
        <w:rPr>
          <w:noProof/>
        </w:rPr>
        <w:fldChar w:fldCharType="begin"/>
      </w:r>
      <w:r w:rsidRPr="00BE0F2B">
        <w:rPr>
          <w:noProof/>
        </w:rPr>
        <w:instrText xml:space="preserve"> PAGEREF _Toc80079260 \h </w:instrText>
      </w:r>
      <w:r w:rsidRPr="00BE0F2B">
        <w:rPr>
          <w:noProof/>
        </w:rPr>
      </w:r>
      <w:r w:rsidRPr="00BE0F2B">
        <w:rPr>
          <w:noProof/>
        </w:rPr>
        <w:fldChar w:fldCharType="separate"/>
      </w:r>
      <w:r w:rsidR="00891294">
        <w:rPr>
          <w:noProof/>
        </w:rPr>
        <w:t>1</w:t>
      </w:r>
      <w:r w:rsidRPr="00BE0F2B">
        <w:rPr>
          <w:noProof/>
        </w:rPr>
        <w:fldChar w:fldCharType="end"/>
      </w:r>
    </w:p>
    <w:p w:rsidR="00BE0F2B" w:rsidRDefault="00BE0F2B">
      <w:pPr>
        <w:pStyle w:val="TOC2"/>
        <w:rPr>
          <w:rFonts w:asciiTheme="minorHAnsi" w:eastAsiaTheme="minorEastAsia" w:hAnsiTheme="minorHAnsi" w:cstheme="minorBidi"/>
          <w:b w:val="0"/>
          <w:noProof/>
          <w:kern w:val="0"/>
          <w:sz w:val="22"/>
          <w:szCs w:val="22"/>
        </w:rPr>
      </w:pPr>
      <w:r>
        <w:rPr>
          <w:noProof/>
        </w:rPr>
        <w:t>Part 4—Reporting</w:t>
      </w:r>
      <w:r w:rsidRPr="00BE0F2B">
        <w:rPr>
          <w:b w:val="0"/>
          <w:noProof/>
          <w:sz w:val="18"/>
        </w:rPr>
        <w:tab/>
      </w:r>
      <w:r w:rsidRPr="00BE0F2B">
        <w:rPr>
          <w:b w:val="0"/>
          <w:noProof/>
          <w:sz w:val="18"/>
        </w:rPr>
        <w:fldChar w:fldCharType="begin"/>
      </w:r>
      <w:r w:rsidRPr="00BE0F2B">
        <w:rPr>
          <w:b w:val="0"/>
          <w:noProof/>
          <w:sz w:val="18"/>
        </w:rPr>
        <w:instrText xml:space="preserve"> PAGEREF _Toc80079261 \h </w:instrText>
      </w:r>
      <w:r w:rsidRPr="00BE0F2B">
        <w:rPr>
          <w:b w:val="0"/>
          <w:noProof/>
          <w:sz w:val="18"/>
        </w:rPr>
      </w:r>
      <w:r w:rsidRPr="00BE0F2B">
        <w:rPr>
          <w:b w:val="0"/>
          <w:noProof/>
          <w:sz w:val="18"/>
        </w:rPr>
        <w:fldChar w:fldCharType="separate"/>
      </w:r>
      <w:r w:rsidR="00891294">
        <w:rPr>
          <w:b w:val="0"/>
          <w:noProof/>
          <w:sz w:val="18"/>
        </w:rPr>
        <w:t>1</w:t>
      </w:r>
      <w:r w:rsidRPr="00BE0F2B">
        <w:rPr>
          <w:b w:val="0"/>
          <w:noProof/>
          <w:sz w:val="18"/>
        </w:rPr>
        <w:fldChar w:fldCharType="end"/>
      </w:r>
    </w:p>
    <w:p w:rsidR="00BE0F2B" w:rsidRDefault="00BE0F2B">
      <w:pPr>
        <w:pStyle w:val="TOC5"/>
        <w:rPr>
          <w:rFonts w:asciiTheme="minorHAnsi" w:eastAsiaTheme="minorEastAsia" w:hAnsiTheme="minorHAnsi" w:cstheme="minorBidi"/>
          <w:noProof/>
          <w:kern w:val="0"/>
          <w:sz w:val="22"/>
          <w:szCs w:val="22"/>
        </w:rPr>
      </w:pPr>
      <w:r>
        <w:rPr>
          <w:noProof/>
        </w:rPr>
        <w:t>15</w:t>
      </w:r>
      <w:r>
        <w:rPr>
          <w:noProof/>
        </w:rPr>
        <w:tab/>
        <w:t>Matters the Board members must report quarterly</w:t>
      </w:r>
      <w:r w:rsidRPr="00BE0F2B">
        <w:rPr>
          <w:noProof/>
        </w:rPr>
        <w:tab/>
      </w:r>
      <w:r w:rsidRPr="00BE0F2B">
        <w:rPr>
          <w:noProof/>
        </w:rPr>
        <w:fldChar w:fldCharType="begin"/>
      </w:r>
      <w:r w:rsidRPr="00BE0F2B">
        <w:rPr>
          <w:noProof/>
        </w:rPr>
        <w:instrText xml:space="preserve"> PAGEREF _Toc80079262 \h </w:instrText>
      </w:r>
      <w:r w:rsidRPr="00BE0F2B">
        <w:rPr>
          <w:noProof/>
        </w:rPr>
      </w:r>
      <w:r w:rsidRPr="00BE0F2B">
        <w:rPr>
          <w:noProof/>
        </w:rPr>
        <w:fldChar w:fldCharType="separate"/>
      </w:r>
      <w:r w:rsidR="00891294">
        <w:rPr>
          <w:noProof/>
        </w:rPr>
        <w:t>1</w:t>
      </w:r>
      <w:r w:rsidRPr="00BE0F2B">
        <w:rPr>
          <w:noProof/>
        </w:rPr>
        <w:fldChar w:fldCharType="end"/>
      </w:r>
    </w:p>
    <w:p w:rsidR="00BE0F2B" w:rsidRDefault="00BE0F2B">
      <w:pPr>
        <w:pStyle w:val="TOC5"/>
        <w:rPr>
          <w:rFonts w:asciiTheme="minorHAnsi" w:eastAsiaTheme="minorEastAsia" w:hAnsiTheme="minorHAnsi" w:cstheme="minorBidi"/>
          <w:noProof/>
          <w:kern w:val="0"/>
          <w:sz w:val="22"/>
          <w:szCs w:val="22"/>
        </w:rPr>
      </w:pPr>
      <w:r>
        <w:rPr>
          <w:noProof/>
        </w:rPr>
        <w:t>16</w:t>
      </w:r>
      <w:r>
        <w:rPr>
          <w:noProof/>
        </w:rPr>
        <w:tab/>
        <w:t>Matters for the Commonwealth Ombudsman’s report to the Minister</w:t>
      </w:r>
      <w:r w:rsidRPr="00BE0F2B">
        <w:rPr>
          <w:noProof/>
        </w:rPr>
        <w:tab/>
      </w:r>
      <w:r w:rsidRPr="00BE0F2B">
        <w:rPr>
          <w:noProof/>
        </w:rPr>
        <w:fldChar w:fldCharType="begin"/>
      </w:r>
      <w:r w:rsidRPr="00BE0F2B">
        <w:rPr>
          <w:noProof/>
        </w:rPr>
        <w:instrText xml:space="preserve"> PAGEREF _Toc80079263 \h </w:instrText>
      </w:r>
      <w:r w:rsidRPr="00BE0F2B">
        <w:rPr>
          <w:noProof/>
        </w:rPr>
      </w:r>
      <w:r w:rsidRPr="00BE0F2B">
        <w:rPr>
          <w:noProof/>
        </w:rPr>
        <w:fldChar w:fldCharType="separate"/>
      </w:r>
      <w:r w:rsidR="00891294">
        <w:rPr>
          <w:noProof/>
        </w:rPr>
        <w:t>1</w:t>
      </w:r>
      <w:r w:rsidRPr="00BE0F2B">
        <w:rPr>
          <w:noProof/>
        </w:rPr>
        <w:fldChar w:fldCharType="end"/>
      </w:r>
    </w:p>
    <w:p w:rsidR="00BE0F2B" w:rsidRDefault="00BE0F2B">
      <w:pPr>
        <w:pStyle w:val="TOC2"/>
        <w:rPr>
          <w:rFonts w:asciiTheme="minorHAnsi" w:eastAsiaTheme="minorEastAsia" w:hAnsiTheme="minorHAnsi" w:cstheme="minorBidi"/>
          <w:b w:val="0"/>
          <w:noProof/>
          <w:kern w:val="0"/>
          <w:sz w:val="22"/>
          <w:szCs w:val="22"/>
        </w:rPr>
      </w:pPr>
      <w:r>
        <w:rPr>
          <w:noProof/>
        </w:rPr>
        <w:t>Part 5—Application and transitional provisions</w:t>
      </w:r>
      <w:r w:rsidRPr="00BE0F2B">
        <w:rPr>
          <w:b w:val="0"/>
          <w:noProof/>
          <w:sz w:val="18"/>
        </w:rPr>
        <w:tab/>
      </w:r>
      <w:r w:rsidRPr="00BE0F2B">
        <w:rPr>
          <w:b w:val="0"/>
          <w:noProof/>
          <w:sz w:val="18"/>
        </w:rPr>
        <w:fldChar w:fldCharType="begin"/>
      </w:r>
      <w:r w:rsidRPr="00BE0F2B">
        <w:rPr>
          <w:b w:val="0"/>
          <w:noProof/>
          <w:sz w:val="18"/>
        </w:rPr>
        <w:instrText xml:space="preserve"> PAGEREF _Toc80079264 \h </w:instrText>
      </w:r>
      <w:r w:rsidRPr="00BE0F2B">
        <w:rPr>
          <w:b w:val="0"/>
          <w:noProof/>
          <w:sz w:val="18"/>
        </w:rPr>
      </w:r>
      <w:r w:rsidRPr="00BE0F2B">
        <w:rPr>
          <w:b w:val="0"/>
          <w:noProof/>
          <w:sz w:val="18"/>
        </w:rPr>
        <w:fldChar w:fldCharType="separate"/>
      </w:r>
      <w:r w:rsidR="00891294">
        <w:rPr>
          <w:b w:val="0"/>
          <w:noProof/>
          <w:sz w:val="18"/>
        </w:rPr>
        <w:t>1</w:t>
      </w:r>
      <w:r w:rsidRPr="00BE0F2B">
        <w:rPr>
          <w:b w:val="0"/>
          <w:noProof/>
          <w:sz w:val="18"/>
        </w:rPr>
        <w:fldChar w:fldCharType="end"/>
      </w:r>
    </w:p>
    <w:p w:rsidR="00BE0F2B" w:rsidRDefault="00BE0F2B">
      <w:pPr>
        <w:pStyle w:val="TOC5"/>
        <w:rPr>
          <w:rFonts w:asciiTheme="minorHAnsi" w:eastAsiaTheme="minorEastAsia" w:hAnsiTheme="minorHAnsi" w:cstheme="minorBidi"/>
          <w:noProof/>
          <w:kern w:val="0"/>
          <w:sz w:val="22"/>
          <w:szCs w:val="22"/>
        </w:rPr>
      </w:pPr>
      <w:r>
        <w:rPr>
          <w:noProof/>
        </w:rPr>
        <w:t>17</w:t>
      </w:r>
      <w:r>
        <w:rPr>
          <w:noProof/>
        </w:rPr>
        <w:tab/>
        <w:t>Application—plans: period before which a scheduled reassessment must start</w:t>
      </w:r>
      <w:r w:rsidRPr="00BE0F2B">
        <w:rPr>
          <w:noProof/>
        </w:rPr>
        <w:tab/>
      </w:r>
      <w:r w:rsidRPr="00BE0F2B">
        <w:rPr>
          <w:noProof/>
        </w:rPr>
        <w:fldChar w:fldCharType="begin"/>
      </w:r>
      <w:r w:rsidRPr="00BE0F2B">
        <w:rPr>
          <w:noProof/>
        </w:rPr>
        <w:instrText xml:space="preserve"> PAGEREF _Toc80079265 \h </w:instrText>
      </w:r>
      <w:r w:rsidRPr="00BE0F2B">
        <w:rPr>
          <w:noProof/>
        </w:rPr>
      </w:r>
      <w:r w:rsidRPr="00BE0F2B">
        <w:rPr>
          <w:noProof/>
        </w:rPr>
        <w:fldChar w:fldCharType="separate"/>
      </w:r>
      <w:r w:rsidR="00891294">
        <w:rPr>
          <w:noProof/>
        </w:rPr>
        <w:t>1</w:t>
      </w:r>
      <w:r w:rsidRPr="00BE0F2B">
        <w:rPr>
          <w:noProof/>
        </w:rPr>
        <w:fldChar w:fldCharType="end"/>
      </w:r>
    </w:p>
    <w:p w:rsidR="00670EA1" w:rsidRPr="00754FBB" w:rsidRDefault="00BE0F2B" w:rsidP="00715914">
      <w:r>
        <w:fldChar w:fldCharType="end"/>
      </w:r>
    </w:p>
    <w:p w:rsidR="00670EA1" w:rsidRPr="00754FBB" w:rsidRDefault="00670EA1" w:rsidP="00715914">
      <w:pPr>
        <w:sectPr w:rsidR="00670EA1" w:rsidRPr="00754FBB" w:rsidSect="00243018">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rsidR="00715914" w:rsidRPr="00754FBB" w:rsidRDefault="00715914" w:rsidP="00715914">
      <w:pPr>
        <w:pStyle w:val="ActHead2"/>
      </w:pPr>
      <w:bookmarkStart w:id="4" w:name="_Toc80079244"/>
      <w:r w:rsidRPr="00BE0F2B">
        <w:rPr>
          <w:rStyle w:val="CharPartNo"/>
        </w:rPr>
        <w:lastRenderedPageBreak/>
        <w:t>Part 1</w:t>
      </w:r>
      <w:r w:rsidRPr="00754FBB">
        <w:t>—</w:t>
      </w:r>
      <w:r w:rsidRPr="00BE0F2B">
        <w:rPr>
          <w:rStyle w:val="CharPartText"/>
        </w:rPr>
        <w:t>Preliminary</w:t>
      </w:r>
      <w:bookmarkEnd w:id="4"/>
    </w:p>
    <w:p w:rsidR="00715914" w:rsidRPr="00BE0F2B" w:rsidRDefault="00715914" w:rsidP="00715914">
      <w:pPr>
        <w:pStyle w:val="Header"/>
      </w:pPr>
      <w:r w:rsidRPr="00BE0F2B">
        <w:rPr>
          <w:rStyle w:val="CharDivNo"/>
        </w:rPr>
        <w:t xml:space="preserve"> </w:t>
      </w:r>
      <w:r w:rsidRPr="00BE0F2B">
        <w:rPr>
          <w:rStyle w:val="CharDivText"/>
        </w:rPr>
        <w:t xml:space="preserve"> </w:t>
      </w:r>
    </w:p>
    <w:p w:rsidR="00715914" w:rsidRPr="00754FBB" w:rsidRDefault="00245187" w:rsidP="00715914">
      <w:pPr>
        <w:pStyle w:val="ActHead5"/>
      </w:pPr>
      <w:bookmarkStart w:id="5" w:name="_Toc80079245"/>
      <w:r w:rsidRPr="00BE0F2B">
        <w:rPr>
          <w:rStyle w:val="CharSectno"/>
        </w:rPr>
        <w:t>1</w:t>
      </w:r>
      <w:r w:rsidR="00715914" w:rsidRPr="00754FBB">
        <w:t xml:space="preserve">  </w:t>
      </w:r>
      <w:r w:rsidR="00CE493D" w:rsidRPr="00754FBB">
        <w:t>Name</w:t>
      </w:r>
      <w:bookmarkEnd w:id="5"/>
    </w:p>
    <w:p w:rsidR="00715914" w:rsidRPr="00754FBB" w:rsidRDefault="00715914" w:rsidP="00715914">
      <w:pPr>
        <w:pStyle w:val="subsection"/>
      </w:pPr>
      <w:r w:rsidRPr="00754FBB">
        <w:tab/>
      </w:r>
      <w:r w:rsidRPr="00754FBB">
        <w:tab/>
      </w:r>
      <w:r w:rsidR="00B549E0" w:rsidRPr="00754FBB">
        <w:t>This instrument is</w:t>
      </w:r>
      <w:r w:rsidR="00CE493D" w:rsidRPr="00754FBB">
        <w:t xml:space="preserve"> the </w:t>
      </w:r>
      <w:bookmarkStart w:id="6" w:name="BKCheck15B_3"/>
      <w:bookmarkEnd w:id="6"/>
      <w:r w:rsidR="00BC76AC" w:rsidRPr="00754FBB">
        <w:rPr>
          <w:i/>
        </w:rPr>
        <w:fldChar w:fldCharType="begin"/>
      </w:r>
      <w:r w:rsidR="00BC76AC" w:rsidRPr="00754FBB">
        <w:rPr>
          <w:i/>
        </w:rPr>
        <w:instrText xml:space="preserve"> STYLEREF  ShortT </w:instrText>
      </w:r>
      <w:r w:rsidR="00BC76AC" w:rsidRPr="00754FBB">
        <w:rPr>
          <w:i/>
        </w:rPr>
        <w:fldChar w:fldCharType="separate"/>
      </w:r>
      <w:r w:rsidR="00891294">
        <w:rPr>
          <w:i/>
          <w:noProof/>
        </w:rPr>
        <w:t>National Disability Insurance Scheme (Participant Service Guarantee) Rules 2021</w:t>
      </w:r>
      <w:r w:rsidR="00BC76AC" w:rsidRPr="00754FBB">
        <w:rPr>
          <w:i/>
        </w:rPr>
        <w:fldChar w:fldCharType="end"/>
      </w:r>
      <w:r w:rsidRPr="00754FBB">
        <w:t>.</w:t>
      </w:r>
    </w:p>
    <w:p w:rsidR="00715914" w:rsidRPr="00754FBB" w:rsidRDefault="00245187" w:rsidP="00715914">
      <w:pPr>
        <w:pStyle w:val="ActHead5"/>
      </w:pPr>
      <w:bookmarkStart w:id="7" w:name="_Toc80079246"/>
      <w:r w:rsidRPr="00BE0F2B">
        <w:rPr>
          <w:rStyle w:val="CharSectno"/>
        </w:rPr>
        <w:t>2</w:t>
      </w:r>
      <w:r w:rsidR="00715914" w:rsidRPr="00754FBB">
        <w:t xml:space="preserve">  Commencement</w:t>
      </w:r>
      <w:bookmarkEnd w:id="7"/>
    </w:p>
    <w:p w:rsidR="00AE3652" w:rsidRPr="00754FBB" w:rsidRDefault="00807626" w:rsidP="00AE3652">
      <w:pPr>
        <w:pStyle w:val="subsection"/>
      </w:pPr>
      <w:r w:rsidRPr="00754FBB">
        <w:tab/>
      </w:r>
      <w:r w:rsidR="00AE3652" w:rsidRPr="00754FBB">
        <w:t>(1)</w:t>
      </w:r>
      <w:r w:rsidR="00AE3652" w:rsidRPr="00754FBB">
        <w:tab/>
        <w:t xml:space="preserve">Each provision of </w:t>
      </w:r>
      <w:r w:rsidR="00B549E0" w:rsidRPr="00754FBB">
        <w:t>this instrument</w:t>
      </w:r>
      <w:r w:rsidR="00AE3652" w:rsidRPr="00754FBB">
        <w:t xml:space="preserve"> specified in column 1 of the table commences, or is taken to have commenced, in accordance with column 2 of the table. Any other statement in column 2 has effect according to its terms.</w:t>
      </w:r>
    </w:p>
    <w:p w:rsidR="00AE3652" w:rsidRPr="00754FBB"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754FBB" w:rsidTr="00BC2807">
        <w:trPr>
          <w:tblHeader/>
        </w:trPr>
        <w:tc>
          <w:tcPr>
            <w:tcW w:w="8364" w:type="dxa"/>
            <w:gridSpan w:val="3"/>
            <w:tcBorders>
              <w:top w:val="single" w:sz="12" w:space="0" w:color="auto"/>
              <w:bottom w:val="single" w:sz="6" w:space="0" w:color="auto"/>
            </w:tcBorders>
            <w:shd w:val="clear" w:color="auto" w:fill="auto"/>
            <w:hideMark/>
          </w:tcPr>
          <w:p w:rsidR="00AE3652" w:rsidRPr="00754FBB" w:rsidRDefault="00AE3652" w:rsidP="00BC2807">
            <w:pPr>
              <w:pStyle w:val="TableHeading"/>
            </w:pPr>
            <w:r w:rsidRPr="00754FBB">
              <w:t>Commencement information</w:t>
            </w:r>
          </w:p>
        </w:tc>
      </w:tr>
      <w:tr w:rsidR="00AE3652" w:rsidRPr="00754FBB" w:rsidTr="00BC2807">
        <w:trPr>
          <w:tblHeader/>
        </w:trPr>
        <w:tc>
          <w:tcPr>
            <w:tcW w:w="2127" w:type="dxa"/>
            <w:tcBorders>
              <w:top w:val="single" w:sz="6" w:space="0" w:color="auto"/>
              <w:bottom w:val="single" w:sz="6" w:space="0" w:color="auto"/>
            </w:tcBorders>
            <w:shd w:val="clear" w:color="auto" w:fill="auto"/>
            <w:hideMark/>
          </w:tcPr>
          <w:p w:rsidR="00AE3652" w:rsidRPr="00754FBB" w:rsidRDefault="00AE3652" w:rsidP="00BC2807">
            <w:pPr>
              <w:pStyle w:val="TableHeading"/>
            </w:pPr>
            <w:r w:rsidRPr="00754FBB">
              <w:t>Column 1</w:t>
            </w:r>
          </w:p>
        </w:tc>
        <w:tc>
          <w:tcPr>
            <w:tcW w:w="4394" w:type="dxa"/>
            <w:tcBorders>
              <w:top w:val="single" w:sz="6" w:space="0" w:color="auto"/>
              <w:bottom w:val="single" w:sz="6" w:space="0" w:color="auto"/>
            </w:tcBorders>
            <w:shd w:val="clear" w:color="auto" w:fill="auto"/>
            <w:hideMark/>
          </w:tcPr>
          <w:p w:rsidR="00AE3652" w:rsidRPr="00754FBB" w:rsidRDefault="00AE3652" w:rsidP="00BC2807">
            <w:pPr>
              <w:pStyle w:val="TableHeading"/>
            </w:pPr>
            <w:r w:rsidRPr="00754FBB">
              <w:t>Column 2</w:t>
            </w:r>
          </w:p>
        </w:tc>
        <w:tc>
          <w:tcPr>
            <w:tcW w:w="1843" w:type="dxa"/>
            <w:tcBorders>
              <w:top w:val="single" w:sz="6" w:space="0" w:color="auto"/>
              <w:bottom w:val="single" w:sz="6" w:space="0" w:color="auto"/>
            </w:tcBorders>
            <w:shd w:val="clear" w:color="auto" w:fill="auto"/>
            <w:hideMark/>
          </w:tcPr>
          <w:p w:rsidR="00AE3652" w:rsidRPr="00754FBB" w:rsidRDefault="00AE3652" w:rsidP="00BC2807">
            <w:pPr>
              <w:pStyle w:val="TableHeading"/>
            </w:pPr>
            <w:r w:rsidRPr="00754FBB">
              <w:t>Column 3</w:t>
            </w:r>
          </w:p>
        </w:tc>
      </w:tr>
      <w:tr w:rsidR="00AE3652" w:rsidRPr="00754FBB" w:rsidTr="00BC2807">
        <w:trPr>
          <w:tblHeader/>
        </w:trPr>
        <w:tc>
          <w:tcPr>
            <w:tcW w:w="2127" w:type="dxa"/>
            <w:tcBorders>
              <w:top w:val="single" w:sz="6" w:space="0" w:color="auto"/>
              <w:bottom w:val="single" w:sz="12" w:space="0" w:color="auto"/>
            </w:tcBorders>
            <w:shd w:val="clear" w:color="auto" w:fill="auto"/>
            <w:hideMark/>
          </w:tcPr>
          <w:p w:rsidR="00AE3652" w:rsidRPr="00754FBB" w:rsidRDefault="00AE3652" w:rsidP="00BC2807">
            <w:pPr>
              <w:pStyle w:val="TableHeading"/>
            </w:pPr>
            <w:r w:rsidRPr="00754FBB">
              <w:t>Provisions</w:t>
            </w:r>
          </w:p>
        </w:tc>
        <w:tc>
          <w:tcPr>
            <w:tcW w:w="4394" w:type="dxa"/>
            <w:tcBorders>
              <w:top w:val="single" w:sz="6" w:space="0" w:color="auto"/>
              <w:bottom w:val="single" w:sz="12" w:space="0" w:color="auto"/>
            </w:tcBorders>
            <w:shd w:val="clear" w:color="auto" w:fill="auto"/>
            <w:hideMark/>
          </w:tcPr>
          <w:p w:rsidR="00AE3652" w:rsidRPr="00754FBB" w:rsidRDefault="00AE3652" w:rsidP="00BC2807">
            <w:pPr>
              <w:pStyle w:val="TableHeading"/>
            </w:pPr>
            <w:r w:rsidRPr="00754FBB">
              <w:t>Commencement</w:t>
            </w:r>
          </w:p>
        </w:tc>
        <w:tc>
          <w:tcPr>
            <w:tcW w:w="1843" w:type="dxa"/>
            <w:tcBorders>
              <w:top w:val="single" w:sz="6" w:space="0" w:color="auto"/>
              <w:bottom w:val="single" w:sz="12" w:space="0" w:color="auto"/>
            </w:tcBorders>
            <w:shd w:val="clear" w:color="auto" w:fill="auto"/>
            <w:hideMark/>
          </w:tcPr>
          <w:p w:rsidR="00AE3652" w:rsidRPr="00754FBB" w:rsidRDefault="00AE3652" w:rsidP="00BC2807">
            <w:pPr>
              <w:pStyle w:val="TableHeading"/>
            </w:pPr>
            <w:r w:rsidRPr="00754FBB">
              <w:t>Date/Details</w:t>
            </w:r>
          </w:p>
        </w:tc>
      </w:tr>
      <w:tr w:rsidR="00AE3652" w:rsidRPr="00754FBB" w:rsidTr="00BC2807">
        <w:tc>
          <w:tcPr>
            <w:tcW w:w="2127" w:type="dxa"/>
            <w:tcBorders>
              <w:top w:val="single" w:sz="12" w:space="0" w:color="auto"/>
              <w:bottom w:val="single" w:sz="12" w:space="0" w:color="auto"/>
            </w:tcBorders>
            <w:shd w:val="clear" w:color="auto" w:fill="auto"/>
            <w:hideMark/>
          </w:tcPr>
          <w:p w:rsidR="00AE3652" w:rsidRPr="00754FBB" w:rsidRDefault="00AE3652" w:rsidP="00BC2807">
            <w:pPr>
              <w:pStyle w:val="Tabletext"/>
            </w:pPr>
            <w:r w:rsidRPr="00754FBB">
              <w:t xml:space="preserve">1.  The whole of </w:t>
            </w:r>
            <w:r w:rsidR="00B549E0" w:rsidRPr="00754FBB">
              <w:t>this instrument</w:t>
            </w:r>
          </w:p>
        </w:tc>
        <w:tc>
          <w:tcPr>
            <w:tcW w:w="4394" w:type="dxa"/>
            <w:tcBorders>
              <w:top w:val="single" w:sz="12" w:space="0" w:color="auto"/>
              <w:bottom w:val="single" w:sz="12" w:space="0" w:color="auto"/>
            </w:tcBorders>
            <w:shd w:val="clear" w:color="auto" w:fill="auto"/>
            <w:hideMark/>
          </w:tcPr>
          <w:p w:rsidR="00104168" w:rsidRPr="00754FBB" w:rsidRDefault="00104168" w:rsidP="005625ED">
            <w:pPr>
              <w:pStyle w:val="Tabletext"/>
            </w:pPr>
            <w:r w:rsidRPr="00754FBB">
              <w:t>The later of:</w:t>
            </w:r>
          </w:p>
          <w:p w:rsidR="00104168" w:rsidRPr="00754FBB" w:rsidRDefault="00104168" w:rsidP="00095698">
            <w:pPr>
              <w:pStyle w:val="Tablea"/>
            </w:pPr>
            <w:r w:rsidRPr="00754FBB">
              <w:t xml:space="preserve">(a) </w:t>
            </w:r>
            <w:r w:rsidR="00095698" w:rsidRPr="00754FBB">
              <w:t>the day</w:t>
            </w:r>
            <w:r w:rsidR="00EF4AD2">
              <w:t xml:space="preserve"> the</w:t>
            </w:r>
            <w:r w:rsidR="00095698" w:rsidRPr="00754FBB">
              <w:t xml:space="preserve"> </w:t>
            </w:r>
            <w:r w:rsidR="00575D93" w:rsidRPr="00575D93">
              <w:rPr>
                <w:i/>
              </w:rPr>
              <w:t>National Disability Insurance Scheme Amendment (Participant Service Guarantee and Other Measures) Act 2021</w:t>
            </w:r>
            <w:r w:rsidR="00575D93">
              <w:t xml:space="preserve"> </w:t>
            </w:r>
            <w:r w:rsidR="00095698" w:rsidRPr="00754FBB">
              <w:t>commence</w:t>
            </w:r>
            <w:r w:rsidR="004A3020" w:rsidRPr="00754FBB">
              <w:t>s</w:t>
            </w:r>
            <w:r w:rsidRPr="00754FBB">
              <w:t>; and</w:t>
            </w:r>
          </w:p>
          <w:p w:rsidR="00AE3652" w:rsidRPr="00754FBB" w:rsidRDefault="00104168" w:rsidP="00095698">
            <w:pPr>
              <w:pStyle w:val="Tablea"/>
            </w:pPr>
            <w:r w:rsidRPr="00754FBB">
              <w:t xml:space="preserve">(b) </w:t>
            </w:r>
            <w:r w:rsidR="00095698" w:rsidRPr="00754FBB">
              <w:t xml:space="preserve">the </w:t>
            </w:r>
            <w:r w:rsidRPr="00754FBB">
              <w:t>day after this instrument is registered</w:t>
            </w:r>
            <w:r w:rsidR="00AE3652" w:rsidRPr="00754FBB">
              <w:t>.</w:t>
            </w:r>
          </w:p>
        </w:tc>
        <w:tc>
          <w:tcPr>
            <w:tcW w:w="1843" w:type="dxa"/>
            <w:tcBorders>
              <w:top w:val="single" w:sz="12" w:space="0" w:color="auto"/>
              <w:bottom w:val="single" w:sz="12" w:space="0" w:color="auto"/>
            </w:tcBorders>
            <w:shd w:val="clear" w:color="auto" w:fill="auto"/>
          </w:tcPr>
          <w:p w:rsidR="00AE3652" w:rsidRPr="00754FBB" w:rsidRDefault="00AE3652" w:rsidP="00BC2807">
            <w:pPr>
              <w:pStyle w:val="Tabletext"/>
            </w:pPr>
          </w:p>
        </w:tc>
      </w:tr>
    </w:tbl>
    <w:p w:rsidR="00AE3652" w:rsidRPr="00754FBB" w:rsidRDefault="00AE3652" w:rsidP="00AE3652">
      <w:pPr>
        <w:pStyle w:val="notetext"/>
      </w:pPr>
      <w:r w:rsidRPr="00754FBB">
        <w:rPr>
          <w:snapToGrid w:val="0"/>
          <w:lang w:eastAsia="en-US"/>
        </w:rPr>
        <w:t>Note:</w:t>
      </w:r>
      <w:r w:rsidRPr="00754FBB">
        <w:rPr>
          <w:snapToGrid w:val="0"/>
          <w:lang w:eastAsia="en-US"/>
        </w:rPr>
        <w:tab/>
        <w:t xml:space="preserve">This table relates only to the provisions of </w:t>
      </w:r>
      <w:r w:rsidR="00B549E0" w:rsidRPr="00754FBB">
        <w:rPr>
          <w:snapToGrid w:val="0"/>
          <w:lang w:eastAsia="en-US"/>
        </w:rPr>
        <w:t>this instrument</w:t>
      </w:r>
      <w:r w:rsidRPr="00754FBB">
        <w:t xml:space="preserve"> </w:t>
      </w:r>
      <w:r w:rsidRPr="00754FBB">
        <w:rPr>
          <w:snapToGrid w:val="0"/>
          <w:lang w:eastAsia="en-US"/>
        </w:rPr>
        <w:t xml:space="preserve">as originally made. It will not be amended to deal with any later amendments of </w:t>
      </w:r>
      <w:r w:rsidR="00B549E0" w:rsidRPr="00754FBB">
        <w:rPr>
          <w:snapToGrid w:val="0"/>
          <w:lang w:eastAsia="en-US"/>
        </w:rPr>
        <w:t>this instrument</w:t>
      </w:r>
      <w:r w:rsidRPr="00754FBB">
        <w:rPr>
          <w:snapToGrid w:val="0"/>
          <w:lang w:eastAsia="en-US"/>
        </w:rPr>
        <w:t>.</w:t>
      </w:r>
    </w:p>
    <w:p w:rsidR="00807626" w:rsidRPr="00754FBB" w:rsidRDefault="00AE3652" w:rsidP="00AE3652">
      <w:pPr>
        <w:pStyle w:val="subsection"/>
      </w:pPr>
      <w:r w:rsidRPr="00754FBB">
        <w:tab/>
        <w:t>(2)</w:t>
      </w:r>
      <w:r w:rsidRPr="00754FBB">
        <w:tab/>
        <w:t xml:space="preserve">Any information in column 3 of the table is not part of </w:t>
      </w:r>
      <w:r w:rsidR="00B549E0" w:rsidRPr="00754FBB">
        <w:t>this instrument</w:t>
      </w:r>
      <w:r w:rsidRPr="00754FBB">
        <w:t xml:space="preserve">. Information may be inserted in this column, or information in it may be edited, in any published version of </w:t>
      </w:r>
      <w:r w:rsidR="00B549E0" w:rsidRPr="00754FBB">
        <w:t>this instrument</w:t>
      </w:r>
      <w:r w:rsidRPr="00754FBB">
        <w:t>.</w:t>
      </w:r>
    </w:p>
    <w:p w:rsidR="007500C8" w:rsidRPr="00754FBB" w:rsidRDefault="00245187" w:rsidP="007500C8">
      <w:pPr>
        <w:pStyle w:val="ActHead5"/>
      </w:pPr>
      <w:bookmarkStart w:id="8" w:name="_Toc80079247"/>
      <w:r w:rsidRPr="00BE0F2B">
        <w:rPr>
          <w:rStyle w:val="CharSectno"/>
        </w:rPr>
        <w:t>3</w:t>
      </w:r>
      <w:r w:rsidR="007500C8" w:rsidRPr="00754FBB">
        <w:t xml:space="preserve">  Authority</w:t>
      </w:r>
      <w:bookmarkEnd w:id="8"/>
    </w:p>
    <w:p w:rsidR="00157B8B" w:rsidRPr="00754FBB" w:rsidRDefault="007500C8" w:rsidP="007E667A">
      <w:pPr>
        <w:pStyle w:val="subsection"/>
      </w:pPr>
      <w:r w:rsidRPr="00754FBB">
        <w:tab/>
      </w:r>
      <w:r w:rsidRPr="00754FBB">
        <w:tab/>
      </w:r>
      <w:r w:rsidR="00B549E0" w:rsidRPr="00754FBB">
        <w:t>This instrument is</w:t>
      </w:r>
      <w:r w:rsidRPr="00754FBB">
        <w:t xml:space="preserve"> made under the </w:t>
      </w:r>
      <w:r w:rsidR="00B549E0" w:rsidRPr="00754FBB">
        <w:rPr>
          <w:i/>
        </w:rPr>
        <w:t>National Disability Insurance Scheme Act 2013</w:t>
      </w:r>
      <w:r w:rsidR="00F4350D" w:rsidRPr="00754FBB">
        <w:t>.</w:t>
      </w:r>
    </w:p>
    <w:p w:rsidR="00B549E0" w:rsidRPr="00754FBB" w:rsidRDefault="00245187" w:rsidP="00E4393E">
      <w:pPr>
        <w:pStyle w:val="ActHead5"/>
      </w:pPr>
      <w:bookmarkStart w:id="9" w:name="_Toc80079248"/>
      <w:r w:rsidRPr="00BE0F2B">
        <w:rPr>
          <w:rStyle w:val="CharSectno"/>
        </w:rPr>
        <w:t>4</w:t>
      </w:r>
      <w:r w:rsidR="00E4393E" w:rsidRPr="00754FBB">
        <w:t xml:space="preserve">  Definitions</w:t>
      </w:r>
      <w:bookmarkEnd w:id="9"/>
    </w:p>
    <w:p w:rsidR="00850C93" w:rsidRPr="00754FBB" w:rsidRDefault="00850C93" w:rsidP="00850C93">
      <w:pPr>
        <w:pStyle w:val="notetext"/>
      </w:pPr>
      <w:r w:rsidRPr="00754FBB">
        <w:t>Note:</w:t>
      </w:r>
      <w:r w:rsidRPr="00754FBB">
        <w:tab/>
        <w:t>A number of expressions used in this instrument are defined in section 9 of the Act, including the following:</w:t>
      </w:r>
    </w:p>
    <w:p w:rsidR="00850C93" w:rsidRPr="00754FBB" w:rsidRDefault="00850C93" w:rsidP="00850C93">
      <w:pPr>
        <w:pStyle w:val="notepara"/>
      </w:pPr>
      <w:r w:rsidRPr="00754FBB">
        <w:t>(a)</w:t>
      </w:r>
      <w:r w:rsidRPr="00754FBB">
        <w:tab/>
        <w:t>Agency;</w:t>
      </w:r>
    </w:p>
    <w:p w:rsidR="00850C93" w:rsidRPr="00754FBB" w:rsidRDefault="00850C93" w:rsidP="00850C93">
      <w:pPr>
        <w:pStyle w:val="notepara"/>
      </w:pPr>
      <w:r w:rsidRPr="00754FBB">
        <w:t>(b)</w:t>
      </w:r>
      <w:r w:rsidRPr="00754FBB">
        <w:tab/>
        <w:t>CEO;</w:t>
      </w:r>
    </w:p>
    <w:p w:rsidR="009E5DAF" w:rsidRPr="00754FBB" w:rsidRDefault="009E5DAF" w:rsidP="00850C93">
      <w:pPr>
        <w:pStyle w:val="notepara"/>
      </w:pPr>
      <w:r w:rsidRPr="00754FBB">
        <w:t>(c)</w:t>
      </w:r>
      <w:r w:rsidRPr="00754FBB">
        <w:tab/>
        <w:t>National Disability Insurance Scheme;</w:t>
      </w:r>
    </w:p>
    <w:p w:rsidR="00850C93" w:rsidRPr="00754FBB" w:rsidRDefault="009E5DAF" w:rsidP="00850C93">
      <w:pPr>
        <w:pStyle w:val="notepara"/>
      </w:pPr>
      <w:r w:rsidRPr="00754FBB">
        <w:t>(</w:t>
      </w:r>
      <w:r w:rsidR="00C81A37" w:rsidRPr="00754FBB">
        <w:t>d</w:t>
      </w:r>
      <w:r w:rsidR="00850C93" w:rsidRPr="00754FBB">
        <w:t>)</w:t>
      </w:r>
      <w:r w:rsidR="00850C93" w:rsidRPr="00754FBB">
        <w:tab/>
        <w:t>participant;</w:t>
      </w:r>
    </w:p>
    <w:p w:rsidR="00850C93" w:rsidRPr="00754FBB" w:rsidRDefault="0028526A" w:rsidP="00850C93">
      <w:pPr>
        <w:pStyle w:val="notepara"/>
      </w:pPr>
      <w:r w:rsidRPr="00754FBB">
        <w:t>(e)</w:t>
      </w:r>
      <w:r w:rsidR="00850C93" w:rsidRPr="00754FBB">
        <w:tab/>
        <w:t>prospective participant.</w:t>
      </w:r>
    </w:p>
    <w:p w:rsidR="00E4393E" w:rsidRPr="00754FBB" w:rsidRDefault="00E4393E" w:rsidP="007E667A">
      <w:pPr>
        <w:pStyle w:val="subsection"/>
      </w:pPr>
      <w:r w:rsidRPr="00754FBB">
        <w:tab/>
      </w:r>
      <w:r w:rsidRPr="00754FBB">
        <w:tab/>
        <w:t>In this instrument:</w:t>
      </w:r>
    </w:p>
    <w:p w:rsidR="00B21F27" w:rsidRPr="00754FBB" w:rsidRDefault="00B21F27" w:rsidP="00E4393E">
      <w:pPr>
        <w:pStyle w:val="Definition"/>
        <w:rPr>
          <w:b/>
          <w:i/>
        </w:rPr>
      </w:pPr>
      <w:r w:rsidRPr="00754FBB">
        <w:rPr>
          <w:b/>
          <w:i/>
        </w:rPr>
        <w:t>access decision</w:t>
      </w:r>
      <w:r w:rsidRPr="00754FBB">
        <w:t xml:space="preserve"> means a decision under </w:t>
      </w:r>
      <w:r w:rsidR="0068783C" w:rsidRPr="00754FBB">
        <w:t>paragraph 2</w:t>
      </w:r>
      <w:r w:rsidRPr="00754FBB">
        <w:t>0</w:t>
      </w:r>
      <w:r w:rsidR="001250C3" w:rsidRPr="00754FBB">
        <w:t>(1)</w:t>
      </w:r>
      <w:r w:rsidRPr="00754FBB">
        <w:t>(a)</w:t>
      </w:r>
      <w:r w:rsidR="003B247C" w:rsidRPr="00754FBB">
        <w:t xml:space="preserve"> or 26(2)(c)</w:t>
      </w:r>
      <w:r w:rsidRPr="00754FBB">
        <w:t xml:space="preserve"> of the Act.</w:t>
      </w:r>
    </w:p>
    <w:p w:rsidR="006E19B4" w:rsidRPr="00754FBB" w:rsidRDefault="006E19B4" w:rsidP="00E4393E">
      <w:pPr>
        <w:pStyle w:val="Definition"/>
      </w:pPr>
      <w:r w:rsidRPr="00754FBB">
        <w:rPr>
          <w:b/>
          <w:i/>
        </w:rPr>
        <w:lastRenderedPageBreak/>
        <w:t>access decision</w:t>
      </w:r>
      <w:r w:rsidR="00E87262" w:rsidRPr="00754FBB">
        <w:rPr>
          <w:b/>
          <w:i/>
        </w:rPr>
        <w:t xml:space="preserve"> day</w:t>
      </w:r>
      <w:r w:rsidR="00021568" w:rsidRPr="00754FBB">
        <w:t xml:space="preserve">, for a participant, means the </w:t>
      </w:r>
      <w:r w:rsidR="00E87262" w:rsidRPr="00754FBB">
        <w:t>day the CEO decide</w:t>
      </w:r>
      <w:r w:rsidR="00B176D5" w:rsidRPr="00754FBB">
        <w:t>s</w:t>
      </w:r>
      <w:r w:rsidR="00021568" w:rsidRPr="00754FBB">
        <w:t xml:space="preserve"> under </w:t>
      </w:r>
      <w:r w:rsidR="0068783C" w:rsidRPr="00754FBB">
        <w:t>paragraph 2</w:t>
      </w:r>
      <w:r w:rsidR="00021568" w:rsidRPr="00754FBB">
        <w:t>0</w:t>
      </w:r>
      <w:r w:rsidR="001250C3" w:rsidRPr="00754FBB">
        <w:t>(1)</w:t>
      </w:r>
      <w:r w:rsidR="00021568" w:rsidRPr="00754FBB">
        <w:t xml:space="preserve">(a) </w:t>
      </w:r>
      <w:r w:rsidR="003B247C" w:rsidRPr="00754FBB">
        <w:t xml:space="preserve">or 26(2)(c) </w:t>
      </w:r>
      <w:r w:rsidR="00021568" w:rsidRPr="00754FBB">
        <w:t>of the Act that the participant me</w:t>
      </w:r>
      <w:r w:rsidR="00B176D5" w:rsidRPr="00754FBB">
        <w:t>e</w:t>
      </w:r>
      <w:r w:rsidR="00021568" w:rsidRPr="00754FBB">
        <w:t>t</w:t>
      </w:r>
      <w:r w:rsidR="00B176D5" w:rsidRPr="00754FBB">
        <w:t>s</w:t>
      </w:r>
      <w:r w:rsidR="00021568" w:rsidRPr="00754FBB">
        <w:t xml:space="preserve"> the access criteria.</w:t>
      </w:r>
    </w:p>
    <w:p w:rsidR="00E4393E" w:rsidRPr="00754FBB" w:rsidRDefault="00E4393E" w:rsidP="00E4393E">
      <w:pPr>
        <w:pStyle w:val="Definition"/>
      </w:pPr>
      <w:r w:rsidRPr="00754FBB">
        <w:rPr>
          <w:b/>
          <w:i/>
        </w:rPr>
        <w:t>Act</w:t>
      </w:r>
      <w:r w:rsidRPr="00754FBB">
        <w:t xml:space="preserve"> means the </w:t>
      </w:r>
      <w:r w:rsidRPr="00754FBB">
        <w:rPr>
          <w:i/>
        </w:rPr>
        <w:t>National Disability Insurance Scheme Act 2013</w:t>
      </w:r>
      <w:r w:rsidRPr="00754FBB">
        <w:t>.</w:t>
      </w:r>
    </w:p>
    <w:p w:rsidR="00FB56B8" w:rsidRPr="00754FBB" w:rsidRDefault="00FB56B8" w:rsidP="00FB56B8">
      <w:pPr>
        <w:pStyle w:val="Definition"/>
      </w:pPr>
      <w:r w:rsidRPr="00754FBB">
        <w:rPr>
          <w:b/>
          <w:i/>
        </w:rPr>
        <w:t>Indigenous person</w:t>
      </w:r>
      <w:bookmarkStart w:id="10" w:name="BK_S3P2L16C18"/>
      <w:bookmarkEnd w:id="10"/>
      <w:r w:rsidRPr="00754FBB">
        <w:t xml:space="preserve"> means a person who is:</w:t>
      </w:r>
    </w:p>
    <w:p w:rsidR="00FB56B8" w:rsidRPr="00754FBB" w:rsidRDefault="00FB56B8" w:rsidP="00FB56B8">
      <w:pPr>
        <w:pStyle w:val="paragraph"/>
      </w:pPr>
      <w:r w:rsidRPr="00754FBB">
        <w:tab/>
        <w:t>(a)</w:t>
      </w:r>
      <w:r w:rsidRPr="00754FBB">
        <w:tab/>
        <w:t>a member of the Aboriginal race of Australia; or</w:t>
      </w:r>
    </w:p>
    <w:p w:rsidR="00FB56B8" w:rsidRPr="00754FBB" w:rsidRDefault="00FB56B8" w:rsidP="00FB56B8">
      <w:pPr>
        <w:pStyle w:val="paragraph"/>
      </w:pPr>
      <w:r w:rsidRPr="00754FBB">
        <w:tab/>
        <w:t>(b)</w:t>
      </w:r>
      <w:r w:rsidRPr="00754FBB">
        <w:tab/>
        <w:t>a descendant</w:t>
      </w:r>
      <w:bookmarkStart w:id="11" w:name="BK_S3P2L18C18"/>
      <w:bookmarkEnd w:id="11"/>
      <w:r w:rsidRPr="00754FBB">
        <w:t xml:space="preserve"> of an Indigenous inhabitant of the Torres Strait Islands.</w:t>
      </w:r>
    </w:p>
    <w:p w:rsidR="007131D2" w:rsidRPr="00754FBB" w:rsidRDefault="007131D2" w:rsidP="00E4393E">
      <w:pPr>
        <w:pStyle w:val="Definition"/>
      </w:pPr>
      <w:r w:rsidRPr="00754FBB">
        <w:rPr>
          <w:b/>
          <w:i/>
        </w:rPr>
        <w:t>NDIS</w:t>
      </w:r>
      <w:r w:rsidRPr="00754FBB">
        <w:t xml:space="preserve"> has the same meaning as </w:t>
      </w:r>
      <w:r w:rsidRPr="00754FBB">
        <w:rPr>
          <w:b/>
          <w:i/>
        </w:rPr>
        <w:t>National Disability Insurance Scheme</w:t>
      </w:r>
      <w:r w:rsidRPr="00754FBB">
        <w:t>.</w:t>
      </w:r>
    </w:p>
    <w:p w:rsidR="00A50D1E" w:rsidRPr="00754FBB" w:rsidRDefault="00A50D1E" w:rsidP="00E4393E">
      <w:pPr>
        <w:pStyle w:val="Definition"/>
      </w:pPr>
      <w:r w:rsidRPr="00754FBB">
        <w:rPr>
          <w:b/>
          <w:i/>
        </w:rPr>
        <w:t>plan duration</w:t>
      </w:r>
      <w:r w:rsidRPr="00754FBB">
        <w:t xml:space="preserve"> has the meaning given by subsection </w:t>
      </w:r>
      <w:r w:rsidR="00245187" w:rsidRPr="00754FBB">
        <w:t>15</w:t>
      </w:r>
      <w:r w:rsidRPr="00754FBB">
        <w:t>(2).</w:t>
      </w:r>
    </w:p>
    <w:p w:rsidR="002F00A3" w:rsidRPr="00754FBB" w:rsidRDefault="006F7D1F" w:rsidP="00E4393E">
      <w:pPr>
        <w:pStyle w:val="Definition"/>
      </w:pPr>
      <w:r w:rsidRPr="00754FBB">
        <w:rPr>
          <w:b/>
          <w:i/>
        </w:rPr>
        <w:t xml:space="preserve">responsible </w:t>
      </w:r>
      <w:r w:rsidR="007B4332" w:rsidRPr="00754FBB">
        <w:rPr>
          <w:b/>
          <w:i/>
        </w:rPr>
        <w:t>person</w:t>
      </w:r>
      <w:r w:rsidRPr="00754FBB">
        <w:t xml:space="preserve"> </w:t>
      </w:r>
      <w:r w:rsidR="002F00A3" w:rsidRPr="00754FBB">
        <w:t>means each of the following:</w:t>
      </w:r>
    </w:p>
    <w:p w:rsidR="002F00A3" w:rsidRPr="00754FBB" w:rsidRDefault="002F00A3" w:rsidP="002F00A3">
      <w:pPr>
        <w:pStyle w:val="paragraph"/>
      </w:pPr>
      <w:r w:rsidRPr="00754FBB">
        <w:tab/>
        <w:t>(a)</w:t>
      </w:r>
      <w:r w:rsidRPr="00754FBB">
        <w:tab/>
        <w:t>the Agency;</w:t>
      </w:r>
    </w:p>
    <w:p w:rsidR="002F00A3" w:rsidRPr="00754FBB" w:rsidRDefault="002F00A3" w:rsidP="002F00A3">
      <w:pPr>
        <w:pStyle w:val="paragraph"/>
      </w:pPr>
      <w:r w:rsidRPr="00754FBB">
        <w:tab/>
        <w:t>(b)</w:t>
      </w:r>
      <w:r w:rsidRPr="00754FBB">
        <w:tab/>
        <w:t>the CEO;</w:t>
      </w:r>
    </w:p>
    <w:p w:rsidR="00611555" w:rsidRPr="00754FBB" w:rsidRDefault="00611555" w:rsidP="002F00A3">
      <w:pPr>
        <w:pStyle w:val="paragraph"/>
      </w:pPr>
      <w:r w:rsidRPr="00754FBB">
        <w:tab/>
        <w:t>(c)</w:t>
      </w:r>
      <w:r w:rsidRPr="00754FBB">
        <w:tab/>
        <w:t>an Agency officer;</w:t>
      </w:r>
    </w:p>
    <w:p w:rsidR="002F00A3" w:rsidRPr="00754FBB" w:rsidRDefault="00611555" w:rsidP="002F00A3">
      <w:pPr>
        <w:pStyle w:val="paragraph"/>
      </w:pPr>
      <w:r w:rsidRPr="00754FBB">
        <w:tab/>
        <w:t>(d)</w:t>
      </w:r>
      <w:r w:rsidRPr="00754FBB">
        <w:tab/>
        <w:t>a</w:t>
      </w:r>
      <w:r w:rsidR="002F00A3" w:rsidRPr="00754FBB">
        <w:t xml:space="preserve"> consultant </w:t>
      </w:r>
      <w:r w:rsidR="007A089D" w:rsidRPr="00754FBB">
        <w:t xml:space="preserve">(or contractor) </w:t>
      </w:r>
      <w:r w:rsidR="002F00A3" w:rsidRPr="00754FBB">
        <w:t>engaged by the Agency to assist in the performance of the Agency’s functions</w:t>
      </w:r>
      <w:r w:rsidR="00F018BA" w:rsidRPr="00754FBB">
        <w:t>;</w:t>
      </w:r>
    </w:p>
    <w:p w:rsidR="00E67A4F" w:rsidRDefault="00E67A4F" w:rsidP="009D630F">
      <w:pPr>
        <w:pStyle w:val="paragraph"/>
        <w:rPr>
          <w:szCs w:val="22"/>
        </w:rPr>
      </w:pPr>
      <w:r w:rsidRPr="00754FBB">
        <w:rPr>
          <w:color w:val="000000" w:themeColor="text1"/>
        </w:rPr>
        <w:tab/>
        <w:t>(e)</w:t>
      </w:r>
      <w:r w:rsidRPr="00754FBB">
        <w:rPr>
          <w:color w:val="000000" w:themeColor="text1"/>
        </w:rPr>
        <w:tab/>
        <w:t xml:space="preserve">a person provided </w:t>
      </w:r>
      <w:r w:rsidR="00AD1A36" w:rsidRPr="00754FBB">
        <w:rPr>
          <w:color w:val="000000" w:themeColor="text1"/>
        </w:rPr>
        <w:t xml:space="preserve">assistance in the form of funding under </w:t>
      </w:r>
      <w:r w:rsidR="00832464" w:rsidRPr="00754FBB">
        <w:rPr>
          <w:color w:val="000000" w:themeColor="text1"/>
        </w:rPr>
        <w:t>subsection 1</w:t>
      </w:r>
      <w:r w:rsidR="00AD1A36" w:rsidRPr="00754FBB">
        <w:rPr>
          <w:color w:val="000000" w:themeColor="text1"/>
        </w:rPr>
        <w:t>4(1) of the Act for the purposes of enabling the person to</w:t>
      </w:r>
      <w:r w:rsidR="009D630F">
        <w:rPr>
          <w:color w:val="000000" w:themeColor="text1"/>
        </w:rPr>
        <w:t xml:space="preserve"> </w:t>
      </w:r>
      <w:r w:rsidRPr="00754FBB">
        <w:t>perform an N</w:t>
      </w:r>
      <w:bookmarkStart w:id="12" w:name="BK_S3P2L28C67"/>
      <w:bookmarkEnd w:id="12"/>
      <w:r w:rsidRPr="00754FBB">
        <w:t xml:space="preserve">DIS </w:t>
      </w:r>
      <w:r w:rsidRPr="00754FBB">
        <w:rPr>
          <w:szCs w:val="22"/>
        </w:rPr>
        <w:t>partner in the community</w:t>
      </w:r>
      <w:r w:rsidR="00AD1A36" w:rsidRPr="00754FBB">
        <w:rPr>
          <w:szCs w:val="22"/>
        </w:rPr>
        <w:t xml:space="preserve"> role</w:t>
      </w:r>
      <w:r w:rsidR="009D630F">
        <w:rPr>
          <w:szCs w:val="22"/>
        </w:rPr>
        <w:t>.</w:t>
      </w:r>
    </w:p>
    <w:p w:rsidR="00E4393E" w:rsidRPr="00754FBB" w:rsidRDefault="000823D6" w:rsidP="00E4393E">
      <w:pPr>
        <w:pStyle w:val="ActHead2"/>
        <w:pageBreakBefore/>
      </w:pPr>
      <w:bookmarkStart w:id="13" w:name="_Toc80079249"/>
      <w:r w:rsidRPr="00BE0F2B">
        <w:rPr>
          <w:rStyle w:val="CharPartNo"/>
        </w:rPr>
        <w:lastRenderedPageBreak/>
        <w:t>Part 2</w:t>
      </w:r>
      <w:r w:rsidR="00E4393E" w:rsidRPr="00754FBB">
        <w:t>—</w:t>
      </w:r>
      <w:r w:rsidR="00E4393E" w:rsidRPr="00BE0F2B">
        <w:rPr>
          <w:rStyle w:val="CharPartText"/>
        </w:rPr>
        <w:t xml:space="preserve">Engagement </w:t>
      </w:r>
      <w:r w:rsidR="00312E30" w:rsidRPr="00BE0F2B">
        <w:rPr>
          <w:rStyle w:val="CharPartText"/>
        </w:rPr>
        <w:t>principles</w:t>
      </w:r>
      <w:r w:rsidR="008B266B" w:rsidRPr="00BE0F2B">
        <w:rPr>
          <w:rStyle w:val="CharPartText"/>
        </w:rPr>
        <w:t xml:space="preserve"> and service standards</w:t>
      </w:r>
      <w:bookmarkEnd w:id="13"/>
    </w:p>
    <w:p w:rsidR="00E4393E" w:rsidRPr="00BE0F2B" w:rsidRDefault="00E4393E" w:rsidP="00E4393E">
      <w:pPr>
        <w:pStyle w:val="Header"/>
      </w:pPr>
      <w:r w:rsidRPr="00BE0F2B">
        <w:rPr>
          <w:rStyle w:val="CharDivNo"/>
        </w:rPr>
        <w:t xml:space="preserve"> </w:t>
      </w:r>
      <w:r w:rsidRPr="00BE0F2B">
        <w:rPr>
          <w:rStyle w:val="CharDivText"/>
        </w:rPr>
        <w:t xml:space="preserve"> </w:t>
      </w:r>
    </w:p>
    <w:p w:rsidR="00E4393E" w:rsidRPr="00754FBB" w:rsidRDefault="00245187" w:rsidP="00E4393E">
      <w:pPr>
        <w:pStyle w:val="ActHead5"/>
      </w:pPr>
      <w:bookmarkStart w:id="14" w:name="_Toc80079250"/>
      <w:r w:rsidRPr="00BE0F2B">
        <w:rPr>
          <w:rStyle w:val="CharSectno"/>
        </w:rPr>
        <w:t>5</w:t>
      </w:r>
      <w:r w:rsidR="00E4393E" w:rsidRPr="00754FBB">
        <w:t xml:space="preserve">  </w:t>
      </w:r>
      <w:r w:rsidR="00312E30" w:rsidRPr="00754FBB">
        <w:t xml:space="preserve">Engagement principles </w:t>
      </w:r>
      <w:r w:rsidR="005049AF" w:rsidRPr="00754FBB">
        <w:t>and service standards—</w:t>
      </w:r>
      <w:r w:rsidR="00312E30" w:rsidRPr="00754FBB">
        <w:t>Agency</w:t>
      </w:r>
      <w:r w:rsidR="00577224" w:rsidRPr="00754FBB">
        <w:t>, CEO</w:t>
      </w:r>
      <w:r w:rsidR="00312E30" w:rsidRPr="00754FBB">
        <w:t xml:space="preserve"> and </w:t>
      </w:r>
      <w:r w:rsidR="008D2570" w:rsidRPr="00754FBB">
        <w:t>other responsible persons</w:t>
      </w:r>
      <w:bookmarkEnd w:id="14"/>
    </w:p>
    <w:p w:rsidR="002702A3" w:rsidRPr="00754FBB" w:rsidRDefault="002702A3" w:rsidP="002702A3">
      <w:pPr>
        <w:pStyle w:val="subsection"/>
      </w:pPr>
      <w:r w:rsidRPr="00754FBB">
        <w:tab/>
      </w:r>
      <w:r w:rsidRPr="00754FBB">
        <w:tab/>
        <w:t xml:space="preserve">For the purposes of </w:t>
      </w:r>
      <w:r w:rsidR="0068783C" w:rsidRPr="00754FBB">
        <w:t>paragraph 2</w:t>
      </w:r>
      <w:r w:rsidRPr="00754FBB">
        <w:t xml:space="preserve">09(2A)(c) of the Act, the following engagement principles and service standards apply to how </w:t>
      </w:r>
      <w:r w:rsidR="002F00A3" w:rsidRPr="00754FBB">
        <w:t>responsible persons</w:t>
      </w:r>
      <w:r w:rsidRPr="00754FBB">
        <w:t xml:space="preserve"> are to engage with participants or prospective participants:</w:t>
      </w:r>
    </w:p>
    <w:p w:rsidR="00312E30" w:rsidRPr="00754FBB" w:rsidRDefault="00312E30" w:rsidP="00312E3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3"/>
        <w:gridCol w:w="4915"/>
      </w:tblGrid>
      <w:tr w:rsidR="00312E30" w:rsidRPr="00754FBB" w:rsidTr="00312E30">
        <w:trPr>
          <w:tblHeader/>
        </w:trPr>
        <w:tc>
          <w:tcPr>
            <w:tcW w:w="8312" w:type="dxa"/>
            <w:gridSpan w:val="3"/>
            <w:tcBorders>
              <w:top w:val="single" w:sz="12" w:space="0" w:color="auto"/>
              <w:bottom w:val="single" w:sz="6" w:space="0" w:color="auto"/>
            </w:tcBorders>
            <w:shd w:val="clear" w:color="auto" w:fill="auto"/>
          </w:tcPr>
          <w:p w:rsidR="00312E30" w:rsidRPr="00754FBB" w:rsidRDefault="00312E30" w:rsidP="008D2570">
            <w:pPr>
              <w:pStyle w:val="TableHeading"/>
            </w:pPr>
            <w:r w:rsidRPr="00754FBB">
              <w:t>E</w:t>
            </w:r>
            <w:bookmarkStart w:id="15" w:name="BK_S3P3L9C2"/>
            <w:bookmarkEnd w:id="15"/>
            <w:r w:rsidRPr="00754FBB">
              <w:t xml:space="preserve">ngagement principles </w:t>
            </w:r>
            <w:r w:rsidR="005049AF" w:rsidRPr="00754FBB">
              <w:t xml:space="preserve">and service standards </w:t>
            </w:r>
            <w:r w:rsidRPr="00754FBB">
              <w:t xml:space="preserve">for </w:t>
            </w:r>
            <w:r w:rsidR="00BE7B39" w:rsidRPr="00754FBB">
              <w:t xml:space="preserve">the </w:t>
            </w:r>
            <w:r w:rsidRPr="00754FBB">
              <w:t>Agency</w:t>
            </w:r>
            <w:r w:rsidR="00577224" w:rsidRPr="00754FBB">
              <w:t>, the CEO</w:t>
            </w:r>
            <w:r w:rsidRPr="00754FBB">
              <w:t xml:space="preserve"> and </w:t>
            </w:r>
            <w:r w:rsidR="008D2570" w:rsidRPr="00754FBB">
              <w:t>other responsible persons</w:t>
            </w:r>
          </w:p>
        </w:tc>
      </w:tr>
      <w:tr w:rsidR="00312E30" w:rsidRPr="00754FBB" w:rsidTr="00F736B4">
        <w:trPr>
          <w:tblHeader/>
        </w:trPr>
        <w:tc>
          <w:tcPr>
            <w:tcW w:w="714" w:type="dxa"/>
            <w:tcBorders>
              <w:top w:val="single" w:sz="6" w:space="0" w:color="auto"/>
              <w:bottom w:val="single" w:sz="12" w:space="0" w:color="auto"/>
            </w:tcBorders>
            <w:shd w:val="clear" w:color="auto" w:fill="auto"/>
          </w:tcPr>
          <w:p w:rsidR="00312E30" w:rsidRPr="00754FBB" w:rsidRDefault="00312E30" w:rsidP="00312E30">
            <w:pPr>
              <w:pStyle w:val="TableHeading"/>
            </w:pPr>
            <w:r w:rsidRPr="00754FBB">
              <w:t>Item</w:t>
            </w:r>
          </w:p>
        </w:tc>
        <w:tc>
          <w:tcPr>
            <w:tcW w:w="2683" w:type="dxa"/>
            <w:tcBorders>
              <w:top w:val="single" w:sz="6" w:space="0" w:color="auto"/>
              <w:bottom w:val="single" w:sz="12" w:space="0" w:color="auto"/>
            </w:tcBorders>
            <w:shd w:val="clear" w:color="auto" w:fill="auto"/>
          </w:tcPr>
          <w:p w:rsidR="00312E30" w:rsidRPr="00754FBB" w:rsidRDefault="005D1E4A" w:rsidP="005D1E4A">
            <w:pPr>
              <w:pStyle w:val="TableHeading"/>
            </w:pPr>
            <w:r w:rsidRPr="00754FBB">
              <w:t>Engagement p</w:t>
            </w:r>
            <w:r w:rsidR="00312E30" w:rsidRPr="00754FBB">
              <w:t>rinciple</w:t>
            </w:r>
          </w:p>
        </w:tc>
        <w:tc>
          <w:tcPr>
            <w:tcW w:w="4915" w:type="dxa"/>
            <w:tcBorders>
              <w:top w:val="single" w:sz="6" w:space="0" w:color="auto"/>
              <w:bottom w:val="single" w:sz="12" w:space="0" w:color="auto"/>
            </w:tcBorders>
            <w:shd w:val="clear" w:color="auto" w:fill="auto"/>
          </w:tcPr>
          <w:p w:rsidR="00312E30" w:rsidRPr="00754FBB" w:rsidRDefault="00312E30" w:rsidP="00312E30">
            <w:pPr>
              <w:pStyle w:val="TableHeading"/>
            </w:pPr>
            <w:r w:rsidRPr="00754FBB">
              <w:t>Service standard</w:t>
            </w:r>
          </w:p>
        </w:tc>
      </w:tr>
      <w:tr w:rsidR="00312E30" w:rsidRPr="00754FBB" w:rsidTr="00F736B4">
        <w:tc>
          <w:tcPr>
            <w:tcW w:w="714" w:type="dxa"/>
            <w:tcBorders>
              <w:top w:val="single" w:sz="12" w:space="0" w:color="auto"/>
            </w:tcBorders>
            <w:shd w:val="clear" w:color="auto" w:fill="auto"/>
          </w:tcPr>
          <w:p w:rsidR="00312E30" w:rsidRPr="00754FBB" w:rsidRDefault="00312E30" w:rsidP="00312E30">
            <w:pPr>
              <w:pStyle w:val="Tabletext"/>
            </w:pPr>
            <w:r w:rsidRPr="00754FBB">
              <w:t>1</w:t>
            </w:r>
          </w:p>
        </w:tc>
        <w:tc>
          <w:tcPr>
            <w:tcW w:w="2683" w:type="dxa"/>
            <w:tcBorders>
              <w:top w:val="single" w:sz="12" w:space="0" w:color="auto"/>
            </w:tcBorders>
            <w:shd w:val="clear" w:color="auto" w:fill="auto"/>
          </w:tcPr>
          <w:p w:rsidR="006E03BA" w:rsidRPr="00754FBB" w:rsidRDefault="00830EEE" w:rsidP="006E03BA">
            <w:pPr>
              <w:pStyle w:val="TableHeading"/>
            </w:pPr>
            <w:r w:rsidRPr="00754FBB">
              <w:t>Transparency</w:t>
            </w:r>
          </w:p>
          <w:p w:rsidR="002B1BBD" w:rsidRPr="00754FBB" w:rsidRDefault="00830EEE" w:rsidP="002B1BBD">
            <w:pPr>
              <w:pStyle w:val="Tabletext"/>
            </w:pPr>
            <w:r w:rsidRPr="00754FBB">
              <w:t>Participants and prospective participants have access to clear, accurate, consistent and up</w:t>
            </w:r>
            <w:r w:rsidR="00EF4AD2">
              <w:noBreakHyphen/>
            </w:r>
            <w:r w:rsidRPr="00754FBB">
              <w:t>to</w:t>
            </w:r>
            <w:r w:rsidR="00EF4AD2">
              <w:noBreakHyphen/>
            </w:r>
            <w:r w:rsidRPr="00754FBB">
              <w:t>date information about</w:t>
            </w:r>
            <w:r w:rsidR="002B1BBD" w:rsidRPr="00754FBB">
              <w:t>:</w:t>
            </w:r>
          </w:p>
          <w:p w:rsidR="002B1BBD" w:rsidRPr="00754FBB" w:rsidRDefault="002B1BBD" w:rsidP="002B1BBD">
            <w:pPr>
              <w:pStyle w:val="Tablea"/>
            </w:pPr>
            <w:r w:rsidRPr="00754FBB">
              <w:t>(a) the NDIS; and</w:t>
            </w:r>
          </w:p>
          <w:p w:rsidR="002B1BBD" w:rsidRPr="00754FBB" w:rsidRDefault="002B1BBD" w:rsidP="002B1BBD">
            <w:pPr>
              <w:pStyle w:val="Tablea"/>
            </w:pPr>
            <w:r w:rsidRPr="00754FBB">
              <w:t>(b)</w:t>
            </w:r>
            <w:r w:rsidR="00830EEE" w:rsidRPr="00754FBB">
              <w:t xml:space="preserve"> their plans</w:t>
            </w:r>
            <w:r w:rsidRPr="00754FBB">
              <w:t>; and</w:t>
            </w:r>
          </w:p>
          <w:p w:rsidR="002B1BBD" w:rsidRPr="00754FBB" w:rsidRDefault="002B1BBD" w:rsidP="002B1BBD">
            <w:pPr>
              <w:pStyle w:val="Tablea"/>
            </w:pPr>
            <w:r w:rsidRPr="00754FBB">
              <w:t xml:space="preserve">(c) </w:t>
            </w:r>
            <w:r w:rsidR="00EE19FC">
              <w:t>the funding allocated for the purposes of their plans (including for their supp</w:t>
            </w:r>
            <w:r w:rsidR="00EE19FC" w:rsidRPr="003C422E">
              <w:t>orts</w:t>
            </w:r>
            <w:r w:rsidR="00EE19FC">
              <w:t>);</w:t>
            </w:r>
          </w:p>
          <w:p w:rsidR="00312E30" w:rsidRPr="00754FBB" w:rsidRDefault="00830EEE" w:rsidP="002B1BBD">
            <w:pPr>
              <w:pStyle w:val="Tablea"/>
              <w:ind w:left="0" w:firstLine="0"/>
            </w:pPr>
            <w:r w:rsidRPr="00754FBB">
              <w:t>that is easy to understand and available in</w:t>
            </w:r>
            <w:r w:rsidR="00733B78" w:rsidRPr="00754FBB">
              <w:t xml:space="preserve"> formats that meet their needs.</w:t>
            </w:r>
          </w:p>
        </w:tc>
        <w:tc>
          <w:tcPr>
            <w:tcW w:w="4915" w:type="dxa"/>
            <w:tcBorders>
              <w:top w:val="single" w:sz="12" w:space="0" w:color="auto"/>
            </w:tcBorders>
            <w:shd w:val="clear" w:color="auto" w:fill="auto"/>
          </w:tcPr>
          <w:p w:rsidR="00830EEE" w:rsidRPr="00754FBB" w:rsidRDefault="002F00A3" w:rsidP="006E03BA">
            <w:pPr>
              <w:pStyle w:val="Tabletext"/>
            </w:pPr>
            <w:r w:rsidRPr="00754FBB">
              <w:t xml:space="preserve">The </w:t>
            </w:r>
            <w:r w:rsidR="008D2570" w:rsidRPr="00754FBB">
              <w:t>responsible person</w:t>
            </w:r>
            <w:r w:rsidRPr="00754FBB">
              <w:t>s</w:t>
            </w:r>
            <w:r w:rsidR="002702A3" w:rsidRPr="00754FBB">
              <w:t xml:space="preserve"> </w:t>
            </w:r>
            <w:r w:rsidR="006E03BA" w:rsidRPr="00754FBB">
              <w:t>must</w:t>
            </w:r>
            <w:r w:rsidR="0054760D" w:rsidRPr="00754FBB">
              <w:t xml:space="preserve"> </w:t>
            </w:r>
            <w:r w:rsidRPr="00754FBB">
              <w:t xml:space="preserve">collectively </w:t>
            </w:r>
            <w:r w:rsidR="0054760D" w:rsidRPr="00754FBB">
              <w:t>(</w:t>
            </w:r>
            <w:r w:rsidRPr="00754FBB">
              <w:t xml:space="preserve">and individually </w:t>
            </w:r>
            <w:r w:rsidR="0054760D" w:rsidRPr="00754FBB">
              <w:t>where applicable)</w:t>
            </w:r>
            <w:r w:rsidR="00830EEE" w:rsidRPr="00754FBB">
              <w:t>:</w:t>
            </w:r>
          </w:p>
          <w:p w:rsidR="006E03BA" w:rsidRPr="00754FBB" w:rsidRDefault="006E03BA" w:rsidP="006E03BA">
            <w:pPr>
              <w:pStyle w:val="Tablea"/>
            </w:pPr>
            <w:r w:rsidRPr="00754FBB">
              <w:t xml:space="preserve">(a) </w:t>
            </w:r>
            <w:r w:rsidR="00830EEE" w:rsidRPr="00754FBB">
              <w:t>ensure that all information, forms, instructions and guidelines are up to date and readily available</w:t>
            </w:r>
            <w:r w:rsidRPr="00754FBB">
              <w:t>:</w:t>
            </w:r>
          </w:p>
          <w:p w:rsidR="006E03BA" w:rsidRPr="00754FBB" w:rsidRDefault="006E03BA" w:rsidP="006E03BA">
            <w:pPr>
              <w:pStyle w:val="Tablei"/>
            </w:pPr>
            <w:r w:rsidRPr="00754FBB">
              <w:t xml:space="preserve">(i) </w:t>
            </w:r>
            <w:r w:rsidR="00830EEE" w:rsidRPr="00754FBB">
              <w:t xml:space="preserve">in </w:t>
            </w:r>
            <w:r w:rsidRPr="00754FBB">
              <w:t>appropriate</w:t>
            </w:r>
            <w:r w:rsidR="00830EEE" w:rsidRPr="00754FBB">
              <w:t xml:space="preserve"> languages and accessible formats</w:t>
            </w:r>
            <w:r w:rsidRPr="00754FBB">
              <w:t>; and</w:t>
            </w:r>
          </w:p>
          <w:p w:rsidR="00830EEE" w:rsidRPr="00754FBB" w:rsidRDefault="006E03BA" w:rsidP="006E03BA">
            <w:pPr>
              <w:pStyle w:val="Tablei"/>
              <w:rPr>
                <w:caps/>
              </w:rPr>
            </w:pPr>
            <w:r w:rsidRPr="00754FBB">
              <w:t xml:space="preserve">(ii) </w:t>
            </w:r>
            <w:r w:rsidR="00830EEE" w:rsidRPr="00754FBB">
              <w:t>on the NDIS website</w:t>
            </w:r>
            <w:r w:rsidRPr="00754FBB">
              <w:t>; and</w:t>
            </w:r>
          </w:p>
          <w:p w:rsidR="00830EEE" w:rsidRPr="00754FBB" w:rsidRDefault="006E03BA" w:rsidP="006E03BA">
            <w:pPr>
              <w:pStyle w:val="Tablea"/>
            </w:pPr>
            <w:r w:rsidRPr="00754FBB">
              <w:t xml:space="preserve">(b) </w:t>
            </w:r>
            <w:r w:rsidR="00830EEE" w:rsidRPr="00754FBB">
              <w:t xml:space="preserve">ensure that direct communication with </w:t>
            </w:r>
            <w:r w:rsidRPr="00754FBB">
              <w:t xml:space="preserve">a </w:t>
            </w:r>
            <w:r w:rsidR="00830EEE" w:rsidRPr="00754FBB">
              <w:t>participa</w:t>
            </w:r>
            <w:r w:rsidRPr="00754FBB">
              <w:t>nt or prospective participant</w:t>
            </w:r>
            <w:r w:rsidR="00830EEE" w:rsidRPr="00754FBB">
              <w:t xml:space="preserve"> is in </w:t>
            </w:r>
            <w:r w:rsidRPr="00754FBB">
              <w:t>the participant’s</w:t>
            </w:r>
            <w:r w:rsidR="00E00310" w:rsidRPr="00754FBB">
              <w:t>, or prospective participant’s,</w:t>
            </w:r>
            <w:r w:rsidR="00830EEE" w:rsidRPr="00754FBB">
              <w:t xml:space="preserve"> preferred format to enable </w:t>
            </w:r>
            <w:r w:rsidRPr="00754FBB">
              <w:t>the</w:t>
            </w:r>
            <w:r w:rsidR="00E00310" w:rsidRPr="00754FBB">
              <w:t>m</w:t>
            </w:r>
            <w:r w:rsidR="00830EEE" w:rsidRPr="00754FBB">
              <w:t xml:space="preserve"> to understand the information for themselves</w:t>
            </w:r>
            <w:r w:rsidRPr="00754FBB">
              <w:t>; and</w:t>
            </w:r>
          </w:p>
          <w:p w:rsidR="00A075C3" w:rsidRPr="00754FBB" w:rsidRDefault="00A075C3" w:rsidP="00B21F27">
            <w:pPr>
              <w:pStyle w:val="Tablea"/>
            </w:pPr>
            <w:r w:rsidRPr="00754FBB">
              <w:t>(c) provide clear, consistent, accurate and accessible guidance on the evidence required</w:t>
            </w:r>
            <w:r w:rsidR="005A6BAE" w:rsidRPr="00754FBB">
              <w:t xml:space="preserve"> to enable the CEO to make</w:t>
            </w:r>
            <w:r w:rsidRPr="00754FBB">
              <w:t>:</w:t>
            </w:r>
          </w:p>
          <w:p w:rsidR="00A075C3" w:rsidRPr="00754FBB" w:rsidRDefault="00A075C3" w:rsidP="00A075C3">
            <w:pPr>
              <w:pStyle w:val="Tablei"/>
            </w:pPr>
            <w:r w:rsidRPr="00754FBB">
              <w:t>(i) access decisions; or</w:t>
            </w:r>
          </w:p>
          <w:p w:rsidR="00A075C3" w:rsidRPr="00754FBB" w:rsidRDefault="00A075C3" w:rsidP="00A075C3">
            <w:pPr>
              <w:pStyle w:val="Tablei"/>
            </w:pPr>
            <w:r w:rsidRPr="00754FBB">
              <w:t>(ii) decisions</w:t>
            </w:r>
            <w:r w:rsidR="007509DC" w:rsidRPr="00754FBB">
              <w:t xml:space="preserve"> under the Act</w:t>
            </w:r>
            <w:r w:rsidRPr="00754FBB">
              <w:t xml:space="preserve"> relating to making, var</w:t>
            </w:r>
            <w:r w:rsidR="00733E8D" w:rsidRPr="00754FBB">
              <w:t>ying</w:t>
            </w:r>
            <w:r w:rsidRPr="00754FBB">
              <w:t xml:space="preserve"> or reassess</w:t>
            </w:r>
            <w:r w:rsidR="00733E8D" w:rsidRPr="00754FBB">
              <w:t>ing</w:t>
            </w:r>
            <w:r w:rsidRPr="00754FBB">
              <w:t xml:space="preserve"> participant</w:t>
            </w:r>
            <w:r w:rsidR="005C1752" w:rsidRPr="00754FBB">
              <w:t>s’</w:t>
            </w:r>
            <w:r w:rsidRPr="00754FBB">
              <w:t xml:space="preserve"> plans;</w:t>
            </w:r>
          </w:p>
          <w:p w:rsidR="00312E30" w:rsidRPr="00754FBB" w:rsidRDefault="00A075C3" w:rsidP="00B21F27">
            <w:pPr>
              <w:pStyle w:val="Tablea"/>
            </w:pPr>
            <w:r w:rsidRPr="00754FBB">
              <w:tab/>
            </w:r>
            <w:bookmarkStart w:id="16" w:name="BK_S3P3L31C2"/>
            <w:bookmarkEnd w:id="16"/>
            <w:r w:rsidRPr="00754FBB">
              <w:t xml:space="preserve">including </w:t>
            </w:r>
            <w:r w:rsidR="00BE7B39" w:rsidRPr="00754FBB">
              <w:t xml:space="preserve">guidance on </w:t>
            </w:r>
            <w:r w:rsidRPr="00754FBB">
              <w:t>who is qua</w:t>
            </w:r>
            <w:r w:rsidR="004A01AE" w:rsidRPr="00754FBB">
              <w:t>lified to provide this evidence; and</w:t>
            </w:r>
          </w:p>
          <w:p w:rsidR="004A01AE" w:rsidRPr="00754FBB" w:rsidRDefault="004A01AE" w:rsidP="00B21F27">
            <w:pPr>
              <w:pStyle w:val="Tablea"/>
            </w:pPr>
            <w:r w:rsidRPr="00754FBB">
              <w:t xml:space="preserve">(d) </w:t>
            </w:r>
            <w:r w:rsidR="007509DC" w:rsidRPr="00754FBB">
              <w:t>keep participants and prospective participants informed about the progress of decision</w:t>
            </w:r>
            <w:r w:rsidR="00EF4AD2">
              <w:noBreakHyphen/>
            </w:r>
            <w:r w:rsidR="007509DC" w:rsidRPr="00754FBB">
              <w:t>making processes under the Act that affect them</w:t>
            </w:r>
            <w:r w:rsidR="00BF71B8" w:rsidRPr="00754FBB">
              <w:t>; and</w:t>
            </w:r>
          </w:p>
          <w:p w:rsidR="00BF71B8" w:rsidRPr="00754FBB" w:rsidRDefault="00BF71B8" w:rsidP="00B21F27">
            <w:pPr>
              <w:pStyle w:val="Tablea"/>
            </w:pPr>
            <w:r w:rsidRPr="00754FBB">
              <w:t>(e) assist the Board members to report on NDIS performance under sections 173 and 174 of the Act (see also Part 4 of this instrument) to ensure the NDIS remains transparent and accountable in its undertakings.</w:t>
            </w:r>
          </w:p>
        </w:tc>
      </w:tr>
      <w:tr w:rsidR="00312E30" w:rsidRPr="00754FBB" w:rsidTr="00F736B4">
        <w:tc>
          <w:tcPr>
            <w:tcW w:w="714" w:type="dxa"/>
            <w:shd w:val="clear" w:color="auto" w:fill="auto"/>
          </w:tcPr>
          <w:p w:rsidR="00312E30" w:rsidRPr="00754FBB" w:rsidRDefault="00312E30" w:rsidP="00312E30">
            <w:pPr>
              <w:pStyle w:val="Tabletext"/>
            </w:pPr>
            <w:r w:rsidRPr="00754FBB">
              <w:t>2</w:t>
            </w:r>
          </w:p>
        </w:tc>
        <w:tc>
          <w:tcPr>
            <w:tcW w:w="2683" w:type="dxa"/>
            <w:shd w:val="clear" w:color="auto" w:fill="auto"/>
          </w:tcPr>
          <w:p w:rsidR="00312E30" w:rsidRPr="00754FBB" w:rsidRDefault="0063029B" w:rsidP="005049AF">
            <w:pPr>
              <w:pStyle w:val="TableHeading"/>
            </w:pPr>
            <w:r w:rsidRPr="00754FBB">
              <w:t>Responsiveness</w:t>
            </w:r>
          </w:p>
          <w:p w:rsidR="0063029B" w:rsidRPr="00754FBB" w:rsidRDefault="0063029B" w:rsidP="005049AF">
            <w:pPr>
              <w:pStyle w:val="Tabletext"/>
            </w:pPr>
            <w:r w:rsidRPr="00754FBB">
              <w:t>Participants and prospective participants are supported and their independence is maximised by addres</w:t>
            </w:r>
            <w:r w:rsidR="00110174" w:rsidRPr="00754FBB">
              <w:t>sing their individual circumstances and needs</w:t>
            </w:r>
            <w:r w:rsidRPr="00754FBB">
              <w:t>.</w:t>
            </w:r>
          </w:p>
          <w:p w:rsidR="0063029B" w:rsidRPr="00754FBB" w:rsidRDefault="0063029B" w:rsidP="00312E30">
            <w:pPr>
              <w:pStyle w:val="Tabletext"/>
            </w:pPr>
          </w:p>
        </w:tc>
        <w:tc>
          <w:tcPr>
            <w:tcW w:w="4915" w:type="dxa"/>
            <w:shd w:val="clear" w:color="auto" w:fill="auto"/>
          </w:tcPr>
          <w:p w:rsidR="002F00A3" w:rsidRPr="00754FBB" w:rsidRDefault="002F00A3" w:rsidP="002F00A3">
            <w:pPr>
              <w:pStyle w:val="Tabletext"/>
            </w:pPr>
            <w:r w:rsidRPr="00754FBB">
              <w:lastRenderedPageBreak/>
              <w:t>The responsible persons must collectively (and individually where applicable):</w:t>
            </w:r>
          </w:p>
          <w:p w:rsidR="00BA0D77" w:rsidRPr="00754FBB" w:rsidRDefault="005049AF" w:rsidP="005049AF">
            <w:pPr>
              <w:pStyle w:val="Tablea"/>
            </w:pPr>
            <w:r w:rsidRPr="00754FBB">
              <w:t xml:space="preserve">(a) </w:t>
            </w:r>
            <w:r w:rsidR="0063029B" w:rsidRPr="00754FBB">
              <w:t>promptly acknowledge the concerns or queries of</w:t>
            </w:r>
            <w:r w:rsidR="00BA0D77" w:rsidRPr="00754FBB">
              <w:t>:</w:t>
            </w:r>
          </w:p>
          <w:p w:rsidR="0063029B" w:rsidRPr="00754FBB" w:rsidRDefault="00BA0D77" w:rsidP="00BA0D77">
            <w:pPr>
              <w:pStyle w:val="Tablei"/>
            </w:pPr>
            <w:r w:rsidRPr="00754FBB">
              <w:t>(i)</w:t>
            </w:r>
            <w:r w:rsidR="0063029B" w:rsidRPr="00754FBB">
              <w:t xml:space="preserve"> participants, their families and carers</w:t>
            </w:r>
            <w:r w:rsidR="00967892" w:rsidRPr="00754FBB">
              <w:t>; or</w:t>
            </w:r>
          </w:p>
          <w:p w:rsidR="00BA0D77" w:rsidRPr="00754FBB" w:rsidRDefault="00BA0D77" w:rsidP="00BA0D77">
            <w:pPr>
              <w:pStyle w:val="Tablei"/>
            </w:pPr>
            <w:r w:rsidRPr="00754FBB">
              <w:t>(ii) prospective participants, their families and carers; and</w:t>
            </w:r>
          </w:p>
          <w:p w:rsidR="005049AF" w:rsidRPr="00754FBB" w:rsidRDefault="005049AF" w:rsidP="005049AF">
            <w:pPr>
              <w:pStyle w:val="Tablea"/>
            </w:pPr>
            <w:r w:rsidRPr="00754FBB">
              <w:t xml:space="preserve">(b) </w:t>
            </w:r>
            <w:r w:rsidR="0063029B" w:rsidRPr="00754FBB">
              <w:t>intervene early to support th</w:t>
            </w:r>
            <w:r w:rsidRPr="00754FBB">
              <w:t>e best outcome for participants</w:t>
            </w:r>
            <w:r w:rsidR="00967892" w:rsidRPr="00754FBB">
              <w:t xml:space="preserve"> or prospective participants</w:t>
            </w:r>
            <w:r w:rsidRPr="00754FBB">
              <w:t>; and</w:t>
            </w:r>
          </w:p>
          <w:p w:rsidR="005049AF" w:rsidRPr="00754FBB" w:rsidRDefault="005049AF" w:rsidP="005049AF">
            <w:pPr>
              <w:pStyle w:val="Tablea"/>
            </w:pPr>
            <w:r w:rsidRPr="00754FBB">
              <w:lastRenderedPageBreak/>
              <w:t xml:space="preserve">(c) </w:t>
            </w:r>
            <w:r w:rsidR="00EF3A82" w:rsidRPr="00754FBB">
              <w:t xml:space="preserve">assist participants or prospective participants to access </w:t>
            </w:r>
            <w:r w:rsidR="0063029B" w:rsidRPr="00754FBB">
              <w:t xml:space="preserve">supports </w:t>
            </w:r>
            <w:r w:rsidR="00B71539" w:rsidRPr="00754FBB">
              <w:t>that</w:t>
            </w:r>
            <w:r w:rsidR="0063029B" w:rsidRPr="00754FBB">
              <w:t xml:space="preserve"> have the greatest positive impact</w:t>
            </w:r>
            <w:r w:rsidRPr="00754FBB">
              <w:t>; and</w:t>
            </w:r>
          </w:p>
          <w:p w:rsidR="0063029B" w:rsidRPr="00754FBB" w:rsidRDefault="005049AF" w:rsidP="005049AF">
            <w:pPr>
              <w:pStyle w:val="Tablea"/>
            </w:pPr>
            <w:r w:rsidRPr="00754FBB">
              <w:t xml:space="preserve">(d) </w:t>
            </w:r>
            <w:r w:rsidR="007509DC" w:rsidRPr="00754FBB">
              <w:t>address</w:t>
            </w:r>
            <w:r w:rsidR="0063029B" w:rsidRPr="00754FBB">
              <w:t xml:space="preserve"> issues as they arise</w:t>
            </w:r>
            <w:r w:rsidRPr="00754FBB">
              <w:t>; and</w:t>
            </w:r>
          </w:p>
          <w:p w:rsidR="0063029B" w:rsidRPr="00754FBB" w:rsidRDefault="005049AF" w:rsidP="005049AF">
            <w:pPr>
              <w:pStyle w:val="Tablea"/>
            </w:pPr>
            <w:r w:rsidRPr="00754FBB">
              <w:t xml:space="preserve">(e) </w:t>
            </w:r>
            <w:r w:rsidR="0063029B" w:rsidRPr="00754FBB">
              <w:t xml:space="preserve">utilise planning approaches that respond flexibly to </w:t>
            </w:r>
            <w:r w:rsidR="005C1752" w:rsidRPr="00754FBB">
              <w:t>each</w:t>
            </w:r>
            <w:r w:rsidR="0063029B" w:rsidRPr="00754FBB">
              <w:t xml:space="preserve"> participant’s individual circumstances and needs</w:t>
            </w:r>
            <w:r w:rsidRPr="00754FBB">
              <w:t>; and</w:t>
            </w:r>
          </w:p>
          <w:p w:rsidR="00290487" w:rsidRPr="00754FBB" w:rsidRDefault="005049AF" w:rsidP="005049AF">
            <w:pPr>
              <w:pStyle w:val="Tablea"/>
            </w:pPr>
            <w:r w:rsidRPr="00754FBB">
              <w:t xml:space="preserve">(f) </w:t>
            </w:r>
            <w:r w:rsidR="0063029B" w:rsidRPr="00754FBB">
              <w:t>examine their processes and systems regularly to ensure they are fit for purpose as the NDIS evolves and</w:t>
            </w:r>
            <w:r w:rsidR="00290487" w:rsidRPr="00754FBB">
              <w:t>:</w:t>
            </w:r>
          </w:p>
          <w:p w:rsidR="00290487" w:rsidRPr="00754FBB" w:rsidRDefault="00290487" w:rsidP="00290487">
            <w:pPr>
              <w:pStyle w:val="Tablei"/>
            </w:pPr>
            <w:r w:rsidRPr="00754FBB">
              <w:t xml:space="preserve">(i) </w:t>
            </w:r>
            <w:r w:rsidR="0063029B" w:rsidRPr="00754FBB">
              <w:t>the needs of participants, their families and carers change</w:t>
            </w:r>
            <w:r w:rsidR="005049AF" w:rsidRPr="00754FBB">
              <w:t xml:space="preserve">; </w:t>
            </w:r>
            <w:r w:rsidRPr="00754FBB">
              <w:t>or</w:t>
            </w:r>
          </w:p>
          <w:p w:rsidR="0063029B" w:rsidRPr="00754FBB" w:rsidRDefault="00290487" w:rsidP="00290487">
            <w:pPr>
              <w:pStyle w:val="Tablei"/>
            </w:pPr>
            <w:r w:rsidRPr="00754FBB">
              <w:t>(ii) the needs of prospective participants, their families and carers change</w:t>
            </w:r>
            <w:r w:rsidR="002011AE" w:rsidRPr="00754FBB">
              <w:t xml:space="preserve">; </w:t>
            </w:r>
            <w:r w:rsidR="005049AF" w:rsidRPr="00754FBB">
              <w:t>and</w:t>
            </w:r>
          </w:p>
          <w:p w:rsidR="00967892" w:rsidRPr="00754FBB" w:rsidRDefault="005049AF" w:rsidP="005049AF">
            <w:pPr>
              <w:pStyle w:val="Tablea"/>
            </w:pPr>
            <w:r w:rsidRPr="00754FBB">
              <w:t xml:space="preserve">(g) </w:t>
            </w:r>
            <w:r w:rsidR="0063029B" w:rsidRPr="00754FBB">
              <w:t>provide an effective single point of contact so that</w:t>
            </w:r>
            <w:r w:rsidR="00967892" w:rsidRPr="00754FBB">
              <w:t>:</w:t>
            </w:r>
          </w:p>
          <w:p w:rsidR="00967892" w:rsidRPr="00754FBB" w:rsidRDefault="00967892" w:rsidP="00967892">
            <w:pPr>
              <w:pStyle w:val="Tablei"/>
            </w:pPr>
            <w:r w:rsidRPr="00754FBB">
              <w:t>(i) participants, their families and carers; or</w:t>
            </w:r>
          </w:p>
          <w:p w:rsidR="00967892" w:rsidRPr="00754FBB" w:rsidRDefault="00967892" w:rsidP="00967892">
            <w:pPr>
              <w:pStyle w:val="Tablei"/>
            </w:pPr>
            <w:r w:rsidRPr="00754FBB">
              <w:t>(ii) prospective participants, their families and carers;</w:t>
            </w:r>
            <w:r w:rsidR="0024020B" w:rsidRPr="00754FBB">
              <w:t xml:space="preserve"> or</w:t>
            </w:r>
          </w:p>
          <w:p w:rsidR="005C1752" w:rsidRPr="00754FBB" w:rsidRDefault="005C1752" w:rsidP="005C1752">
            <w:pPr>
              <w:pStyle w:val="Tablei"/>
            </w:pPr>
            <w:r w:rsidRPr="00754FBB">
              <w:t>(iii) multiple participants or prospective participants in a family</w:t>
            </w:r>
            <w:bookmarkStart w:id="17" w:name="BK_S3P4L27C25"/>
            <w:bookmarkEnd w:id="17"/>
            <w:r w:rsidRPr="00754FBB">
              <w:t>, and their carers; or</w:t>
            </w:r>
          </w:p>
          <w:p w:rsidR="005C1752" w:rsidRPr="00754FBB" w:rsidRDefault="005C1752" w:rsidP="005C1752">
            <w:pPr>
              <w:pStyle w:val="Tablei"/>
            </w:pPr>
            <w:r w:rsidRPr="00754FBB">
              <w:t>(iv) multiple participants or prospective participants in another kind of strongly connected group, their families and carers;</w:t>
            </w:r>
          </w:p>
          <w:p w:rsidR="00CA2C2A" w:rsidRPr="00754FBB" w:rsidRDefault="00967892" w:rsidP="005C1752">
            <w:pPr>
              <w:pStyle w:val="Tablea"/>
            </w:pPr>
            <w:r w:rsidRPr="00754FBB">
              <w:tab/>
            </w:r>
            <w:bookmarkStart w:id="18" w:name="BK_S3P4L31C2"/>
            <w:bookmarkEnd w:id="18"/>
            <w:r w:rsidR="0063029B" w:rsidRPr="00754FBB">
              <w:t>only have to tell their story once and are able to build product</w:t>
            </w:r>
            <w:r w:rsidR="00F736B4" w:rsidRPr="00754FBB">
              <w:t xml:space="preserve">ive relationships </w:t>
            </w:r>
            <w:r w:rsidR="005E5CA5" w:rsidRPr="00754FBB">
              <w:t>under</w:t>
            </w:r>
            <w:r w:rsidR="00F736B4" w:rsidRPr="00754FBB">
              <w:t xml:space="preserve"> the NDIS</w:t>
            </w:r>
            <w:r w:rsidR="00DA4D0A" w:rsidRPr="00754FBB">
              <w:t>, subject to any of them preferring a separate point of contact</w:t>
            </w:r>
            <w:r w:rsidR="005C1752" w:rsidRPr="00754FBB">
              <w:t>.</w:t>
            </w:r>
          </w:p>
        </w:tc>
      </w:tr>
      <w:tr w:rsidR="00312E30" w:rsidRPr="00754FBB" w:rsidTr="00F736B4">
        <w:tc>
          <w:tcPr>
            <w:tcW w:w="714" w:type="dxa"/>
            <w:shd w:val="clear" w:color="auto" w:fill="auto"/>
          </w:tcPr>
          <w:p w:rsidR="00312E30" w:rsidRPr="00754FBB" w:rsidRDefault="00312E30" w:rsidP="00312E30">
            <w:pPr>
              <w:pStyle w:val="Tabletext"/>
            </w:pPr>
            <w:r w:rsidRPr="00754FBB">
              <w:lastRenderedPageBreak/>
              <w:t>3</w:t>
            </w:r>
          </w:p>
        </w:tc>
        <w:tc>
          <w:tcPr>
            <w:tcW w:w="2683" w:type="dxa"/>
            <w:shd w:val="clear" w:color="auto" w:fill="auto"/>
          </w:tcPr>
          <w:p w:rsidR="00312E30" w:rsidRPr="00754FBB" w:rsidRDefault="000C32C0" w:rsidP="000C32C0">
            <w:pPr>
              <w:pStyle w:val="TableHeading"/>
            </w:pPr>
            <w:r w:rsidRPr="00754FBB">
              <w:t>Respect</w:t>
            </w:r>
          </w:p>
          <w:p w:rsidR="000C32C0" w:rsidRPr="00754FBB" w:rsidRDefault="000C32C0" w:rsidP="000C32C0">
            <w:pPr>
              <w:pStyle w:val="Tabletext"/>
            </w:pPr>
            <w:r w:rsidRPr="00754FBB">
              <w:t>Participants and prospective participants are valued, listened to and respected.</w:t>
            </w:r>
          </w:p>
        </w:tc>
        <w:tc>
          <w:tcPr>
            <w:tcW w:w="4915" w:type="dxa"/>
            <w:shd w:val="clear" w:color="auto" w:fill="auto"/>
          </w:tcPr>
          <w:p w:rsidR="002F00A3" w:rsidRPr="00754FBB" w:rsidRDefault="002F00A3" w:rsidP="002F00A3">
            <w:pPr>
              <w:pStyle w:val="Tabletext"/>
            </w:pPr>
            <w:r w:rsidRPr="00754FBB">
              <w:t>The responsible persons must collectively (and individually where applicable):</w:t>
            </w:r>
          </w:p>
          <w:p w:rsidR="00AD2B89" w:rsidRPr="00754FBB" w:rsidRDefault="000C32C0" w:rsidP="000C32C0">
            <w:pPr>
              <w:pStyle w:val="Tablea"/>
            </w:pPr>
            <w:r w:rsidRPr="00754FBB">
              <w:t>(a) enshrine a participant</w:t>
            </w:r>
            <w:r w:rsidR="00EF4AD2">
              <w:noBreakHyphen/>
            </w:r>
            <w:r w:rsidRPr="00754FBB">
              <w:t>centred approach by treating</w:t>
            </w:r>
            <w:r w:rsidR="00AD2B89" w:rsidRPr="00754FBB">
              <w:t>:</w:t>
            </w:r>
          </w:p>
          <w:p w:rsidR="00AD2B89" w:rsidRPr="00754FBB" w:rsidRDefault="00AD2B89" w:rsidP="00AD2B89">
            <w:pPr>
              <w:pStyle w:val="Tablei"/>
            </w:pPr>
            <w:r w:rsidRPr="00754FBB">
              <w:t>(i) participants, their families and carers; or</w:t>
            </w:r>
          </w:p>
          <w:p w:rsidR="00AD2B89" w:rsidRPr="00754FBB" w:rsidRDefault="00AD2B89" w:rsidP="00AD2B89">
            <w:pPr>
              <w:pStyle w:val="Tablei"/>
            </w:pPr>
            <w:r w:rsidRPr="00754FBB">
              <w:t>(ii) prospective participants, their families and carers;</w:t>
            </w:r>
          </w:p>
          <w:p w:rsidR="000C32C0" w:rsidRPr="00754FBB" w:rsidRDefault="00AD2B89" w:rsidP="00AD2B89">
            <w:pPr>
              <w:pStyle w:val="Tablea"/>
            </w:pPr>
            <w:r w:rsidRPr="00754FBB">
              <w:tab/>
            </w:r>
            <w:bookmarkStart w:id="19" w:name="BK_S3P4L40C2"/>
            <w:bookmarkEnd w:id="19"/>
            <w:r w:rsidR="000C32C0" w:rsidRPr="00754FBB">
              <w:t>with empathy, dignity and respect for their diverse experiences, values and beliefs; and</w:t>
            </w:r>
          </w:p>
          <w:p w:rsidR="000C32C0" w:rsidRPr="00754FBB" w:rsidRDefault="000C32C0" w:rsidP="000C32C0">
            <w:pPr>
              <w:pStyle w:val="Tablea"/>
            </w:pPr>
            <w:r w:rsidRPr="00754FBB">
              <w:t xml:space="preserve">(b) ensure staff have </w:t>
            </w:r>
            <w:r w:rsidR="007509DC" w:rsidRPr="00754FBB">
              <w:t>appropriate</w:t>
            </w:r>
            <w:r w:rsidRPr="00754FBB">
              <w:t xml:space="preserve"> training </w:t>
            </w:r>
            <w:r w:rsidR="00F50D65" w:rsidRPr="00754FBB">
              <w:t>relating to</w:t>
            </w:r>
            <w:r w:rsidRPr="00754FBB">
              <w:t xml:space="preserve"> disability, including psychosocial disability and other complex conditions, and understand the impact of disability on people’s lives; and</w:t>
            </w:r>
          </w:p>
          <w:p w:rsidR="000C32C0" w:rsidRPr="00754FBB" w:rsidRDefault="000C32C0" w:rsidP="000C32C0">
            <w:pPr>
              <w:pStyle w:val="Tablea"/>
            </w:pPr>
            <w:r w:rsidRPr="00754FBB">
              <w:t xml:space="preserve">(c) ensure staff have </w:t>
            </w:r>
            <w:r w:rsidR="007509DC" w:rsidRPr="00754FBB">
              <w:t>appropriate</w:t>
            </w:r>
            <w:r w:rsidRPr="00754FBB">
              <w:t xml:space="preserve"> training </w:t>
            </w:r>
            <w:r w:rsidR="00F50D65" w:rsidRPr="00754FBB">
              <w:t xml:space="preserve">relating to </w:t>
            </w:r>
            <w:r w:rsidRPr="00754FBB">
              <w:t xml:space="preserve">diversity, including </w:t>
            </w:r>
            <w:r w:rsidR="00FB56B8" w:rsidRPr="00754FBB">
              <w:t>the cultures of Indigenous persons</w:t>
            </w:r>
            <w:r w:rsidRPr="00754FBB">
              <w:t>, culturally and linguistically diverse values and practices, LGBTQI+ and gender considerations; and</w:t>
            </w:r>
          </w:p>
          <w:p w:rsidR="000C32C0" w:rsidRPr="00754FBB" w:rsidRDefault="000C32C0" w:rsidP="000C32C0">
            <w:pPr>
              <w:pStyle w:val="Tablea"/>
            </w:pPr>
            <w:r w:rsidRPr="00754FBB">
              <w:t>(d) recognise participants’</w:t>
            </w:r>
            <w:r w:rsidR="00AD2B89" w:rsidRPr="00754FBB">
              <w:t>, or prospective participants’,</w:t>
            </w:r>
            <w:r w:rsidRPr="00754FBB">
              <w:t xml:space="preserve"> expertise about their disability and use the recommendations and evidence provided by qualified professionals to assess support needs; and</w:t>
            </w:r>
          </w:p>
          <w:p w:rsidR="00312E30" w:rsidRPr="00754FBB" w:rsidRDefault="000C32C0" w:rsidP="000C32C0">
            <w:pPr>
              <w:pStyle w:val="Tablea"/>
            </w:pPr>
            <w:r w:rsidRPr="00754FBB">
              <w:t xml:space="preserve">(e) demonstrate continuous improvement by inviting, considering and incorporating feedback from people </w:t>
            </w:r>
            <w:r w:rsidRPr="00754FBB">
              <w:lastRenderedPageBreak/>
              <w:t>with disability and the wider community.</w:t>
            </w:r>
          </w:p>
        </w:tc>
      </w:tr>
      <w:tr w:rsidR="00312E30" w:rsidRPr="00754FBB" w:rsidTr="00F736B4">
        <w:tc>
          <w:tcPr>
            <w:tcW w:w="714" w:type="dxa"/>
            <w:tcBorders>
              <w:bottom w:val="single" w:sz="2" w:space="0" w:color="auto"/>
            </w:tcBorders>
            <w:shd w:val="clear" w:color="auto" w:fill="auto"/>
          </w:tcPr>
          <w:p w:rsidR="00312E30" w:rsidRPr="00754FBB" w:rsidRDefault="00312E30" w:rsidP="00312E30">
            <w:pPr>
              <w:pStyle w:val="Tabletext"/>
            </w:pPr>
            <w:r w:rsidRPr="00754FBB">
              <w:lastRenderedPageBreak/>
              <w:t>4</w:t>
            </w:r>
          </w:p>
        </w:tc>
        <w:tc>
          <w:tcPr>
            <w:tcW w:w="2683" w:type="dxa"/>
            <w:tcBorders>
              <w:bottom w:val="single" w:sz="2" w:space="0" w:color="auto"/>
            </w:tcBorders>
            <w:shd w:val="clear" w:color="auto" w:fill="auto"/>
          </w:tcPr>
          <w:p w:rsidR="00312E30" w:rsidRPr="00754FBB" w:rsidRDefault="00B92FDB" w:rsidP="00B92FDB">
            <w:pPr>
              <w:pStyle w:val="TableHeading"/>
            </w:pPr>
            <w:r w:rsidRPr="00754FBB">
              <w:t>Empowerment</w:t>
            </w:r>
          </w:p>
          <w:p w:rsidR="00B92FDB" w:rsidRPr="00754FBB" w:rsidRDefault="00B92FDB" w:rsidP="00392713">
            <w:pPr>
              <w:pStyle w:val="Tabletext"/>
            </w:pPr>
            <w:r w:rsidRPr="00754FBB">
              <w:t>Participants and prospective partici</w:t>
            </w:r>
            <w:r w:rsidR="00467801" w:rsidRPr="00754FBB">
              <w:t>pants are empowered to make a</w:t>
            </w:r>
            <w:r w:rsidRPr="00754FBB">
              <w:t>ccess request</w:t>
            </w:r>
            <w:r w:rsidR="00467801" w:rsidRPr="00754FBB">
              <w:t>s</w:t>
            </w:r>
            <w:r w:rsidRPr="00754FBB">
              <w:t xml:space="preserve">, navigate the NDIS system, participate in the planning process and </w:t>
            </w:r>
            <w:r w:rsidR="00392713" w:rsidRPr="00754FBB">
              <w:t>purchase</w:t>
            </w:r>
            <w:r w:rsidRPr="00754FBB">
              <w:t xml:space="preserve"> </w:t>
            </w:r>
            <w:r w:rsidR="00467801" w:rsidRPr="00754FBB">
              <w:t>supports under their plans</w:t>
            </w:r>
            <w:r w:rsidRPr="00754FBB">
              <w:t>.</w:t>
            </w:r>
          </w:p>
        </w:tc>
        <w:tc>
          <w:tcPr>
            <w:tcW w:w="4915" w:type="dxa"/>
            <w:tcBorders>
              <w:bottom w:val="single" w:sz="2" w:space="0" w:color="auto"/>
            </w:tcBorders>
            <w:shd w:val="clear" w:color="auto" w:fill="auto"/>
          </w:tcPr>
          <w:p w:rsidR="002F00A3" w:rsidRPr="00754FBB" w:rsidRDefault="002F00A3" w:rsidP="002F00A3">
            <w:pPr>
              <w:pStyle w:val="Tabletext"/>
            </w:pPr>
            <w:r w:rsidRPr="00754FBB">
              <w:t>The responsible persons must collectively (and individually where applicable):</w:t>
            </w:r>
          </w:p>
          <w:p w:rsidR="00B92FDB" w:rsidRPr="00754FBB" w:rsidRDefault="00B92FDB" w:rsidP="00B92FDB">
            <w:pPr>
              <w:pStyle w:val="Tablea"/>
            </w:pPr>
            <w:r w:rsidRPr="00754FBB">
              <w:t xml:space="preserve">(a) actively and appropriately </w:t>
            </w:r>
            <w:r w:rsidR="00915BE8" w:rsidRPr="00754FBB">
              <w:t>seek to engage with</w:t>
            </w:r>
            <w:r w:rsidRPr="00754FBB">
              <w:t xml:space="preserve"> </w:t>
            </w:r>
            <w:r w:rsidR="00AD2B89" w:rsidRPr="00754FBB">
              <w:t xml:space="preserve">participants or </w:t>
            </w:r>
            <w:r w:rsidRPr="00754FBB">
              <w:t>prospectiv</w:t>
            </w:r>
            <w:r w:rsidR="00603A45" w:rsidRPr="00754FBB">
              <w:t>e participants, including those</w:t>
            </w:r>
            <w:r w:rsidRPr="00754FBB">
              <w:t>:</w:t>
            </w:r>
          </w:p>
          <w:p w:rsidR="00B92FDB" w:rsidRPr="00754FBB" w:rsidRDefault="00B92FDB" w:rsidP="00B92FDB">
            <w:pPr>
              <w:pStyle w:val="Tablei"/>
            </w:pPr>
            <w:r w:rsidRPr="00754FBB">
              <w:t xml:space="preserve">(i) </w:t>
            </w:r>
            <w:r w:rsidR="00603A45" w:rsidRPr="00754FBB">
              <w:t xml:space="preserve">from </w:t>
            </w:r>
            <w:r w:rsidRPr="00754FBB">
              <w:t>communities</w:t>
            </w:r>
            <w:r w:rsidR="00FB56B8" w:rsidRPr="00754FBB">
              <w:t xml:space="preserve"> of Indigenous persons</w:t>
            </w:r>
            <w:r w:rsidRPr="00754FBB">
              <w:t>; or</w:t>
            </w:r>
          </w:p>
          <w:p w:rsidR="00B92FDB" w:rsidRPr="00754FBB" w:rsidRDefault="00B92FDB" w:rsidP="00B92FDB">
            <w:pPr>
              <w:pStyle w:val="Tablei"/>
            </w:pPr>
            <w:r w:rsidRPr="00754FBB">
              <w:t xml:space="preserve">(ii) </w:t>
            </w:r>
            <w:r w:rsidR="00603A45" w:rsidRPr="00754FBB">
              <w:t xml:space="preserve">from </w:t>
            </w:r>
            <w:r w:rsidRPr="00754FBB">
              <w:t>culturally and linguistically diverse backgrounds; or</w:t>
            </w:r>
          </w:p>
          <w:p w:rsidR="00B92FDB" w:rsidRPr="00754FBB" w:rsidRDefault="00B92FDB" w:rsidP="00B92FDB">
            <w:pPr>
              <w:pStyle w:val="Tablei"/>
            </w:pPr>
            <w:r w:rsidRPr="00754FBB">
              <w:t xml:space="preserve">(iii) </w:t>
            </w:r>
            <w:r w:rsidR="00603A45" w:rsidRPr="00754FBB">
              <w:t xml:space="preserve">from </w:t>
            </w:r>
            <w:r w:rsidRPr="00754FBB">
              <w:t>regional</w:t>
            </w:r>
            <w:r w:rsidR="00401516" w:rsidRPr="00754FBB">
              <w:t xml:space="preserve"> or </w:t>
            </w:r>
            <w:r w:rsidRPr="00754FBB">
              <w:t>remote areas; or</w:t>
            </w:r>
          </w:p>
          <w:p w:rsidR="00603A45" w:rsidRPr="00754FBB" w:rsidRDefault="00B92FDB" w:rsidP="00B92FDB">
            <w:pPr>
              <w:pStyle w:val="Tablei"/>
            </w:pPr>
            <w:r w:rsidRPr="00754FBB">
              <w:t>(iv) with psychosocial disabilities</w:t>
            </w:r>
            <w:r w:rsidR="00603A45" w:rsidRPr="00754FBB">
              <w:t>;</w:t>
            </w:r>
          </w:p>
          <w:p w:rsidR="00B92FDB" w:rsidRPr="00754FBB" w:rsidRDefault="00603A45" w:rsidP="00603A45">
            <w:pPr>
              <w:pStyle w:val="Tablea"/>
            </w:pPr>
            <w:r w:rsidRPr="00754FBB">
              <w:tab/>
            </w:r>
            <w:bookmarkStart w:id="20" w:name="BK_S3P5L34C2"/>
            <w:bookmarkEnd w:id="20"/>
            <w:r w:rsidR="00B92FDB" w:rsidRPr="00754FBB">
              <w:t xml:space="preserve">to assist </w:t>
            </w:r>
            <w:r w:rsidR="00AD2B89" w:rsidRPr="00754FBB">
              <w:t>them</w:t>
            </w:r>
            <w:r w:rsidR="00B92FDB" w:rsidRPr="00754FBB">
              <w:t xml:space="preserve"> to connect with the NDIS</w:t>
            </w:r>
            <w:r w:rsidRPr="00754FBB">
              <w:t>; and</w:t>
            </w:r>
          </w:p>
          <w:p w:rsidR="0090003D" w:rsidRPr="00754FBB" w:rsidRDefault="00603A45" w:rsidP="00B92FDB">
            <w:pPr>
              <w:pStyle w:val="Tablea"/>
            </w:pPr>
            <w:r w:rsidRPr="00754FBB">
              <w:t xml:space="preserve">(b) </w:t>
            </w:r>
            <w:r w:rsidR="00B92FDB" w:rsidRPr="00754FBB">
              <w:t xml:space="preserve">assist </w:t>
            </w:r>
            <w:r w:rsidR="0090003D" w:rsidRPr="00754FBB">
              <w:t>each participant</w:t>
            </w:r>
            <w:r w:rsidR="00B92FDB" w:rsidRPr="00754FBB">
              <w:t xml:space="preserve"> </w:t>
            </w:r>
            <w:r w:rsidR="00C07368" w:rsidRPr="00754FBB">
              <w:t>or</w:t>
            </w:r>
            <w:r w:rsidR="007D038B" w:rsidRPr="00754FBB">
              <w:t xml:space="preserve"> prospective participant </w:t>
            </w:r>
            <w:r w:rsidR="00B92FDB" w:rsidRPr="00754FBB">
              <w:t>to</w:t>
            </w:r>
            <w:r w:rsidR="0090003D" w:rsidRPr="00754FBB">
              <w:t>:</w:t>
            </w:r>
          </w:p>
          <w:p w:rsidR="0090003D" w:rsidRPr="00754FBB" w:rsidRDefault="0090003D" w:rsidP="0090003D">
            <w:pPr>
              <w:pStyle w:val="Tablei"/>
            </w:pPr>
            <w:r w:rsidRPr="00754FBB">
              <w:t xml:space="preserve">(i) </w:t>
            </w:r>
            <w:r w:rsidR="00B92FDB" w:rsidRPr="00754FBB">
              <w:t>prepare for their access d</w:t>
            </w:r>
            <w:r w:rsidRPr="00754FBB">
              <w:t>ecisions and planning meetings; and</w:t>
            </w:r>
          </w:p>
          <w:p w:rsidR="0090003D" w:rsidRPr="00754FBB" w:rsidRDefault="0090003D" w:rsidP="0090003D">
            <w:pPr>
              <w:pStyle w:val="Tablei"/>
            </w:pPr>
            <w:r w:rsidRPr="00754FBB">
              <w:t xml:space="preserve">(ii) </w:t>
            </w:r>
            <w:r w:rsidR="00B92FDB" w:rsidRPr="00754FBB">
              <w:t xml:space="preserve">understand </w:t>
            </w:r>
            <w:r w:rsidRPr="00754FBB">
              <w:t xml:space="preserve">their </w:t>
            </w:r>
            <w:r w:rsidR="006C1B82" w:rsidRPr="00754FBB">
              <w:t>plan</w:t>
            </w:r>
            <w:r w:rsidRPr="00754FBB">
              <w:t xml:space="preserve"> </w:t>
            </w:r>
            <w:r w:rsidR="00A04411" w:rsidRPr="00754FBB">
              <w:t xml:space="preserve">when it comes into effect </w:t>
            </w:r>
            <w:r w:rsidRPr="00754FBB">
              <w:t xml:space="preserve">and how to use </w:t>
            </w:r>
            <w:r w:rsidR="006C1B82" w:rsidRPr="00754FBB">
              <w:t>it</w:t>
            </w:r>
            <w:r w:rsidRPr="00754FBB">
              <w:t>;</w:t>
            </w:r>
          </w:p>
          <w:p w:rsidR="00B92FDB" w:rsidRPr="00754FBB" w:rsidRDefault="0090003D" w:rsidP="0090003D">
            <w:pPr>
              <w:pStyle w:val="Tablea"/>
            </w:pPr>
            <w:r w:rsidRPr="00754FBB">
              <w:tab/>
            </w:r>
            <w:bookmarkStart w:id="21" w:name="BK_S3P5L40C2"/>
            <w:bookmarkEnd w:id="21"/>
            <w:r w:rsidR="00B92FDB" w:rsidRPr="00754FBB">
              <w:t>including supporting them to request and receive their plan in the format that best suits their needs</w:t>
            </w:r>
            <w:r w:rsidRPr="00754FBB">
              <w:t>; and</w:t>
            </w:r>
          </w:p>
          <w:p w:rsidR="00B92FDB" w:rsidRPr="00754FBB" w:rsidRDefault="0090003D" w:rsidP="00B92FDB">
            <w:pPr>
              <w:pStyle w:val="Tablea"/>
            </w:pPr>
            <w:r w:rsidRPr="00754FBB">
              <w:t xml:space="preserve">(c) </w:t>
            </w:r>
            <w:r w:rsidR="00B92FDB" w:rsidRPr="00754FBB">
              <w:t xml:space="preserve">inform participants </w:t>
            </w:r>
            <w:r w:rsidR="00AD2B89" w:rsidRPr="00754FBB">
              <w:t xml:space="preserve">or prospective participants </w:t>
            </w:r>
            <w:r w:rsidR="00B92FDB" w:rsidRPr="00754FBB">
              <w:t>of their right to bring anyone they choose to help support them through the process</w:t>
            </w:r>
            <w:r w:rsidRPr="00754FBB">
              <w:t>; and</w:t>
            </w:r>
          </w:p>
          <w:p w:rsidR="00B92FDB" w:rsidRPr="00754FBB" w:rsidRDefault="0090003D" w:rsidP="00B92FDB">
            <w:pPr>
              <w:pStyle w:val="Tablea"/>
            </w:pPr>
            <w:r w:rsidRPr="00754FBB">
              <w:t xml:space="preserve">(d) if requested, </w:t>
            </w:r>
            <w:r w:rsidR="00B92FDB" w:rsidRPr="00754FBB">
              <w:t>provide participants and prospective participants with a statement of reasons for all</w:t>
            </w:r>
            <w:r w:rsidRPr="00754FBB">
              <w:t xml:space="preserve"> </w:t>
            </w:r>
            <w:r w:rsidR="005E3ABD" w:rsidRPr="00754FBB">
              <w:t>reviewable</w:t>
            </w:r>
            <w:r w:rsidRPr="00754FBB">
              <w:t xml:space="preserve"> decisions about them; and</w:t>
            </w:r>
          </w:p>
          <w:p w:rsidR="00A04411" w:rsidRPr="00754FBB" w:rsidRDefault="00932215" w:rsidP="00932215">
            <w:pPr>
              <w:pStyle w:val="Tablea"/>
            </w:pPr>
            <w:r w:rsidRPr="00754FBB">
              <w:t>(e) empower participants to request to</w:t>
            </w:r>
            <w:r w:rsidR="00A04411" w:rsidRPr="00754FBB">
              <w:t xml:space="preserve"> see a draft plan in advance of:</w:t>
            </w:r>
          </w:p>
          <w:p w:rsidR="00A04411" w:rsidRPr="00754FBB" w:rsidRDefault="00A04411" w:rsidP="00A04411">
            <w:pPr>
              <w:pStyle w:val="Tablei"/>
            </w:pPr>
            <w:r w:rsidRPr="00754FBB">
              <w:t xml:space="preserve">(i) </w:t>
            </w:r>
            <w:r w:rsidR="00932215" w:rsidRPr="00754FBB">
              <w:t>final planning discussions</w:t>
            </w:r>
            <w:r w:rsidRPr="00754FBB">
              <w:t>;</w:t>
            </w:r>
            <w:r w:rsidR="00932215" w:rsidRPr="00754FBB">
              <w:t xml:space="preserve"> and</w:t>
            </w:r>
          </w:p>
          <w:p w:rsidR="00932215" w:rsidRPr="00754FBB" w:rsidRDefault="00A04411" w:rsidP="00A04411">
            <w:pPr>
              <w:pStyle w:val="Tablei"/>
            </w:pPr>
            <w:r w:rsidRPr="00754FBB">
              <w:t>(ii)</w:t>
            </w:r>
            <w:r w:rsidR="00932215" w:rsidRPr="00754FBB">
              <w:t xml:space="preserve"> </w:t>
            </w:r>
            <w:r w:rsidRPr="00754FBB">
              <w:t>the approval of the statement of participant supports to be included in the plan</w:t>
            </w:r>
            <w:r w:rsidR="00932215" w:rsidRPr="00754FBB">
              <w:t>; and</w:t>
            </w:r>
          </w:p>
          <w:p w:rsidR="00312E30" w:rsidRPr="00754FBB" w:rsidRDefault="0090003D" w:rsidP="00617A0E">
            <w:pPr>
              <w:pStyle w:val="Tablea"/>
            </w:pPr>
            <w:r w:rsidRPr="00754FBB">
              <w:t>(</w:t>
            </w:r>
            <w:r w:rsidR="00932215" w:rsidRPr="00754FBB">
              <w:t>f</w:t>
            </w:r>
            <w:r w:rsidRPr="00754FBB">
              <w:t xml:space="preserve">) </w:t>
            </w:r>
            <w:r w:rsidR="00B92FDB" w:rsidRPr="00754FBB">
              <w:t xml:space="preserve">inform participants </w:t>
            </w:r>
            <w:r w:rsidR="00C07368" w:rsidRPr="00754FBB">
              <w:t>or</w:t>
            </w:r>
            <w:r w:rsidR="00B92FDB" w:rsidRPr="00754FBB">
              <w:t xml:space="preserve"> prospective participants about their right to appeal decisions and how to lodge an appeal</w:t>
            </w:r>
            <w:r w:rsidR="00BF71B8" w:rsidRPr="00754FBB">
              <w:t>.</w:t>
            </w:r>
          </w:p>
        </w:tc>
      </w:tr>
      <w:tr w:rsidR="00312E30" w:rsidRPr="00754FBB" w:rsidTr="00F736B4">
        <w:tc>
          <w:tcPr>
            <w:tcW w:w="714" w:type="dxa"/>
            <w:tcBorders>
              <w:top w:val="single" w:sz="2" w:space="0" w:color="auto"/>
              <w:bottom w:val="single" w:sz="12" w:space="0" w:color="auto"/>
            </w:tcBorders>
            <w:shd w:val="clear" w:color="auto" w:fill="auto"/>
          </w:tcPr>
          <w:p w:rsidR="00312E30" w:rsidRPr="00754FBB" w:rsidRDefault="00312E30" w:rsidP="00312E30">
            <w:pPr>
              <w:pStyle w:val="Tabletext"/>
            </w:pPr>
            <w:r w:rsidRPr="00754FBB">
              <w:t>5</w:t>
            </w:r>
          </w:p>
        </w:tc>
        <w:tc>
          <w:tcPr>
            <w:tcW w:w="2683" w:type="dxa"/>
            <w:tcBorders>
              <w:top w:val="single" w:sz="2" w:space="0" w:color="auto"/>
              <w:bottom w:val="single" w:sz="12" w:space="0" w:color="auto"/>
            </w:tcBorders>
            <w:shd w:val="clear" w:color="auto" w:fill="auto"/>
          </w:tcPr>
          <w:p w:rsidR="00312E30" w:rsidRPr="00754FBB" w:rsidRDefault="00FF6A3A" w:rsidP="00FF6A3A">
            <w:pPr>
              <w:pStyle w:val="TableHeading"/>
            </w:pPr>
            <w:r w:rsidRPr="00754FBB">
              <w:t>Connected</w:t>
            </w:r>
            <w:r w:rsidR="00BA0D83" w:rsidRPr="00754FBB">
              <w:t>ness</w:t>
            </w:r>
          </w:p>
          <w:p w:rsidR="00FF6A3A" w:rsidRPr="00754FBB" w:rsidRDefault="00FF6A3A" w:rsidP="00FF6A3A">
            <w:pPr>
              <w:pStyle w:val="Tabletext"/>
            </w:pPr>
            <w:r w:rsidRPr="00754FBB">
              <w:t>Barriers are removed so that participants and prospective participants are connected to the services and supports they need.</w:t>
            </w:r>
          </w:p>
        </w:tc>
        <w:tc>
          <w:tcPr>
            <w:tcW w:w="4915" w:type="dxa"/>
            <w:tcBorders>
              <w:top w:val="single" w:sz="2" w:space="0" w:color="auto"/>
              <w:bottom w:val="single" w:sz="12" w:space="0" w:color="auto"/>
            </w:tcBorders>
            <w:shd w:val="clear" w:color="auto" w:fill="auto"/>
          </w:tcPr>
          <w:p w:rsidR="002F00A3" w:rsidRPr="00754FBB" w:rsidRDefault="002F00A3" w:rsidP="002F00A3">
            <w:pPr>
              <w:pStyle w:val="Tabletext"/>
            </w:pPr>
            <w:r w:rsidRPr="00754FBB">
              <w:t>The responsible persons must collectively (and individually where applicable):</w:t>
            </w:r>
          </w:p>
          <w:p w:rsidR="00FF6A3A" w:rsidRPr="00754FBB" w:rsidRDefault="00FF6A3A" w:rsidP="00FF6A3A">
            <w:pPr>
              <w:pStyle w:val="Tablea"/>
            </w:pPr>
            <w:r w:rsidRPr="00754FBB">
              <w:t>(a) work constructively and collaborative</w:t>
            </w:r>
            <w:bookmarkStart w:id="22" w:name="BK_S3P5L58C42"/>
            <w:bookmarkEnd w:id="22"/>
            <w:r w:rsidRPr="00754FBB">
              <w:t>ly with Commonwealth, State and Territory government service systems, including through data sharing arrangements, to streamline and reinforce the</w:t>
            </w:r>
            <w:r w:rsidR="00617A0E" w:rsidRPr="00754FBB">
              <w:t xml:space="preserve"> participant</w:t>
            </w:r>
            <w:r w:rsidR="00EF4AD2">
              <w:noBreakHyphen/>
            </w:r>
            <w:r w:rsidR="00617A0E" w:rsidRPr="00754FBB">
              <w:t>centred focus of the NDIS</w:t>
            </w:r>
            <w:r w:rsidRPr="00754FBB">
              <w:t>; and</w:t>
            </w:r>
          </w:p>
          <w:p w:rsidR="00617A0E" w:rsidRPr="00754FBB" w:rsidRDefault="00FF6A3A" w:rsidP="00FF6A3A">
            <w:pPr>
              <w:pStyle w:val="Tablea"/>
            </w:pPr>
            <w:r w:rsidRPr="00754FBB">
              <w:t>(b) adapt their approaches to connect with</w:t>
            </w:r>
            <w:r w:rsidR="00617A0E" w:rsidRPr="00754FBB">
              <w:t>:</w:t>
            </w:r>
          </w:p>
          <w:p w:rsidR="00617A0E" w:rsidRPr="00754FBB" w:rsidRDefault="00617A0E" w:rsidP="00617A0E">
            <w:pPr>
              <w:pStyle w:val="Tablei"/>
            </w:pPr>
            <w:r w:rsidRPr="00754FBB">
              <w:t>(i) participants, their families and carers; or</w:t>
            </w:r>
          </w:p>
          <w:p w:rsidR="00617A0E" w:rsidRPr="00754FBB" w:rsidRDefault="00617A0E" w:rsidP="00617A0E">
            <w:pPr>
              <w:pStyle w:val="Tablei"/>
            </w:pPr>
            <w:r w:rsidRPr="00754FBB">
              <w:t>(ii) prospective participants, their families and carers;</w:t>
            </w:r>
          </w:p>
          <w:p w:rsidR="00FF6A3A" w:rsidRPr="00754FBB" w:rsidRDefault="00617A0E" w:rsidP="00FF6A3A">
            <w:pPr>
              <w:pStyle w:val="Tablea"/>
            </w:pPr>
            <w:r w:rsidRPr="00754FBB">
              <w:tab/>
            </w:r>
            <w:bookmarkStart w:id="23" w:name="BK_S3P5L67C2"/>
            <w:bookmarkEnd w:id="23"/>
            <w:r w:rsidR="00FF6A3A" w:rsidRPr="00754FBB">
              <w:t xml:space="preserve">in different communities, </w:t>
            </w:r>
            <w:r w:rsidR="00065087" w:rsidRPr="00754FBB">
              <w:t>particularly</w:t>
            </w:r>
            <w:r w:rsidR="00FF6A3A" w:rsidRPr="00754FBB">
              <w:t xml:space="preserve"> in </w:t>
            </w:r>
            <w:r w:rsidR="00FB56B8" w:rsidRPr="00754FBB">
              <w:t>communities of Indigenous persons</w:t>
            </w:r>
            <w:r w:rsidRPr="00754FBB">
              <w:t xml:space="preserve">, </w:t>
            </w:r>
            <w:r w:rsidR="00FF6A3A" w:rsidRPr="00754FBB">
              <w:t>culturally and linguistically diverse communities</w:t>
            </w:r>
            <w:r w:rsidRPr="00754FBB">
              <w:t xml:space="preserve">, or communities in </w:t>
            </w:r>
            <w:r w:rsidR="00401516" w:rsidRPr="00754FBB">
              <w:t xml:space="preserve">regional or </w:t>
            </w:r>
            <w:r w:rsidRPr="00754FBB">
              <w:lastRenderedPageBreak/>
              <w:t>remote areas</w:t>
            </w:r>
            <w:r w:rsidR="00065087" w:rsidRPr="00754FBB">
              <w:t>; and</w:t>
            </w:r>
          </w:p>
          <w:p w:rsidR="00312E30" w:rsidRPr="00754FBB" w:rsidRDefault="00065087" w:rsidP="00EF3A82">
            <w:pPr>
              <w:pStyle w:val="Tablea"/>
            </w:pPr>
            <w:r w:rsidRPr="00754FBB">
              <w:t xml:space="preserve">(c) </w:t>
            </w:r>
            <w:r w:rsidR="00FF6A3A" w:rsidRPr="00754FBB">
              <w:t xml:space="preserve">ensure that </w:t>
            </w:r>
            <w:r w:rsidR="00DE5BAF" w:rsidRPr="00754FBB">
              <w:t>the funding</w:t>
            </w:r>
            <w:r w:rsidR="00FF6A3A" w:rsidRPr="00754FBB">
              <w:t xml:space="preserve"> </w:t>
            </w:r>
            <w:r w:rsidR="00EF3A82" w:rsidRPr="00754FBB">
              <w:t xml:space="preserve">allocated for the purposes of a plan </w:t>
            </w:r>
            <w:r w:rsidR="00FF6A3A" w:rsidRPr="00754FBB">
              <w:t xml:space="preserve">is not interrupted if a new plan is not in place by the </w:t>
            </w:r>
            <w:r w:rsidR="00820CDE" w:rsidRPr="00754FBB">
              <w:t>plan’s reassessment date</w:t>
            </w:r>
            <w:r w:rsidR="00FF6A3A" w:rsidRPr="00754FBB">
              <w:t xml:space="preserve">, </w:t>
            </w:r>
            <w:r w:rsidR="00820CDE" w:rsidRPr="00754FBB">
              <w:t xml:space="preserve">in order to </w:t>
            </w:r>
            <w:r w:rsidR="00FF6A3A" w:rsidRPr="00754FBB">
              <w:t>provid</w:t>
            </w:r>
            <w:r w:rsidR="00820CDE" w:rsidRPr="00754FBB">
              <w:t>e</w:t>
            </w:r>
            <w:r w:rsidR="00FF6A3A" w:rsidRPr="00754FBB">
              <w:t xml:space="preserve"> continuity of support and </w:t>
            </w:r>
            <w:r w:rsidR="00820CDE" w:rsidRPr="00754FBB">
              <w:t xml:space="preserve">to </w:t>
            </w:r>
            <w:r w:rsidR="00FF6A3A" w:rsidRPr="00754FBB">
              <w:t>reduc</w:t>
            </w:r>
            <w:r w:rsidR="00820CDE" w:rsidRPr="00754FBB">
              <w:t>e</w:t>
            </w:r>
            <w:r w:rsidR="00FF6A3A" w:rsidRPr="00754FBB">
              <w:t xml:space="preserve"> the overall burden of NDIS</w:t>
            </w:r>
            <w:r w:rsidR="00EF4AD2">
              <w:noBreakHyphen/>
            </w:r>
            <w:r w:rsidR="00FF6A3A" w:rsidRPr="00754FBB">
              <w:t>related out</w:t>
            </w:r>
            <w:r w:rsidR="00EF4AD2">
              <w:noBreakHyphen/>
            </w:r>
            <w:r w:rsidRPr="00754FBB">
              <w:t>of</w:t>
            </w:r>
            <w:r w:rsidR="00EF4AD2">
              <w:noBreakHyphen/>
            </w:r>
            <w:r w:rsidR="00FF6A3A" w:rsidRPr="00754FBB">
              <w:t>pocket costs for participants where possible.</w:t>
            </w:r>
          </w:p>
        </w:tc>
      </w:tr>
    </w:tbl>
    <w:p w:rsidR="00065087" w:rsidRPr="00754FBB" w:rsidRDefault="00245187" w:rsidP="00065087">
      <w:pPr>
        <w:pStyle w:val="ActHead5"/>
      </w:pPr>
      <w:bookmarkStart w:id="24" w:name="_Toc80079251"/>
      <w:r w:rsidRPr="00BE0F2B">
        <w:rPr>
          <w:rStyle w:val="CharSectno"/>
        </w:rPr>
        <w:lastRenderedPageBreak/>
        <w:t>6</w:t>
      </w:r>
      <w:r w:rsidR="00065087" w:rsidRPr="00754FBB">
        <w:t xml:space="preserve">  Engagement principles and service standards—</w:t>
      </w:r>
      <w:r w:rsidR="007131D2" w:rsidRPr="00754FBB">
        <w:t>participants etc.</w:t>
      </w:r>
      <w:bookmarkEnd w:id="24"/>
    </w:p>
    <w:p w:rsidR="00065087" w:rsidRPr="00754FBB" w:rsidRDefault="00065087" w:rsidP="00065087">
      <w:pPr>
        <w:pStyle w:val="subsection"/>
      </w:pPr>
      <w:r w:rsidRPr="00754FBB">
        <w:tab/>
      </w:r>
      <w:r w:rsidR="007131D2" w:rsidRPr="00754FBB">
        <w:t>(1)</w:t>
      </w:r>
      <w:r w:rsidRPr="00754FBB">
        <w:tab/>
        <w:t>For the</w:t>
      </w:r>
      <w:r w:rsidR="007131D2" w:rsidRPr="00754FBB">
        <w:t xml:space="preserve"> purposes of </w:t>
      </w:r>
      <w:r w:rsidR="0068783C" w:rsidRPr="00754FBB">
        <w:t>paragraph 2</w:t>
      </w:r>
      <w:r w:rsidR="007131D2" w:rsidRPr="00754FBB">
        <w:t>09(2A)(d)</w:t>
      </w:r>
      <w:r w:rsidR="008518BA" w:rsidRPr="00754FBB">
        <w:t xml:space="preserve"> of the Act</w:t>
      </w:r>
      <w:r w:rsidR="007131D2" w:rsidRPr="00754FBB">
        <w:t>, this section sets out an</w:t>
      </w:r>
      <w:r w:rsidRPr="00754FBB">
        <w:t xml:space="preserve"> engagement principle and service standard</w:t>
      </w:r>
      <w:r w:rsidR="007131D2" w:rsidRPr="00754FBB">
        <w:t xml:space="preserve"> for</w:t>
      </w:r>
      <w:r w:rsidRPr="00754FBB">
        <w:t xml:space="preserve"> how participants or prospective participants</w:t>
      </w:r>
      <w:r w:rsidR="007131D2" w:rsidRPr="00754FBB">
        <w:t xml:space="preserve"> are to engage with </w:t>
      </w:r>
      <w:r w:rsidR="006F7D1F" w:rsidRPr="00754FBB">
        <w:t>responsible persons</w:t>
      </w:r>
      <w:r w:rsidR="007131D2" w:rsidRPr="00754FBB">
        <w:t>.</w:t>
      </w:r>
    </w:p>
    <w:p w:rsidR="007131D2" w:rsidRPr="00754FBB" w:rsidRDefault="007131D2" w:rsidP="007131D2">
      <w:pPr>
        <w:pStyle w:val="subsection"/>
      </w:pPr>
      <w:r w:rsidRPr="00754FBB">
        <w:tab/>
        <w:t>(2)</w:t>
      </w:r>
      <w:r w:rsidRPr="00754FBB">
        <w:tab/>
        <w:t>The engagement principle is that p</w:t>
      </w:r>
      <w:r w:rsidR="00F95AC5" w:rsidRPr="00754FBB">
        <w:t xml:space="preserve">articipants or </w:t>
      </w:r>
      <w:r w:rsidRPr="00754FBB">
        <w:t xml:space="preserve">prospective participants help </w:t>
      </w:r>
      <w:r w:rsidR="005A5978" w:rsidRPr="00754FBB">
        <w:t>responsible persons</w:t>
      </w:r>
      <w:r w:rsidRPr="00754FBB">
        <w:t xml:space="preserve"> to deliver the best possible experience of the NDIS.</w:t>
      </w:r>
    </w:p>
    <w:p w:rsidR="00ED0D91" w:rsidRPr="00754FBB" w:rsidRDefault="00ED0D91" w:rsidP="00ED0D91">
      <w:pPr>
        <w:pStyle w:val="subsection"/>
      </w:pPr>
      <w:r w:rsidRPr="00754FBB">
        <w:tab/>
        <w:t>(3)</w:t>
      </w:r>
      <w:r w:rsidRPr="00754FBB">
        <w:tab/>
        <w:t>The service standard is that each participant or prospective participant</w:t>
      </w:r>
      <w:r w:rsidR="00B02399" w:rsidRPr="00754FBB">
        <w:t xml:space="preserve">, </w:t>
      </w:r>
      <w:r w:rsidR="00F95AC5" w:rsidRPr="00754FBB">
        <w:t>either personally or through a representative,</w:t>
      </w:r>
      <w:r w:rsidRPr="00754FBB">
        <w:t xml:space="preserve"> must:</w:t>
      </w:r>
    </w:p>
    <w:p w:rsidR="00ED0D91" w:rsidRPr="00754FBB" w:rsidRDefault="00ED0D91" w:rsidP="00ED0D91">
      <w:pPr>
        <w:pStyle w:val="paragraph"/>
      </w:pPr>
      <w:r w:rsidRPr="00754FBB">
        <w:tab/>
        <w:t>(a)</w:t>
      </w:r>
      <w:r w:rsidRPr="00754FBB">
        <w:tab/>
        <w:t>provide accurate and up</w:t>
      </w:r>
      <w:r w:rsidR="00EF4AD2">
        <w:noBreakHyphen/>
      </w:r>
      <w:r w:rsidRPr="00754FBB">
        <w:t>to</w:t>
      </w:r>
      <w:r w:rsidR="00EF4AD2">
        <w:noBreakHyphen/>
      </w:r>
      <w:r w:rsidRPr="00754FBB">
        <w:t>date information to support effective decision</w:t>
      </w:r>
      <w:r w:rsidR="00EF4AD2">
        <w:noBreakHyphen/>
      </w:r>
      <w:r w:rsidRPr="00754FBB">
        <w:t xml:space="preserve">making by </w:t>
      </w:r>
      <w:r w:rsidR="005A5978" w:rsidRPr="00754FBB">
        <w:t>responsible persons</w:t>
      </w:r>
      <w:r w:rsidRPr="00754FBB">
        <w:t xml:space="preserve"> under the Act or National Disability Insurance Scheme rules; and</w:t>
      </w:r>
    </w:p>
    <w:p w:rsidR="00ED0D91" w:rsidRPr="00754FBB" w:rsidRDefault="00ED0D91" w:rsidP="00ED0D91">
      <w:pPr>
        <w:pStyle w:val="paragraph"/>
      </w:pPr>
      <w:r w:rsidRPr="00754FBB">
        <w:tab/>
        <w:t>(b)</w:t>
      </w:r>
      <w:r w:rsidRPr="00754FBB">
        <w:tab/>
        <w:t xml:space="preserve">inform </w:t>
      </w:r>
      <w:r w:rsidR="005A5978" w:rsidRPr="00754FBB">
        <w:t>any applicable responsible person</w:t>
      </w:r>
      <w:r w:rsidRPr="00754FBB">
        <w:t xml:space="preserve"> of any significant changes to </w:t>
      </w:r>
      <w:r w:rsidR="005A5978" w:rsidRPr="00754FBB">
        <w:t>the participant’s or prospective participant’s</w:t>
      </w:r>
      <w:r w:rsidRPr="00754FBB">
        <w:t xml:space="preserve"> </w:t>
      </w:r>
      <w:r w:rsidR="00110174" w:rsidRPr="00754FBB">
        <w:t xml:space="preserve">circumstances, </w:t>
      </w:r>
      <w:r w:rsidRPr="00754FBB">
        <w:t xml:space="preserve">needs, </w:t>
      </w:r>
      <w:r w:rsidR="00110174" w:rsidRPr="00754FBB">
        <w:t xml:space="preserve">or </w:t>
      </w:r>
      <w:r w:rsidRPr="00754FBB">
        <w:t>goals and aspirations; and</w:t>
      </w:r>
    </w:p>
    <w:p w:rsidR="00ED0D91" w:rsidRPr="00754FBB" w:rsidRDefault="00ED0D91" w:rsidP="00ED0D91">
      <w:pPr>
        <w:pStyle w:val="paragraph"/>
      </w:pPr>
      <w:r w:rsidRPr="00754FBB">
        <w:tab/>
        <w:t>(c)</w:t>
      </w:r>
      <w:r w:rsidRPr="00754FBB">
        <w:tab/>
        <w:t>provide constructive feedback on their experience of the NDIS in order to support the continued improvement of the NDIS.</w:t>
      </w:r>
    </w:p>
    <w:p w:rsidR="00ED0D91" w:rsidRPr="00754FBB" w:rsidRDefault="000823D6" w:rsidP="000955E3">
      <w:pPr>
        <w:pStyle w:val="ActHead2"/>
        <w:pageBreakBefore/>
      </w:pPr>
      <w:bookmarkStart w:id="25" w:name="_Toc80079252"/>
      <w:r w:rsidRPr="00BE0F2B">
        <w:rPr>
          <w:rStyle w:val="CharPartNo"/>
        </w:rPr>
        <w:lastRenderedPageBreak/>
        <w:t>Part 3</w:t>
      </w:r>
      <w:r w:rsidR="000955E3" w:rsidRPr="00754FBB">
        <w:t>—</w:t>
      </w:r>
      <w:r w:rsidR="000955E3" w:rsidRPr="00BE0F2B">
        <w:rPr>
          <w:rStyle w:val="CharPartText"/>
        </w:rPr>
        <w:t>Timeframes</w:t>
      </w:r>
      <w:r w:rsidR="007373C8" w:rsidRPr="00BE0F2B">
        <w:rPr>
          <w:rStyle w:val="CharPartText"/>
        </w:rPr>
        <w:t xml:space="preserve"> and related obligations</w:t>
      </w:r>
      <w:bookmarkEnd w:id="25"/>
    </w:p>
    <w:p w:rsidR="000955E3" w:rsidRPr="00BE0F2B" w:rsidRDefault="000955E3" w:rsidP="000955E3">
      <w:pPr>
        <w:pStyle w:val="Header"/>
      </w:pPr>
      <w:r w:rsidRPr="00BE0F2B">
        <w:rPr>
          <w:rStyle w:val="CharDivNo"/>
        </w:rPr>
        <w:t xml:space="preserve"> </w:t>
      </w:r>
      <w:r w:rsidRPr="00BE0F2B">
        <w:rPr>
          <w:rStyle w:val="CharDivText"/>
        </w:rPr>
        <w:t xml:space="preserve"> </w:t>
      </w:r>
    </w:p>
    <w:p w:rsidR="00577224" w:rsidRPr="00754FBB" w:rsidRDefault="00245187" w:rsidP="00577224">
      <w:pPr>
        <w:pStyle w:val="ActHead5"/>
      </w:pPr>
      <w:bookmarkStart w:id="26" w:name="_Toc80079253"/>
      <w:r w:rsidRPr="00BE0F2B">
        <w:rPr>
          <w:rStyle w:val="CharSectno"/>
        </w:rPr>
        <w:t>7</w:t>
      </w:r>
      <w:r w:rsidR="000955E3" w:rsidRPr="00754FBB">
        <w:t xml:space="preserve">  </w:t>
      </w:r>
      <w:r w:rsidR="00577224" w:rsidRPr="00754FBB">
        <w:t>Simplified outline of this Part</w:t>
      </w:r>
      <w:bookmarkEnd w:id="26"/>
    </w:p>
    <w:p w:rsidR="00577224" w:rsidRPr="00754FBB" w:rsidRDefault="00577224" w:rsidP="00BC2807">
      <w:pPr>
        <w:pStyle w:val="SOText"/>
      </w:pPr>
      <w:r w:rsidRPr="00754FBB">
        <w:t>This Part sets out timeframes for certain decisions or dealings of the CEO or Agency under the Act.</w:t>
      </w:r>
    </w:p>
    <w:p w:rsidR="003C5DBD" w:rsidRPr="00754FBB" w:rsidRDefault="003C5DBD" w:rsidP="00BC2807">
      <w:pPr>
        <w:pStyle w:val="SOText"/>
      </w:pPr>
      <w:r w:rsidRPr="00754FBB">
        <w:t xml:space="preserve">Some </w:t>
      </w:r>
      <w:r w:rsidR="00685513" w:rsidRPr="00754FBB">
        <w:t>related</w:t>
      </w:r>
      <w:r w:rsidRPr="00754FBB">
        <w:t xml:space="preserve"> obligations on the CEO are also included.</w:t>
      </w:r>
    </w:p>
    <w:p w:rsidR="000955E3" w:rsidRPr="00754FBB" w:rsidRDefault="00577224" w:rsidP="00577224">
      <w:pPr>
        <w:pStyle w:val="notetext"/>
      </w:pPr>
      <w:r w:rsidRPr="00754FBB">
        <w:t>Note:</w:t>
      </w:r>
      <w:r w:rsidRPr="00754FBB">
        <w:tab/>
        <w:t xml:space="preserve">Some timeframes are already set out in the Act, and are not changed by this Part. For example, </w:t>
      </w:r>
      <w:r w:rsidR="008034F1" w:rsidRPr="00754FBB">
        <w:t>the CEO has</w:t>
      </w:r>
      <w:r w:rsidRPr="00754FBB">
        <w:t>:</w:t>
      </w:r>
    </w:p>
    <w:p w:rsidR="00577224" w:rsidRPr="00754FBB" w:rsidRDefault="00577224" w:rsidP="00577224">
      <w:pPr>
        <w:pStyle w:val="notepara"/>
      </w:pPr>
      <w:r w:rsidRPr="00754FBB">
        <w:t>(a)</w:t>
      </w:r>
      <w:r w:rsidRPr="00754FBB">
        <w:tab/>
      </w:r>
      <w:r w:rsidR="008034F1" w:rsidRPr="00754FBB">
        <w:t>21 days to make a decision</w:t>
      </w:r>
      <w:r w:rsidRPr="00754FBB">
        <w:t xml:space="preserve"> under </w:t>
      </w:r>
      <w:r w:rsidR="0068783C" w:rsidRPr="00754FBB">
        <w:t>paragraph 2</w:t>
      </w:r>
      <w:r w:rsidRPr="00754FBB">
        <w:t>0</w:t>
      </w:r>
      <w:r w:rsidR="001250C3" w:rsidRPr="00754FBB">
        <w:t>(1)(a) or (b)</w:t>
      </w:r>
      <w:r w:rsidRPr="00754FBB">
        <w:t xml:space="preserve"> </w:t>
      </w:r>
      <w:r w:rsidR="006D4A79" w:rsidRPr="00754FBB">
        <w:t xml:space="preserve">of the Act </w:t>
      </w:r>
      <w:r w:rsidRPr="00754FBB">
        <w:t xml:space="preserve">about </w:t>
      </w:r>
      <w:r w:rsidR="00516AAC" w:rsidRPr="00754FBB">
        <w:t xml:space="preserve">an </w:t>
      </w:r>
      <w:r w:rsidRPr="00754FBB">
        <w:t>access request; and</w:t>
      </w:r>
    </w:p>
    <w:p w:rsidR="00516AAC" w:rsidRPr="00754FBB" w:rsidRDefault="00516AAC" w:rsidP="00577224">
      <w:pPr>
        <w:pStyle w:val="notepara"/>
      </w:pPr>
      <w:r w:rsidRPr="00754FBB">
        <w:t>(b)</w:t>
      </w:r>
      <w:r w:rsidRPr="00754FBB">
        <w:tab/>
        <w:t xml:space="preserve">14 days to make a decision under </w:t>
      </w:r>
      <w:r w:rsidR="00BE2121" w:rsidRPr="00754FBB">
        <w:t>subsection 2</w:t>
      </w:r>
      <w:r w:rsidRPr="00754FBB">
        <w:t>6(2) of the Act after receiving information or a report about an access request; and</w:t>
      </w:r>
    </w:p>
    <w:p w:rsidR="00516AAC" w:rsidRPr="00754FBB" w:rsidRDefault="00516AAC" w:rsidP="00577224">
      <w:pPr>
        <w:pStyle w:val="notepara"/>
      </w:pPr>
      <w:r w:rsidRPr="00754FBB">
        <w:t>(c)</w:t>
      </w:r>
      <w:r w:rsidRPr="00754FBB">
        <w:tab/>
        <w:t xml:space="preserve">7 days to provide a participant with a copy of their plan as required by </w:t>
      </w:r>
      <w:r w:rsidR="00BE2121" w:rsidRPr="00754FBB">
        <w:t>section 3</w:t>
      </w:r>
      <w:r w:rsidRPr="00754FBB">
        <w:t xml:space="preserve">8 or </w:t>
      </w:r>
      <w:r w:rsidR="0068783C" w:rsidRPr="00754FBB">
        <w:t>subsection 4</w:t>
      </w:r>
      <w:r w:rsidRPr="00754FBB">
        <w:t xml:space="preserve">7(3) </w:t>
      </w:r>
      <w:r w:rsidR="0004595A" w:rsidRPr="00754FBB">
        <w:t>of the Act</w:t>
      </w:r>
      <w:r w:rsidRPr="00754FBB">
        <w:t>; and</w:t>
      </w:r>
    </w:p>
    <w:p w:rsidR="00CB3842" w:rsidRPr="00754FBB" w:rsidRDefault="00CB3842" w:rsidP="00CB3842">
      <w:pPr>
        <w:pStyle w:val="notepara"/>
      </w:pPr>
      <w:r w:rsidRPr="00754FBB">
        <w:t>(d)</w:t>
      </w:r>
      <w:r w:rsidRPr="00754FBB">
        <w:tab/>
        <w:t xml:space="preserve">21 days to make a decision under </w:t>
      </w:r>
      <w:r w:rsidR="0068783C" w:rsidRPr="00754FBB">
        <w:t>subsection 4</w:t>
      </w:r>
      <w:r w:rsidRPr="00754FBB">
        <w:t>7A(</w:t>
      </w:r>
      <w:r w:rsidR="00F1113D">
        <w:t>3</w:t>
      </w:r>
      <w:r w:rsidRPr="00754FBB">
        <w:t>) of the Act whether or not to vary or reassess a plan; and</w:t>
      </w:r>
    </w:p>
    <w:p w:rsidR="00577224" w:rsidRPr="00754FBB" w:rsidRDefault="00516AAC" w:rsidP="00577224">
      <w:pPr>
        <w:pStyle w:val="notepara"/>
      </w:pPr>
      <w:r w:rsidRPr="00754FBB">
        <w:t>(</w:t>
      </w:r>
      <w:r w:rsidR="00FB6F4D" w:rsidRPr="00754FBB">
        <w:t>e</w:t>
      </w:r>
      <w:r w:rsidR="006331B7" w:rsidRPr="00754FBB">
        <w:t>)</w:t>
      </w:r>
      <w:r w:rsidR="006331B7" w:rsidRPr="00754FBB">
        <w:tab/>
      </w:r>
      <w:r w:rsidR="008034F1" w:rsidRPr="00754FBB">
        <w:t>14 days to decide</w:t>
      </w:r>
      <w:r w:rsidR="006331B7" w:rsidRPr="00754FBB">
        <w:t xml:space="preserve"> whether to canc</w:t>
      </w:r>
      <w:r w:rsidR="0014308F" w:rsidRPr="00754FBB">
        <w:t>el the appointment of a nominee</w:t>
      </w:r>
      <w:r w:rsidR="00E24D43">
        <w:t xml:space="preserve"> (see</w:t>
      </w:r>
      <w:r w:rsidR="00E24D43" w:rsidRPr="00754FBB">
        <w:t xml:space="preserve"> paragraph 90(3)(a) of the Act</w:t>
      </w:r>
      <w:r w:rsidR="00E24D43">
        <w:t>)</w:t>
      </w:r>
      <w:r w:rsidR="0014308F" w:rsidRPr="00754FBB">
        <w:t>.</w:t>
      </w:r>
    </w:p>
    <w:p w:rsidR="00577224" w:rsidRPr="00754FBB" w:rsidRDefault="00245187" w:rsidP="00BD60B9">
      <w:pPr>
        <w:pStyle w:val="ActHead5"/>
      </w:pPr>
      <w:bookmarkStart w:id="27" w:name="_Toc80079254"/>
      <w:r w:rsidRPr="00BE0F2B">
        <w:rPr>
          <w:rStyle w:val="CharSectno"/>
        </w:rPr>
        <w:t>8</w:t>
      </w:r>
      <w:r w:rsidR="00171A8F" w:rsidRPr="00754FBB">
        <w:t xml:space="preserve">  Plans—approving a statement of participant supports in a plan</w:t>
      </w:r>
      <w:bookmarkEnd w:id="27"/>
    </w:p>
    <w:p w:rsidR="0098458B" w:rsidRPr="00754FBB" w:rsidRDefault="0098458B" w:rsidP="0098458B">
      <w:pPr>
        <w:pStyle w:val="subsection"/>
      </w:pPr>
      <w:r w:rsidRPr="00754FBB">
        <w:tab/>
        <w:t>(1)</w:t>
      </w:r>
      <w:r w:rsidRPr="00754FBB">
        <w:tab/>
        <w:t>For the purposes of paragraph 33(4)(a) of the Act, the period for deciding whether or not to approve a statement of participant supports in a participant’s plan:</w:t>
      </w:r>
    </w:p>
    <w:p w:rsidR="0098458B" w:rsidRPr="00754FBB" w:rsidRDefault="0098458B" w:rsidP="0098458B">
      <w:pPr>
        <w:pStyle w:val="paragraph"/>
      </w:pPr>
      <w:r w:rsidRPr="00754FBB">
        <w:tab/>
        <w:t>(a)</w:t>
      </w:r>
      <w:r w:rsidRPr="00754FBB">
        <w:tab/>
        <w:t>starts on the participant’s access decision day; and</w:t>
      </w:r>
    </w:p>
    <w:p w:rsidR="0098458B" w:rsidRPr="00754FBB" w:rsidRDefault="0098458B" w:rsidP="0098458B">
      <w:pPr>
        <w:pStyle w:val="paragraph"/>
      </w:pPr>
      <w:r w:rsidRPr="00754FBB">
        <w:tab/>
        <w:t>(b)</w:t>
      </w:r>
      <w:r w:rsidRPr="00754FBB">
        <w:tab/>
        <w:t>is the following number of days:</w:t>
      </w:r>
    </w:p>
    <w:p w:rsidR="0098458B" w:rsidRPr="00754FBB" w:rsidRDefault="0098458B" w:rsidP="0098458B">
      <w:pPr>
        <w:pStyle w:val="paragraphsub"/>
      </w:pPr>
      <w:r w:rsidRPr="00754FBB">
        <w:tab/>
        <w:t>(i)</w:t>
      </w:r>
      <w:r w:rsidRPr="00754FBB">
        <w:tab/>
        <w:t>if paragraph 14(2)(b) of the Act (about participants aged under 7) applies for the participant—</w:t>
      </w:r>
      <w:r w:rsidR="009963E8" w:rsidRPr="00754FBB">
        <w:t xml:space="preserve">90 </w:t>
      </w:r>
      <w:r w:rsidRPr="00754FBB">
        <w:t>days;</w:t>
      </w:r>
    </w:p>
    <w:p w:rsidR="0098458B" w:rsidRPr="00754FBB" w:rsidRDefault="0098458B" w:rsidP="0098458B">
      <w:pPr>
        <w:pStyle w:val="paragraphsub"/>
      </w:pPr>
      <w:r w:rsidRPr="00754FBB">
        <w:tab/>
        <w:t>(ii)</w:t>
      </w:r>
      <w:r w:rsidRPr="00754FBB">
        <w:tab/>
        <w:t>otherwise—</w:t>
      </w:r>
      <w:r w:rsidR="009963E8" w:rsidRPr="00754FBB">
        <w:t xml:space="preserve">56 </w:t>
      </w:r>
      <w:r w:rsidRPr="00754FBB">
        <w:t>days;</w:t>
      </w:r>
    </w:p>
    <w:p w:rsidR="0098458B" w:rsidRPr="00754FBB" w:rsidRDefault="0098458B" w:rsidP="0098458B">
      <w:pPr>
        <w:pStyle w:val="subsection2"/>
      </w:pPr>
      <w:r w:rsidRPr="00754FBB">
        <w:t xml:space="preserve">unless that period is adjusted under </w:t>
      </w:r>
      <w:r w:rsidR="005C1532" w:rsidRPr="00754FBB">
        <w:t>subsection (</w:t>
      </w:r>
      <w:r w:rsidRPr="00754FBB">
        <w:t>2) of this section.</w:t>
      </w:r>
    </w:p>
    <w:p w:rsidR="00C52AB4" w:rsidRPr="00754FBB" w:rsidRDefault="00C52AB4" w:rsidP="00C52AB4">
      <w:pPr>
        <w:pStyle w:val="subsection"/>
      </w:pPr>
      <w:r w:rsidRPr="00754FBB">
        <w:tab/>
        <w:t>(2)</w:t>
      </w:r>
      <w:r w:rsidRPr="00754FBB">
        <w:tab/>
        <w:t xml:space="preserve">That period, or the period from a previous application of this subsection, (the </w:t>
      </w:r>
      <w:r w:rsidRPr="00754FBB">
        <w:rPr>
          <w:b/>
          <w:i/>
        </w:rPr>
        <w:t>initial period</w:t>
      </w:r>
      <w:r w:rsidRPr="00754FBB">
        <w:t>) is adjusted as follows if, on a particular day, the CEO makes a requ</w:t>
      </w:r>
      <w:r w:rsidR="001577A9">
        <w:t>est</w:t>
      </w:r>
      <w:r w:rsidRPr="00754FBB">
        <w:t xml:space="preserve"> under subsection 36(2) of the Act relating to that statement of participant supports:</w:t>
      </w:r>
    </w:p>
    <w:p w:rsidR="00C52AB4" w:rsidRPr="00754FBB" w:rsidRDefault="00C52AB4" w:rsidP="00C52AB4">
      <w:pPr>
        <w:pStyle w:val="paragraph"/>
      </w:pPr>
      <w:r w:rsidRPr="00754FBB">
        <w:tab/>
        <w:t>(a)</w:t>
      </w:r>
      <w:r w:rsidRPr="00754FBB">
        <w:tab/>
        <w:t xml:space="preserve">the initial period is paused at the end of that day until the end of the day (the </w:t>
      </w:r>
      <w:r w:rsidRPr="00754FBB">
        <w:rPr>
          <w:b/>
          <w:i/>
        </w:rPr>
        <w:t>compliance day</w:t>
      </w:r>
      <w:r w:rsidRPr="00754FBB">
        <w:t>) on which the requ</w:t>
      </w:r>
      <w:r w:rsidR="001577A9">
        <w:t>est</w:t>
      </w:r>
      <w:r w:rsidRPr="00754FBB">
        <w:t xml:space="preserve"> is complied with;</w:t>
      </w:r>
    </w:p>
    <w:p w:rsidR="00C52AB4" w:rsidRPr="00754FBB" w:rsidRDefault="00C52AB4" w:rsidP="00C52AB4">
      <w:pPr>
        <w:pStyle w:val="paragraph"/>
      </w:pPr>
      <w:r w:rsidRPr="00754FBB">
        <w:tab/>
        <w:t>(b)</w:t>
      </w:r>
      <w:r w:rsidRPr="00754FBB">
        <w:tab/>
        <w:t xml:space="preserve">when the </w:t>
      </w:r>
      <w:r w:rsidR="001577A9">
        <w:t>request</w:t>
      </w:r>
      <w:r w:rsidRPr="00754FBB">
        <w:t xml:space="preserve"> is complied with:</w:t>
      </w:r>
    </w:p>
    <w:p w:rsidR="00C52AB4" w:rsidRPr="00754FBB" w:rsidRDefault="00C52AB4" w:rsidP="00C52AB4">
      <w:pPr>
        <w:pStyle w:val="paragraphsub"/>
      </w:pPr>
      <w:r w:rsidRPr="00754FBB">
        <w:tab/>
        <w:t>(i)</w:t>
      </w:r>
      <w:r w:rsidRPr="00754FBB">
        <w:tab/>
        <w:t>the initial period resumes</w:t>
      </w:r>
      <w:r w:rsidR="001F4263" w:rsidRPr="00754FBB">
        <w:t xml:space="preserve"> after the compliance day</w:t>
      </w:r>
      <w:r w:rsidRPr="00754FBB">
        <w:t>; and</w:t>
      </w:r>
    </w:p>
    <w:p w:rsidR="00C52AB4" w:rsidRPr="00754FBB" w:rsidRDefault="00C52AB4" w:rsidP="00C52AB4">
      <w:pPr>
        <w:pStyle w:val="paragraphsub"/>
      </w:pPr>
      <w:r w:rsidRPr="00754FBB">
        <w:tab/>
        <w:t>(ii)</w:t>
      </w:r>
      <w:r w:rsidRPr="00754FBB">
        <w:tab/>
        <w:t>if the compliance day is later than the 14th day before the end of the initial period—the initial period is extended so that it ends on the 14th day after the compliance day.</w:t>
      </w:r>
    </w:p>
    <w:p w:rsidR="0003137C" w:rsidRPr="00754FBB" w:rsidRDefault="00245187" w:rsidP="0003137C">
      <w:pPr>
        <w:pStyle w:val="ActHead5"/>
      </w:pPr>
      <w:bookmarkStart w:id="28" w:name="_Toc80079255"/>
      <w:r w:rsidRPr="00BE0F2B">
        <w:rPr>
          <w:rStyle w:val="CharSectno"/>
        </w:rPr>
        <w:lastRenderedPageBreak/>
        <w:t>9</w:t>
      </w:r>
      <w:r w:rsidR="0003137C" w:rsidRPr="00754FBB">
        <w:t xml:space="preserve">  Plans—assistance to implement a plan</w:t>
      </w:r>
      <w:bookmarkEnd w:id="28"/>
    </w:p>
    <w:p w:rsidR="006C2572" w:rsidRPr="00754FBB" w:rsidRDefault="006C2572" w:rsidP="006C2572">
      <w:pPr>
        <w:pStyle w:val="subsection"/>
      </w:pPr>
      <w:r w:rsidRPr="00754FBB">
        <w:tab/>
      </w:r>
      <w:r w:rsidRPr="00754FBB">
        <w:tab/>
        <w:t>For the purposes of section </w:t>
      </w:r>
      <w:r w:rsidR="00D62051">
        <w:t>50J</w:t>
      </w:r>
      <w:r w:rsidRPr="00754FBB">
        <w:t xml:space="preserve"> of the Act, the CEO must:</w:t>
      </w:r>
    </w:p>
    <w:p w:rsidR="006C2572" w:rsidRPr="00754FBB" w:rsidRDefault="006C2572" w:rsidP="006C2572">
      <w:pPr>
        <w:pStyle w:val="paragraph"/>
      </w:pPr>
      <w:r w:rsidRPr="00754FBB">
        <w:tab/>
        <w:t>(a)</w:t>
      </w:r>
      <w:r w:rsidRPr="00754FBB">
        <w:tab/>
        <w:t>as soon as reasonably practicable after a participant’s plan comes into effect, offer to hold a plan implementation meeting for the participant; and</w:t>
      </w:r>
    </w:p>
    <w:p w:rsidR="006C2572" w:rsidRPr="00754FBB" w:rsidRDefault="006C2572" w:rsidP="006C2572">
      <w:pPr>
        <w:pStyle w:val="paragraph"/>
      </w:pPr>
      <w:r w:rsidRPr="00754FBB">
        <w:tab/>
        <w:t>(b)</w:t>
      </w:r>
      <w:r w:rsidRPr="00754FBB">
        <w:tab/>
        <w:t>if the participant accepts that offer, seek to hold the plan implementation meeting within 28 days after the day of that acceptance.</w:t>
      </w:r>
    </w:p>
    <w:p w:rsidR="00F3045A" w:rsidRPr="00754FBB" w:rsidRDefault="00F3045A" w:rsidP="006C2572">
      <w:pPr>
        <w:pStyle w:val="notetext"/>
      </w:pPr>
      <w:r w:rsidRPr="00754FBB">
        <w:t>Note 1:</w:t>
      </w:r>
      <w:r w:rsidRPr="00754FBB">
        <w:tab/>
        <w:t xml:space="preserve">For when a participant’s plan comes into effect, see </w:t>
      </w:r>
      <w:r w:rsidR="00D9478F" w:rsidRPr="00754FBB">
        <w:t>subsection 3</w:t>
      </w:r>
      <w:r w:rsidRPr="00754FBB">
        <w:t>7(1) of the Act.</w:t>
      </w:r>
    </w:p>
    <w:p w:rsidR="006C2572" w:rsidRPr="00754FBB" w:rsidRDefault="006C2572" w:rsidP="006C2572">
      <w:pPr>
        <w:pStyle w:val="notetext"/>
      </w:pPr>
      <w:r w:rsidRPr="00754FBB">
        <w:t>Note</w:t>
      </w:r>
      <w:r w:rsidR="00F3045A" w:rsidRPr="00754FBB">
        <w:t xml:space="preserve"> 2</w:t>
      </w:r>
      <w:r w:rsidRPr="00754FBB">
        <w:t>:</w:t>
      </w:r>
      <w:r w:rsidRPr="00754FBB">
        <w:tab/>
        <w:t>A copy of the plan must be provided to the participant within 7 days after the plan comes into effect (see section 38 of the Act).</w:t>
      </w:r>
    </w:p>
    <w:p w:rsidR="00E52758" w:rsidRPr="00754FBB" w:rsidRDefault="00245187" w:rsidP="00E52758">
      <w:pPr>
        <w:pStyle w:val="ActHead5"/>
      </w:pPr>
      <w:bookmarkStart w:id="29" w:name="_Toc80079256"/>
      <w:r w:rsidRPr="00BE0F2B">
        <w:rPr>
          <w:rStyle w:val="CharSectno"/>
        </w:rPr>
        <w:t>10</w:t>
      </w:r>
      <w:r w:rsidR="00E52758" w:rsidRPr="00754FBB">
        <w:t xml:space="preserve">  Plans—reassessments and variations</w:t>
      </w:r>
      <w:bookmarkEnd w:id="29"/>
    </w:p>
    <w:p w:rsidR="00E52758" w:rsidRPr="00754FBB" w:rsidRDefault="00E52758" w:rsidP="00E52758">
      <w:pPr>
        <w:pStyle w:val="SubsectionHead"/>
      </w:pPr>
      <w:r w:rsidRPr="00754FBB">
        <w:t>Period before which a scheduled reassessment must start</w:t>
      </w:r>
    </w:p>
    <w:p w:rsidR="00E52758" w:rsidRPr="00754FBB" w:rsidRDefault="00E52758" w:rsidP="00E52758">
      <w:pPr>
        <w:pStyle w:val="subsection"/>
      </w:pPr>
      <w:r w:rsidRPr="00754FBB">
        <w:tab/>
        <w:t>(1)</w:t>
      </w:r>
      <w:r w:rsidRPr="00754FBB">
        <w:tab/>
        <w:t xml:space="preserve">For the purposes of </w:t>
      </w:r>
      <w:r w:rsidR="0068783C" w:rsidRPr="00754FBB">
        <w:t>subsection 4</w:t>
      </w:r>
      <w:r w:rsidR="00704D5C" w:rsidRPr="00754FBB">
        <w:t>8(</w:t>
      </w:r>
      <w:r w:rsidR="00946F64" w:rsidRPr="00754FBB">
        <w:t>6</w:t>
      </w:r>
      <w:r w:rsidRPr="00754FBB">
        <w:t xml:space="preserve">) of the Act, the period before which a reassessment under </w:t>
      </w:r>
      <w:r w:rsidR="0068783C" w:rsidRPr="00754FBB">
        <w:t>subsection 4</w:t>
      </w:r>
      <w:r w:rsidRPr="00754FBB">
        <w:t>8(</w:t>
      </w:r>
      <w:r w:rsidR="00946F64" w:rsidRPr="00754FBB">
        <w:t>5</w:t>
      </w:r>
      <w:r w:rsidRPr="00754FBB">
        <w:t>) of the Act of a participant’s plan must start is the period of 56 days ending on the plan’s reassessment date.</w:t>
      </w:r>
    </w:p>
    <w:p w:rsidR="00E52758" w:rsidRPr="00754FBB" w:rsidRDefault="00E52758" w:rsidP="00E52758">
      <w:pPr>
        <w:pStyle w:val="SubsectionHead"/>
      </w:pPr>
      <w:r w:rsidRPr="00754FBB">
        <w:t>Period for doing things relating to a CEO</w:t>
      </w:r>
      <w:r w:rsidR="00EF4AD2">
        <w:noBreakHyphen/>
      </w:r>
      <w:r w:rsidRPr="00754FBB">
        <w:t>initiated reassessment</w:t>
      </w:r>
    </w:p>
    <w:p w:rsidR="00E52758" w:rsidRPr="00754FBB" w:rsidRDefault="00E52758" w:rsidP="00E52758">
      <w:pPr>
        <w:pStyle w:val="subsection"/>
      </w:pPr>
      <w:r w:rsidRPr="00754FBB">
        <w:tab/>
        <w:t>(2)</w:t>
      </w:r>
      <w:r w:rsidRPr="00754FBB">
        <w:tab/>
        <w:t xml:space="preserve">For the purposes of </w:t>
      </w:r>
      <w:r w:rsidR="0068783C" w:rsidRPr="00754FBB">
        <w:t>paragraph 4</w:t>
      </w:r>
      <w:r w:rsidRPr="00754FBB">
        <w:t>8(</w:t>
      </w:r>
      <w:r w:rsidR="00946F64" w:rsidRPr="00754FBB">
        <w:t>4</w:t>
      </w:r>
      <w:r w:rsidRPr="00754FBB">
        <w:t>)(a) of the Act, the period for doing the things under paragraphs 48(</w:t>
      </w:r>
      <w:r w:rsidR="0047661B" w:rsidRPr="00754FBB">
        <w:t>3</w:t>
      </w:r>
      <w:r w:rsidRPr="00754FBB">
        <w:t xml:space="preserve">)(a) and (b) of the Act for a reassessment conducted under </w:t>
      </w:r>
      <w:r w:rsidR="0068783C" w:rsidRPr="00754FBB">
        <w:t>subsection 4</w:t>
      </w:r>
      <w:r w:rsidRPr="00754FBB">
        <w:t>8(1) of the Act of a participant’s plan is the period that:</w:t>
      </w:r>
    </w:p>
    <w:p w:rsidR="00E52758" w:rsidRPr="00754FBB" w:rsidRDefault="00E52758" w:rsidP="00704D5C">
      <w:pPr>
        <w:pStyle w:val="paragraph"/>
      </w:pPr>
      <w:r w:rsidRPr="00754FBB">
        <w:tab/>
        <w:t>(a)</w:t>
      </w:r>
      <w:r w:rsidRPr="00754FBB">
        <w:tab/>
        <w:t>starts on the day the CEO decides to conduct the reassessment; and</w:t>
      </w:r>
    </w:p>
    <w:p w:rsidR="00E52758" w:rsidRPr="00754FBB" w:rsidRDefault="00704D5C" w:rsidP="00704D5C">
      <w:pPr>
        <w:pStyle w:val="paragraph"/>
      </w:pPr>
      <w:r w:rsidRPr="00754FBB">
        <w:tab/>
        <w:t>(b)</w:t>
      </w:r>
      <w:r w:rsidRPr="00754FBB">
        <w:tab/>
        <w:t>is 28 days</w:t>
      </w:r>
      <w:r w:rsidR="00E52758" w:rsidRPr="00754FBB">
        <w:t>;</w:t>
      </w:r>
    </w:p>
    <w:p w:rsidR="00E52758" w:rsidRPr="00754FBB" w:rsidRDefault="00E52758" w:rsidP="00E52758">
      <w:pPr>
        <w:pStyle w:val="subsection2"/>
      </w:pPr>
      <w:r w:rsidRPr="00754FBB">
        <w:t xml:space="preserve">unless that period is adjusted under </w:t>
      </w:r>
      <w:r w:rsidR="005C1532" w:rsidRPr="00754FBB">
        <w:t>subsection (</w:t>
      </w:r>
      <w:r w:rsidRPr="00754FBB">
        <w:t>4) of this section.</w:t>
      </w:r>
    </w:p>
    <w:p w:rsidR="00253385" w:rsidRPr="00754FBB" w:rsidRDefault="00253385" w:rsidP="00253385">
      <w:pPr>
        <w:pStyle w:val="SubsectionHead"/>
      </w:pPr>
      <w:r w:rsidRPr="00754FBB">
        <w:t>Period for varying a plan after the CEO decides to do so in response to a participant’s request</w:t>
      </w:r>
    </w:p>
    <w:p w:rsidR="00E52758" w:rsidRPr="00754FBB" w:rsidRDefault="00E52758" w:rsidP="00E52758">
      <w:pPr>
        <w:pStyle w:val="subsection"/>
      </w:pPr>
      <w:r w:rsidRPr="00754FBB">
        <w:tab/>
        <w:t>(3)</w:t>
      </w:r>
      <w:r w:rsidRPr="00754FBB">
        <w:tab/>
        <w:t>For</w:t>
      </w:r>
      <w:r w:rsidR="005548FE" w:rsidRPr="00754FBB">
        <w:t xml:space="preserve"> the purposes of </w:t>
      </w:r>
      <w:r w:rsidR="0068783C" w:rsidRPr="00754FBB">
        <w:t>paragraph 4</w:t>
      </w:r>
      <w:r w:rsidR="005548FE" w:rsidRPr="00754FBB">
        <w:t>7A(8</w:t>
      </w:r>
      <w:r w:rsidRPr="00754FBB">
        <w:t>)(</w:t>
      </w:r>
      <w:r w:rsidR="005548FE" w:rsidRPr="00754FBB">
        <w:t>a</w:t>
      </w:r>
      <w:r w:rsidRPr="00754FBB">
        <w:t xml:space="preserve">) of the Act, the period for </w:t>
      </w:r>
      <w:r w:rsidR="005548FE" w:rsidRPr="00754FBB">
        <w:t xml:space="preserve">varying a plan under </w:t>
      </w:r>
      <w:r w:rsidR="0068783C" w:rsidRPr="00754FBB">
        <w:t>subsection 4</w:t>
      </w:r>
      <w:r w:rsidR="005548FE" w:rsidRPr="00754FBB">
        <w:t xml:space="preserve">7A(1) of the Act </w:t>
      </w:r>
      <w:r w:rsidR="00D361E8" w:rsidRPr="00754FBB">
        <w:t>after</w:t>
      </w:r>
      <w:r w:rsidRPr="00754FBB">
        <w:t xml:space="preserve"> a </w:t>
      </w:r>
      <w:r w:rsidR="005548FE" w:rsidRPr="00754FBB">
        <w:t xml:space="preserve">decision under </w:t>
      </w:r>
      <w:r w:rsidR="0068783C" w:rsidRPr="00754FBB">
        <w:t>paragraph 4</w:t>
      </w:r>
      <w:r w:rsidR="005548FE" w:rsidRPr="00754FBB">
        <w:t>7A(3)(a) of the Act</w:t>
      </w:r>
      <w:r w:rsidR="00D361E8" w:rsidRPr="00754FBB">
        <w:t xml:space="preserve"> in response to a request for variation</w:t>
      </w:r>
      <w:r w:rsidRPr="00754FBB">
        <w:t>:</w:t>
      </w:r>
    </w:p>
    <w:p w:rsidR="00E52758" w:rsidRPr="00754FBB" w:rsidRDefault="00E52758" w:rsidP="00E52758">
      <w:pPr>
        <w:pStyle w:val="paragraph"/>
      </w:pPr>
      <w:r w:rsidRPr="00754FBB">
        <w:tab/>
        <w:t>(a)</w:t>
      </w:r>
      <w:r w:rsidRPr="00754FBB">
        <w:tab/>
        <w:t xml:space="preserve">starts on the day the </w:t>
      </w:r>
      <w:r w:rsidR="005548FE" w:rsidRPr="00754FBB">
        <w:t>decision</w:t>
      </w:r>
      <w:r w:rsidRPr="00754FBB">
        <w:t xml:space="preserve"> is made; and</w:t>
      </w:r>
    </w:p>
    <w:p w:rsidR="00E52758" w:rsidRPr="00754FBB" w:rsidRDefault="00E52758" w:rsidP="00E52758">
      <w:pPr>
        <w:pStyle w:val="paragraph"/>
      </w:pPr>
      <w:r w:rsidRPr="00754FBB">
        <w:tab/>
        <w:t>(b)</w:t>
      </w:r>
      <w:r w:rsidRPr="00754FBB">
        <w:tab/>
        <w:t>is:</w:t>
      </w:r>
    </w:p>
    <w:p w:rsidR="00E52758" w:rsidRPr="00754FBB" w:rsidRDefault="00E52758" w:rsidP="00E52758">
      <w:pPr>
        <w:pStyle w:val="paragraphsub"/>
      </w:pPr>
      <w:r w:rsidRPr="00754FBB">
        <w:tab/>
        <w:t>(i)</w:t>
      </w:r>
      <w:r w:rsidRPr="00754FBB">
        <w:tab/>
        <w:t xml:space="preserve">if the request addresses complex needs or raises complex risks, or relates to </w:t>
      </w:r>
      <w:r w:rsidR="006F4BB6" w:rsidRPr="00754FBB">
        <w:t xml:space="preserve">complex </w:t>
      </w:r>
      <w:r w:rsidRPr="00754FBB">
        <w:t>assistive technology or complex home modifications—50 days; or</w:t>
      </w:r>
    </w:p>
    <w:p w:rsidR="00E52758" w:rsidRPr="00754FBB" w:rsidRDefault="00E52758" w:rsidP="00E52758">
      <w:pPr>
        <w:pStyle w:val="paragraphsub"/>
      </w:pPr>
      <w:r w:rsidRPr="00754FBB">
        <w:tab/>
        <w:t>(ii)</w:t>
      </w:r>
      <w:r w:rsidRPr="00754FBB">
        <w:tab/>
        <w:t>otherwise—28 days;</w:t>
      </w:r>
    </w:p>
    <w:p w:rsidR="00E52758" w:rsidRPr="00754FBB" w:rsidRDefault="00E52758" w:rsidP="00E52758">
      <w:pPr>
        <w:pStyle w:val="subsection2"/>
      </w:pPr>
      <w:r w:rsidRPr="00754FBB">
        <w:t xml:space="preserve">unless that period is adjusted under </w:t>
      </w:r>
      <w:r w:rsidR="005C1532" w:rsidRPr="00754FBB">
        <w:t>subsection (</w:t>
      </w:r>
      <w:r w:rsidRPr="00754FBB">
        <w:t>4) of this section.</w:t>
      </w:r>
    </w:p>
    <w:p w:rsidR="00E52758" w:rsidRPr="00754FBB" w:rsidRDefault="00E52758" w:rsidP="00E52758">
      <w:pPr>
        <w:pStyle w:val="SubsectionHead"/>
      </w:pPr>
      <w:r w:rsidRPr="00754FBB">
        <w:t xml:space="preserve">Periods may be affected if CEO </w:t>
      </w:r>
      <w:r w:rsidR="009E4A8C">
        <w:t>requests</w:t>
      </w:r>
      <w:r w:rsidRPr="00754FBB">
        <w:t xml:space="preserve"> further information etc.</w:t>
      </w:r>
    </w:p>
    <w:p w:rsidR="00E52758" w:rsidRPr="00754FBB" w:rsidRDefault="00E52758" w:rsidP="00E52758">
      <w:pPr>
        <w:pStyle w:val="subsection"/>
      </w:pPr>
      <w:r w:rsidRPr="00754FBB">
        <w:tab/>
        <w:t>(4)</w:t>
      </w:r>
      <w:r w:rsidRPr="00754FBB">
        <w:tab/>
        <w:t xml:space="preserve">The following period (the </w:t>
      </w:r>
      <w:r w:rsidRPr="00754FBB">
        <w:rPr>
          <w:b/>
          <w:i/>
        </w:rPr>
        <w:t>initial period</w:t>
      </w:r>
      <w:r w:rsidRPr="00754FBB">
        <w:t>):</w:t>
      </w:r>
    </w:p>
    <w:p w:rsidR="00E52758" w:rsidRPr="00754FBB" w:rsidRDefault="00E52758" w:rsidP="00E52758">
      <w:pPr>
        <w:pStyle w:val="paragraph"/>
      </w:pPr>
      <w:r w:rsidRPr="00754FBB">
        <w:tab/>
        <w:t>(a)</w:t>
      </w:r>
      <w:r w:rsidRPr="00754FBB">
        <w:tab/>
        <w:t xml:space="preserve">a period applying under </w:t>
      </w:r>
      <w:r w:rsidR="005C1532" w:rsidRPr="00754FBB">
        <w:t>subsection (</w:t>
      </w:r>
      <w:r w:rsidRPr="00754FBB">
        <w:t>2) for a reassessment;</w:t>
      </w:r>
    </w:p>
    <w:p w:rsidR="00E52758" w:rsidRPr="00754FBB" w:rsidRDefault="00E52758" w:rsidP="00E52758">
      <w:pPr>
        <w:pStyle w:val="paragraph"/>
      </w:pPr>
      <w:r w:rsidRPr="00754FBB">
        <w:tab/>
        <w:t>(b)</w:t>
      </w:r>
      <w:r w:rsidRPr="00754FBB">
        <w:tab/>
        <w:t xml:space="preserve">a period applying under </w:t>
      </w:r>
      <w:r w:rsidR="005C1532" w:rsidRPr="00754FBB">
        <w:t>subsection (</w:t>
      </w:r>
      <w:r w:rsidRPr="00754FBB">
        <w:t>3) for a requested variation;</w:t>
      </w:r>
    </w:p>
    <w:p w:rsidR="00E52758" w:rsidRPr="00754FBB" w:rsidRDefault="00E52758" w:rsidP="00E52758">
      <w:pPr>
        <w:pStyle w:val="paragraph"/>
      </w:pPr>
      <w:r w:rsidRPr="00754FBB">
        <w:tab/>
        <w:t>(c)</w:t>
      </w:r>
      <w:r w:rsidRPr="00754FBB">
        <w:tab/>
        <w:t>a period from a previous application of this subsection for such a reassessment or requested variation;</w:t>
      </w:r>
    </w:p>
    <w:p w:rsidR="00E52758" w:rsidRPr="00754FBB" w:rsidRDefault="00E52758" w:rsidP="00E52758">
      <w:pPr>
        <w:pStyle w:val="subsection2"/>
      </w:pPr>
      <w:r w:rsidRPr="00754FBB">
        <w:lastRenderedPageBreak/>
        <w:t>is adjusted as follows if</w:t>
      </w:r>
      <w:r w:rsidR="0038171D" w:rsidRPr="00754FBB">
        <w:t>, on a particular day,</w:t>
      </w:r>
      <w:r w:rsidRPr="00754FBB">
        <w:t xml:space="preserve"> the CEO makes a </w:t>
      </w:r>
      <w:r w:rsidR="007C7335">
        <w:t>request</w:t>
      </w:r>
      <w:r w:rsidRPr="00754FBB">
        <w:t xml:space="preserve"> under subsection 50(2) of the Act relating to the reassessment or variation:</w:t>
      </w:r>
    </w:p>
    <w:p w:rsidR="00E52758" w:rsidRPr="00754FBB" w:rsidRDefault="00E52758" w:rsidP="00E52758">
      <w:pPr>
        <w:pStyle w:val="paragraph"/>
      </w:pPr>
      <w:r w:rsidRPr="00754FBB">
        <w:tab/>
        <w:t>(d)</w:t>
      </w:r>
      <w:r w:rsidRPr="00754FBB">
        <w:tab/>
        <w:t xml:space="preserve">the initial period is paused </w:t>
      </w:r>
      <w:r w:rsidR="00667DC1" w:rsidRPr="00754FBB">
        <w:t xml:space="preserve">at the end of that day until the end of the day (the </w:t>
      </w:r>
      <w:r w:rsidR="00667DC1" w:rsidRPr="00754FBB">
        <w:rPr>
          <w:b/>
          <w:i/>
        </w:rPr>
        <w:t>compliance day</w:t>
      </w:r>
      <w:r w:rsidR="00667DC1" w:rsidRPr="00754FBB">
        <w:t xml:space="preserve">) on which </w:t>
      </w:r>
      <w:r w:rsidRPr="00754FBB">
        <w:t xml:space="preserve">the </w:t>
      </w:r>
      <w:r w:rsidR="007C7335">
        <w:t>request</w:t>
      </w:r>
      <w:r w:rsidRPr="00754FBB">
        <w:t xml:space="preserve"> is complied with;</w:t>
      </w:r>
    </w:p>
    <w:p w:rsidR="00E52758" w:rsidRPr="00754FBB" w:rsidRDefault="00E52758" w:rsidP="00E52758">
      <w:pPr>
        <w:pStyle w:val="paragraph"/>
      </w:pPr>
      <w:r w:rsidRPr="00754FBB">
        <w:tab/>
        <w:t>(e)</w:t>
      </w:r>
      <w:r w:rsidRPr="00754FBB">
        <w:tab/>
        <w:t xml:space="preserve">when the </w:t>
      </w:r>
      <w:r w:rsidR="007C7335">
        <w:t>request</w:t>
      </w:r>
      <w:r w:rsidRPr="00754FBB">
        <w:t xml:space="preserve"> is complied with:</w:t>
      </w:r>
    </w:p>
    <w:p w:rsidR="00E52758" w:rsidRPr="00754FBB" w:rsidRDefault="00E52758" w:rsidP="00E52758">
      <w:pPr>
        <w:pStyle w:val="paragraphsub"/>
      </w:pPr>
      <w:r w:rsidRPr="00754FBB">
        <w:tab/>
        <w:t>(i)</w:t>
      </w:r>
      <w:r w:rsidRPr="00754FBB">
        <w:tab/>
      </w:r>
      <w:r w:rsidR="00D540F2" w:rsidRPr="00754FBB">
        <w:t>the initial period resumes</w:t>
      </w:r>
      <w:r w:rsidR="001F4263" w:rsidRPr="00754FBB">
        <w:t xml:space="preserve"> after the compliance day</w:t>
      </w:r>
      <w:r w:rsidRPr="00754FBB">
        <w:t>; and</w:t>
      </w:r>
    </w:p>
    <w:p w:rsidR="00E52758" w:rsidRPr="00754FBB" w:rsidRDefault="00E52758" w:rsidP="00E52758">
      <w:pPr>
        <w:pStyle w:val="paragraphsub"/>
      </w:pPr>
      <w:r w:rsidRPr="00754FBB">
        <w:tab/>
        <w:t>(ii)</w:t>
      </w:r>
      <w:r w:rsidRPr="00754FBB">
        <w:tab/>
        <w:t>if th</w:t>
      </w:r>
      <w:r w:rsidR="00667DC1" w:rsidRPr="00754FBB">
        <w:t>e compliance day</w:t>
      </w:r>
      <w:r w:rsidRPr="00754FBB">
        <w:t xml:space="preserve"> is later than the 14th day before the end of the initial period—the initial period is extended so that it ends on the 14th day after </w:t>
      </w:r>
      <w:r w:rsidR="00667DC1" w:rsidRPr="00754FBB">
        <w:t>the compliance day</w:t>
      </w:r>
      <w:r w:rsidRPr="00754FBB">
        <w:t>.</w:t>
      </w:r>
    </w:p>
    <w:p w:rsidR="00AF67C0" w:rsidRPr="00754FBB" w:rsidRDefault="00245187" w:rsidP="00FA11AB">
      <w:pPr>
        <w:pStyle w:val="ActHead5"/>
      </w:pPr>
      <w:bookmarkStart w:id="30" w:name="_Toc80079257"/>
      <w:r w:rsidRPr="00BE0F2B">
        <w:rPr>
          <w:rStyle w:val="CharSectno"/>
        </w:rPr>
        <w:t>11</w:t>
      </w:r>
      <w:r w:rsidR="00AF67C0" w:rsidRPr="00754FBB">
        <w:t xml:space="preserve">  </w:t>
      </w:r>
      <w:r w:rsidR="005A3525" w:rsidRPr="00754FBB">
        <w:t>Access and p</w:t>
      </w:r>
      <w:r w:rsidR="00AF67C0" w:rsidRPr="00754FBB">
        <w:t xml:space="preserve">lans—giving effect to </w:t>
      </w:r>
      <w:r w:rsidR="00863FE0" w:rsidRPr="00754FBB">
        <w:t xml:space="preserve">certain </w:t>
      </w:r>
      <w:r w:rsidR="00AF67C0" w:rsidRPr="00754FBB">
        <w:t>AAT decision</w:t>
      </w:r>
      <w:r w:rsidR="00711D18" w:rsidRPr="00754FBB">
        <w:t>s</w:t>
      </w:r>
      <w:bookmarkEnd w:id="30"/>
    </w:p>
    <w:p w:rsidR="00757DFF" w:rsidRPr="00754FBB" w:rsidRDefault="00757DFF" w:rsidP="00757DFF">
      <w:pPr>
        <w:pStyle w:val="SubsectionHead"/>
      </w:pPr>
      <w:r w:rsidRPr="00754FBB">
        <w:t>AAT decision varies or is in substitution for an internal review decision</w:t>
      </w:r>
    </w:p>
    <w:p w:rsidR="00E2145B" w:rsidRPr="00754FBB" w:rsidRDefault="00E2145B" w:rsidP="00E2145B">
      <w:pPr>
        <w:pStyle w:val="subsection"/>
      </w:pPr>
      <w:r w:rsidRPr="00754FBB">
        <w:tab/>
        <w:t>(1)</w:t>
      </w:r>
      <w:r w:rsidRPr="00754FBB">
        <w:tab/>
        <w:t>For the purposes of section </w:t>
      </w:r>
      <w:r w:rsidR="00D62051">
        <w:t>50J</w:t>
      </w:r>
      <w:r w:rsidRPr="00754FBB">
        <w:t xml:space="preserve"> of the Act, if, on the review of a decision </w:t>
      </w:r>
      <w:r w:rsidR="00303C19" w:rsidRPr="00754FBB">
        <w:t xml:space="preserve">made </w:t>
      </w:r>
      <w:r w:rsidRPr="00754FBB">
        <w:t xml:space="preserve">under </w:t>
      </w:r>
      <w:r w:rsidR="00832464" w:rsidRPr="00754FBB">
        <w:t>subsection 1</w:t>
      </w:r>
      <w:r w:rsidRPr="00754FBB">
        <w:t xml:space="preserve">00(6) of the Act (the </w:t>
      </w:r>
      <w:r w:rsidRPr="00754FBB">
        <w:rPr>
          <w:b/>
          <w:i/>
        </w:rPr>
        <w:t>internal review decision</w:t>
      </w:r>
      <w:r w:rsidRPr="00754FBB">
        <w:t>):</w:t>
      </w:r>
    </w:p>
    <w:p w:rsidR="00E2145B" w:rsidRPr="00754FBB" w:rsidRDefault="00E2145B" w:rsidP="00E2145B">
      <w:pPr>
        <w:pStyle w:val="paragraph"/>
      </w:pPr>
      <w:r w:rsidRPr="00754FBB">
        <w:tab/>
        <w:t>(a)</w:t>
      </w:r>
      <w:r w:rsidRPr="00754FBB">
        <w:tab/>
      </w:r>
      <w:r w:rsidR="00863BEB" w:rsidRPr="00754FBB">
        <w:t xml:space="preserve">the Administrative Appeals Tribunal </w:t>
      </w:r>
      <w:r w:rsidRPr="00754FBB">
        <w:t>makes a decision:</w:t>
      </w:r>
    </w:p>
    <w:p w:rsidR="00E2145B" w:rsidRPr="00754FBB" w:rsidRDefault="00E2145B" w:rsidP="00E2145B">
      <w:pPr>
        <w:pStyle w:val="paragraphsub"/>
      </w:pPr>
      <w:r w:rsidRPr="00754FBB">
        <w:tab/>
        <w:t>(i)</w:t>
      </w:r>
      <w:r w:rsidRPr="00754FBB">
        <w:tab/>
        <w:t>varying the internal review decision; or</w:t>
      </w:r>
    </w:p>
    <w:p w:rsidR="00E2145B" w:rsidRPr="00754FBB" w:rsidRDefault="00E2145B" w:rsidP="00E2145B">
      <w:pPr>
        <w:pStyle w:val="paragraphsub"/>
      </w:pPr>
      <w:r w:rsidRPr="00754FBB">
        <w:tab/>
        <w:t>(ii)</w:t>
      </w:r>
      <w:r w:rsidRPr="00754FBB">
        <w:tab/>
        <w:t>in substitution for the internal review decision; and</w:t>
      </w:r>
    </w:p>
    <w:p w:rsidR="00E2145B" w:rsidRPr="00754FBB" w:rsidRDefault="00E2145B" w:rsidP="00E2145B">
      <w:pPr>
        <w:pStyle w:val="paragraph"/>
      </w:pPr>
      <w:r w:rsidRPr="00754FBB">
        <w:tab/>
        <w:t>(b)</w:t>
      </w:r>
      <w:r w:rsidRPr="00754FBB">
        <w:tab/>
        <w:t>the varied decision or substituted decisio</w:t>
      </w:r>
      <w:r w:rsidR="00BC186D" w:rsidRPr="00754FBB">
        <w:t>n (as applicable) is</w:t>
      </w:r>
      <w:r w:rsidRPr="00754FBB">
        <w:t>:</w:t>
      </w:r>
    </w:p>
    <w:p w:rsidR="00A71E22" w:rsidRPr="00754FBB" w:rsidRDefault="00A71E22" w:rsidP="00E2145B">
      <w:pPr>
        <w:pStyle w:val="paragraphsub"/>
      </w:pPr>
      <w:r w:rsidRPr="00754FBB">
        <w:tab/>
        <w:t>(i)</w:t>
      </w:r>
      <w:r w:rsidRPr="00754FBB">
        <w:tab/>
      </w:r>
      <w:r w:rsidR="00BC186D" w:rsidRPr="00754FBB">
        <w:t>an access decision</w:t>
      </w:r>
      <w:r w:rsidRPr="00754FBB">
        <w:t xml:space="preserve"> that a prospective participant meets the access criteria; or</w:t>
      </w:r>
    </w:p>
    <w:p w:rsidR="00E2145B" w:rsidRPr="00754FBB" w:rsidRDefault="00E2145B" w:rsidP="00E2145B">
      <w:pPr>
        <w:pStyle w:val="paragraphsub"/>
      </w:pPr>
      <w:r w:rsidRPr="00754FBB">
        <w:tab/>
        <w:t>(i</w:t>
      </w:r>
      <w:r w:rsidR="00A71E22" w:rsidRPr="00754FBB">
        <w:t>i</w:t>
      </w:r>
      <w:r w:rsidRPr="00754FBB">
        <w:t>)</w:t>
      </w:r>
      <w:r w:rsidRPr="00754FBB">
        <w:tab/>
      </w:r>
      <w:r w:rsidR="00BC186D" w:rsidRPr="00754FBB">
        <w:t xml:space="preserve">a decision </w:t>
      </w:r>
      <w:r w:rsidR="00A71E22" w:rsidRPr="00754FBB">
        <w:t xml:space="preserve">to </w:t>
      </w:r>
      <w:r w:rsidRPr="00754FBB">
        <w:t>approve the statement of participant supports in a participant’s plan under subsection 33(2) of the Act; or</w:t>
      </w:r>
    </w:p>
    <w:p w:rsidR="00E2145B" w:rsidRPr="00754FBB" w:rsidRDefault="00E2145B" w:rsidP="00E2145B">
      <w:pPr>
        <w:pStyle w:val="paragraphsub"/>
      </w:pPr>
      <w:r w:rsidRPr="00754FBB">
        <w:tab/>
        <w:t>(ii</w:t>
      </w:r>
      <w:r w:rsidR="00A71E22" w:rsidRPr="00754FBB">
        <w:t>i</w:t>
      </w:r>
      <w:r w:rsidRPr="00754FBB">
        <w:t>)</w:t>
      </w:r>
      <w:r w:rsidRPr="00754FBB">
        <w:tab/>
      </w:r>
      <w:r w:rsidR="00BC186D" w:rsidRPr="00754FBB">
        <w:t xml:space="preserve">a decision </w:t>
      </w:r>
      <w:r w:rsidR="00A71E22" w:rsidRPr="00754FBB">
        <w:t xml:space="preserve">to </w:t>
      </w:r>
      <w:r w:rsidRPr="00754FBB">
        <w:t>vary a participant’s plan under section 47A of the Act;</w:t>
      </w:r>
    </w:p>
    <w:p w:rsidR="00E2145B" w:rsidRPr="00754FBB" w:rsidRDefault="00E2145B" w:rsidP="00E2145B">
      <w:pPr>
        <w:pStyle w:val="subsection2"/>
      </w:pPr>
      <w:r w:rsidRPr="00754FBB">
        <w:t>the CEO must take measures to give effect to that varied decision or substituted decision (as applicable) within 28 days after the day the CEO is notified of the Tribunal’s decision.</w:t>
      </w:r>
    </w:p>
    <w:p w:rsidR="002D0D4E" w:rsidRPr="00754FBB" w:rsidRDefault="002D0D4E" w:rsidP="002D0D4E">
      <w:pPr>
        <w:pStyle w:val="SubsectionHead"/>
      </w:pPr>
      <w:r w:rsidRPr="00754FBB">
        <w:t>AAT decision remi</w:t>
      </w:r>
      <w:bookmarkStart w:id="31" w:name="BK_S3P9L26C18"/>
      <w:bookmarkEnd w:id="31"/>
      <w:r w:rsidRPr="00754FBB">
        <w:t>ts a matter to the CEO for reconsideration</w:t>
      </w:r>
    </w:p>
    <w:p w:rsidR="00D94585" w:rsidRPr="00754FBB" w:rsidRDefault="00D94585" w:rsidP="00D94585">
      <w:pPr>
        <w:pStyle w:val="subsection"/>
      </w:pPr>
      <w:r w:rsidRPr="00754FBB">
        <w:tab/>
        <w:t>(2)</w:t>
      </w:r>
      <w:r w:rsidRPr="00754FBB">
        <w:tab/>
        <w:t>For the purposes of section </w:t>
      </w:r>
      <w:r w:rsidR="00D62051">
        <w:t>50J</w:t>
      </w:r>
      <w:r w:rsidRPr="00754FBB">
        <w:t xml:space="preserve"> of the Act, if, on the review of a decision </w:t>
      </w:r>
      <w:r w:rsidR="00303C19" w:rsidRPr="00754FBB">
        <w:t xml:space="preserve">made </w:t>
      </w:r>
      <w:r w:rsidRPr="00754FBB">
        <w:t xml:space="preserve">under </w:t>
      </w:r>
      <w:r w:rsidR="00832464" w:rsidRPr="00754FBB">
        <w:t>subsection 1</w:t>
      </w:r>
      <w:r w:rsidRPr="00754FBB">
        <w:t xml:space="preserve">00(6) of the Act (the </w:t>
      </w:r>
      <w:r w:rsidRPr="00754FBB">
        <w:rPr>
          <w:b/>
          <w:i/>
        </w:rPr>
        <w:t>internal review decision</w:t>
      </w:r>
      <w:r w:rsidRPr="00754FBB">
        <w:t>):</w:t>
      </w:r>
    </w:p>
    <w:p w:rsidR="006028AC" w:rsidRPr="00754FBB" w:rsidRDefault="00D94585" w:rsidP="00D94585">
      <w:pPr>
        <w:pStyle w:val="paragraph"/>
      </w:pPr>
      <w:r w:rsidRPr="00754FBB">
        <w:tab/>
        <w:t>(a)</w:t>
      </w:r>
      <w:r w:rsidRPr="00754FBB">
        <w:tab/>
      </w:r>
      <w:r w:rsidR="006028AC" w:rsidRPr="00754FBB">
        <w:t>the Administrative Appeals Tribunal</w:t>
      </w:r>
      <w:r w:rsidR="00863BEB" w:rsidRPr="00754FBB">
        <w:t xml:space="preserve"> </w:t>
      </w:r>
      <w:r w:rsidR="00EA58CD" w:rsidRPr="00754FBB">
        <w:t>makes a decision</w:t>
      </w:r>
      <w:r w:rsidR="006028AC" w:rsidRPr="00754FBB">
        <w:t>:</w:t>
      </w:r>
    </w:p>
    <w:p w:rsidR="00D94585" w:rsidRPr="00754FBB" w:rsidRDefault="006028AC" w:rsidP="006028AC">
      <w:pPr>
        <w:pStyle w:val="paragraphsub"/>
      </w:pPr>
      <w:r w:rsidRPr="00754FBB">
        <w:tab/>
        <w:t>(i)</w:t>
      </w:r>
      <w:r w:rsidRPr="00754FBB">
        <w:tab/>
      </w:r>
      <w:r w:rsidR="00D94585" w:rsidRPr="00754FBB">
        <w:t>set</w:t>
      </w:r>
      <w:r w:rsidR="009208CB" w:rsidRPr="00754FBB">
        <w:t>ting</w:t>
      </w:r>
      <w:r w:rsidR="00D94585" w:rsidRPr="00754FBB">
        <w:t xml:space="preserve"> aside the internal review decision; and</w:t>
      </w:r>
    </w:p>
    <w:p w:rsidR="00D94585" w:rsidRPr="00754FBB" w:rsidRDefault="00D94585" w:rsidP="006028AC">
      <w:pPr>
        <w:pStyle w:val="paragraphsub"/>
      </w:pPr>
      <w:r w:rsidRPr="00754FBB">
        <w:tab/>
        <w:t>(</w:t>
      </w:r>
      <w:r w:rsidR="006028AC" w:rsidRPr="00754FBB">
        <w:t>ii</w:t>
      </w:r>
      <w:r w:rsidRPr="00754FBB">
        <w:t>)</w:t>
      </w:r>
      <w:r w:rsidRPr="00754FBB">
        <w:tab/>
        <w:t>remit</w:t>
      </w:r>
      <w:r w:rsidR="009208CB" w:rsidRPr="00754FBB">
        <w:t>ting</w:t>
      </w:r>
      <w:r w:rsidRPr="00754FBB">
        <w:t xml:space="preserve"> the matter for reconsideration </w:t>
      </w:r>
      <w:r w:rsidR="002569E8" w:rsidRPr="00754FBB">
        <w:t xml:space="preserve">by the CEO </w:t>
      </w:r>
      <w:r w:rsidRPr="00754FBB">
        <w:t>in accordance with any directions or recommendations of the Tribunal; and</w:t>
      </w:r>
    </w:p>
    <w:p w:rsidR="00D94585" w:rsidRPr="00754FBB" w:rsidRDefault="00D94585" w:rsidP="00D94585">
      <w:pPr>
        <w:pStyle w:val="paragraph"/>
      </w:pPr>
      <w:r w:rsidRPr="00754FBB">
        <w:tab/>
      </w:r>
      <w:r w:rsidR="00FA4FAC" w:rsidRPr="00754FBB">
        <w:t>(</w:t>
      </w:r>
      <w:r w:rsidR="006028AC" w:rsidRPr="00754FBB">
        <w:t>b</w:t>
      </w:r>
      <w:r w:rsidR="00FA4FAC" w:rsidRPr="00754FBB">
        <w:t>)</w:t>
      </w:r>
      <w:r w:rsidR="00FA4FAC" w:rsidRPr="00754FBB">
        <w:tab/>
        <w:t>the matter is</w:t>
      </w:r>
      <w:r w:rsidRPr="00754FBB">
        <w:t>:</w:t>
      </w:r>
    </w:p>
    <w:p w:rsidR="00A71E22" w:rsidRPr="00754FBB" w:rsidRDefault="00A71E22" w:rsidP="00A71E22">
      <w:pPr>
        <w:pStyle w:val="paragraphsub"/>
      </w:pPr>
      <w:r w:rsidRPr="00754FBB">
        <w:tab/>
        <w:t>(i)</w:t>
      </w:r>
      <w:r w:rsidRPr="00754FBB">
        <w:tab/>
      </w:r>
      <w:r w:rsidR="00FA4FAC" w:rsidRPr="00754FBB">
        <w:t>an access decision</w:t>
      </w:r>
      <w:r w:rsidRPr="00754FBB">
        <w:t>; or</w:t>
      </w:r>
    </w:p>
    <w:p w:rsidR="00D94585" w:rsidRPr="00754FBB" w:rsidRDefault="00D94585" w:rsidP="00D94585">
      <w:pPr>
        <w:pStyle w:val="paragraphsub"/>
      </w:pPr>
      <w:r w:rsidRPr="00754FBB">
        <w:tab/>
        <w:t>(i</w:t>
      </w:r>
      <w:r w:rsidR="00A71E22" w:rsidRPr="00754FBB">
        <w:t>i</w:t>
      </w:r>
      <w:r w:rsidRPr="00754FBB">
        <w:t>)</w:t>
      </w:r>
      <w:r w:rsidRPr="00754FBB">
        <w:tab/>
      </w:r>
      <w:r w:rsidR="00FA4FAC" w:rsidRPr="00754FBB">
        <w:t xml:space="preserve">a decision whether </w:t>
      </w:r>
      <w:r w:rsidR="00A71E22" w:rsidRPr="00754FBB">
        <w:t xml:space="preserve">to </w:t>
      </w:r>
      <w:r w:rsidRPr="00754FBB">
        <w:t>approve the statement of participant supports in a participant’s plan under subsection 33(2) of the Act; or</w:t>
      </w:r>
    </w:p>
    <w:p w:rsidR="00D94585" w:rsidRPr="00754FBB" w:rsidRDefault="00D94585" w:rsidP="00D94585">
      <w:pPr>
        <w:pStyle w:val="paragraphsub"/>
      </w:pPr>
      <w:r w:rsidRPr="00754FBB">
        <w:tab/>
        <w:t>(ii</w:t>
      </w:r>
      <w:r w:rsidR="00A71E22" w:rsidRPr="00754FBB">
        <w:t>i</w:t>
      </w:r>
      <w:r w:rsidRPr="00754FBB">
        <w:t>)</w:t>
      </w:r>
      <w:r w:rsidRPr="00754FBB">
        <w:tab/>
      </w:r>
      <w:r w:rsidR="00FA4FAC" w:rsidRPr="00754FBB">
        <w:t xml:space="preserve">a decision whether </w:t>
      </w:r>
      <w:r w:rsidR="00A71E22" w:rsidRPr="00754FBB">
        <w:t xml:space="preserve">to </w:t>
      </w:r>
      <w:r w:rsidRPr="00754FBB">
        <w:t>vary a participant’s plan under section 47A of the Act;</w:t>
      </w:r>
    </w:p>
    <w:p w:rsidR="00D94585" w:rsidRPr="00754FBB" w:rsidRDefault="00D94585" w:rsidP="00D94585">
      <w:pPr>
        <w:pStyle w:val="subsection2"/>
      </w:pPr>
      <w:r w:rsidRPr="00754FBB">
        <w:t xml:space="preserve">the CEO must take measures to reconsider the matter within 28 days after the day the CEO is notified of the </w:t>
      </w:r>
      <w:r w:rsidR="00303C19" w:rsidRPr="00754FBB">
        <w:t xml:space="preserve">Tribunal’s </w:t>
      </w:r>
      <w:r w:rsidRPr="00754FBB">
        <w:t>remitting of the matter.</w:t>
      </w:r>
    </w:p>
    <w:p w:rsidR="00A6109B" w:rsidRPr="00754FBB" w:rsidRDefault="00A6109B" w:rsidP="007C7335">
      <w:pPr>
        <w:pStyle w:val="subsection"/>
      </w:pPr>
      <w:r w:rsidRPr="00754FBB">
        <w:lastRenderedPageBreak/>
        <w:tab/>
        <w:t>(3)</w:t>
      </w:r>
      <w:r w:rsidRPr="00754FBB">
        <w:tab/>
        <w:t>However, the 28</w:t>
      </w:r>
      <w:r w:rsidR="00EF4AD2">
        <w:noBreakHyphen/>
      </w:r>
      <w:r w:rsidRPr="00754FBB">
        <w:t xml:space="preserve">day period in </w:t>
      </w:r>
      <w:r w:rsidR="005C1532" w:rsidRPr="00754FBB">
        <w:t>subsection (</w:t>
      </w:r>
      <w:r w:rsidR="0044443B" w:rsidRPr="00754FBB">
        <w:t xml:space="preserve">2) </w:t>
      </w:r>
      <w:r w:rsidRPr="00754FBB">
        <w:t>for the CEO to take measures to reconsider the matter</w:t>
      </w:r>
      <w:r w:rsidR="007C7335">
        <w:t xml:space="preserve"> </w:t>
      </w:r>
      <w:r w:rsidRPr="00754FBB">
        <w:t>is subject to any directions or recommendations of the Tribunal given when the Tribunal remits the matte</w:t>
      </w:r>
      <w:r w:rsidR="007C7335">
        <w:t>r.</w:t>
      </w:r>
    </w:p>
    <w:p w:rsidR="00611AAD" w:rsidRPr="00754FBB" w:rsidRDefault="00245187" w:rsidP="00FA11AB">
      <w:pPr>
        <w:pStyle w:val="ActHead5"/>
      </w:pPr>
      <w:bookmarkStart w:id="32" w:name="_Toc80079258"/>
      <w:r w:rsidRPr="00BE0F2B">
        <w:rPr>
          <w:rStyle w:val="CharSectno"/>
        </w:rPr>
        <w:t>12</w:t>
      </w:r>
      <w:r w:rsidR="00FA11AB" w:rsidRPr="00754FBB">
        <w:t xml:space="preserve">  </w:t>
      </w:r>
      <w:r w:rsidR="005A180E" w:rsidRPr="00754FBB">
        <w:t>Periods for c</w:t>
      </w:r>
      <w:r w:rsidR="006331B7" w:rsidRPr="00754FBB">
        <w:t>ancelling a</w:t>
      </w:r>
      <w:r w:rsidR="00FA11AB" w:rsidRPr="00754FBB">
        <w:t>ppointment</w:t>
      </w:r>
      <w:r w:rsidR="006331B7" w:rsidRPr="00754FBB">
        <w:t xml:space="preserve">s </w:t>
      </w:r>
      <w:r w:rsidR="00FA11AB" w:rsidRPr="00754FBB">
        <w:t>of nominees</w:t>
      </w:r>
      <w:bookmarkEnd w:id="32"/>
    </w:p>
    <w:p w:rsidR="00912A7E" w:rsidRPr="00754FBB" w:rsidRDefault="00912A7E" w:rsidP="00912A7E">
      <w:pPr>
        <w:pStyle w:val="subsection"/>
      </w:pPr>
      <w:r w:rsidRPr="00754FBB">
        <w:tab/>
        <w:t>(1)</w:t>
      </w:r>
      <w:r w:rsidRPr="00754FBB">
        <w:tab/>
        <w:t xml:space="preserve">For the purposes of </w:t>
      </w:r>
      <w:r w:rsidR="00D9478F" w:rsidRPr="00754FBB">
        <w:t>paragraph 8</w:t>
      </w:r>
      <w:r w:rsidRPr="00754FBB">
        <w:t xml:space="preserve">9(1)(c) of the Act, the period for cancelling an appointment in response to a request under </w:t>
      </w:r>
      <w:r w:rsidR="00D9478F" w:rsidRPr="00754FBB">
        <w:t>paragraph 8</w:t>
      </w:r>
      <w:r w:rsidRPr="00754FBB">
        <w:t>9(1)(b) of the Act is 14 days after the day the request is made.</w:t>
      </w:r>
    </w:p>
    <w:p w:rsidR="00912A7E" w:rsidRPr="00754FBB" w:rsidRDefault="00912A7E" w:rsidP="00912A7E">
      <w:pPr>
        <w:pStyle w:val="subsection"/>
      </w:pPr>
      <w:r w:rsidRPr="00754FBB">
        <w:tab/>
        <w:t>(2)</w:t>
      </w:r>
      <w:r w:rsidRPr="00754FBB">
        <w:tab/>
        <w:t xml:space="preserve">For the purposes of </w:t>
      </w:r>
      <w:r w:rsidR="00D9478F" w:rsidRPr="00754FBB">
        <w:t>paragraph 8</w:t>
      </w:r>
      <w:r w:rsidRPr="00754FBB">
        <w:t xml:space="preserve">9(3)(c) of the Act, the period for cancelling an appointment in response to the CEO being informed under </w:t>
      </w:r>
      <w:r w:rsidR="00D9478F" w:rsidRPr="00754FBB">
        <w:t>paragraph 8</w:t>
      </w:r>
      <w:r w:rsidRPr="00754FBB">
        <w:t>9(3)(b) of the Act is 14 days after the day the CEO is so informed.</w:t>
      </w:r>
    </w:p>
    <w:p w:rsidR="00D07F2F" w:rsidRPr="00754FBB" w:rsidRDefault="00245187" w:rsidP="003B7323">
      <w:pPr>
        <w:pStyle w:val="ActHead5"/>
      </w:pPr>
      <w:bookmarkStart w:id="33" w:name="_Toc80079259"/>
      <w:r w:rsidRPr="00BE0F2B">
        <w:rPr>
          <w:rStyle w:val="CharSectno"/>
        </w:rPr>
        <w:t>13</w:t>
      </w:r>
      <w:r w:rsidR="00D07F2F" w:rsidRPr="00754FBB">
        <w:t xml:space="preserve">  </w:t>
      </w:r>
      <w:r w:rsidR="004E724B" w:rsidRPr="00754FBB">
        <w:t>R</w:t>
      </w:r>
      <w:r w:rsidR="00320AB9" w:rsidRPr="00754FBB">
        <w:t xml:space="preserve">eviewing </w:t>
      </w:r>
      <w:r w:rsidR="00D07F2F" w:rsidRPr="00754FBB">
        <w:t>decisions</w:t>
      </w:r>
      <w:r w:rsidR="007B6FE8" w:rsidRPr="00754FBB">
        <w:t>—period for giving reasons for a reviewable decision</w:t>
      </w:r>
      <w:bookmarkEnd w:id="33"/>
    </w:p>
    <w:p w:rsidR="00912A7E" w:rsidRPr="00754FBB" w:rsidRDefault="00912A7E" w:rsidP="00912A7E">
      <w:pPr>
        <w:pStyle w:val="subsection"/>
      </w:pPr>
      <w:r w:rsidRPr="00754FBB">
        <w:tab/>
      </w:r>
      <w:r w:rsidRPr="00754FBB">
        <w:tab/>
        <w:t xml:space="preserve">For the purposes of paragraph 100(1C)(a) of the Act, the period </w:t>
      </w:r>
      <w:r w:rsidR="004E2F08" w:rsidRPr="00754FBB">
        <w:t xml:space="preserve">for giving a person reasons in response to a request under </w:t>
      </w:r>
      <w:r w:rsidR="00832464" w:rsidRPr="00754FBB">
        <w:t>subsection 1</w:t>
      </w:r>
      <w:r w:rsidR="004E2F08" w:rsidRPr="00754FBB">
        <w:t xml:space="preserve">00(1B) of the Act </w:t>
      </w:r>
      <w:r w:rsidRPr="00754FBB">
        <w:t>is 28 days after the day the request is made.</w:t>
      </w:r>
    </w:p>
    <w:p w:rsidR="00F23D84" w:rsidRPr="00754FBB" w:rsidRDefault="00245187" w:rsidP="007B6FE8">
      <w:pPr>
        <w:pStyle w:val="ActHead5"/>
      </w:pPr>
      <w:bookmarkStart w:id="34" w:name="_Toc80079260"/>
      <w:r w:rsidRPr="00BE0F2B">
        <w:rPr>
          <w:rStyle w:val="CharSectno"/>
        </w:rPr>
        <w:t>14</w:t>
      </w:r>
      <w:r w:rsidR="007B6FE8" w:rsidRPr="00754FBB">
        <w:t xml:space="preserve">  Reviewing decisions—period </w:t>
      </w:r>
      <w:r w:rsidR="00F23D84" w:rsidRPr="00754FBB">
        <w:t>for reviewing a reviewable decision</w:t>
      </w:r>
      <w:bookmarkEnd w:id="34"/>
    </w:p>
    <w:p w:rsidR="00F23D84" w:rsidRPr="00754FBB" w:rsidRDefault="00F23D84" w:rsidP="00F23D84">
      <w:pPr>
        <w:pStyle w:val="subsection"/>
      </w:pPr>
      <w:r w:rsidRPr="00754FBB">
        <w:tab/>
      </w:r>
      <w:r w:rsidRPr="00754FBB">
        <w:tab/>
        <w:t>For the purposes of paragraph 100(6A)(</w:t>
      </w:r>
      <w:r w:rsidR="00436470" w:rsidRPr="00754FBB">
        <w:t>a</w:t>
      </w:r>
      <w:r w:rsidRPr="00754FBB">
        <w:t xml:space="preserve">) of the Act, the period for </w:t>
      </w:r>
      <w:r w:rsidR="000F13EF" w:rsidRPr="00754FBB">
        <w:t xml:space="preserve">a reviewer to </w:t>
      </w:r>
      <w:r w:rsidRPr="00754FBB">
        <w:t>mak</w:t>
      </w:r>
      <w:r w:rsidR="000F13EF" w:rsidRPr="00754FBB">
        <w:t>e</w:t>
      </w:r>
      <w:r w:rsidRPr="00754FBB">
        <w:t xml:space="preserve"> a decision under subsection 100(6) of the Act </w:t>
      </w:r>
      <w:r w:rsidR="000F13EF" w:rsidRPr="00754FBB">
        <w:t xml:space="preserve">in the course of a review </w:t>
      </w:r>
      <w:r w:rsidRPr="00754FBB">
        <w:t>is 60 days.</w:t>
      </w:r>
    </w:p>
    <w:p w:rsidR="00685513" w:rsidRPr="00754FBB" w:rsidRDefault="000823D6" w:rsidP="00685513">
      <w:pPr>
        <w:pStyle w:val="ActHead2"/>
        <w:pageBreakBefore/>
      </w:pPr>
      <w:bookmarkStart w:id="35" w:name="_Toc80079261"/>
      <w:r w:rsidRPr="00BE0F2B">
        <w:rPr>
          <w:rStyle w:val="CharPartNo"/>
        </w:rPr>
        <w:lastRenderedPageBreak/>
        <w:t>Part 4</w:t>
      </w:r>
      <w:r w:rsidR="00685513" w:rsidRPr="00754FBB">
        <w:t>—</w:t>
      </w:r>
      <w:r w:rsidR="00685513" w:rsidRPr="00BE0F2B">
        <w:rPr>
          <w:rStyle w:val="CharPartText"/>
        </w:rPr>
        <w:t>Reporting</w:t>
      </w:r>
      <w:bookmarkEnd w:id="35"/>
    </w:p>
    <w:p w:rsidR="00685513" w:rsidRPr="00BE0F2B" w:rsidRDefault="00685513" w:rsidP="00685513">
      <w:pPr>
        <w:pStyle w:val="Header"/>
      </w:pPr>
      <w:r w:rsidRPr="00BE0F2B">
        <w:rPr>
          <w:rStyle w:val="CharDivNo"/>
        </w:rPr>
        <w:t xml:space="preserve"> </w:t>
      </w:r>
      <w:r w:rsidRPr="00BE0F2B">
        <w:rPr>
          <w:rStyle w:val="CharDivText"/>
        </w:rPr>
        <w:t xml:space="preserve"> </w:t>
      </w:r>
    </w:p>
    <w:p w:rsidR="00EB2D27" w:rsidRPr="00754FBB" w:rsidRDefault="00245187" w:rsidP="00EB2D27">
      <w:pPr>
        <w:pStyle w:val="ActHead5"/>
      </w:pPr>
      <w:bookmarkStart w:id="36" w:name="_Toc80079262"/>
      <w:r w:rsidRPr="00BE0F2B">
        <w:rPr>
          <w:rStyle w:val="CharSectno"/>
        </w:rPr>
        <w:t>15</w:t>
      </w:r>
      <w:r w:rsidR="00EB2D27" w:rsidRPr="00754FBB">
        <w:t xml:space="preserve">  Matters the Board members must report </w:t>
      </w:r>
      <w:r w:rsidR="00753E82" w:rsidRPr="00754FBB">
        <w:t>quarterly</w:t>
      </w:r>
      <w:bookmarkEnd w:id="36"/>
    </w:p>
    <w:p w:rsidR="00EB2D27" w:rsidRPr="00754FBB" w:rsidRDefault="00EB2D27" w:rsidP="00EB2D27">
      <w:pPr>
        <w:pStyle w:val="subsection"/>
      </w:pPr>
      <w:r w:rsidRPr="00754FBB">
        <w:tab/>
        <w:t>(1)</w:t>
      </w:r>
      <w:r w:rsidRPr="00754FBB">
        <w:tab/>
        <w:t xml:space="preserve">For the purposes of </w:t>
      </w:r>
      <w:r w:rsidR="00832464" w:rsidRPr="00754FBB">
        <w:t>subsection 1</w:t>
      </w:r>
      <w:r w:rsidRPr="00754FBB">
        <w:t xml:space="preserve">74(3) of the Act, the matters about which information must be included in a report under </w:t>
      </w:r>
      <w:r w:rsidR="00832464" w:rsidRPr="00754FBB">
        <w:t>subsection 1</w:t>
      </w:r>
      <w:r w:rsidRPr="00754FBB">
        <w:t>74(1) of the Act for a period include the following:</w:t>
      </w:r>
    </w:p>
    <w:p w:rsidR="00EB2D27" w:rsidRPr="00754FBB" w:rsidRDefault="002B6929" w:rsidP="00EB2D27">
      <w:pPr>
        <w:pStyle w:val="paragraph"/>
      </w:pPr>
      <w:r w:rsidRPr="00754FBB">
        <w:tab/>
        <w:t>(a)</w:t>
      </w:r>
      <w:r w:rsidRPr="00754FBB">
        <w:tab/>
      </w:r>
      <w:r w:rsidR="00EB2D27" w:rsidRPr="00754FBB">
        <w:t xml:space="preserve">activities undertaken or improvements made in the period in relation to each engagement principle, and service standard, set out in section </w:t>
      </w:r>
      <w:r w:rsidR="00245187" w:rsidRPr="00754FBB">
        <w:t>5</w:t>
      </w:r>
      <w:r w:rsidR="00EB2D27" w:rsidRPr="00754FBB">
        <w:t xml:space="preserve"> of this instrument;</w:t>
      </w:r>
    </w:p>
    <w:p w:rsidR="00EB2D27" w:rsidRPr="00754FBB" w:rsidRDefault="002B6929" w:rsidP="00EB2D27">
      <w:pPr>
        <w:pStyle w:val="paragraph"/>
      </w:pPr>
      <w:r w:rsidRPr="00754FBB">
        <w:tab/>
        <w:t>(b)</w:t>
      </w:r>
      <w:r w:rsidRPr="00754FBB">
        <w:tab/>
      </w:r>
      <w:r w:rsidR="00EB2D27" w:rsidRPr="00754FBB">
        <w:t>the average response or decision time against each timeframe that:</w:t>
      </w:r>
    </w:p>
    <w:p w:rsidR="00EB2D27" w:rsidRPr="00754FBB" w:rsidRDefault="00EB2D27" w:rsidP="00EB2D27">
      <w:pPr>
        <w:pStyle w:val="paragraphsub"/>
      </w:pPr>
      <w:r w:rsidRPr="00754FBB">
        <w:tab/>
        <w:t>(i)</w:t>
      </w:r>
      <w:r w:rsidRPr="00754FBB">
        <w:tab/>
        <w:t>applies to the Agency or CEO under the Act or this instrument; and</w:t>
      </w:r>
    </w:p>
    <w:p w:rsidR="00EB2D27" w:rsidRPr="00754FBB" w:rsidRDefault="00EB2D27" w:rsidP="00EB2D27">
      <w:pPr>
        <w:pStyle w:val="paragraphsub"/>
      </w:pPr>
      <w:r w:rsidRPr="00754FBB">
        <w:tab/>
        <w:t>(ii)</w:t>
      </w:r>
      <w:r w:rsidRPr="00754FBB">
        <w:tab/>
        <w:t>ends in the period;</w:t>
      </w:r>
    </w:p>
    <w:p w:rsidR="00EB2D27" w:rsidRPr="00754FBB" w:rsidRDefault="002B6929" w:rsidP="00EB2D27">
      <w:pPr>
        <w:pStyle w:val="paragraph"/>
      </w:pPr>
      <w:r w:rsidRPr="00754FBB">
        <w:tab/>
        <w:t>(c)</w:t>
      </w:r>
      <w:r w:rsidRPr="00754FBB">
        <w:tab/>
      </w:r>
      <w:r w:rsidR="00EB2D27" w:rsidRPr="00754FBB">
        <w:t>for each of those timeframes, the percentage of responses or decisions made after the end of the timeframe;</w:t>
      </w:r>
    </w:p>
    <w:p w:rsidR="00EB2D27" w:rsidRPr="00754FBB" w:rsidRDefault="002B6929" w:rsidP="00EB2D27">
      <w:pPr>
        <w:pStyle w:val="paragraph"/>
      </w:pPr>
      <w:r w:rsidRPr="00754FBB">
        <w:tab/>
        <w:t>(d)</w:t>
      </w:r>
      <w:r w:rsidRPr="00754FBB">
        <w:tab/>
      </w:r>
      <w:r w:rsidR="00EB2D27" w:rsidRPr="00754FBB">
        <w:t xml:space="preserve">the number of each of the following matters that was completed </w:t>
      </w:r>
      <w:r w:rsidR="00374C91" w:rsidRPr="00754FBB">
        <w:t xml:space="preserve">or came into effect </w:t>
      </w:r>
      <w:r w:rsidR="00EB2D27" w:rsidRPr="00754FBB">
        <w:t>in the period, expressed as a proportion of total participants in the period:</w:t>
      </w:r>
    </w:p>
    <w:p w:rsidR="00EB2D27" w:rsidRPr="00754FBB" w:rsidRDefault="00EB2D27" w:rsidP="00EB2D27">
      <w:pPr>
        <w:pStyle w:val="paragraphsub"/>
      </w:pPr>
      <w:r w:rsidRPr="00754FBB">
        <w:tab/>
        <w:t>(i)</w:t>
      </w:r>
      <w:r w:rsidRPr="00754FBB">
        <w:tab/>
        <w:t>access decisions;</w:t>
      </w:r>
    </w:p>
    <w:p w:rsidR="00EB2D27" w:rsidRPr="00754FBB" w:rsidRDefault="00EB2D27" w:rsidP="00EB2D27">
      <w:pPr>
        <w:pStyle w:val="paragraphsub"/>
      </w:pPr>
      <w:r w:rsidRPr="00754FBB">
        <w:tab/>
        <w:t>(ii)</w:t>
      </w:r>
      <w:r w:rsidRPr="00754FBB">
        <w:tab/>
        <w:t xml:space="preserve">reassessments under </w:t>
      </w:r>
      <w:r w:rsidR="0068783C" w:rsidRPr="00754FBB">
        <w:t>subsection 4</w:t>
      </w:r>
      <w:r w:rsidRPr="00754FBB">
        <w:t>8(</w:t>
      </w:r>
      <w:r w:rsidR="00D30CEB" w:rsidRPr="00754FBB">
        <w:t>1</w:t>
      </w:r>
      <w:r w:rsidRPr="00754FBB">
        <w:t>) of the Act;</w:t>
      </w:r>
    </w:p>
    <w:p w:rsidR="00EB2D27" w:rsidRPr="00754FBB" w:rsidRDefault="00EB2D27" w:rsidP="00EB2D27">
      <w:pPr>
        <w:pStyle w:val="paragraphsub"/>
      </w:pPr>
      <w:r w:rsidRPr="00754FBB">
        <w:tab/>
        <w:t>(iii)</w:t>
      </w:r>
      <w:r w:rsidRPr="00754FBB">
        <w:tab/>
        <w:t xml:space="preserve">reassessments under </w:t>
      </w:r>
      <w:r w:rsidR="0068783C" w:rsidRPr="00754FBB">
        <w:t>subsection 4</w:t>
      </w:r>
      <w:r w:rsidRPr="00754FBB">
        <w:t>8(</w:t>
      </w:r>
      <w:r w:rsidR="00D30CEB" w:rsidRPr="00754FBB">
        <w:t>5</w:t>
      </w:r>
      <w:r w:rsidRPr="00754FBB">
        <w:t>) of the Act;</w:t>
      </w:r>
    </w:p>
    <w:p w:rsidR="00D30CEB" w:rsidRPr="00754FBB" w:rsidRDefault="00D30CEB" w:rsidP="00D30CEB">
      <w:pPr>
        <w:pStyle w:val="paragraphsub"/>
      </w:pPr>
      <w:r w:rsidRPr="00754FBB">
        <w:tab/>
        <w:t>(iv)</w:t>
      </w:r>
      <w:r w:rsidRPr="00754FBB">
        <w:tab/>
        <w:t>reassessments under subsection 48(7) of the Act;</w:t>
      </w:r>
    </w:p>
    <w:p w:rsidR="00EB2D27" w:rsidRPr="00754FBB" w:rsidRDefault="00EB2D27" w:rsidP="00EB2D27">
      <w:pPr>
        <w:pStyle w:val="paragraphsub"/>
      </w:pPr>
      <w:r w:rsidRPr="00754FBB">
        <w:tab/>
        <w:t>(v)</w:t>
      </w:r>
      <w:r w:rsidRPr="00754FBB">
        <w:tab/>
        <w:t xml:space="preserve">variations under </w:t>
      </w:r>
      <w:r w:rsidR="0068783C" w:rsidRPr="00754FBB">
        <w:t>subsection 4</w:t>
      </w:r>
      <w:r w:rsidRPr="00754FBB">
        <w:t>7A(1) of the Act;</w:t>
      </w:r>
    </w:p>
    <w:p w:rsidR="00EB2D27" w:rsidRPr="00754FBB" w:rsidRDefault="00EB2D27" w:rsidP="00EB2D27">
      <w:pPr>
        <w:pStyle w:val="paragraphsub"/>
      </w:pPr>
      <w:r w:rsidRPr="00754FBB">
        <w:tab/>
        <w:t>(v</w:t>
      </w:r>
      <w:r w:rsidR="00D30CEB" w:rsidRPr="00754FBB">
        <w:t>i</w:t>
      </w:r>
      <w:r w:rsidRPr="00754FBB">
        <w:t>)</w:t>
      </w:r>
      <w:r w:rsidRPr="00754FBB">
        <w:tab/>
        <w:t>internal reviews under section 100 of the Act;</w:t>
      </w:r>
    </w:p>
    <w:p w:rsidR="00EB2D27" w:rsidRPr="00754FBB" w:rsidRDefault="00EB2D27" w:rsidP="00EB2D27">
      <w:pPr>
        <w:pStyle w:val="paragraphsub"/>
      </w:pPr>
      <w:r w:rsidRPr="00754FBB">
        <w:tab/>
        <w:t>(vi</w:t>
      </w:r>
      <w:r w:rsidR="00D30CEB" w:rsidRPr="00754FBB">
        <w:t>i</w:t>
      </w:r>
      <w:r w:rsidRPr="00754FBB">
        <w:t>)</w:t>
      </w:r>
      <w:r w:rsidRPr="00754FBB">
        <w:tab/>
        <w:t>applications to the Administrative Appeals Tribunal made as described in section 103 of the Act (whether settled before a hearing of the Tribunal or otherwise);</w:t>
      </w:r>
    </w:p>
    <w:p w:rsidR="00C150E2" w:rsidRPr="00754FBB" w:rsidRDefault="00C150E2" w:rsidP="00C150E2">
      <w:pPr>
        <w:pStyle w:val="paragraphsub"/>
      </w:pPr>
      <w:r w:rsidRPr="00754FBB">
        <w:tab/>
        <w:t>(vii</w:t>
      </w:r>
      <w:r w:rsidR="00D30CEB" w:rsidRPr="00754FBB">
        <w:t>i</w:t>
      </w:r>
      <w:r w:rsidRPr="00754FBB">
        <w:t>)</w:t>
      </w:r>
      <w:r w:rsidRPr="00754FBB">
        <w:tab/>
        <w:t>plans that do not have a reassessment date;</w:t>
      </w:r>
    </w:p>
    <w:p w:rsidR="002B6929" w:rsidRPr="00754FBB" w:rsidRDefault="002B6929" w:rsidP="002B6929">
      <w:pPr>
        <w:pStyle w:val="paragraphsub"/>
      </w:pPr>
      <w:r w:rsidRPr="00754FBB">
        <w:tab/>
        <w:t>(i</w:t>
      </w:r>
      <w:r w:rsidR="00D30CEB" w:rsidRPr="00754FBB">
        <w:t>x</w:t>
      </w:r>
      <w:r w:rsidRPr="00754FBB">
        <w:t>)</w:t>
      </w:r>
      <w:r w:rsidRPr="00754FBB">
        <w:tab/>
        <w:t>plans that have a reassessment date;</w:t>
      </w:r>
    </w:p>
    <w:p w:rsidR="002B6929" w:rsidRPr="00754FBB" w:rsidRDefault="002B6929" w:rsidP="002B6929">
      <w:pPr>
        <w:pStyle w:val="paragraph"/>
      </w:pPr>
      <w:r w:rsidRPr="00754FBB">
        <w:tab/>
        <w:t>(e)</w:t>
      </w:r>
      <w:r w:rsidRPr="00754FBB">
        <w:tab/>
        <w:t>for the plans described in subparagraph (d)(</w:t>
      </w:r>
      <w:r w:rsidR="00D30CEB" w:rsidRPr="00754FBB">
        <w:t>ix</w:t>
      </w:r>
      <w:r w:rsidRPr="00754FBB">
        <w:t>)</w:t>
      </w:r>
      <w:r w:rsidR="00D439B8" w:rsidRPr="00754FBB">
        <w:t xml:space="preserve"> that came into effect in the period</w:t>
      </w:r>
      <w:r w:rsidRPr="00754FBB">
        <w:t>—the average plan duration for those plans;</w:t>
      </w:r>
    </w:p>
    <w:p w:rsidR="00EB2D27" w:rsidRPr="00754FBB" w:rsidRDefault="002B6929" w:rsidP="00EB2D27">
      <w:pPr>
        <w:pStyle w:val="paragraph"/>
      </w:pPr>
      <w:r w:rsidRPr="00754FBB">
        <w:tab/>
        <w:t>(f)</w:t>
      </w:r>
      <w:r w:rsidRPr="00754FBB">
        <w:tab/>
      </w:r>
      <w:r w:rsidR="00EB2D27" w:rsidRPr="00754FBB">
        <w:t>for eac</w:t>
      </w:r>
      <w:r w:rsidR="00592A98" w:rsidRPr="00754FBB">
        <w:t xml:space="preserve">h of the matters described in a </w:t>
      </w:r>
      <w:r w:rsidR="00EB2D27" w:rsidRPr="00754FBB">
        <w:t xml:space="preserve">subparagraph of </w:t>
      </w:r>
      <w:r w:rsidR="005C1532" w:rsidRPr="00754FBB">
        <w:t>paragraph (</w:t>
      </w:r>
      <w:r w:rsidR="00EB2D27" w:rsidRPr="00754FBB">
        <w:t>d), the number of those matters that was still outstanding at the end of the period expressed as a proportion of total participants in the period;</w:t>
      </w:r>
    </w:p>
    <w:p w:rsidR="00EB2D27" w:rsidRPr="00754FBB" w:rsidRDefault="002B6929" w:rsidP="00EB2D27">
      <w:pPr>
        <w:pStyle w:val="paragraph"/>
      </w:pPr>
      <w:r w:rsidRPr="00754FBB">
        <w:tab/>
        <w:t>(g)</w:t>
      </w:r>
      <w:r w:rsidRPr="00754FBB">
        <w:tab/>
      </w:r>
      <w:r w:rsidR="00EB2D27" w:rsidRPr="00754FBB">
        <w:t>for:</w:t>
      </w:r>
    </w:p>
    <w:p w:rsidR="00EB2D27" w:rsidRPr="00754FBB" w:rsidRDefault="00EB2D27" w:rsidP="00EB2D27">
      <w:pPr>
        <w:pStyle w:val="paragraphsub"/>
      </w:pPr>
      <w:r w:rsidRPr="00754FBB">
        <w:tab/>
        <w:t>(i)</w:t>
      </w:r>
      <w:r w:rsidRPr="00754FBB">
        <w:tab/>
        <w:t xml:space="preserve">each number of completed matters described in </w:t>
      </w:r>
      <w:r w:rsidR="005C1532" w:rsidRPr="00754FBB">
        <w:t>paragraph (</w:t>
      </w:r>
      <w:r w:rsidRPr="00754FBB">
        <w:t>d); and</w:t>
      </w:r>
    </w:p>
    <w:p w:rsidR="00EB2D27" w:rsidRPr="00754FBB" w:rsidRDefault="00EB2D27" w:rsidP="00EB2D27">
      <w:pPr>
        <w:pStyle w:val="paragraphsub"/>
      </w:pPr>
      <w:r w:rsidRPr="00754FBB">
        <w:tab/>
        <w:t>(ii)</w:t>
      </w:r>
      <w:r w:rsidRPr="00754FBB">
        <w:tab/>
        <w:t xml:space="preserve">each number of outstanding matters described in </w:t>
      </w:r>
      <w:r w:rsidR="005C1532" w:rsidRPr="00754FBB">
        <w:t>paragraph (</w:t>
      </w:r>
      <w:r w:rsidR="002B6929" w:rsidRPr="00754FBB">
        <w:t>f</w:t>
      </w:r>
      <w:r w:rsidRPr="00754FBB">
        <w:t>);</w:t>
      </w:r>
    </w:p>
    <w:p w:rsidR="00EB2D27" w:rsidRPr="00754FBB" w:rsidRDefault="00EB2D27" w:rsidP="00EB2D27">
      <w:pPr>
        <w:pStyle w:val="paragraph"/>
      </w:pPr>
      <w:r w:rsidRPr="00754FBB">
        <w:tab/>
      </w:r>
      <w:r w:rsidRPr="00754FBB">
        <w:tab/>
        <w:t>how that number compared to the Agency’s business</w:t>
      </w:r>
      <w:r w:rsidR="00EF4AD2">
        <w:noBreakHyphen/>
      </w:r>
      <w:r w:rsidRPr="00754FBB">
        <w:t>as</w:t>
      </w:r>
      <w:r w:rsidR="00EF4AD2">
        <w:noBreakHyphen/>
      </w:r>
      <w:r w:rsidRPr="00754FBB">
        <w:t>usual targets and expectations held at the start of the period;</w:t>
      </w:r>
    </w:p>
    <w:p w:rsidR="00EB2D27" w:rsidRPr="00754FBB" w:rsidRDefault="002B6929" w:rsidP="00EB2D27">
      <w:pPr>
        <w:pStyle w:val="paragraph"/>
      </w:pPr>
      <w:r w:rsidRPr="00754FBB">
        <w:tab/>
        <w:t>(h)</w:t>
      </w:r>
      <w:r w:rsidRPr="00754FBB">
        <w:tab/>
      </w:r>
      <w:r w:rsidR="00EB2D27" w:rsidRPr="00754FBB">
        <w:t xml:space="preserve">the strategies and activities proposed by the Agency or CEO (as applicable) to improve the results of the comparisons described in </w:t>
      </w:r>
      <w:r w:rsidR="005C1532" w:rsidRPr="00754FBB">
        <w:t>paragraph (</w:t>
      </w:r>
      <w:r w:rsidRPr="00754FBB">
        <w:t>g</w:t>
      </w:r>
      <w:r w:rsidR="00EB2D27" w:rsidRPr="00754FBB">
        <w:t>).</w:t>
      </w:r>
    </w:p>
    <w:p w:rsidR="00EB2D27" w:rsidRPr="00754FBB" w:rsidRDefault="00EB2D27" w:rsidP="00EB2D27">
      <w:pPr>
        <w:pStyle w:val="subsection"/>
      </w:pPr>
      <w:r w:rsidRPr="00754FBB">
        <w:tab/>
        <w:t>(2)</w:t>
      </w:r>
      <w:r w:rsidRPr="00754FBB">
        <w:tab/>
        <w:t xml:space="preserve">The </w:t>
      </w:r>
      <w:r w:rsidRPr="00754FBB">
        <w:rPr>
          <w:b/>
          <w:i/>
        </w:rPr>
        <w:t>plan duration</w:t>
      </w:r>
      <w:r w:rsidRPr="00754FBB">
        <w:t xml:space="preserve">, for a participant’s plan </w:t>
      </w:r>
      <w:r w:rsidR="008F2278" w:rsidRPr="00754FBB">
        <w:t>that has a plan reassessment date</w:t>
      </w:r>
      <w:r w:rsidRPr="00754FBB">
        <w:t>, is the period:</w:t>
      </w:r>
    </w:p>
    <w:p w:rsidR="00EB2D27" w:rsidRPr="00754FBB" w:rsidRDefault="002B6929" w:rsidP="00EB2D27">
      <w:pPr>
        <w:pStyle w:val="paragraph"/>
      </w:pPr>
      <w:r w:rsidRPr="00754FBB">
        <w:tab/>
        <w:t>(a)</w:t>
      </w:r>
      <w:r w:rsidRPr="00754FBB">
        <w:tab/>
      </w:r>
      <w:r w:rsidR="00EB2D27" w:rsidRPr="00754FBB">
        <w:t>starting on the day the plan comes into effect; and</w:t>
      </w:r>
    </w:p>
    <w:p w:rsidR="00EB2D27" w:rsidRPr="00754FBB" w:rsidRDefault="002B6929" w:rsidP="00EB2D27">
      <w:pPr>
        <w:pStyle w:val="paragraph"/>
      </w:pPr>
      <w:r w:rsidRPr="00754FBB">
        <w:lastRenderedPageBreak/>
        <w:tab/>
        <w:t>(b)</w:t>
      </w:r>
      <w:r w:rsidRPr="00754FBB">
        <w:tab/>
      </w:r>
      <w:r w:rsidR="00EB2D27" w:rsidRPr="00754FBB">
        <w:t>ending on the plan’s reassessment date.</w:t>
      </w:r>
    </w:p>
    <w:p w:rsidR="00EB2D27" w:rsidRPr="00754FBB" w:rsidRDefault="00EB2D27" w:rsidP="00EB2D27">
      <w:pPr>
        <w:pStyle w:val="notetext"/>
      </w:pPr>
      <w:r w:rsidRPr="00754FBB">
        <w:t>Note:</w:t>
      </w:r>
      <w:r w:rsidRPr="00754FBB">
        <w:tab/>
        <w:t>For when a participant’s plan comes into effect, see subsection 37(1) of the Act.</w:t>
      </w:r>
    </w:p>
    <w:p w:rsidR="00685513" w:rsidRPr="00754FBB" w:rsidRDefault="00245187" w:rsidP="00685513">
      <w:pPr>
        <w:pStyle w:val="ActHead5"/>
      </w:pPr>
      <w:bookmarkStart w:id="37" w:name="_Toc80079263"/>
      <w:r w:rsidRPr="00BE0F2B">
        <w:rPr>
          <w:rStyle w:val="CharSectno"/>
        </w:rPr>
        <w:t>16</w:t>
      </w:r>
      <w:r w:rsidR="00685513" w:rsidRPr="00754FBB">
        <w:t xml:space="preserve">  </w:t>
      </w:r>
      <w:r w:rsidR="005A180E" w:rsidRPr="00754FBB">
        <w:t xml:space="preserve">Matters </w:t>
      </w:r>
      <w:r w:rsidR="00753E82" w:rsidRPr="00754FBB">
        <w:t xml:space="preserve">for </w:t>
      </w:r>
      <w:r w:rsidR="00576C69" w:rsidRPr="00754FBB">
        <w:t>the Commonwealth Ombudsman</w:t>
      </w:r>
      <w:r w:rsidR="00753E82" w:rsidRPr="00754FBB">
        <w:t>’s</w:t>
      </w:r>
      <w:r w:rsidR="00EE2572" w:rsidRPr="00754FBB">
        <w:t xml:space="preserve"> report to the Minister</w:t>
      </w:r>
      <w:bookmarkEnd w:id="37"/>
    </w:p>
    <w:p w:rsidR="00425C21" w:rsidRPr="00754FBB" w:rsidRDefault="00425C21" w:rsidP="00425C21">
      <w:pPr>
        <w:pStyle w:val="subsection"/>
      </w:pPr>
      <w:r w:rsidRPr="00754FBB">
        <w:tab/>
      </w:r>
      <w:r w:rsidRPr="00754FBB">
        <w:tab/>
        <w:t>For the purposes of subsection 204A(1) of the Act, the matters for a financial year are as follows:</w:t>
      </w:r>
    </w:p>
    <w:p w:rsidR="002F3ADC" w:rsidRPr="00754FBB" w:rsidRDefault="002F3ADC" w:rsidP="002F3ADC">
      <w:pPr>
        <w:pStyle w:val="paragraph"/>
      </w:pPr>
      <w:r w:rsidRPr="00754FBB">
        <w:tab/>
        <w:t>(a)</w:t>
      </w:r>
      <w:r w:rsidRPr="00754FBB">
        <w:tab/>
        <w:t xml:space="preserve">collective performance in the financial year against one or more of the engagement principles and service standards set out in section </w:t>
      </w:r>
      <w:r w:rsidR="00245187" w:rsidRPr="00754FBB">
        <w:t>5</w:t>
      </w:r>
      <w:r w:rsidRPr="00754FBB">
        <w:t xml:space="preserve"> of this instrument;</w:t>
      </w:r>
    </w:p>
    <w:p w:rsidR="002F3ADC" w:rsidRPr="00754FBB" w:rsidRDefault="002F3ADC" w:rsidP="002F3ADC">
      <w:pPr>
        <w:pStyle w:val="paragraph"/>
      </w:pPr>
      <w:r w:rsidRPr="00754FBB">
        <w:tab/>
        <w:t>(b)</w:t>
      </w:r>
      <w:r w:rsidRPr="00754FBB">
        <w:tab/>
        <w:t>performance against one or more of the timeframes that:</w:t>
      </w:r>
    </w:p>
    <w:p w:rsidR="002F3ADC" w:rsidRPr="00754FBB" w:rsidRDefault="002F3ADC" w:rsidP="002F3ADC">
      <w:pPr>
        <w:pStyle w:val="paragraphsub"/>
      </w:pPr>
      <w:r w:rsidRPr="00754FBB">
        <w:tab/>
        <w:t>(i)</w:t>
      </w:r>
      <w:r w:rsidRPr="00754FBB">
        <w:tab/>
        <w:t>apply to the Agency or CEO under the Act or this instrument; and</w:t>
      </w:r>
    </w:p>
    <w:p w:rsidR="002F3ADC" w:rsidRPr="00754FBB" w:rsidRDefault="006639CB" w:rsidP="002F3ADC">
      <w:pPr>
        <w:pStyle w:val="paragraphsub"/>
      </w:pPr>
      <w:r w:rsidRPr="00754FBB">
        <w:tab/>
        <w:t>(ii)</w:t>
      </w:r>
      <w:r w:rsidRPr="00754FBB">
        <w:tab/>
        <w:t>end</w:t>
      </w:r>
      <w:r w:rsidR="002F3ADC" w:rsidRPr="00754FBB">
        <w:t xml:space="preserve"> in the financial year;</w:t>
      </w:r>
    </w:p>
    <w:p w:rsidR="002F3ADC" w:rsidRPr="00754FBB" w:rsidRDefault="002F3ADC" w:rsidP="002F3ADC">
      <w:pPr>
        <w:pStyle w:val="paragraph"/>
      </w:pPr>
      <w:r w:rsidRPr="00754FBB">
        <w:tab/>
        <w:t>(c)</w:t>
      </w:r>
      <w:r w:rsidRPr="00754FBB">
        <w:tab/>
        <w:t>other matters relating to the experience of participants, or prospective participants, relating to decisions by the Agency or CEO under the Act or this instrument in the financial year.</w:t>
      </w:r>
    </w:p>
    <w:p w:rsidR="0010396E" w:rsidRPr="00754FBB" w:rsidRDefault="00E675A7" w:rsidP="0010396E">
      <w:pPr>
        <w:pStyle w:val="ActHead2"/>
        <w:pageBreakBefore/>
      </w:pPr>
      <w:bookmarkStart w:id="38" w:name="_Toc80079264"/>
      <w:r w:rsidRPr="00BE0F2B">
        <w:rPr>
          <w:rStyle w:val="CharPartNo"/>
        </w:rPr>
        <w:lastRenderedPageBreak/>
        <w:t>Part 5</w:t>
      </w:r>
      <w:r w:rsidR="0010396E" w:rsidRPr="00754FBB">
        <w:t>—</w:t>
      </w:r>
      <w:r w:rsidR="0010396E" w:rsidRPr="00BE0F2B">
        <w:rPr>
          <w:rStyle w:val="CharPartText"/>
        </w:rPr>
        <w:t>Application and transitional provisions</w:t>
      </w:r>
      <w:bookmarkEnd w:id="38"/>
    </w:p>
    <w:p w:rsidR="0010396E" w:rsidRPr="00BE0F2B" w:rsidRDefault="0010396E" w:rsidP="0010396E">
      <w:pPr>
        <w:pStyle w:val="Header"/>
      </w:pPr>
      <w:r w:rsidRPr="00BE0F2B">
        <w:rPr>
          <w:rStyle w:val="CharDivNo"/>
        </w:rPr>
        <w:t xml:space="preserve"> </w:t>
      </w:r>
      <w:r w:rsidRPr="00BE0F2B">
        <w:rPr>
          <w:rStyle w:val="CharDivText"/>
        </w:rPr>
        <w:t xml:space="preserve"> </w:t>
      </w:r>
    </w:p>
    <w:p w:rsidR="0010396E" w:rsidRPr="00754FBB" w:rsidRDefault="00245187" w:rsidP="0010396E">
      <w:pPr>
        <w:pStyle w:val="ActHead5"/>
      </w:pPr>
      <w:bookmarkStart w:id="39" w:name="_Toc80079265"/>
      <w:r w:rsidRPr="00BE0F2B">
        <w:rPr>
          <w:rStyle w:val="CharSectno"/>
        </w:rPr>
        <w:t>17</w:t>
      </w:r>
      <w:r w:rsidR="004556F1" w:rsidRPr="00754FBB">
        <w:t xml:space="preserve">  Applic</w:t>
      </w:r>
      <w:r w:rsidR="0050106D" w:rsidRPr="00754FBB">
        <w:t xml:space="preserve">ation—plans: </w:t>
      </w:r>
      <w:r w:rsidR="009A5B5A" w:rsidRPr="00754FBB">
        <w:t>period before which a scheduled reassessment must start</w:t>
      </w:r>
      <w:bookmarkEnd w:id="39"/>
    </w:p>
    <w:p w:rsidR="005625ED" w:rsidRPr="00754FBB" w:rsidRDefault="00A40F0F" w:rsidP="005625ED">
      <w:pPr>
        <w:pStyle w:val="subsection"/>
      </w:pPr>
      <w:r w:rsidRPr="00754FBB">
        <w:tab/>
      </w:r>
      <w:r w:rsidR="005625ED" w:rsidRPr="00754FBB">
        <w:tab/>
        <w:t xml:space="preserve">Subsection </w:t>
      </w:r>
      <w:r w:rsidR="00245187" w:rsidRPr="00754FBB">
        <w:t>10</w:t>
      </w:r>
      <w:r w:rsidR="005625ED" w:rsidRPr="00754FBB">
        <w:t>(1) applies in relation to a participant’s plan for which the reassessment date is at least 56 days after the day this instrument commences.</w:t>
      </w:r>
    </w:p>
    <w:p w:rsidR="006A7C29" w:rsidRDefault="006A7C29" w:rsidP="00F76735">
      <w:pPr>
        <w:pStyle w:val="notedraft"/>
      </w:pPr>
    </w:p>
    <w:sectPr w:rsidR="006A7C29" w:rsidSect="00243018">
      <w:headerReference w:type="even" r:id="rId20"/>
      <w:headerReference w:type="default" r:id="rId21"/>
      <w:footerReference w:type="even" r:id="rId22"/>
      <w:footerReference w:type="default" r:id="rId23"/>
      <w:headerReference w:type="first" r:id="rId24"/>
      <w:footerReference w:type="first" r:id="rId25"/>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051" w:rsidRDefault="00D62051" w:rsidP="00715914">
      <w:pPr>
        <w:spacing w:line="240" w:lineRule="auto"/>
      </w:pPr>
      <w:r>
        <w:separator/>
      </w:r>
    </w:p>
  </w:endnote>
  <w:endnote w:type="continuationSeparator" w:id="0">
    <w:p w:rsidR="00D62051" w:rsidRDefault="00D62051"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D62051" w:rsidTr="00BC2807">
      <w:tc>
        <w:tcPr>
          <w:tcW w:w="8472" w:type="dxa"/>
        </w:tcPr>
        <w:p w:rsidR="00D62051" w:rsidRDefault="00D62051" w:rsidP="00335BC6">
          <w:pPr>
            <w:jc w:val="right"/>
            <w:rPr>
              <w:sz w:val="18"/>
            </w:rPr>
          </w:pPr>
          <w:r>
            <w:rPr>
              <w:i/>
              <w:noProof/>
              <w:sz w:val="18"/>
              <w:lang w:eastAsia="en-AU"/>
            </w:rPr>
            <mc:AlternateContent>
              <mc:Choice Requires="wps">
                <w:drawing>
                  <wp:anchor distT="0" distB="0" distL="114300" distR="114300" simplePos="0" relativeHeight="251662336" behindDoc="1" locked="1" layoutInCell="1" allowOverlap="1" wp14:anchorId="3F1054C4" wp14:editId="7090AAE8">
                    <wp:simplePos x="863600" y="10083800"/>
                    <wp:positionH relativeFrom="page">
                      <wp:align>center</wp:align>
                    </wp:positionH>
                    <wp:positionV relativeFrom="paragraph">
                      <wp:posOffset>0</wp:posOffset>
                    </wp:positionV>
                    <wp:extent cx="5765800" cy="393700"/>
                    <wp:effectExtent l="0" t="0" r="6350" b="6350"/>
                    <wp:wrapNone/>
                    <wp:docPr id="5" name="Text Box 5" descr="Sec-Foot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1054C4" id="_x0000_t202" coordsize="21600,21600" o:spt="202" path="m,l,21600r21600,l21600,xe">
                    <v:stroke joinstyle="miter"/>
                    <v:path gradientshapeok="t" o:connecttype="rect"/>
                  </v:shapetype>
                  <v:shape id="Text Box 5" o:spid="_x0000_s1028" type="#_x0000_t202" alt="Sec-Footerevenpage" style="position:absolute;left:0;text-align:left;margin-left:0;margin-top:0;width:454pt;height:31pt;z-index:-25165414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" stroked="f" strokeweight=".5pt">
                    <v:textbo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BE0F2B">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BE0F2B">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BE0F2B">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BE0F2B">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BE0F2B">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ED79B6">
            <w:rPr>
              <w:i/>
              <w:sz w:val="18"/>
            </w:rPr>
            <w:t xml:space="preserve"> </w:t>
          </w:r>
        </w:p>
      </w:tc>
    </w:tr>
  </w:tbl>
  <w:p w:rsidR="00D62051" w:rsidRPr="007500C8" w:rsidRDefault="00D62051" w:rsidP="00335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051" w:rsidRDefault="00D62051" w:rsidP="007500C8">
    <w:pPr>
      <w:pStyle w:val="Footer"/>
    </w:pPr>
    <w:r>
      <w:rPr>
        <w:noProof/>
      </w:rPr>
      <mc:AlternateContent>
        <mc:Choice Requires="wps">
          <w:drawing>
            <wp:anchor distT="0" distB="0" distL="114300" distR="114300" simplePos="0" relativeHeight="251660288" behindDoc="1" locked="1" layoutInCell="1" allowOverlap="1" wp14:anchorId="78F97FF6" wp14:editId="16AEFFF9">
              <wp:simplePos x="0" y="0"/>
              <wp:positionH relativeFrom="page">
                <wp:align>center</wp:align>
              </wp:positionH>
              <wp:positionV relativeFrom="paragraph">
                <wp:posOffset>327660</wp:posOffset>
              </wp:positionV>
              <wp:extent cx="5762625" cy="390525"/>
              <wp:effectExtent l="0" t="0" r="9525" b="9525"/>
              <wp:wrapNone/>
              <wp:docPr id="3" name="Text Box 3" descr="Sec-Footerprimary"/>
              <wp:cNvGraphicFramePr/>
              <a:graphic xmlns:a="http://schemas.openxmlformats.org/drawingml/2006/main">
                <a:graphicData uri="http://schemas.microsoft.com/office/word/2010/wordprocessingShape">
                  <wps:wsp>
                    <wps:cNvSpPr txBox="1"/>
                    <wps:spPr>
                      <a:xfrm>
                        <a:off x="0" y="0"/>
                        <a:ext cx="5762625" cy="39052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3524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F97FF6" id="_x0000_t202" coordsize="21600,21600" o:spt="202" path="m,l,21600r21600,l21600,xe">
              <v:stroke joinstyle="miter"/>
              <v:path gradientshapeok="t" o:connecttype="rect"/>
            </v:shapetype>
            <v:shape id="Text Box 3" o:spid="_x0000_s1029" type="#_x0000_t202" alt="Sec-Footerprimary" style="position:absolute;margin-left:0;margin-top:25.8pt;width:453.75pt;height:30.75pt;z-index:-2516561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" stroked="f" strokeweight=".5pt">
              <v:textbo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3524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D62051" w:rsidTr="00BC2807">
      <w:tc>
        <w:tcPr>
          <w:tcW w:w="8472" w:type="dxa"/>
        </w:tcPr>
        <w:p w:rsidR="00D62051" w:rsidRDefault="00D62051" w:rsidP="00BC2807">
          <w:pPr>
            <w:rPr>
              <w:sz w:val="18"/>
            </w:rPr>
          </w:pPr>
          <w:r w:rsidRPr="00ED79B6">
            <w:rPr>
              <w:i/>
              <w:sz w:val="18"/>
            </w:rPr>
            <w:t xml:space="preserve"> </w:t>
          </w:r>
        </w:p>
      </w:tc>
    </w:tr>
  </w:tbl>
  <w:p w:rsidR="00D62051" w:rsidRPr="007500C8" w:rsidRDefault="00D62051" w:rsidP="00750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051" w:rsidRPr="00ED79B6" w:rsidRDefault="00D62051"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051" w:rsidRPr="00E33C1C" w:rsidRDefault="00D62051"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6432" behindDoc="1" locked="1" layoutInCell="1" allowOverlap="1" wp14:anchorId="1A75744A" wp14:editId="26FAF82D">
              <wp:simplePos x="863600" y="10083800"/>
              <wp:positionH relativeFrom="page">
                <wp:align>center</wp:align>
              </wp:positionH>
              <wp:positionV relativeFrom="paragraph">
                <wp:posOffset>0</wp:posOffset>
              </wp:positionV>
              <wp:extent cx="5765800" cy="393700"/>
              <wp:effectExtent l="0" t="0" r="6350" b="6350"/>
              <wp:wrapNone/>
              <wp:docPr id="9" name="Text Box 9" descr="Sec-Foot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75744A" id="_x0000_t202" coordsize="21600,21600" o:spt="202" path="m,l,21600r21600,l21600,xe">
              <v:stroke joinstyle="miter"/>
              <v:path gradientshapeok="t" o:connecttype="rect"/>
            </v:shapetype>
            <v:shape id="Text Box 9" o:spid="_x0000_s1032" type="#_x0000_t202" alt="Sec-Footerevenpage" style="position:absolute;margin-left:0;margin-top:0;width:454pt;height:31pt;z-index:-25165004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" stroked="f" strokeweight=".5pt">
              <v:textbo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BE0F2B">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BE0F2B">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BE0F2B">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BE0F2B">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BE0F2B">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D62051" w:rsidTr="00B33709">
      <w:tc>
        <w:tcPr>
          <w:tcW w:w="709" w:type="dxa"/>
          <w:tcBorders>
            <w:top w:val="nil"/>
            <w:left w:val="nil"/>
            <w:bottom w:val="nil"/>
            <w:right w:val="nil"/>
          </w:tcBorders>
        </w:tcPr>
        <w:p w:rsidR="00D62051" w:rsidRDefault="00D62051" w:rsidP="00BC280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xiv</w:t>
          </w:r>
          <w:r w:rsidRPr="00ED79B6">
            <w:rPr>
              <w:i/>
              <w:sz w:val="18"/>
            </w:rPr>
            <w:fldChar w:fldCharType="end"/>
          </w:r>
        </w:p>
      </w:tc>
      <w:tc>
        <w:tcPr>
          <w:tcW w:w="6379" w:type="dxa"/>
          <w:tcBorders>
            <w:top w:val="nil"/>
            <w:left w:val="nil"/>
            <w:bottom w:val="nil"/>
            <w:right w:val="nil"/>
          </w:tcBorders>
        </w:tcPr>
        <w:p w:rsidR="00D62051" w:rsidRDefault="00D62051" w:rsidP="00BC280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91294">
            <w:rPr>
              <w:i/>
              <w:sz w:val="18"/>
            </w:rPr>
            <w:t>National Disability Insurance Scheme (Participant Service Guarantee) Rules 2021</w:t>
          </w:r>
          <w:r w:rsidRPr="007A1328">
            <w:rPr>
              <w:i/>
              <w:sz w:val="18"/>
            </w:rPr>
            <w:fldChar w:fldCharType="end"/>
          </w:r>
        </w:p>
      </w:tc>
      <w:tc>
        <w:tcPr>
          <w:tcW w:w="1383" w:type="dxa"/>
          <w:tcBorders>
            <w:top w:val="nil"/>
            <w:left w:val="nil"/>
            <w:bottom w:val="nil"/>
            <w:right w:val="nil"/>
          </w:tcBorders>
        </w:tcPr>
        <w:p w:rsidR="00D62051" w:rsidRDefault="00D62051" w:rsidP="00BC2807">
          <w:pPr>
            <w:spacing w:line="0" w:lineRule="atLeast"/>
            <w:jc w:val="right"/>
            <w:rPr>
              <w:sz w:val="18"/>
            </w:rPr>
          </w:pPr>
        </w:p>
      </w:tc>
    </w:tr>
    <w:tr w:rsidR="00D62051"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62051" w:rsidRDefault="00D62051" w:rsidP="00BC2807">
          <w:pPr>
            <w:jc w:val="right"/>
            <w:rPr>
              <w:sz w:val="18"/>
            </w:rPr>
          </w:pPr>
          <w:r w:rsidRPr="00ED79B6">
            <w:rPr>
              <w:i/>
              <w:sz w:val="18"/>
            </w:rPr>
            <w:t xml:space="preserve"> </w:t>
          </w:r>
        </w:p>
      </w:tc>
    </w:tr>
  </w:tbl>
  <w:p w:rsidR="00D62051" w:rsidRPr="00ED79B6" w:rsidRDefault="00D62051" w:rsidP="007500C8">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051" w:rsidRPr="00E33C1C" w:rsidRDefault="00D62051"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4384" behindDoc="1" locked="1" layoutInCell="1" allowOverlap="1" wp14:anchorId="050FA028" wp14:editId="437FCEC9">
              <wp:simplePos x="0" y="0"/>
              <wp:positionH relativeFrom="page">
                <wp:align>center</wp:align>
              </wp:positionH>
              <wp:positionV relativeFrom="paragraph">
                <wp:posOffset>518160</wp:posOffset>
              </wp:positionV>
              <wp:extent cx="5762625" cy="390525"/>
              <wp:effectExtent l="0" t="0" r="9525" b="9525"/>
              <wp:wrapNone/>
              <wp:docPr id="7" name="Text Box 7" descr="Sec-Footerprimary"/>
              <wp:cNvGraphicFramePr/>
              <a:graphic xmlns:a="http://schemas.openxmlformats.org/drawingml/2006/main">
                <a:graphicData uri="http://schemas.microsoft.com/office/word/2010/wordprocessingShape">
                  <wps:wsp>
                    <wps:cNvSpPr txBox="1"/>
                    <wps:spPr>
                      <a:xfrm>
                        <a:off x="0" y="0"/>
                        <a:ext cx="5762625" cy="39052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3524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0FA028" id="_x0000_t202" coordsize="21600,21600" o:spt="202" path="m,l,21600r21600,l21600,xe">
              <v:stroke joinstyle="miter"/>
              <v:path gradientshapeok="t" o:connecttype="rect"/>
            </v:shapetype>
            <v:shape id="Text Box 7" o:spid="_x0000_s1033" type="#_x0000_t202" alt="Sec-Footerprimary" style="position:absolute;margin-left:0;margin-top:40.8pt;width:453.75pt;height:30.75pt;z-index:-25165209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" stroked="f" strokeweight=".5pt">
              <v:textbo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3524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8472" w:type="dxa"/>
      <w:tblLayout w:type="fixed"/>
      <w:tblLook w:val="04A0" w:firstRow="1" w:lastRow="0" w:firstColumn="1" w:lastColumn="0" w:noHBand="0" w:noVBand="1"/>
    </w:tblPr>
    <w:tblGrid>
      <w:gridCol w:w="1383"/>
      <w:gridCol w:w="6380"/>
      <w:gridCol w:w="709"/>
    </w:tblGrid>
    <w:tr w:rsidR="00D62051" w:rsidTr="00B33709">
      <w:tc>
        <w:tcPr>
          <w:tcW w:w="1383" w:type="dxa"/>
          <w:tcBorders>
            <w:top w:val="nil"/>
            <w:left w:val="nil"/>
            <w:bottom w:val="nil"/>
            <w:right w:val="nil"/>
          </w:tcBorders>
        </w:tcPr>
        <w:p w:rsidR="00D62051" w:rsidRDefault="00D62051" w:rsidP="00BC2807">
          <w:pPr>
            <w:spacing w:line="0" w:lineRule="atLeast"/>
            <w:rPr>
              <w:sz w:val="18"/>
            </w:rPr>
          </w:pPr>
        </w:p>
      </w:tc>
      <w:tc>
        <w:tcPr>
          <w:tcW w:w="6380" w:type="dxa"/>
          <w:tcBorders>
            <w:top w:val="nil"/>
            <w:left w:val="nil"/>
            <w:bottom w:val="nil"/>
            <w:right w:val="nil"/>
          </w:tcBorders>
        </w:tcPr>
        <w:p w:rsidR="00D62051" w:rsidRDefault="00D62051" w:rsidP="00BC280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91294">
            <w:rPr>
              <w:i/>
              <w:sz w:val="18"/>
            </w:rPr>
            <w:t>National Disability Insurance Scheme (Participant Service Guarantee) Rules 2021</w:t>
          </w:r>
          <w:r w:rsidRPr="007A1328">
            <w:rPr>
              <w:i/>
              <w:sz w:val="18"/>
            </w:rPr>
            <w:fldChar w:fldCharType="end"/>
          </w:r>
        </w:p>
      </w:tc>
      <w:tc>
        <w:tcPr>
          <w:tcW w:w="709" w:type="dxa"/>
          <w:tcBorders>
            <w:top w:val="nil"/>
            <w:left w:val="nil"/>
            <w:bottom w:val="nil"/>
            <w:right w:val="nil"/>
          </w:tcBorders>
        </w:tcPr>
        <w:p w:rsidR="00D62051" w:rsidRDefault="00D62051" w:rsidP="00BC280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D62051"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62051" w:rsidRDefault="00D62051" w:rsidP="00BC2807">
          <w:pPr>
            <w:rPr>
              <w:sz w:val="18"/>
            </w:rPr>
          </w:pPr>
          <w:r w:rsidRPr="00ED79B6">
            <w:rPr>
              <w:i/>
              <w:sz w:val="18"/>
            </w:rPr>
            <w:t xml:space="preserve"> </w:t>
          </w:r>
        </w:p>
      </w:tc>
    </w:tr>
  </w:tbl>
  <w:p w:rsidR="00D62051" w:rsidRPr="00ED79B6" w:rsidRDefault="00D62051" w:rsidP="007500C8">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051" w:rsidRPr="00E33C1C" w:rsidRDefault="00D62051"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0528" behindDoc="1" locked="1" layoutInCell="1" allowOverlap="1" wp14:anchorId="2D277F53" wp14:editId="5F4C4DAB">
              <wp:simplePos x="0" y="0"/>
              <wp:positionH relativeFrom="page">
                <wp:align>center</wp:align>
              </wp:positionH>
              <wp:positionV relativeFrom="paragraph">
                <wp:posOffset>518160</wp:posOffset>
              </wp:positionV>
              <wp:extent cx="5765800" cy="393700"/>
              <wp:effectExtent l="0" t="0" r="6350" b="6350"/>
              <wp:wrapNone/>
              <wp:docPr id="13" name="Text Box 13" descr="Sec-Foot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3524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277F53" id="_x0000_t202" coordsize="21600,21600" o:spt="202" path="m,l,21600r21600,l21600,xe">
              <v:stroke joinstyle="miter"/>
              <v:path gradientshapeok="t" o:connecttype="rect"/>
            </v:shapetype>
            <v:shape id="Text Box 13" o:spid="_x0000_s1036" type="#_x0000_t202" alt="Sec-Footerevenpage" style="position:absolute;margin-left:0;margin-top:40.8pt;width:454pt;height:31pt;z-index:-25164595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" stroked="f" strokeweight=".5pt">
              <v:textbo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3524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D62051" w:rsidTr="00B33709">
      <w:tc>
        <w:tcPr>
          <w:tcW w:w="709" w:type="dxa"/>
          <w:tcBorders>
            <w:top w:val="nil"/>
            <w:left w:val="nil"/>
            <w:bottom w:val="nil"/>
            <w:right w:val="nil"/>
          </w:tcBorders>
        </w:tcPr>
        <w:p w:rsidR="00D62051" w:rsidRDefault="00D62051" w:rsidP="00BC280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10</w:t>
          </w:r>
          <w:r w:rsidRPr="00ED79B6">
            <w:rPr>
              <w:i/>
              <w:sz w:val="18"/>
            </w:rPr>
            <w:fldChar w:fldCharType="end"/>
          </w:r>
        </w:p>
      </w:tc>
      <w:tc>
        <w:tcPr>
          <w:tcW w:w="6379" w:type="dxa"/>
          <w:tcBorders>
            <w:top w:val="nil"/>
            <w:left w:val="nil"/>
            <w:bottom w:val="nil"/>
            <w:right w:val="nil"/>
          </w:tcBorders>
        </w:tcPr>
        <w:p w:rsidR="00D62051" w:rsidRDefault="00D62051" w:rsidP="00BC280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91294">
            <w:rPr>
              <w:i/>
              <w:sz w:val="18"/>
            </w:rPr>
            <w:t>National Disability Insurance Scheme (Participant Service Guarantee) Rules 2021</w:t>
          </w:r>
          <w:r w:rsidRPr="007A1328">
            <w:rPr>
              <w:i/>
              <w:sz w:val="18"/>
            </w:rPr>
            <w:fldChar w:fldCharType="end"/>
          </w:r>
        </w:p>
      </w:tc>
      <w:tc>
        <w:tcPr>
          <w:tcW w:w="1383" w:type="dxa"/>
          <w:tcBorders>
            <w:top w:val="nil"/>
            <w:left w:val="nil"/>
            <w:bottom w:val="nil"/>
            <w:right w:val="nil"/>
          </w:tcBorders>
        </w:tcPr>
        <w:p w:rsidR="00D62051" w:rsidRDefault="00D62051" w:rsidP="00BC2807">
          <w:pPr>
            <w:spacing w:line="0" w:lineRule="atLeast"/>
            <w:jc w:val="right"/>
            <w:rPr>
              <w:sz w:val="18"/>
            </w:rPr>
          </w:pPr>
        </w:p>
      </w:tc>
    </w:tr>
    <w:tr w:rsidR="00D62051"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62051" w:rsidRDefault="00D62051" w:rsidP="00BC2807">
          <w:pPr>
            <w:jc w:val="right"/>
            <w:rPr>
              <w:sz w:val="18"/>
            </w:rPr>
          </w:pPr>
          <w:r w:rsidRPr="00ED79B6">
            <w:rPr>
              <w:i/>
              <w:sz w:val="18"/>
            </w:rPr>
            <w:t xml:space="preserve"> </w:t>
          </w:r>
        </w:p>
      </w:tc>
    </w:tr>
  </w:tbl>
  <w:p w:rsidR="00D62051" w:rsidRPr="00ED79B6" w:rsidRDefault="00D62051" w:rsidP="007500C8">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051" w:rsidRPr="00E33C1C" w:rsidRDefault="00D62051"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8480" behindDoc="1" locked="1" layoutInCell="1" allowOverlap="1" wp14:anchorId="37B068AD" wp14:editId="05AC7DFB">
              <wp:simplePos x="0" y="0"/>
              <wp:positionH relativeFrom="page">
                <wp:align>center</wp:align>
              </wp:positionH>
              <wp:positionV relativeFrom="paragraph">
                <wp:posOffset>518160</wp:posOffset>
              </wp:positionV>
              <wp:extent cx="5765800" cy="393700"/>
              <wp:effectExtent l="0" t="0" r="6350" b="6350"/>
              <wp:wrapNone/>
              <wp:docPr id="11" name="Text Box 11" descr="Sec-Footerprimary"/>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3524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B068AD" id="_x0000_t202" coordsize="21600,21600" o:spt="202" path="m,l,21600r21600,l21600,xe">
              <v:stroke joinstyle="miter"/>
              <v:path gradientshapeok="t" o:connecttype="rect"/>
            </v:shapetype>
            <v:shape id="Text Box 11" o:spid="_x0000_s1037" type="#_x0000_t202" alt="Sec-Footerprimary" style="position:absolute;margin-left:0;margin-top:40.8pt;width:454pt;height:31pt;z-index:-25164800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" stroked="f" strokeweight=".5pt">
              <v:textbo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3524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ook w:val="04A0" w:firstRow="1" w:lastRow="0" w:firstColumn="1" w:lastColumn="0" w:noHBand="0" w:noVBand="1"/>
    </w:tblPr>
    <w:tblGrid>
      <w:gridCol w:w="1384"/>
      <w:gridCol w:w="6379"/>
      <w:gridCol w:w="709"/>
    </w:tblGrid>
    <w:tr w:rsidR="00D62051" w:rsidTr="00BC2807">
      <w:tc>
        <w:tcPr>
          <w:tcW w:w="1384" w:type="dxa"/>
          <w:tcBorders>
            <w:top w:val="nil"/>
            <w:left w:val="nil"/>
            <w:bottom w:val="nil"/>
            <w:right w:val="nil"/>
          </w:tcBorders>
        </w:tcPr>
        <w:p w:rsidR="00D62051" w:rsidRDefault="00D62051" w:rsidP="00BC2807">
          <w:pPr>
            <w:spacing w:line="0" w:lineRule="atLeast"/>
            <w:rPr>
              <w:sz w:val="18"/>
            </w:rPr>
          </w:pPr>
        </w:p>
      </w:tc>
      <w:tc>
        <w:tcPr>
          <w:tcW w:w="6379" w:type="dxa"/>
          <w:tcBorders>
            <w:top w:val="nil"/>
            <w:left w:val="nil"/>
            <w:bottom w:val="nil"/>
            <w:right w:val="nil"/>
          </w:tcBorders>
        </w:tcPr>
        <w:p w:rsidR="00D62051" w:rsidRDefault="00D62051" w:rsidP="00BC280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91294">
            <w:rPr>
              <w:i/>
              <w:sz w:val="18"/>
            </w:rPr>
            <w:t>National Disability Insurance Scheme (Participant Service Guarantee) Rules 2021</w:t>
          </w:r>
          <w:r w:rsidRPr="007A1328">
            <w:rPr>
              <w:i/>
              <w:sz w:val="18"/>
            </w:rPr>
            <w:fldChar w:fldCharType="end"/>
          </w:r>
        </w:p>
      </w:tc>
      <w:tc>
        <w:tcPr>
          <w:tcW w:w="709" w:type="dxa"/>
          <w:tcBorders>
            <w:top w:val="nil"/>
            <w:left w:val="nil"/>
            <w:bottom w:val="nil"/>
            <w:right w:val="nil"/>
          </w:tcBorders>
        </w:tcPr>
        <w:p w:rsidR="00D62051" w:rsidRDefault="00D62051" w:rsidP="00BC280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13</w:t>
          </w:r>
          <w:r w:rsidRPr="00ED79B6">
            <w:rPr>
              <w:i/>
              <w:sz w:val="18"/>
            </w:rPr>
            <w:fldChar w:fldCharType="end"/>
          </w:r>
        </w:p>
      </w:tc>
    </w:tr>
    <w:tr w:rsidR="00D62051" w:rsidTr="00BC28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62051" w:rsidRDefault="00D62051" w:rsidP="00BC2807">
          <w:pPr>
            <w:rPr>
              <w:sz w:val="18"/>
            </w:rPr>
          </w:pPr>
          <w:r w:rsidRPr="00ED79B6">
            <w:rPr>
              <w:i/>
              <w:sz w:val="18"/>
            </w:rPr>
            <w:t xml:space="preserve"> </w:t>
          </w:r>
        </w:p>
      </w:tc>
    </w:tr>
  </w:tbl>
  <w:p w:rsidR="00D62051" w:rsidRPr="00ED79B6" w:rsidRDefault="00D62051" w:rsidP="00472DBE">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051" w:rsidRPr="00E33C1C" w:rsidRDefault="00D62051"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D62051" w:rsidTr="00B33709">
      <w:tc>
        <w:tcPr>
          <w:tcW w:w="1384" w:type="dxa"/>
          <w:tcBorders>
            <w:top w:val="nil"/>
            <w:left w:val="nil"/>
            <w:bottom w:val="nil"/>
            <w:right w:val="nil"/>
          </w:tcBorders>
        </w:tcPr>
        <w:p w:rsidR="00D62051" w:rsidRDefault="00D62051" w:rsidP="00BC2807">
          <w:pPr>
            <w:spacing w:line="0" w:lineRule="atLeast"/>
            <w:rPr>
              <w:sz w:val="18"/>
            </w:rPr>
          </w:pPr>
        </w:p>
      </w:tc>
      <w:tc>
        <w:tcPr>
          <w:tcW w:w="6379" w:type="dxa"/>
          <w:tcBorders>
            <w:top w:val="nil"/>
            <w:left w:val="nil"/>
            <w:bottom w:val="nil"/>
            <w:right w:val="nil"/>
          </w:tcBorders>
        </w:tcPr>
        <w:p w:rsidR="00D62051" w:rsidRDefault="00D62051" w:rsidP="00BC280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91294">
            <w:rPr>
              <w:i/>
              <w:sz w:val="18"/>
            </w:rPr>
            <w:t>National Disability Insurance Scheme (Participant Service Guarantee) Rules 2021</w:t>
          </w:r>
          <w:r w:rsidRPr="007A1328">
            <w:rPr>
              <w:i/>
              <w:sz w:val="18"/>
            </w:rPr>
            <w:fldChar w:fldCharType="end"/>
          </w:r>
        </w:p>
      </w:tc>
      <w:tc>
        <w:tcPr>
          <w:tcW w:w="709" w:type="dxa"/>
          <w:tcBorders>
            <w:top w:val="nil"/>
            <w:left w:val="nil"/>
            <w:bottom w:val="nil"/>
            <w:right w:val="nil"/>
          </w:tcBorders>
        </w:tcPr>
        <w:p w:rsidR="00D62051" w:rsidRDefault="00D62051" w:rsidP="00BC280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w:t>
          </w:r>
          <w:r w:rsidRPr="00ED79B6">
            <w:rPr>
              <w:i/>
              <w:sz w:val="18"/>
            </w:rPr>
            <w:fldChar w:fldCharType="end"/>
          </w:r>
        </w:p>
      </w:tc>
    </w:tr>
    <w:tr w:rsidR="00D62051"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62051" w:rsidRDefault="00D62051" w:rsidP="00BC2807">
          <w:pPr>
            <w:rPr>
              <w:sz w:val="18"/>
            </w:rPr>
          </w:pPr>
          <w:r w:rsidRPr="00ED79B6">
            <w:rPr>
              <w:i/>
              <w:sz w:val="18"/>
            </w:rPr>
            <w:t xml:space="preserve"> </w:t>
          </w:r>
        </w:p>
      </w:tc>
    </w:tr>
  </w:tbl>
  <w:p w:rsidR="00D62051" w:rsidRPr="00ED79B6" w:rsidRDefault="00D62051" w:rsidP="007500C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051" w:rsidRDefault="00D62051" w:rsidP="00715914">
      <w:pPr>
        <w:spacing w:line="240" w:lineRule="auto"/>
      </w:pPr>
      <w:r>
        <w:separator/>
      </w:r>
    </w:p>
  </w:footnote>
  <w:footnote w:type="continuationSeparator" w:id="0">
    <w:p w:rsidR="00D62051" w:rsidRDefault="00D62051"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051" w:rsidRPr="005F1388" w:rsidRDefault="00D62051" w:rsidP="00715914">
    <w:pPr>
      <w:pStyle w:val="Header"/>
      <w:tabs>
        <w:tab w:val="clear" w:pos="4150"/>
        <w:tab w:val="clear" w:pos="8307"/>
      </w:tabs>
    </w:pPr>
    <w:r>
      <w:rPr>
        <w:noProof/>
      </w:rPr>
      <mc:AlternateContent>
        <mc:Choice Requires="wps">
          <w:drawing>
            <wp:anchor distT="0" distB="0" distL="114300" distR="114300" simplePos="0" relativeHeight="251661312" behindDoc="1" locked="1" layoutInCell="1" allowOverlap="1" wp14:anchorId="5A7EABB7" wp14:editId="488E5EE0">
              <wp:simplePos x="863600" y="139700"/>
              <wp:positionH relativeFrom="page">
                <wp:align>center</wp:align>
              </wp:positionH>
              <wp:positionV relativeFrom="paragraph">
                <wp:posOffset>0</wp:posOffset>
              </wp:positionV>
              <wp:extent cx="5765800" cy="393700"/>
              <wp:effectExtent l="0" t="0" r="6350" b="6350"/>
              <wp:wrapNone/>
              <wp:docPr id="4" name="Text Box 4" descr="Sec-Head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7EABB7" id="_x0000_t202" coordsize="21600,21600" o:spt="202" path="m,l,21600r21600,l21600,xe">
              <v:stroke joinstyle="miter"/>
              <v:path gradientshapeok="t" o:connecttype="rect"/>
            </v:shapetype>
            <v:shape id="Text Box 4" o:spid="_x0000_s1026" type="#_x0000_t202" alt="Sec-Headerevenpage" style="position:absolute;margin-left:0;margin-top:0;width:454pt;height:31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" stroked="f" strokeweight=".5pt">
              <v:textbo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BE0F2B">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BE0F2B">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BE0F2B">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BE0F2B">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BE0F2B">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051" w:rsidRPr="005F1388" w:rsidRDefault="00D62051" w:rsidP="00715914">
    <w:pPr>
      <w:pStyle w:val="Header"/>
      <w:tabs>
        <w:tab w:val="clear" w:pos="4150"/>
        <w:tab w:val="clear" w:pos="8307"/>
      </w:tabs>
    </w:pPr>
    <w:r>
      <w:rPr>
        <w:noProof/>
      </w:rPr>
      <mc:AlternateContent>
        <mc:Choice Requires="wps">
          <w:drawing>
            <wp:anchor distT="0" distB="0" distL="114300" distR="114300" simplePos="0" relativeHeight="251659264" behindDoc="1" locked="1" layoutInCell="1" allowOverlap="1" wp14:anchorId="18DA9796" wp14:editId="14F611AA">
              <wp:simplePos x="0" y="0"/>
              <wp:positionH relativeFrom="page">
                <wp:align>center</wp:align>
              </wp:positionH>
              <wp:positionV relativeFrom="paragraph">
                <wp:posOffset>-317500</wp:posOffset>
              </wp:positionV>
              <wp:extent cx="5762625" cy="390525"/>
              <wp:effectExtent l="0" t="0" r="9525" b="9525"/>
              <wp:wrapNone/>
              <wp:docPr id="2" name="Text Box 2" descr="Sec-Headerprimary"/>
              <wp:cNvGraphicFramePr/>
              <a:graphic xmlns:a="http://schemas.openxmlformats.org/drawingml/2006/main">
                <a:graphicData uri="http://schemas.microsoft.com/office/word/2010/wordprocessingShape">
                  <wps:wsp>
                    <wps:cNvSpPr txBox="1"/>
                    <wps:spPr>
                      <a:xfrm>
                        <a:off x="0" y="0"/>
                        <a:ext cx="5762625" cy="39052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3524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DA9796" id="_x0000_t202" coordsize="21600,21600" o:spt="202" path="m,l,21600r21600,l21600,xe">
              <v:stroke joinstyle="miter"/>
              <v:path gradientshapeok="t" o:connecttype="rect"/>
            </v:shapetype>
            <v:shape id="Text Box 2" o:spid="_x0000_s1027" type="#_x0000_t202" alt="Sec-Headerprimary" style="position:absolute;margin-left:0;margin-top:-25pt;width:453.75pt;height:30.7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" stroked="f" strokeweight=".5pt">
              <v:textbo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3524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051" w:rsidRPr="005F1388" w:rsidRDefault="00D62051"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051" w:rsidRPr="00ED79B6" w:rsidRDefault="00D62051"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65408" behindDoc="1" locked="1" layoutInCell="1" allowOverlap="1" wp14:anchorId="529EB3D2" wp14:editId="2D655A41">
              <wp:simplePos x="863600" y="139700"/>
              <wp:positionH relativeFrom="page">
                <wp:align>center</wp:align>
              </wp:positionH>
              <wp:positionV relativeFrom="paragraph">
                <wp:posOffset>0</wp:posOffset>
              </wp:positionV>
              <wp:extent cx="5765800" cy="393700"/>
              <wp:effectExtent l="0" t="0" r="6350" b="6350"/>
              <wp:wrapNone/>
              <wp:docPr id="8" name="Text Box 8" descr="Sec-Head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9EB3D2" id="_x0000_t202" coordsize="21600,21600" o:spt="202" path="m,l,21600r21600,l21600,xe">
              <v:stroke joinstyle="miter"/>
              <v:path gradientshapeok="t" o:connecttype="rect"/>
            </v:shapetype>
            <v:shape id="Text Box 8" o:spid="_x0000_s1030" type="#_x0000_t202" alt="Sec-Headerevenpage" style="position:absolute;margin-left:0;margin-top:0;width:454pt;height:31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" stroked="f" strokeweight=".5pt">
              <v:textbo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BE0F2B">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BE0F2B">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BE0F2B">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BE0F2B">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BE0F2B">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051" w:rsidRPr="00ED79B6" w:rsidRDefault="00D62051"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63360" behindDoc="1" locked="1" layoutInCell="1" allowOverlap="1" wp14:anchorId="244436B9" wp14:editId="67F41924">
              <wp:simplePos x="0" y="0"/>
              <wp:positionH relativeFrom="page">
                <wp:align>center</wp:align>
              </wp:positionH>
              <wp:positionV relativeFrom="paragraph">
                <wp:posOffset>-317500</wp:posOffset>
              </wp:positionV>
              <wp:extent cx="5762625" cy="390525"/>
              <wp:effectExtent l="0" t="0" r="9525" b="9525"/>
              <wp:wrapNone/>
              <wp:docPr id="6" name="Text Box 6" descr="Sec-Headerprimary"/>
              <wp:cNvGraphicFramePr/>
              <a:graphic xmlns:a="http://schemas.openxmlformats.org/drawingml/2006/main">
                <a:graphicData uri="http://schemas.microsoft.com/office/word/2010/wordprocessingShape">
                  <wps:wsp>
                    <wps:cNvSpPr txBox="1"/>
                    <wps:spPr>
                      <a:xfrm>
                        <a:off x="0" y="0"/>
                        <a:ext cx="5762625" cy="39052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3524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4436B9" id="_x0000_t202" coordsize="21600,21600" o:spt="202" path="m,l,21600r21600,l21600,xe">
              <v:stroke joinstyle="miter"/>
              <v:path gradientshapeok="t" o:connecttype="rect"/>
            </v:shapetype>
            <v:shape id="Text Box 6" o:spid="_x0000_s1031" type="#_x0000_t202" alt="Sec-Headerprimary" style="position:absolute;margin-left:0;margin-top:-25pt;width:453.75pt;height:30.7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" stroked="f" strokeweight=".5pt">
              <v:textbo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3524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051" w:rsidRPr="00ED79B6" w:rsidRDefault="00D62051"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051" w:rsidRDefault="00D62051" w:rsidP="00715914">
    <w:pPr>
      <w:rPr>
        <w:sz w:val="20"/>
      </w:rPr>
    </w:pPr>
    <w:r>
      <w:rPr>
        <w:b/>
        <w:noProof/>
        <w:sz w:val="20"/>
        <w:lang w:eastAsia="en-AU"/>
      </w:rPr>
      <mc:AlternateContent>
        <mc:Choice Requires="wps">
          <w:drawing>
            <wp:anchor distT="0" distB="0" distL="114300" distR="114300" simplePos="0" relativeHeight="251669504" behindDoc="1" locked="1" layoutInCell="1" allowOverlap="1" wp14:anchorId="4ACEEF36" wp14:editId="7FBBBD09">
              <wp:simplePos x="0" y="0"/>
              <wp:positionH relativeFrom="page">
                <wp:align>center</wp:align>
              </wp:positionH>
              <wp:positionV relativeFrom="paragraph">
                <wp:posOffset>-317500</wp:posOffset>
              </wp:positionV>
              <wp:extent cx="5765800" cy="393700"/>
              <wp:effectExtent l="0" t="0" r="6350" b="6350"/>
              <wp:wrapNone/>
              <wp:docPr id="12" name="Text Box 12" descr="Sec-Head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3524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CEEF36" id="_x0000_t202" coordsize="21600,21600" o:spt="202" path="m,l,21600r21600,l21600,xe">
              <v:stroke joinstyle="miter"/>
              <v:path gradientshapeok="t" o:connecttype="rect"/>
            </v:shapetype>
            <v:shape id="Text Box 12" o:spid="_x0000_s1034" type="#_x0000_t202" alt="Sec-Headerevenpage" style="position:absolute;margin-left:0;margin-top:-25pt;width:454pt;height:31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" stroked="f" strokeweight=".5pt">
              <v:textbo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3524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62051" w:rsidRDefault="00D62051" w:rsidP="00715914">
    <w:pPr>
      <w:rPr>
        <w:sz w:val="20"/>
      </w:rPr>
    </w:pPr>
    <w:r w:rsidRPr="007A1328">
      <w:rPr>
        <w:b/>
        <w:sz w:val="20"/>
      </w:rPr>
      <w:fldChar w:fldCharType="begin"/>
    </w:r>
    <w:r w:rsidRPr="007A1328">
      <w:rPr>
        <w:b/>
        <w:sz w:val="20"/>
      </w:rPr>
      <w:instrText xml:space="preserve"> STYLEREF CharPartNo </w:instrText>
    </w:r>
    <w:r w:rsidR="00D3524F">
      <w:rPr>
        <w:b/>
        <w:sz w:val="20"/>
      </w:rPr>
      <w:fldChar w:fldCharType="separate"/>
    </w:r>
    <w:r w:rsidR="00D3524F">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D3524F">
      <w:rPr>
        <w:sz w:val="20"/>
      </w:rPr>
      <w:fldChar w:fldCharType="separate"/>
    </w:r>
    <w:r w:rsidR="00D3524F">
      <w:rPr>
        <w:noProof/>
        <w:sz w:val="20"/>
      </w:rPr>
      <w:t>Reporting</w:t>
    </w:r>
    <w:r>
      <w:rPr>
        <w:sz w:val="20"/>
      </w:rPr>
      <w:fldChar w:fldCharType="end"/>
    </w:r>
  </w:p>
  <w:p w:rsidR="00D62051" w:rsidRPr="007A1328" w:rsidRDefault="00D62051"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62051" w:rsidRPr="007A1328" w:rsidRDefault="00D62051" w:rsidP="00715914">
    <w:pPr>
      <w:rPr>
        <w:b/>
        <w:sz w:val="24"/>
      </w:rPr>
    </w:pPr>
  </w:p>
  <w:p w:rsidR="00D62051" w:rsidRPr="007A1328" w:rsidRDefault="00D62051"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891294">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3524F">
      <w:rPr>
        <w:noProof/>
        <w:sz w:val="24"/>
      </w:rPr>
      <w:t>16</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051" w:rsidRPr="007A1328" w:rsidRDefault="00D62051" w:rsidP="00715914">
    <w:pPr>
      <w:jc w:val="right"/>
      <w:rPr>
        <w:sz w:val="20"/>
      </w:rPr>
    </w:pPr>
    <w:r>
      <w:rPr>
        <w:noProof/>
        <w:sz w:val="20"/>
        <w:lang w:eastAsia="en-AU"/>
      </w:rPr>
      <mc:AlternateContent>
        <mc:Choice Requires="wps">
          <w:drawing>
            <wp:anchor distT="0" distB="0" distL="114300" distR="114300" simplePos="0" relativeHeight="251667456" behindDoc="1" locked="1" layoutInCell="1" allowOverlap="1" wp14:anchorId="42BD31C9" wp14:editId="6F2BCFBF">
              <wp:simplePos x="0" y="0"/>
              <wp:positionH relativeFrom="page">
                <wp:align>center</wp:align>
              </wp:positionH>
              <wp:positionV relativeFrom="paragraph">
                <wp:posOffset>-317500</wp:posOffset>
              </wp:positionV>
              <wp:extent cx="5765800" cy="393700"/>
              <wp:effectExtent l="0" t="0" r="6350" b="6350"/>
              <wp:wrapNone/>
              <wp:docPr id="10" name="Text Box 10" descr="Sec-Headerprimary"/>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3524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BD31C9" id="_x0000_t202" coordsize="21600,21600" o:spt="202" path="m,l,21600r21600,l21600,xe">
              <v:stroke joinstyle="miter"/>
              <v:path gradientshapeok="t" o:connecttype="rect"/>
            </v:shapetype>
            <v:shape id="Text Box 10" o:spid="_x0000_s1035" type="#_x0000_t202" alt="Sec-Headerprimary" style="position:absolute;left:0;text-align:left;margin-left:0;margin-top:-25pt;width:454pt;height:31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" stroked="f" strokeweight=".5pt">
              <v:textbox>
                <w:txbxContent>
                  <w:p w:rsidR="00D62051" w:rsidRPr="003D46BF" w:rsidRDefault="00D62051" w:rsidP="003D46B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9129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4AD2">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4AD2">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9129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9129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3524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62051" w:rsidRPr="007A1328" w:rsidRDefault="00D62051" w:rsidP="00715914">
    <w:pPr>
      <w:jc w:val="right"/>
      <w:rPr>
        <w:sz w:val="20"/>
      </w:rPr>
    </w:pPr>
    <w:r w:rsidRPr="007A1328">
      <w:rPr>
        <w:sz w:val="20"/>
      </w:rPr>
      <w:fldChar w:fldCharType="begin"/>
    </w:r>
    <w:r w:rsidRPr="007A1328">
      <w:rPr>
        <w:sz w:val="20"/>
      </w:rPr>
      <w:instrText xml:space="preserve"> STYLEREF CharPartText </w:instrText>
    </w:r>
    <w:r w:rsidR="00D3524F">
      <w:rPr>
        <w:sz w:val="20"/>
      </w:rPr>
      <w:fldChar w:fldCharType="separate"/>
    </w:r>
    <w:r w:rsidR="00D3524F">
      <w:rPr>
        <w:noProof/>
        <w:sz w:val="20"/>
      </w:rPr>
      <w:t>Application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3524F">
      <w:rPr>
        <w:b/>
        <w:sz w:val="20"/>
      </w:rPr>
      <w:fldChar w:fldCharType="separate"/>
    </w:r>
    <w:r w:rsidR="00D3524F">
      <w:rPr>
        <w:b/>
        <w:noProof/>
        <w:sz w:val="20"/>
      </w:rPr>
      <w:t>Part 5</w:t>
    </w:r>
    <w:r>
      <w:rPr>
        <w:b/>
        <w:sz w:val="20"/>
      </w:rPr>
      <w:fldChar w:fldCharType="end"/>
    </w:r>
  </w:p>
  <w:p w:rsidR="00D62051" w:rsidRPr="007A1328" w:rsidRDefault="00D62051"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62051" w:rsidRPr="007A1328" w:rsidRDefault="00D62051" w:rsidP="00715914">
    <w:pPr>
      <w:jc w:val="right"/>
      <w:rPr>
        <w:b/>
        <w:sz w:val="24"/>
      </w:rPr>
    </w:pPr>
  </w:p>
  <w:p w:rsidR="00D62051" w:rsidRPr="007A1328" w:rsidRDefault="00D62051"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91294">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3524F">
      <w:rPr>
        <w:noProof/>
        <w:sz w:val="24"/>
      </w:rPr>
      <w:t>17</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051" w:rsidRPr="007A1328" w:rsidRDefault="00D62051"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C3803"/>
    <w:multiLevelType w:val="hybridMultilevel"/>
    <w:tmpl w:val="7B1A201E"/>
    <w:lvl w:ilvl="0" w:tplc="8FBEE28A">
      <w:start w:val="1"/>
      <w:numFmt w:val="decimal"/>
      <w:lvlText w:val="%1."/>
      <w:lvlJc w:val="left"/>
      <w:pPr>
        <w:ind w:left="502" w:hanging="360"/>
      </w:pPr>
      <w:rPr>
        <w:rFonts w:ascii="Arial" w:hAnsi="Arial" w:cs="Arial"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672F5421"/>
    <w:multiLevelType w:val="hybridMultilevel"/>
    <w:tmpl w:val="DBBC6D66"/>
    <w:lvl w:ilvl="0" w:tplc="CE66B666">
      <w:start w:val="11"/>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3"/>
  </w:num>
  <w:num w:numId="14">
    <w:abstractNumId w:val="15"/>
  </w:num>
  <w:num w:numId="15">
    <w:abstractNumId w:val="14"/>
  </w:num>
  <w:num w:numId="16">
    <w:abstractNumId w:val="11"/>
  </w:num>
  <w:num w:numId="17">
    <w:abstractNumId w:val="18"/>
  </w:num>
  <w:num w:numId="18">
    <w:abstractNumId w:val="17"/>
  </w:num>
  <w:num w:numId="19">
    <w:abstractNumId w:val="16"/>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0"/>
  <w:removePersonalInformation/>
  <w:embedTrueTypeFonts/>
  <w:saveSubsetFont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9E0"/>
    <w:rsid w:val="00000627"/>
    <w:rsid w:val="0000384C"/>
    <w:rsid w:val="00003CE5"/>
    <w:rsid w:val="00004470"/>
    <w:rsid w:val="0000461A"/>
    <w:rsid w:val="000136AF"/>
    <w:rsid w:val="0001505A"/>
    <w:rsid w:val="00021568"/>
    <w:rsid w:val="0002174E"/>
    <w:rsid w:val="00025028"/>
    <w:rsid w:val="00030A1C"/>
    <w:rsid w:val="0003137C"/>
    <w:rsid w:val="00031A08"/>
    <w:rsid w:val="00033EAD"/>
    <w:rsid w:val="000340FE"/>
    <w:rsid w:val="000400FD"/>
    <w:rsid w:val="0004272F"/>
    <w:rsid w:val="000437C1"/>
    <w:rsid w:val="0004595A"/>
    <w:rsid w:val="000478C8"/>
    <w:rsid w:val="00050117"/>
    <w:rsid w:val="00050B18"/>
    <w:rsid w:val="0005365D"/>
    <w:rsid w:val="000614BF"/>
    <w:rsid w:val="0006221C"/>
    <w:rsid w:val="00065087"/>
    <w:rsid w:val="0007357C"/>
    <w:rsid w:val="00077133"/>
    <w:rsid w:val="000823D6"/>
    <w:rsid w:val="000944BD"/>
    <w:rsid w:val="0009532C"/>
    <w:rsid w:val="00095550"/>
    <w:rsid w:val="000955E3"/>
    <w:rsid w:val="00095698"/>
    <w:rsid w:val="000A1D59"/>
    <w:rsid w:val="000A33E7"/>
    <w:rsid w:val="000A4CED"/>
    <w:rsid w:val="000B58FA"/>
    <w:rsid w:val="000B7E30"/>
    <w:rsid w:val="000C32C0"/>
    <w:rsid w:val="000C4C23"/>
    <w:rsid w:val="000D05EF"/>
    <w:rsid w:val="000D1741"/>
    <w:rsid w:val="000E2261"/>
    <w:rsid w:val="000F13EF"/>
    <w:rsid w:val="000F17E1"/>
    <w:rsid w:val="000F1ED1"/>
    <w:rsid w:val="000F21C1"/>
    <w:rsid w:val="000F321B"/>
    <w:rsid w:val="000F621F"/>
    <w:rsid w:val="0010396E"/>
    <w:rsid w:val="00104168"/>
    <w:rsid w:val="0010745C"/>
    <w:rsid w:val="00110174"/>
    <w:rsid w:val="0011032F"/>
    <w:rsid w:val="0011173D"/>
    <w:rsid w:val="00115EAB"/>
    <w:rsid w:val="0011691E"/>
    <w:rsid w:val="00123F5A"/>
    <w:rsid w:val="001250C3"/>
    <w:rsid w:val="00126AF1"/>
    <w:rsid w:val="00132CEB"/>
    <w:rsid w:val="00140C43"/>
    <w:rsid w:val="00142B62"/>
    <w:rsid w:val="0014308F"/>
    <w:rsid w:val="0014539C"/>
    <w:rsid w:val="00153893"/>
    <w:rsid w:val="001577A9"/>
    <w:rsid w:val="00157ADC"/>
    <w:rsid w:val="00157B8B"/>
    <w:rsid w:val="0016555B"/>
    <w:rsid w:val="00166C2F"/>
    <w:rsid w:val="00171A8F"/>
    <w:rsid w:val="00171D2E"/>
    <w:rsid w:val="00173156"/>
    <w:rsid w:val="001809D7"/>
    <w:rsid w:val="00183115"/>
    <w:rsid w:val="001939E1"/>
    <w:rsid w:val="00194C3E"/>
    <w:rsid w:val="00195382"/>
    <w:rsid w:val="00196668"/>
    <w:rsid w:val="001A4D84"/>
    <w:rsid w:val="001A4E31"/>
    <w:rsid w:val="001B16BD"/>
    <w:rsid w:val="001C1B50"/>
    <w:rsid w:val="001C37C7"/>
    <w:rsid w:val="001C61C5"/>
    <w:rsid w:val="001C69C4"/>
    <w:rsid w:val="001D0EED"/>
    <w:rsid w:val="001D37EF"/>
    <w:rsid w:val="001D3F02"/>
    <w:rsid w:val="001D6734"/>
    <w:rsid w:val="001E3590"/>
    <w:rsid w:val="001E5547"/>
    <w:rsid w:val="001E7407"/>
    <w:rsid w:val="001F4263"/>
    <w:rsid w:val="001F5D5E"/>
    <w:rsid w:val="001F6219"/>
    <w:rsid w:val="001F6CD4"/>
    <w:rsid w:val="002011AE"/>
    <w:rsid w:val="00206439"/>
    <w:rsid w:val="00206C4D"/>
    <w:rsid w:val="0021053C"/>
    <w:rsid w:val="00210B8B"/>
    <w:rsid w:val="00210F8F"/>
    <w:rsid w:val="00211C32"/>
    <w:rsid w:val="002150FD"/>
    <w:rsid w:val="00215AF1"/>
    <w:rsid w:val="00220E31"/>
    <w:rsid w:val="00222CA7"/>
    <w:rsid w:val="002238A5"/>
    <w:rsid w:val="00226562"/>
    <w:rsid w:val="002321E8"/>
    <w:rsid w:val="00236EEC"/>
    <w:rsid w:val="0024010F"/>
    <w:rsid w:val="0024020B"/>
    <w:rsid w:val="00240749"/>
    <w:rsid w:val="00243018"/>
    <w:rsid w:val="002445AF"/>
    <w:rsid w:val="00245187"/>
    <w:rsid w:val="00253385"/>
    <w:rsid w:val="00255DD0"/>
    <w:rsid w:val="002564A4"/>
    <w:rsid w:val="002569E8"/>
    <w:rsid w:val="0026736C"/>
    <w:rsid w:val="002702A3"/>
    <w:rsid w:val="002720DF"/>
    <w:rsid w:val="00273833"/>
    <w:rsid w:val="00275B31"/>
    <w:rsid w:val="00276602"/>
    <w:rsid w:val="00277B5A"/>
    <w:rsid w:val="00280A49"/>
    <w:rsid w:val="00281308"/>
    <w:rsid w:val="00284719"/>
    <w:rsid w:val="0028526A"/>
    <w:rsid w:val="00285B47"/>
    <w:rsid w:val="00290487"/>
    <w:rsid w:val="002928F2"/>
    <w:rsid w:val="00292DE3"/>
    <w:rsid w:val="00297ECB"/>
    <w:rsid w:val="002A27B6"/>
    <w:rsid w:val="002A2D8C"/>
    <w:rsid w:val="002A3F84"/>
    <w:rsid w:val="002A7BCF"/>
    <w:rsid w:val="002B1BBD"/>
    <w:rsid w:val="002B62B9"/>
    <w:rsid w:val="002B6929"/>
    <w:rsid w:val="002C10F2"/>
    <w:rsid w:val="002C24C3"/>
    <w:rsid w:val="002C4A40"/>
    <w:rsid w:val="002D043A"/>
    <w:rsid w:val="002D0D4E"/>
    <w:rsid w:val="002D127C"/>
    <w:rsid w:val="002D544D"/>
    <w:rsid w:val="002D5E45"/>
    <w:rsid w:val="002D6224"/>
    <w:rsid w:val="002E1510"/>
    <w:rsid w:val="002E3F4B"/>
    <w:rsid w:val="002E557F"/>
    <w:rsid w:val="002F00A3"/>
    <w:rsid w:val="002F3ADC"/>
    <w:rsid w:val="00303C19"/>
    <w:rsid w:val="00304F8B"/>
    <w:rsid w:val="00306B8C"/>
    <w:rsid w:val="003119CD"/>
    <w:rsid w:val="00312E30"/>
    <w:rsid w:val="00320AB9"/>
    <w:rsid w:val="00324BB4"/>
    <w:rsid w:val="00327067"/>
    <w:rsid w:val="0033364D"/>
    <w:rsid w:val="003354D2"/>
    <w:rsid w:val="00335BC6"/>
    <w:rsid w:val="003415D3"/>
    <w:rsid w:val="00341A6E"/>
    <w:rsid w:val="00344701"/>
    <w:rsid w:val="00352B0F"/>
    <w:rsid w:val="00353BC5"/>
    <w:rsid w:val="0035415A"/>
    <w:rsid w:val="00356690"/>
    <w:rsid w:val="00357835"/>
    <w:rsid w:val="00357D4F"/>
    <w:rsid w:val="00360459"/>
    <w:rsid w:val="003616A6"/>
    <w:rsid w:val="00365AE8"/>
    <w:rsid w:val="00374C91"/>
    <w:rsid w:val="0038171D"/>
    <w:rsid w:val="00381EDE"/>
    <w:rsid w:val="00387491"/>
    <w:rsid w:val="00392713"/>
    <w:rsid w:val="00395B2C"/>
    <w:rsid w:val="0039721A"/>
    <w:rsid w:val="003A6812"/>
    <w:rsid w:val="003B247C"/>
    <w:rsid w:val="003B7323"/>
    <w:rsid w:val="003B77A7"/>
    <w:rsid w:val="003C422E"/>
    <w:rsid w:val="003C5DBD"/>
    <w:rsid w:val="003C6231"/>
    <w:rsid w:val="003D03A1"/>
    <w:rsid w:val="003D08D0"/>
    <w:rsid w:val="003D0BFE"/>
    <w:rsid w:val="003D37AC"/>
    <w:rsid w:val="003D46BF"/>
    <w:rsid w:val="003D512B"/>
    <w:rsid w:val="003D5700"/>
    <w:rsid w:val="003D7A31"/>
    <w:rsid w:val="003E0B4B"/>
    <w:rsid w:val="003E341B"/>
    <w:rsid w:val="00401516"/>
    <w:rsid w:val="00401A81"/>
    <w:rsid w:val="00405F43"/>
    <w:rsid w:val="004116CD"/>
    <w:rsid w:val="004144EC"/>
    <w:rsid w:val="00415920"/>
    <w:rsid w:val="00416B1A"/>
    <w:rsid w:val="00417EB9"/>
    <w:rsid w:val="00424CA9"/>
    <w:rsid w:val="00425C21"/>
    <w:rsid w:val="00431E9B"/>
    <w:rsid w:val="00436470"/>
    <w:rsid w:val="004379E3"/>
    <w:rsid w:val="0044015E"/>
    <w:rsid w:val="00441BC4"/>
    <w:rsid w:val="00442644"/>
    <w:rsid w:val="0044285E"/>
    <w:rsid w:val="0044291A"/>
    <w:rsid w:val="0044443B"/>
    <w:rsid w:val="00444ABD"/>
    <w:rsid w:val="004478C9"/>
    <w:rsid w:val="004503BD"/>
    <w:rsid w:val="00450D0E"/>
    <w:rsid w:val="00454600"/>
    <w:rsid w:val="004556F1"/>
    <w:rsid w:val="0045670D"/>
    <w:rsid w:val="00456BC0"/>
    <w:rsid w:val="00461144"/>
    <w:rsid w:val="00461C81"/>
    <w:rsid w:val="00467661"/>
    <w:rsid w:val="00467801"/>
    <w:rsid w:val="004705B7"/>
    <w:rsid w:val="00471C57"/>
    <w:rsid w:val="004724BA"/>
    <w:rsid w:val="00472DBE"/>
    <w:rsid w:val="00474A19"/>
    <w:rsid w:val="00475BCF"/>
    <w:rsid w:val="0047661B"/>
    <w:rsid w:val="00476F22"/>
    <w:rsid w:val="004776F6"/>
    <w:rsid w:val="00493754"/>
    <w:rsid w:val="00494708"/>
    <w:rsid w:val="004949BB"/>
    <w:rsid w:val="00496F97"/>
    <w:rsid w:val="00497C52"/>
    <w:rsid w:val="004A01AE"/>
    <w:rsid w:val="004A3020"/>
    <w:rsid w:val="004B174B"/>
    <w:rsid w:val="004C11B1"/>
    <w:rsid w:val="004C2677"/>
    <w:rsid w:val="004C6AE8"/>
    <w:rsid w:val="004D0194"/>
    <w:rsid w:val="004D3593"/>
    <w:rsid w:val="004E063A"/>
    <w:rsid w:val="004E2F08"/>
    <w:rsid w:val="004E35D5"/>
    <w:rsid w:val="004E467B"/>
    <w:rsid w:val="004E724B"/>
    <w:rsid w:val="004E7BEC"/>
    <w:rsid w:val="004F53FA"/>
    <w:rsid w:val="0050106D"/>
    <w:rsid w:val="00501D9B"/>
    <w:rsid w:val="005049AF"/>
    <w:rsid w:val="00505D3D"/>
    <w:rsid w:val="00506363"/>
    <w:rsid w:val="00506AF6"/>
    <w:rsid w:val="00507EB9"/>
    <w:rsid w:val="00516AAC"/>
    <w:rsid w:val="00516B8D"/>
    <w:rsid w:val="005172C9"/>
    <w:rsid w:val="00517AB0"/>
    <w:rsid w:val="005229B9"/>
    <w:rsid w:val="005310FF"/>
    <w:rsid w:val="005330C0"/>
    <w:rsid w:val="00537FBC"/>
    <w:rsid w:val="00543DB9"/>
    <w:rsid w:val="0054760D"/>
    <w:rsid w:val="00551A94"/>
    <w:rsid w:val="00551B38"/>
    <w:rsid w:val="005540F8"/>
    <w:rsid w:val="005548FE"/>
    <w:rsid w:val="00554954"/>
    <w:rsid w:val="005574D1"/>
    <w:rsid w:val="00557C1A"/>
    <w:rsid w:val="005625ED"/>
    <w:rsid w:val="005664C7"/>
    <w:rsid w:val="00575D93"/>
    <w:rsid w:val="00576C69"/>
    <w:rsid w:val="00577224"/>
    <w:rsid w:val="00584129"/>
    <w:rsid w:val="00584811"/>
    <w:rsid w:val="00585784"/>
    <w:rsid w:val="005864B1"/>
    <w:rsid w:val="00592A98"/>
    <w:rsid w:val="00593AA6"/>
    <w:rsid w:val="00594161"/>
    <w:rsid w:val="00594749"/>
    <w:rsid w:val="00597116"/>
    <w:rsid w:val="005A180E"/>
    <w:rsid w:val="005A3525"/>
    <w:rsid w:val="005A5978"/>
    <w:rsid w:val="005A6BAE"/>
    <w:rsid w:val="005B4067"/>
    <w:rsid w:val="005B6369"/>
    <w:rsid w:val="005C0CFD"/>
    <w:rsid w:val="005C1532"/>
    <w:rsid w:val="005C1752"/>
    <w:rsid w:val="005C3F41"/>
    <w:rsid w:val="005D0DEA"/>
    <w:rsid w:val="005D13A2"/>
    <w:rsid w:val="005D1E4A"/>
    <w:rsid w:val="005D2394"/>
    <w:rsid w:val="005D2D09"/>
    <w:rsid w:val="005D6558"/>
    <w:rsid w:val="005E0A0E"/>
    <w:rsid w:val="005E38C6"/>
    <w:rsid w:val="005E3ABD"/>
    <w:rsid w:val="005E5CA5"/>
    <w:rsid w:val="00600219"/>
    <w:rsid w:val="006006FC"/>
    <w:rsid w:val="006028AC"/>
    <w:rsid w:val="00603A45"/>
    <w:rsid w:val="00603DC4"/>
    <w:rsid w:val="00607BB5"/>
    <w:rsid w:val="00611555"/>
    <w:rsid w:val="00611AAD"/>
    <w:rsid w:val="00614E79"/>
    <w:rsid w:val="006150EE"/>
    <w:rsid w:val="00617723"/>
    <w:rsid w:val="00617A0E"/>
    <w:rsid w:val="00620076"/>
    <w:rsid w:val="00621F68"/>
    <w:rsid w:val="00626874"/>
    <w:rsid w:val="0063029B"/>
    <w:rsid w:val="006331B7"/>
    <w:rsid w:val="006408F0"/>
    <w:rsid w:val="00641F92"/>
    <w:rsid w:val="00644362"/>
    <w:rsid w:val="006639CB"/>
    <w:rsid w:val="00667DC1"/>
    <w:rsid w:val="00670EA1"/>
    <w:rsid w:val="00671C3E"/>
    <w:rsid w:val="0067470F"/>
    <w:rsid w:val="00677CC2"/>
    <w:rsid w:val="00680B09"/>
    <w:rsid w:val="00685513"/>
    <w:rsid w:val="0068783C"/>
    <w:rsid w:val="006905DE"/>
    <w:rsid w:val="0069207B"/>
    <w:rsid w:val="00693344"/>
    <w:rsid w:val="006944A8"/>
    <w:rsid w:val="006946AB"/>
    <w:rsid w:val="006A276A"/>
    <w:rsid w:val="006A7634"/>
    <w:rsid w:val="006A7C29"/>
    <w:rsid w:val="006B5789"/>
    <w:rsid w:val="006B632C"/>
    <w:rsid w:val="006C0593"/>
    <w:rsid w:val="006C1B82"/>
    <w:rsid w:val="006C2572"/>
    <w:rsid w:val="006C30C5"/>
    <w:rsid w:val="006C4BF2"/>
    <w:rsid w:val="006C7F8C"/>
    <w:rsid w:val="006D4A79"/>
    <w:rsid w:val="006D4E6E"/>
    <w:rsid w:val="006E03BA"/>
    <w:rsid w:val="006E0646"/>
    <w:rsid w:val="006E16C0"/>
    <w:rsid w:val="006E19B4"/>
    <w:rsid w:val="006E5346"/>
    <w:rsid w:val="006E6246"/>
    <w:rsid w:val="006F318F"/>
    <w:rsid w:val="006F4226"/>
    <w:rsid w:val="006F48EA"/>
    <w:rsid w:val="006F4BB6"/>
    <w:rsid w:val="006F7D1F"/>
    <w:rsid w:val="0070017E"/>
    <w:rsid w:val="00700B2C"/>
    <w:rsid w:val="00704D5C"/>
    <w:rsid w:val="007050A2"/>
    <w:rsid w:val="00711D18"/>
    <w:rsid w:val="00713084"/>
    <w:rsid w:val="007131D2"/>
    <w:rsid w:val="00714F20"/>
    <w:rsid w:val="0071590F"/>
    <w:rsid w:val="00715914"/>
    <w:rsid w:val="00727537"/>
    <w:rsid w:val="0073076C"/>
    <w:rsid w:val="0073138A"/>
    <w:rsid w:val="00731E00"/>
    <w:rsid w:val="00733B78"/>
    <w:rsid w:val="00733E8D"/>
    <w:rsid w:val="007373C8"/>
    <w:rsid w:val="00742ECF"/>
    <w:rsid w:val="007440B7"/>
    <w:rsid w:val="00747775"/>
    <w:rsid w:val="007500C8"/>
    <w:rsid w:val="007509DC"/>
    <w:rsid w:val="00753E82"/>
    <w:rsid w:val="00754FBB"/>
    <w:rsid w:val="00755818"/>
    <w:rsid w:val="00756272"/>
    <w:rsid w:val="00757DFF"/>
    <w:rsid w:val="00760AD1"/>
    <w:rsid w:val="00766664"/>
    <w:rsid w:val="0076681A"/>
    <w:rsid w:val="007715C9"/>
    <w:rsid w:val="00771613"/>
    <w:rsid w:val="00774D8E"/>
    <w:rsid w:val="00774EDD"/>
    <w:rsid w:val="007752A5"/>
    <w:rsid w:val="007757EC"/>
    <w:rsid w:val="00776B08"/>
    <w:rsid w:val="007773E3"/>
    <w:rsid w:val="00783E89"/>
    <w:rsid w:val="00793269"/>
    <w:rsid w:val="00793915"/>
    <w:rsid w:val="0079642C"/>
    <w:rsid w:val="00796A4A"/>
    <w:rsid w:val="00797590"/>
    <w:rsid w:val="007A089D"/>
    <w:rsid w:val="007A1F11"/>
    <w:rsid w:val="007A5C36"/>
    <w:rsid w:val="007B4332"/>
    <w:rsid w:val="007B6387"/>
    <w:rsid w:val="007B6FE8"/>
    <w:rsid w:val="007C2253"/>
    <w:rsid w:val="007C6FBA"/>
    <w:rsid w:val="007C7335"/>
    <w:rsid w:val="007C787C"/>
    <w:rsid w:val="007D038B"/>
    <w:rsid w:val="007D18C5"/>
    <w:rsid w:val="007D4096"/>
    <w:rsid w:val="007D5A63"/>
    <w:rsid w:val="007D7B81"/>
    <w:rsid w:val="007E0BC5"/>
    <w:rsid w:val="007E163D"/>
    <w:rsid w:val="007E667A"/>
    <w:rsid w:val="007F11FE"/>
    <w:rsid w:val="007F28C9"/>
    <w:rsid w:val="00800901"/>
    <w:rsid w:val="008034F1"/>
    <w:rsid w:val="00803587"/>
    <w:rsid w:val="008040CA"/>
    <w:rsid w:val="00807626"/>
    <w:rsid w:val="00807E30"/>
    <w:rsid w:val="008117E9"/>
    <w:rsid w:val="008142EF"/>
    <w:rsid w:val="00820CDE"/>
    <w:rsid w:val="00821D5E"/>
    <w:rsid w:val="00824498"/>
    <w:rsid w:val="00830EEE"/>
    <w:rsid w:val="00832464"/>
    <w:rsid w:val="00850C93"/>
    <w:rsid w:val="008518BA"/>
    <w:rsid w:val="008552B4"/>
    <w:rsid w:val="00856A31"/>
    <w:rsid w:val="00860D42"/>
    <w:rsid w:val="00863BEB"/>
    <w:rsid w:val="00863FE0"/>
    <w:rsid w:val="00864B24"/>
    <w:rsid w:val="00867688"/>
    <w:rsid w:val="00867B37"/>
    <w:rsid w:val="0087121F"/>
    <w:rsid w:val="008754D0"/>
    <w:rsid w:val="008768C6"/>
    <w:rsid w:val="00883A9F"/>
    <w:rsid w:val="008855C9"/>
    <w:rsid w:val="00886456"/>
    <w:rsid w:val="00891294"/>
    <w:rsid w:val="0089304F"/>
    <w:rsid w:val="008A1317"/>
    <w:rsid w:val="008A46E1"/>
    <w:rsid w:val="008A4F43"/>
    <w:rsid w:val="008A7FE7"/>
    <w:rsid w:val="008B266B"/>
    <w:rsid w:val="008B2706"/>
    <w:rsid w:val="008B2CBE"/>
    <w:rsid w:val="008B6FC6"/>
    <w:rsid w:val="008C0189"/>
    <w:rsid w:val="008D0EE0"/>
    <w:rsid w:val="008D2570"/>
    <w:rsid w:val="008D40B8"/>
    <w:rsid w:val="008E0E6C"/>
    <w:rsid w:val="008E1BCC"/>
    <w:rsid w:val="008E6067"/>
    <w:rsid w:val="008E7B59"/>
    <w:rsid w:val="008F2278"/>
    <w:rsid w:val="008F497B"/>
    <w:rsid w:val="008F54E7"/>
    <w:rsid w:val="008F7AD7"/>
    <w:rsid w:val="0090003D"/>
    <w:rsid w:val="009009CA"/>
    <w:rsid w:val="0090200D"/>
    <w:rsid w:val="0090327D"/>
    <w:rsid w:val="00903422"/>
    <w:rsid w:val="00905121"/>
    <w:rsid w:val="00906574"/>
    <w:rsid w:val="00910178"/>
    <w:rsid w:val="00912A7E"/>
    <w:rsid w:val="00915BE8"/>
    <w:rsid w:val="00915DF9"/>
    <w:rsid w:val="00916B7B"/>
    <w:rsid w:val="009208CB"/>
    <w:rsid w:val="009254C3"/>
    <w:rsid w:val="00926E02"/>
    <w:rsid w:val="009270E7"/>
    <w:rsid w:val="00927C51"/>
    <w:rsid w:val="00932215"/>
    <w:rsid w:val="00932377"/>
    <w:rsid w:val="009349CF"/>
    <w:rsid w:val="009350AE"/>
    <w:rsid w:val="009401AE"/>
    <w:rsid w:val="00940408"/>
    <w:rsid w:val="00943417"/>
    <w:rsid w:val="00946F64"/>
    <w:rsid w:val="00947D5A"/>
    <w:rsid w:val="00952ECE"/>
    <w:rsid w:val="009532A5"/>
    <w:rsid w:val="00967892"/>
    <w:rsid w:val="00980A51"/>
    <w:rsid w:val="00982242"/>
    <w:rsid w:val="00983270"/>
    <w:rsid w:val="00983A1F"/>
    <w:rsid w:val="0098458B"/>
    <w:rsid w:val="009868E9"/>
    <w:rsid w:val="00987FFD"/>
    <w:rsid w:val="009963E8"/>
    <w:rsid w:val="009A284D"/>
    <w:rsid w:val="009A5068"/>
    <w:rsid w:val="009A5B5A"/>
    <w:rsid w:val="009B0029"/>
    <w:rsid w:val="009B29F9"/>
    <w:rsid w:val="009C525E"/>
    <w:rsid w:val="009C63D9"/>
    <w:rsid w:val="009D630F"/>
    <w:rsid w:val="009D7E88"/>
    <w:rsid w:val="009E470C"/>
    <w:rsid w:val="009E4A8C"/>
    <w:rsid w:val="009E5CFC"/>
    <w:rsid w:val="009E5DAF"/>
    <w:rsid w:val="009E7ADA"/>
    <w:rsid w:val="009F0C36"/>
    <w:rsid w:val="009F14D2"/>
    <w:rsid w:val="00A04411"/>
    <w:rsid w:val="00A075C3"/>
    <w:rsid w:val="00A079CB"/>
    <w:rsid w:val="00A12128"/>
    <w:rsid w:val="00A122E9"/>
    <w:rsid w:val="00A1771E"/>
    <w:rsid w:val="00A17D60"/>
    <w:rsid w:val="00A200A4"/>
    <w:rsid w:val="00A2082E"/>
    <w:rsid w:val="00A22482"/>
    <w:rsid w:val="00A22C98"/>
    <w:rsid w:val="00A22D6F"/>
    <w:rsid w:val="00A231E2"/>
    <w:rsid w:val="00A23DA1"/>
    <w:rsid w:val="00A248FE"/>
    <w:rsid w:val="00A253E6"/>
    <w:rsid w:val="00A37E88"/>
    <w:rsid w:val="00A403BB"/>
    <w:rsid w:val="00A40F0F"/>
    <w:rsid w:val="00A4119B"/>
    <w:rsid w:val="00A41BA2"/>
    <w:rsid w:val="00A4283F"/>
    <w:rsid w:val="00A43E0D"/>
    <w:rsid w:val="00A50257"/>
    <w:rsid w:val="00A50D1E"/>
    <w:rsid w:val="00A567D7"/>
    <w:rsid w:val="00A6109B"/>
    <w:rsid w:val="00A63D43"/>
    <w:rsid w:val="00A64912"/>
    <w:rsid w:val="00A6734F"/>
    <w:rsid w:val="00A67DD9"/>
    <w:rsid w:val="00A70A74"/>
    <w:rsid w:val="00A71E22"/>
    <w:rsid w:val="00A727ED"/>
    <w:rsid w:val="00A77DFE"/>
    <w:rsid w:val="00A77E3B"/>
    <w:rsid w:val="00A80B6A"/>
    <w:rsid w:val="00A8436C"/>
    <w:rsid w:val="00A85D86"/>
    <w:rsid w:val="00A90D96"/>
    <w:rsid w:val="00AA0A83"/>
    <w:rsid w:val="00AA2577"/>
    <w:rsid w:val="00AA4EC8"/>
    <w:rsid w:val="00AB0E6D"/>
    <w:rsid w:val="00AC195F"/>
    <w:rsid w:val="00AD1A36"/>
    <w:rsid w:val="00AD20A4"/>
    <w:rsid w:val="00AD2B89"/>
    <w:rsid w:val="00AD5641"/>
    <w:rsid w:val="00AD7847"/>
    <w:rsid w:val="00AD7889"/>
    <w:rsid w:val="00AE3652"/>
    <w:rsid w:val="00AE59FD"/>
    <w:rsid w:val="00AE6D4C"/>
    <w:rsid w:val="00AE6FD3"/>
    <w:rsid w:val="00AF021B"/>
    <w:rsid w:val="00AF06CF"/>
    <w:rsid w:val="00AF0ACB"/>
    <w:rsid w:val="00AF6323"/>
    <w:rsid w:val="00AF67C0"/>
    <w:rsid w:val="00B02399"/>
    <w:rsid w:val="00B0335E"/>
    <w:rsid w:val="00B0372F"/>
    <w:rsid w:val="00B05CF4"/>
    <w:rsid w:val="00B07CDB"/>
    <w:rsid w:val="00B1420F"/>
    <w:rsid w:val="00B16A31"/>
    <w:rsid w:val="00B176D5"/>
    <w:rsid w:val="00B17DFD"/>
    <w:rsid w:val="00B21360"/>
    <w:rsid w:val="00B21F27"/>
    <w:rsid w:val="00B22D95"/>
    <w:rsid w:val="00B308FE"/>
    <w:rsid w:val="00B33709"/>
    <w:rsid w:val="00B33B3C"/>
    <w:rsid w:val="00B34170"/>
    <w:rsid w:val="00B50ADC"/>
    <w:rsid w:val="00B5267A"/>
    <w:rsid w:val="00B549E0"/>
    <w:rsid w:val="00B55C40"/>
    <w:rsid w:val="00B566B1"/>
    <w:rsid w:val="00B5702C"/>
    <w:rsid w:val="00B60F88"/>
    <w:rsid w:val="00B63834"/>
    <w:rsid w:val="00B65F8A"/>
    <w:rsid w:val="00B71539"/>
    <w:rsid w:val="00B72734"/>
    <w:rsid w:val="00B74919"/>
    <w:rsid w:val="00B80199"/>
    <w:rsid w:val="00B82E5A"/>
    <w:rsid w:val="00B83204"/>
    <w:rsid w:val="00B92FDB"/>
    <w:rsid w:val="00BA0C87"/>
    <w:rsid w:val="00BA0D77"/>
    <w:rsid w:val="00BA0D83"/>
    <w:rsid w:val="00BA220B"/>
    <w:rsid w:val="00BA3A57"/>
    <w:rsid w:val="00BA5633"/>
    <w:rsid w:val="00BA691F"/>
    <w:rsid w:val="00BB3A96"/>
    <w:rsid w:val="00BB4902"/>
    <w:rsid w:val="00BB4E1A"/>
    <w:rsid w:val="00BC015E"/>
    <w:rsid w:val="00BC0DC0"/>
    <w:rsid w:val="00BC1651"/>
    <w:rsid w:val="00BC186D"/>
    <w:rsid w:val="00BC2807"/>
    <w:rsid w:val="00BC76AC"/>
    <w:rsid w:val="00BD05DE"/>
    <w:rsid w:val="00BD0ECB"/>
    <w:rsid w:val="00BD3B44"/>
    <w:rsid w:val="00BD4D72"/>
    <w:rsid w:val="00BD60B9"/>
    <w:rsid w:val="00BE0F2B"/>
    <w:rsid w:val="00BE2121"/>
    <w:rsid w:val="00BE2155"/>
    <w:rsid w:val="00BE2213"/>
    <w:rsid w:val="00BE4B39"/>
    <w:rsid w:val="00BE719A"/>
    <w:rsid w:val="00BE720A"/>
    <w:rsid w:val="00BE7B39"/>
    <w:rsid w:val="00BF0D73"/>
    <w:rsid w:val="00BF2465"/>
    <w:rsid w:val="00BF71B8"/>
    <w:rsid w:val="00C039F8"/>
    <w:rsid w:val="00C03CFE"/>
    <w:rsid w:val="00C06888"/>
    <w:rsid w:val="00C07368"/>
    <w:rsid w:val="00C11C2B"/>
    <w:rsid w:val="00C150E2"/>
    <w:rsid w:val="00C223DA"/>
    <w:rsid w:val="00C25E7F"/>
    <w:rsid w:val="00C269BB"/>
    <w:rsid w:val="00C2746F"/>
    <w:rsid w:val="00C324A0"/>
    <w:rsid w:val="00C32D29"/>
    <w:rsid w:val="00C3300F"/>
    <w:rsid w:val="00C423E1"/>
    <w:rsid w:val="00C42BF8"/>
    <w:rsid w:val="00C438DA"/>
    <w:rsid w:val="00C50043"/>
    <w:rsid w:val="00C52AB4"/>
    <w:rsid w:val="00C60962"/>
    <w:rsid w:val="00C6194E"/>
    <w:rsid w:val="00C61ACF"/>
    <w:rsid w:val="00C6213C"/>
    <w:rsid w:val="00C72FCE"/>
    <w:rsid w:val="00C7573B"/>
    <w:rsid w:val="00C81A37"/>
    <w:rsid w:val="00C83DDE"/>
    <w:rsid w:val="00C84CC9"/>
    <w:rsid w:val="00C86CA0"/>
    <w:rsid w:val="00C93557"/>
    <w:rsid w:val="00C93C03"/>
    <w:rsid w:val="00C9550C"/>
    <w:rsid w:val="00C96AC2"/>
    <w:rsid w:val="00C9759C"/>
    <w:rsid w:val="00CA1336"/>
    <w:rsid w:val="00CA2C2A"/>
    <w:rsid w:val="00CB2253"/>
    <w:rsid w:val="00CB2C8E"/>
    <w:rsid w:val="00CB3842"/>
    <w:rsid w:val="00CB3915"/>
    <w:rsid w:val="00CB602E"/>
    <w:rsid w:val="00CB7228"/>
    <w:rsid w:val="00CC30E2"/>
    <w:rsid w:val="00CC42F5"/>
    <w:rsid w:val="00CD1B65"/>
    <w:rsid w:val="00CD43F2"/>
    <w:rsid w:val="00CE051D"/>
    <w:rsid w:val="00CE1335"/>
    <w:rsid w:val="00CE493D"/>
    <w:rsid w:val="00CF07FA"/>
    <w:rsid w:val="00CF0BB2"/>
    <w:rsid w:val="00CF3EE8"/>
    <w:rsid w:val="00D02C2E"/>
    <w:rsid w:val="00D050E6"/>
    <w:rsid w:val="00D07F2F"/>
    <w:rsid w:val="00D13441"/>
    <w:rsid w:val="00D13CD5"/>
    <w:rsid w:val="00D14277"/>
    <w:rsid w:val="00D147C8"/>
    <w:rsid w:val="00D150E7"/>
    <w:rsid w:val="00D17ADD"/>
    <w:rsid w:val="00D213AA"/>
    <w:rsid w:val="00D21988"/>
    <w:rsid w:val="00D22F81"/>
    <w:rsid w:val="00D262C8"/>
    <w:rsid w:val="00D276FE"/>
    <w:rsid w:val="00D30CEB"/>
    <w:rsid w:val="00D3223A"/>
    <w:rsid w:val="00D32F65"/>
    <w:rsid w:val="00D33B1F"/>
    <w:rsid w:val="00D3524F"/>
    <w:rsid w:val="00D361E8"/>
    <w:rsid w:val="00D37F97"/>
    <w:rsid w:val="00D40642"/>
    <w:rsid w:val="00D439B8"/>
    <w:rsid w:val="00D50E36"/>
    <w:rsid w:val="00D52DC2"/>
    <w:rsid w:val="00D53BCC"/>
    <w:rsid w:val="00D540F2"/>
    <w:rsid w:val="00D55AD3"/>
    <w:rsid w:val="00D55F0F"/>
    <w:rsid w:val="00D6053C"/>
    <w:rsid w:val="00D62051"/>
    <w:rsid w:val="00D62840"/>
    <w:rsid w:val="00D64496"/>
    <w:rsid w:val="00D677C0"/>
    <w:rsid w:val="00D70DFB"/>
    <w:rsid w:val="00D766DF"/>
    <w:rsid w:val="00D81CEA"/>
    <w:rsid w:val="00D9010C"/>
    <w:rsid w:val="00D94585"/>
    <w:rsid w:val="00D9478F"/>
    <w:rsid w:val="00DA186E"/>
    <w:rsid w:val="00DA4116"/>
    <w:rsid w:val="00DA4D0A"/>
    <w:rsid w:val="00DB251C"/>
    <w:rsid w:val="00DB4630"/>
    <w:rsid w:val="00DB7779"/>
    <w:rsid w:val="00DC0779"/>
    <w:rsid w:val="00DC4F88"/>
    <w:rsid w:val="00DE5BAF"/>
    <w:rsid w:val="00DF6CC6"/>
    <w:rsid w:val="00E00310"/>
    <w:rsid w:val="00E05704"/>
    <w:rsid w:val="00E06532"/>
    <w:rsid w:val="00E11E44"/>
    <w:rsid w:val="00E12FC4"/>
    <w:rsid w:val="00E2145B"/>
    <w:rsid w:val="00E22E38"/>
    <w:rsid w:val="00E24D43"/>
    <w:rsid w:val="00E3270E"/>
    <w:rsid w:val="00E338EF"/>
    <w:rsid w:val="00E37CF0"/>
    <w:rsid w:val="00E418A6"/>
    <w:rsid w:val="00E4393E"/>
    <w:rsid w:val="00E4550C"/>
    <w:rsid w:val="00E52758"/>
    <w:rsid w:val="00E538FC"/>
    <w:rsid w:val="00E544BB"/>
    <w:rsid w:val="00E62BD4"/>
    <w:rsid w:val="00E662CB"/>
    <w:rsid w:val="00E675A7"/>
    <w:rsid w:val="00E67A4F"/>
    <w:rsid w:val="00E71618"/>
    <w:rsid w:val="00E73D80"/>
    <w:rsid w:val="00E74DC7"/>
    <w:rsid w:val="00E76806"/>
    <w:rsid w:val="00E8075A"/>
    <w:rsid w:val="00E80ABB"/>
    <w:rsid w:val="00E86E23"/>
    <w:rsid w:val="00E87262"/>
    <w:rsid w:val="00E93E0C"/>
    <w:rsid w:val="00E94D5E"/>
    <w:rsid w:val="00E966A5"/>
    <w:rsid w:val="00EA58CD"/>
    <w:rsid w:val="00EA7100"/>
    <w:rsid w:val="00EA7F9F"/>
    <w:rsid w:val="00EB1274"/>
    <w:rsid w:val="00EB24CE"/>
    <w:rsid w:val="00EB2D27"/>
    <w:rsid w:val="00EB39DC"/>
    <w:rsid w:val="00EB6AD0"/>
    <w:rsid w:val="00EC5A4B"/>
    <w:rsid w:val="00ED0D91"/>
    <w:rsid w:val="00ED19AB"/>
    <w:rsid w:val="00ED2BB6"/>
    <w:rsid w:val="00ED34E1"/>
    <w:rsid w:val="00ED3B8D"/>
    <w:rsid w:val="00ED47B5"/>
    <w:rsid w:val="00ED659C"/>
    <w:rsid w:val="00EE19FC"/>
    <w:rsid w:val="00EE2572"/>
    <w:rsid w:val="00EE2BED"/>
    <w:rsid w:val="00EF2E3A"/>
    <w:rsid w:val="00EF3A82"/>
    <w:rsid w:val="00EF4AD2"/>
    <w:rsid w:val="00F018BA"/>
    <w:rsid w:val="00F072A7"/>
    <w:rsid w:val="00F078DC"/>
    <w:rsid w:val="00F1113D"/>
    <w:rsid w:val="00F22479"/>
    <w:rsid w:val="00F23D84"/>
    <w:rsid w:val="00F3045A"/>
    <w:rsid w:val="00F32BA8"/>
    <w:rsid w:val="00F349F1"/>
    <w:rsid w:val="00F401AA"/>
    <w:rsid w:val="00F40A9B"/>
    <w:rsid w:val="00F4350D"/>
    <w:rsid w:val="00F46210"/>
    <w:rsid w:val="00F50D65"/>
    <w:rsid w:val="00F517FC"/>
    <w:rsid w:val="00F55B47"/>
    <w:rsid w:val="00F567F7"/>
    <w:rsid w:val="00F60C08"/>
    <w:rsid w:val="00F62036"/>
    <w:rsid w:val="00F65B52"/>
    <w:rsid w:val="00F67BCA"/>
    <w:rsid w:val="00F71ED5"/>
    <w:rsid w:val="00F736B4"/>
    <w:rsid w:val="00F73BD6"/>
    <w:rsid w:val="00F76735"/>
    <w:rsid w:val="00F83989"/>
    <w:rsid w:val="00F85099"/>
    <w:rsid w:val="00F8700E"/>
    <w:rsid w:val="00F87A6E"/>
    <w:rsid w:val="00F9379C"/>
    <w:rsid w:val="00F95AC5"/>
    <w:rsid w:val="00F9632C"/>
    <w:rsid w:val="00FA00CA"/>
    <w:rsid w:val="00FA11AB"/>
    <w:rsid w:val="00FA1E52"/>
    <w:rsid w:val="00FA4FAC"/>
    <w:rsid w:val="00FA511D"/>
    <w:rsid w:val="00FA7E27"/>
    <w:rsid w:val="00FB1409"/>
    <w:rsid w:val="00FB29E6"/>
    <w:rsid w:val="00FB56B8"/>
    <w:rsid w:val="00FB59D5"/>
    <w:rsid w:val="00FB5B37"/>
    <w:rsid w:val="00FB6F4D"/>
    <w:rsid w:val="00FC0EC9"/>
    <w:rsid w:val="00FD1377"/>
    <w:rsid w:val="00FE1DDA"/>
    <w:rsid w:val="00FE417B"/>
    <w:rsid w:val="00FE4688"/>
    <w:rsid w:val="00FE6E67"/>
    <w:rsid w:val="00FF14EF"/>
    <w:rsid w:val="00FF6A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F4AD2"/>
    <w:pPr>
      <w:spacing w:line="260" w:lineRule="atLeast"/>
    </w:pPr>
    <w:rPr>
      <w:sz w:val="22"/>
    </w:rPr>
  </w:style>
  <w:style w:type="paragraph" w:styleId="Heading1">
    <w:name w:val="heading 1"/>
    <w:basedOn w:val="Normal"/>
    <w:next w:val="Normal"/>
    <w:link w:val="Heading1Char"/>
    <w:uiPriority w:val="9"/>
    <w:qFormat/>
    <w:rsid w:val="00EF4AD2"/>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4AD2"/>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4AD2"/>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4AD2"/>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F4AD2"/>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F4AD2"/>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F4AD2"/>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F4AD2"/>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F4AD2"/>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F4AD2"/>
  </w:style>
  <w:style w:type="paragraph" w:customStyle="1" w:styleId="OPCParaBase">
    <w:name w:val="OPCParaBase"/>
    <w:qFormat/>
    <w:rsid w:val="00EF4AD2"/>
    <w:pPr>
      <w:spacing w:line="260" w:lineRule="atLeast"/>
    </w:pPr>
    <w:rPr>
      <w:rFonts w:eastAsia="Times New Roman" w:cs="Times New Roman"/>
      <w:sz w:val="22"/>
      <w:lang w:eastAsia="en-AU"/>
    </w:rPr>
  </w:style>
  <w:style w:type="paragraph" w:customStyle="1" w:styleId="ShortT">
    <w:name w:val="ShortT"/>
    <w:basedOn w:val="OPCParaBase"/>
    <w:next w:val="Normal"/>
    <w:qFormat/>
    <w:rsid w:val="00EF4AD2"/>
    <w:pPr>
      <w:spacing w:line="240" w:lineRule="auto"/>
    </w:pPr>
    <w:rPr>
      <w:b/>
      <w:sz w:val="40"/>
    </w:rPr>
  </w:style>
  <w:style w:type="paragraph" w:customStyle="1" w:styleId="ActHead1">
    <w:name w:val="ActHead 1"/>
    <w:aliases w:val="c"/>
    <w:basedOn w:val="OPCParaBase"/>
    <w:next w:val="Normal"/>
    <w:qFormat/>
    <w:rsid w:val="00EF4AD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F4AD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F4AD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F4AD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F4AD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F4AD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F4AD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F4AD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F4AD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F4AD2"/>
  </w:style>
  <w:style w:type="paragraph" w:customStyle="1" w:styleId="Blocks">
    <w:name w:val="Blocks"/>
    <w:aliases w:val="bb"/>
    <w:basedOn w:val="OPCParaBase"/>
    <w:qFormat/>
    <w:rsid w:val="00EF4AD2"/>
    <w:pPr>
      <w:spacing w:line="240" w:lineRule="auto"/>
    </w:pPr>
    <w:rPr>
      <w:sz w:val="24"/>
    </w:rPr>
  </w:style>
  <w:style w:type="paragraph" w:customStyle="1" w:styleId="BoxText">
    <w:name w:val="BoxText"/>
    <w:aliases w:val="bt"/>
    <w:basedOn w:val="OPCParaBase"/>
    <w:qFormat/>
    <w:rsid w:val="00EF4AD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F4AD2"/>
    <w:rPr>
      <w:b/>
    </w:rPr>
  </w:style>
  <w:style w:type="paragraph" w:customStyle="1" w:styleId="BoxHeadItalic">
    <w:name w:val="BoxHeadItalic"/>
    <w:aliases w:val="bhi"/>
    <w:basedOn w:val="BoxText"/>
    <w:next w:val="BoxStep"/>
    <w:qFormat/>
    <w:rsid w:val="00EF4AD2"/>
    <w:rPr>
      <w:i/>
    </w:rPr>
  </w:style>
  <w:style w:type="paragraph" w:customStyle="1" w:styleId="BoxList">
    <w:name w:val="BoxList"/>
    <w:aliases w:val="bl"/>
    <w:basedOn w:val="BoxText"/>
    <w:qFormat/>
    <w:rsid w:val="00EF4AD2"/>
    <w:pPr>
      <w:ind w:left="1559" w:hanging="425"/>
    </w:pPr>
  </w:style>
  <w:style w:type="paragraph" w:customStyle="1" w:styleId="BoxNote">
    <w:name w:val="BoxNote"/>
    <w:aliases w:val="bn"/>
    <w:basedOn w:val="BoxText"/>
    <w:qFormat/>
    <w:rsid w:val="00EF4AD2"/>
    <w:pPr>
      <w:tabs>
        <w:tab w:val="left" w:pos="1985"/>
      </w:tabs>
      <w:spacing w:before="122" w:line="198" w:lineRule="exact"/>
      <w:ind w:left="2948" w:hanging="1814"/>
    </w:pPr>
    <w:rPr>
      <w:sz w:val="18"/>
    </w:rPr>
  </w:style>
  <w:style w:type="paragraph" w:customStyle="1" w:styleId="BoxPara">
    <w:name w:val="BoxPara"/>
    <w:aliases w:val="bp"/>
    <w:basedOn w:val="BoxText"/>
    <w:qFormat/>
    <w:rsid w:val="00EF4AD2"/>
    <w:pPr>
      <w:tabs>
        <w:tab w:val="right" w:pos="2268"/>
      </w:tabs>
      <w:ind w:left="2552" w:hanging="1418"/>
    </w:pPr>
  </w:style>
  <w:style w:type="paragraph" w:customStyle="1" w:styleId="BoxStep">
    <w:name w:val="BoxStep"/>
    <w:aliases w:val="bs"/>
    <w:basedOn w:val="BoxText"/>
    <w:qFormat/>
    <w:rsid w:val="00EF4AD2"/>
    <w:pPr>
      <w:ind w:left="1985" w:hanging="851"/>
    </w:pPr>
  </w:style>
  <w:style w:type="character" w:customStyle="1" w:styleId="CharAmPartNo">
    <w:name w:val="CharAmPartNo"/>
    <w:basedOn w:val="OPCCharBase"/>
    <w:qFormat/>
    <w:rsid w:val="00EF4AD2"/>
  </w:style>
  <w:style w:type="character" w:customStyle="1" w:styleId="CharAmPartText">
    <w:name w:val="CharAmPartText"/>
    <w:basedOn w:val="OPCCharBase"/>
    <w:qFormat/>
    <w:rsid w:val="00EF4AD2"/>
  </w:style>
  <w:style w:type="character" w:customStyle="1" w:styleId="CharAmSchNo">
    <w:name w:val="CharAmSchNo"/>
    <w:basedOn w:val="OPCCharBase"/>
    <w:qFormat/>
    <w:rsid w:val="00EF4AD2"/>
  </w:style>
  <w:style w:type="character" w:customStyle="1" w:styleId="CharAmSchText">
    <w:name w:val="CharAmSchText"/>
    <w:basedOn w:val="OPCCharBase"/>
    <w:qFormat/>
    <w:rsid w:val="00EF4AD2"/>
  </w:style>
  <w:style w:type="character" w:customStyle="1" w:styleId="CharBoldItalic">
    <w:name w:val="CharBoldItalic"/>
    <w:basedOn w:val="OPCCharBase"/>
    <w:uiPriority w:val="1"/>
    <w:qFormat/>
    <w:rsid w:val="00EF4AD2"/>
    <w:rPr>
      <w:b/>
      <w:i/>
    </w:rPr>
  </w:style>
  <w:style w:type="character" w:customStyle="1" w:styleId="CharChapNo">
    <w:name w:val="CharChapNo"/>
    <w:basedOn w:val="OPCCharBase"/>
    <w:uiPriority w:val="1"/>
    <w:qFormat/>
    <w:rsid w:val="00EF4AD2"/>
  </w:style>
  <w:style w:type="character" w:customStyle="1" w:styleId="CharChapText">
    <w:name w:val="CharChapText"/>
    <w:basedOn w:val="OPCCharBase"/>
    <w:uiPriority w:val="1"/>
    <w:qFormat/>
    <w:rsid w:val="00EF4AD2"/>
  </w:style>
  <w:style w:type="character" w:customStyle="1" w:styleId="CharDivNo">
    <w:name w:val="CharDivNo"/>
    <w:basedOn w:val="OPCCharBase"/>
    <w:uiPriority w:val="1"/>
    <w:qFormat/>
    <w:rsid w:val="00EF4AD2"/>
  </w:style>
  <w:style w:type="character" w:customStyle="1" w:styleId="CharDivText">
    <w:name w:val="CharDivText"/>
    <w:basedOn w:val="OPCCharBase"/>
    <w:uiPriority w:val="1"/>
    <w:qFormat/>
    <w:rsid w:val="00EF4AD2"/>
  </w:style>
  <w:style w:type="character" w:customStyle="1" w:styleId="CharItalic">
    <w:name w:val="CharItalic"/>
    <w:basedOn w:val="OPCCharBase"/>
    <w:uiPriority w:val="1"/>
    <w:qFormat/>
    <w:rsid w:val="00EF4AD2"/>
    <w:rPr>
      <w:i/>
    </w:rPr>
  </w:style>
  <w:style w:type="character" w:customStyle="1" w:styleId="CharPartNo">
    <w:name w:val="CharPartNo"/>
    <w:basedOn w:val="OPCCharBase"/>
    <w:uiPriority w:val="1"/>
    <w:qFormat/>
    <w:rsid w:val="00EF4AD2"/>
  </w:style>
  <w:style w:type="character" w:customStyle="1" w:styleId="CharPartText">
    <w:name w:val="CharPartText"/>
    <w:basedOn w:val="OPCCharBase"/>
    <w:uiPriority w:val="1"/>
    <w:qFormat/>
    <w:rsid w:val="00EF4AD2"/>
  </w:style>
  <w:style w:type="character" w:customStyle="1" w:styleId="CharSectno">
    <w:name w:val="CharSectno"/>
    <w:basedOn w:val="OPCCharBase"/>
    <w:qFormat/>
    <w:rsid w:val="00EF4AD2"/>
  </w:style>
  <w:style w:type="character" w:customStyle="1" w:styleId="CharSubdNo">
    <w:name w:val="CharSubdNo"/>
    <w:basedOn w:val="OPCCharBase"/>
    <w:uiPriority w:val="1"/>
    <w:qFormat/>
    <w:rsid w:val="00EF4AD2"/>
  </w:style>
  <w:style w:type="character" w:customStyle="1" w:styleId="CharSubdText">
    <w:name w:val="CharSubdText"/>
    <w:basedOn w:val="OPCCharBase"/>
    <w:uiPriority w:val="1"/>
    <w:qFormat/>
    <w:rsid w:val="00EF4AD2"/>
  </w:style>
  <w:style w:type="paragraph" w:customStyle="1" w:styleId="CTA--">
    <w:name w:val="CTA --"/>
    <w:basedOn w:val="OPCParaBase"/>
    <w:next w:val="Normal"/>
    <w:rsid w:val="00EF4AD2"/>
    <w:pPr>
      <w:spacing w:before="60" w:line="240" w:lineRule="atLeast"/>
      <w:ind w:left="142" w:hanging="142"/>
    </w:pPr>
    <w:rPr>
      <w:sz w:val="20"/>
    </w:rPr>
  </w:style>
  <w:style w:type="paragraph" w:customStyle="1" w:styleId="CTA-">
    <w:name w:val="CTA -"/>
    <w:basedOn w:val="OPCParaBase"/>
    <w:rsid w:val="00EF4AD2"/>
    <w:pPr>
      <w:spacing w:before="60" w:line="240" w:lineRule="atLeast"/>
      <w:ind w:left="85" w:hanging="85"/>
    </w:pPr>
    <w:rPr>
      <w:sz w:val="20"/>
    </w:rPr>
  </w:style>
  <w:style w:type="paragraph" w:customStyle="1" w:styleId="CTA---">
    <w:name w:val="CTA ---"/>
    <w:basedOn w:val="OPCParaBase"/>
    <w:next w:val="Normal"/>
    <w:rsid w:val="00EF4AD2"/>
    <w:pPr>
      <w:spacing w:before="60" w:line="240" w:lineRule="atLeast"/>
      <w:ind w:left="198" w:hanging="198"/>
    </w:pPr>
    <w:rPr>
      <w:sz w:val="20"/>
    </w:rPr>
  </w:style>
  <w:style w:type="paragraph" w:customStyle="1" w:styleId="CTA----">
    <w:name w:val="CTA ----"/>
    <w:basedOn w:val="OPCParaBase"/>
    <w:next w:val="Normal"/>
    <w:rsid w:val="00EF4AD2"/>
    <w:pPr>
      <w:spacing w:before="60" w:line="240" w:lineRule="atLeast"/>
      <w:ind w:left="255" w:hanging="255"/>
    </w:pPr>
    <w:rPr>
      <w:sz w:val="20"/>
    </w:rPr>
  </w:style>
  <w:style w:type="paragraph" w:customStyle="1" w:styleId="CTA1a">
    <w:name w:val="CTA 1(a)"/>
    <w:basedOn w:val="OPCParaBase"/>
    <w:rsid w:val="00EF4AD2"/>
    <w:pPr>
      <w:tabs>
        <w:tab w:val="right" w:pos="414"/>
      </w:tabs>
      <w:spacing w:before="40" w:line="240" w:lineRule="atLeast"/>
      <w:ind w:left="675" w:hanging="675"/>
    </w:pPr>
    <w:rPr>
      <w:sz w:val="20"/>
    </w:rPr>
  </w:style>
  <w:style w:type="paragraph" w:customStyle="1" w:styleId="CTA1ai">
    <w:name w:val="CTA 1(a)(i)"/>
    <w:basedOn w:val="OPCParaBase"/>
    <w:rsid w:val="00EF4AD2"/>
    <w:pPr>
      <w:tabs>
        <w:tab w:val="right" w:pos="1004"/>
      </w:tabs>
      <w:spacing w:before="40" w:line="240" w:lineRule="atLeast"/>
      <w:ind w:left="1253" w:hanging="1253"/>
    </w:pPr>
    <w:rPr>
      <w:sz w:val="20"/>
    </w:rPr>
  </w:style>
  <w:style w:type="paragraph" w:customStyle="1" w:styleId="CTA2a">
    <w:name w:val="CTA 2(a)"/>
    <w:basedOn w:val="OPCParaBase"/>
    <w:rsid w:val="00EF4AD2"/>
    <w:pPr>
      <w:tabs>
        <w:tab w:val="right" w:pos="482"/>
      </w:tabs>
      <w:spacing w:before="40" w:line="240" w:lineRule="atLeast"/>
      <w:ind w:left="748" w:hanging="748"/>
    </w:pPr>
    <w:rPr>
      <w:sz w:val="20"/>
    </w:rPr>
  </w:style>
  <w:style w:type="paragraph" w:customStyle="1" w:styleId="CTA2ai">
    <w:name w:val="CTA 2(a)(i)"/>
    <w:basedOn w:val="OPCParaBase"/>
    <w:rsid w:val="00EF4AD2"/>
    <w:pPr>
      <w:tabs>
        <w:tab w:val="right" w:pos="1089"/>
      </w:tabs>
      <w:spacing w:before="40" w:line="240" w:lineRule="atLeast"/>
      <w:ind w:left="1327" w:hanging="1327"/>
    </w:pPr>
    <w:rPr>
      <w:sz w:val="20"/>
    </w:rPr>
  </w:style>
  <w:style w:type="paragraph" w:customStyle="1" w:styleId="CTA3a">
    <w:name w:val="CTA 3(a)"/>
    <w:basedOn w:val="OPCParaBase"/>
    <w:rsid w:val="00EF4AD2"/>
    <w:pPr>
      <w:tabs>
        <w:tab w:val="right" w:pos="556"/>
      </w:tabs>
      <w:spacing w:before="40" w:line="240" w:lineRule="atLeast"/>
      <w:ind w:left="805" w:hanging="805"/>
    </w:pPr>
    <w:rPr>
      <w:sz w:val="20"/>
    </w:rPr>
  </w:style>
  <w:style w:type="paragraph" w:customStyle="1" w:styleId="CTA3ai">
    <w:name w:val="CTA 3(a)(i)"/>
    <w:basedOn w:val="OPCParaBase"/>
    <w:rsid w:val="00EF4AD2"/>
    <w:pPr>
      <w:tabs>
        <w:tab w:val="right" w:pos="1140"/>
      </w:tabs>
      <w:spacing w:before="40" w:line="240" w:lineRule="atLeast"/>
      <w:ind w:left="1361" w:hanging="1361"/>
    </w:pPr>
    <w:rPr>
      <w:sz w:val="20"/>
    </w:rPr>
  </w:style>
  <w:style w:type="paragraph" w:customStyle="1" w:styleId="CTA4a">
    <w:name w:val="CTA 4(a)"/>
    <w:basedOn w:val="OPCParaBase"/>
    <w:rsid w:val="00EF4AD2"/>
    <w:pPr>
      <w:tabs>
        <w:tab w:val="right" w:pos="624"/>
      </w:tabs>
      <w:spacing w:before="40" w:line="240" w:lineRule="atLeast"/>
      <w:ind w:left="873" w:hanging="873"/>
    </w:pPr>
    <w:rPr>
      <w:sz w:val="20"/>
    </w:rPr>
  </w:style>
  <w:style w:type="paragraph" w:customStyle="1" w:styleId="CTA4ai">
    <w:name w:val="CTA 4(a)(i)"/>
    <w:basedOn w:val="OPCParaBase"/>
    <w:rsid w:val="00EF4AD2"/>
    <w:pPr>
      <w:tabs>
        <w:tab w:val="right" w:pos="1213"/>
      </w:tabs>
      <w:spacing w:before="40" w:line="240" w:lineRule="atLeast"/>
      <w:ind w:left="1452" w:hanging="1452"/>
    </w:pPr>
    <w:rPr>
      <w:sz w:val="20"/>
    </w:rPr>
  </w:style>
  <w:style w:type="paragraph" w:customStyle="1" w:styleId="CTACAPS">
    <w:name w:val="CTA CAPS"/>
    <w:basedOn w:val="OPCParaBase"/>
    <w:rsid w:val="00EF4AD2"/>
    <w:pPr>
      <w:spacing w:before="60" w:line="240" w:lineRule="atLeast"/>
    </w:pPr>
    <w:rPr>
      <w:sz w:val="20"/>
    </w:rPr>
  </w:style>
  <w:style w:type="paragraph" w:customStyle="1" w:styleId="CTAright">
    <w:name w:val="CTA right"/>
    <w:basedOn w:val="OPCParaBase"/>
    <w:rsid w:val="00EF4AD2"/>
    <w:pPr>
      <w:spacing w:before="60" w:line="240" w:lineRule="auto"/>
      <w:jc w:val="right"/>
    </w:pPr>
    <w:rPr>
      <w:sz w:val="20"/>
    </w:rPr>
  </w:style>
  <w:style w:type="paragraph" w:customStyle="1" w:styleId="subsection">
    <w:name w:val="subsection"/>
    <w:aliases w:val="ss"/>
    <w:basedOn w:val="OPCParaBase"/>
    <w:link w:val="subsectionChar"/>
    <w:rsid w:val="00EF4AD2"/>
    <w:pPr>
      <w:tabs>
        <w:tab w:val="right" w:pos="1021"/>
      </w:tabs>
      <w:spacing w:before="180" w:line="240" w:lineRule="auto"/>
      <w:ind w:left="1134" w:hanging="1134"/>
    </w:pPr>
  </w:style>
  <w:style w:type="paragraph" w:customStyle="1" w:styleId="Definition">
    <w:name w:val="Definition"/>
    <w:aliases w:val="dd"/>
    <w:basedOn w:val="OPCParaBase"/>
    <w:rsid w:val="00EF4AD2"/>
    <w:pPr>
      <w:spacing w:before="180" w:line="240" w:lineRule="auto"/>
      <w:ind w:left="1134"/>
    </w:pPr>
  </w:style>
  <w:style w:type="paragraph" w:customStyle="1" w:styleId="EndNotespara">
    <w:name w:val="EndNotes(para)"/>
    <w:aliases w:val="eta"/>
    <w:basedOn w:val="OPCParaBase"/>
    <w:next w:val="EndNotessubpara"/>
    <w:rsid w:val="00EF4AD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F4AD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F4AD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F4AD2"/>
    <w:pPr>
      <w:tabs>
        <w:tab w:val="right" w:pos="1412"/>
      </w:tabs>
      <w:spacing w:before="60" w:line="240" w:lineRule="auto"/>
      <w:ind w:left="1525" w:hanging="1525"/>
    </w:pPr>
    <w:rPr>
      <w:sz w:val="20"/>
    </w:rPr>
  </w:style>
  <w:style w:type="paragraph" w:customStyle="1" w:styleId="Formula">
    <w:name w:val="Formula"/>
    <w:basedOn w:val="OPCParaBase"/>
    <w:rsid w:val="00EF4AD2"/>
    <w:pPr>
      <w:spacing w:line="240" w:lineRule="auto"/>
      <w:ind w:left="1134"/>
    </w:pPr>
    <w:rPr>
      <w:sz w:val="20"/>
    </w:rPr>
  </w:style>
  <w:style w:type="paragraph" w:styleId="Header">
    <w:name w:val="header"/>
    <w:basedOn w:val="OPCParaBase"/>
    <w:link w:val="HeaderChar"/>
    <w:unhideWhenUsed/>
    <w:rsid w:val="00EF4AD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F4AD2"/>
    <w:rPr>
      <w:rFonts w:eastAsia="Times New Roman" w:cs="Times New Roman"/>
      <w:sz w:val="16"/>
      <w:lang w:eastAsia="en-AU"/>
    </w:rPr>
  </w:style>
  <w:style w:type="paragraph" w:customStyle="1" w:styleId="House">
    <w:name w:val="House"/>
    <w:basedOn w:val="OPCParaBase"/>
    <w:rsid w:val="00EF4AD2"/>
    <w:pPr>
      <w:spacing w:line="240" w:lineRule="auto"/>
    </w:pPr>
    <w:rPr>
      <w:sz w:val="28"/>
    </w:rPr>
  </w:style>
  <w:style w:type="paragraph" w:customStyle="1" w:styleId="Item">
    <w:name w:val="Item"/>
    <w:aliases w:val="i"/>
    <w:basedOn w:val="OPCParaBase"/>
    <w:next w:val="ItemHead"/>
    <w:rsid w:val="00EF4AD2"/>
    <w:pPr>
      <w:keepLines/>
      <w:spacing w:before="80" w:line="240" w:lineRule="auto"/>
      <w:ind w:left="709"/>
    </w:pPr>
  </w:style>
  <w:style w:type="paragraph" w:customStyle="1" w:styleId="ItemHead">
    <w:name w:val="ItemHead"/>
    <w:aliases w:val="ih"/>
    <w:basedOn w:val="OPCParaBase"/>
    <w:next w:val="Item"/>
    <w:rsid w:val="00EF4AD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F4AD2"/>
    <w:pPr>
      <w:spacing w:line="240" w:lineRule="auto"/>
    </w:pPr>
    <w:rPr>
      <w:b/>
      <w:sz w:val="32"/>
    </w:rPr>
  </w:style>
  <w:style w:type="paragraph" w:customStyle="1" w:styleId="notedraft">
    <w:name w:val="note(draft)"/>
    <w:aliases w:val="nd"/>
    <w:basedOn w:val="OPCParaBase"/>
    <w:rsid w:val="00EF4AD2"/>
    <w:pPr>
      <w:spacing w:before="240" w:line="240" w:lineRule="auto"/>
      <w:ind w:left="284" w:hanging="284"/>
    </w:pPr>
    <w:rPr>
      <w:i/>
      <w:sz w:val="24"/>
    </w:rPr>
  </w:style>
  <w:style w:type="paragraph" w:customStyle="1" w:styleId="notemargin">
    <w:name w:val="note(margin)"/>
    <w:aliases w:val="nm"/>
    <w:basedOn w:val="OPCParaBase"/>
    <w:rsid w:val="00EF4AD2"/>
    <w:pPr>
      <w:tabs>
        <w:tab w:val="left" w:pos="709"/>
      </w:tabs>
      <w:spacing w:before="122" w:line="198" w:lineRule="exact"/>
      <w:ind w:left="709" w:hanging="709"/>
    </w:pPr>
    <w:rPr>
      <w:sz w:val="18"/>
    </w:rPr>
  </w:style>
  <w:style w:type="paragraph" w:customStyle="1" w:styleId="noteToPara">
    <w:name w:val="noteToPara"/>
    <w:aliases w:val="ntp"/>
    <w:basedOn w:val="OPCParaBase"/>
    <w:rsid w:val="00EF4AD2"/>
    <w:pPr>
      <w:spacing w:before="122" w:line="198" w:lineRule="exact"/>
      <w:ind w:left="2353" w:hanging="709"/>
    </w:pPr>
    <w:rPr>
      <w:sz w:val="18"/>
    </w:rPr>
  </w:style>
  <w:style w:type="paragraph" w:customStyle="1" w:styleId="noteParlAmend">
    <w:name w:val="note(ParlAmend)"/>
    <w:aliases w:val="npp"/>
    <w:basedOn w:val="OPCParaBase"/>
    <w:next w:val="ParlAmend"/>
    <w:rsid w:val="00EF4AD2"/>
    <w:pPr>
      <w:spacing w:line="240" w:lineRule="auto"/>
      <w:jc w:val="right"/>
    </w:pPr>
    <w:rPr>
      <w:rFonts w:ascii="Arial" w:hAnsi="Arial"/>
      <w:b/>
      <w:i/>
    </w:rPr>
  </w:style>
  <w:style w:type="paragraph" w:customStyle="1" w:styleId="Page1">
    <w:name w:val="Page1"/>
    <w:basedOn w:val="OPCParaBase"/>
    <w:rsid w:val="00EF4AD2"/>
    <w:pPr>
      <w:spacing w:before="5600" w:line="240" w:lineRule="auto"/>
    </w:pPr>
    <w:rPr>
      <w:b/>
      <w:sz w:val="32"/>
    </w:rPr>
  </w:style>
  <w:style w:type="paragraph" w:customStyle="1" w:styleId="PageBreak">
    <w:name w:val="PageBreak"/>
    <w:aliases w:val="pb"/>
    <w:basedOn w:val="OPCParaBase"/>
    <w:rsid w:val="00EF4AD2"/>
    <w:pPr>
      <w:spacing w:line="240" w:lineRule="auto"/>
    </w:pPr>
    <w:rPr>
      <w:sz w:val="20"/>
    </w:rPr>
  </w:style>
  <w:style w:type="paragraph" w:customStyle="1" w:styleId="paragraphsub">
    <w:name w:val="paragraph(sub)"/>
    <w:aliases w:val="aa"/>
    <w:basedOn w:val="OPCParaBase"/>
    <w:rsid w:val="00EF4AD2"/>
    <w:pPr>
      <w:tabs>
        <w:tab w:val="right" w:pos="1985"/>
      </w:tabs>
      <w:spacing w:before="40" w:line="240" w:lineRule="auto"/>
      <w:ind w:left="2098" w:hanging="2098"/>
    </w:pPr>
  </w:style>
  <w:style w:type="paragraph" w:customStyle="1" w:styleId="paragraphsub-sub">
    <w:name w:val="paragraph(sub-sub)"/>
    <w:aliases w:val="aaa"/>
    <w:basedOn w:val="OPCParaBase"/>
    <w:rsid w:val="00EF4AD2"/>
    <w:pPr>
      <w:tabs>
        <w:tab w:val="right" w:pos="2722"/>
      </w:tabs>
      <w:spacing w:before="40" w:line="240" w:lineRule="auto"/>
      <w:ind w:left="2835" w:hanging="2835"/>
    </w:pPr>
  </w:style>
  <w:style w:type="paragraph" w:customStyle="1" w:styleId="paragraph">
    <w:name w:val="paragraph"/>
    <w:aliases w:val="a"/>
    <w:basedOn w:val="OPCParaBase"/>
    <w:rsid w:val="00EF4AD2"/>
    <w:pPr>
      <w:tabs>
        <w:tab w:val="right" w:pos="1531"/>
      </w:tabs>
      <w:spacing w:before="40" w:line="240" w:lineRule="auto"/>
      <w:ind w:left="1644" w:hanging="1644"/>
    </w:pPr>
  </w:style>
  <w:style w:type="paragraph" w:customStyle="1" w:styleId="ParlAmend">
    <w:name w:val="ParlAmend"/>
    <w:aliases w:val="pp"/>
    <w:basedOn w:val="OPCParaBase"/>
    <w:rsid w:val="00EF4AD2"/>
    <w:pPr>
      <w:spacing w:before="240" w:line="240" w:lineRule="atLeast"/>
      <w:ind w:hanging="567"/>
    </w:pPr>
    <w:rPr>
      <w:sz w:val="24"/>
    </w:rPr>
  </w:style>
  <w:style w:type="paragraph" w:customStyle="1" w:styleId="Penalty">
    <w:name w:val="Penalty"/>
    <w:basedOn w:val="OPCParaBase"/>
    <w:rsid w:val="00EF4AD2"/>
    <w:pPr>
      <w:tabs>
        <w:tab w:val="left" w:pos="2977"/>
      </w:tabs>
      <w:spacing w:before="180" w:line="240" w:lineRule="auto"/>
      <w:ind w:left="1985" w:hanging="851"/>
    </w:pPr>
  </w:style>
  <w:style w:type="paragraph" w:customStyle="1" w:styleId="Portfolio">
    <w:name w:val="Portfolio"/>
    <w:basedOn w:val="OPCParaBase"/>
    <w:rsid w:val="00EF4AD2"/>
    <w:pPr>
      <w:spacing w:line="240" w:lineRule="auto"/>
    </w:pPr>
    <w:rPr>
      <w:i/>
      <w:sz w:val="20"/>
    </w:rPr>
  </w:style>
  <w:style w:type="paragraph" w:customStyle="1" w:styleId="Preamble">
    <w:name w:val="Preamble"/>
    <w:basedOn w:val="OPCParaBase"/>
    <w:next w:val="Normal"/>
    <w:rsid w:val="00EF4AD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F4AD2"/>
    <w:pPr>
      <w:spacing w:line="240" w:lineRule="auto"/>
    </w:pPr>
    <w:rPr>
      <w:i/>
      <w:sz w:val="20"/>
    </w:rPr>
  </w:style>
  <w:style w:type="paragraph" w:customStyle="1" w:styleId="Session">
    <w:name w:val="Session"/>
    <w:basedOn w:val="OPCParaBase"/>
    <w:rsid w:val="00EF4AD2"/>
    <w:pPr>
      <w:spacing w:line="240" w:lineRule="auto"/>
    </w:pPr>
    <w:rPr>
      <w:sz w:val="28"/>
    </w:rPr>
  </w:style>
  <w:style w:type="paragraph" w:customStyle="1" w:styleId="Sponsor">
    <w:name w:val="Sponsor"/>
    <w:basedOn w:val="OPCParaBase"/>
    <w:rsid w:val="00EF4AD2"/>
    <w:pPr>
      <w:spacing w:line="240" w:lineRule="auto"/>
    </w:pPr>
    <w:rPr>
      <w:i/>
    </w:rPr>
  </w:style>
  <w:style w:type="paragraph" w:customStyle="1" w:styleId="Subitem">
    <w:name w:val="Subitem"/>
    <w:aliases w:val="iss"/>
    <w:basedOn w:val="OPCParaBase"/>
    <w:rsid w:val="00EF4AD2"/>
    <w:pPr>
      <w:spacing w:before="180" w:line="240" w:lineRule="auto"/>
      <w:ind w:left="709" w:hanging="709"/>
    </w:pPr>
  </w:style>
  <w:style w:type="paragraph" w:customStyle="1" w:styleId="SubitemHead">
    <w:name w:val="SubitemHead"/>
    <w:aliases w:val="issh"/>
    <w:basedOn w:val="OPCParaBase"/>
    <w:rsid w:val="00EF4AD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F4AD2"/>
    <w:pPr>
      <w:spacing w:before="40" w:line="240" w:lineRule="auto"/>
      <w:ind w:left="1134"/>
    </w:pPr>
  </w:style>
  <w:style w:type="paragraph" w:customStyle="1" w:styleId="SubsectionHead">
    <w:name w:val="SubsectionHead"/>
    <w:aliases w:val="ssh"/>
    <w:basedOn w:val="OPCParaBase"/>
    <w:next w:val="subsection"/>
    <w:rsid w:val="00EF4AD2"/>
    <w:pPr>
      <w:keepNext/>
      <w:keepLines/>
      <w:spacing w:before="240" w:line="240" w:lineRule="auto"/>
      <w:ind w:left="1134"/>
    </w:pPr>
    <w:rPr>
      <w:i/>
    </w:rPr>
  </w:style>
  <w:style w:type="paragraph" w:customStyle="1" w:styleId="Tablea">
    <w:name w:val="Table(a)"/>
    <w:aliases w:val="ta"/>
    <w:basedOn w:val="OPCParaBase"/>
    <w:rsid w:val="00EF4AD2"/>
    <w:pPr>
      <w:spacing w:before="60" w:line="240" w:lineRule="auto"/>
      <w:ind w:left="284" w:hanging="284"/>
    </w:pPr>
    <w:rPr>
      <w:sz w:val="20"/>
    </w:rPr>
  </w:style>
  <w:style w:type="paragraph" w:customStyle="1" w:styleId="TableAA">
    <w:name w:val="Table(AA)"/>
    <w:aliases w:val="taaa"/>
    <w:basedOn w:val="OPCParaBase"/>
    <w:rsid w:val="00EF4AD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F4AD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F4AD2"/>
    <w:pPr>
      <w:spacing w:before="60" w:line="240" w:lineRule="atLeast"/>
    </w:pPr>
    <w:rPr>
      <w:sz w:val="20"/>
    </w:rPr>
  </w:style>
  <w:style w:type="paragraph" w:customStyle="1" w:styleId="TLPBoxTextnote">
    <w:name w:val="TLPBoxText(note"/>
    <w:aliases w:val="right)"/>
    <w:basedOn w:val="OPCParaBase"/>
    <w:rsid w:val="00EF4AD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F4AD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F4AD2"/>
    <w:pPr>
      <w:spacing w:before="122" w:line="198" w:lineRule="exact"/>
      <w:ind w:left="1985" w:hanging="851"/>
      <w:jc w:val="right"/>
    </w:pPr>
    <w:rPr>
      <w:sz w:val="18"/>
    </w:rPr>
  </w:style>
  <w:style w:type="paragraph" w:customStyle="1" w:styleId="TLPTableBullet">
    <w:name w:val="TLPTableBullet"/>
    <w:aliases w:val="ttb"/>
    <w:basedOn w:val="OPCParaBase"/>
    <w:rsid w:val="00EF4AD2"/>
    <w:pPr>
      <w:spacing w:line="240" w:lineRule="exact"/>
      <w:ind w:left="284" w:hanging="284"/>
    </w:pPr>
    <w:rPr>
      <w:sz w:val="20"/>
    </w:rPr>
  </w:style>
  <w:style w:type="paragraph" w:styleId="TOC1">
    <w:name w:val="toc 1"/>
    <w:basedOn w:val="Normal"/>
    <w:next w:val="Normal"/>
    <w:uiPriority w:val="39"/>
    <w:unhideWhenUsed/>
    <w:rsid w:val="00EF4AD2"/>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EF4AD2"/>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EF4AD2"/>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EF4AD2"/>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EF4AD2"/>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EF4AD2"/>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EF4AD2"/>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EF4AD2"/>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EF4AD2"/>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EF4AD2"/>
    <w:pPr>
      <w:keepLines/>
      <w:spacing w:before="240" w:after="120" w:line="240" w:lineRule="auto"/>
      <w:ind w:left="794"/>
    </w:pPr>
    <w:rPr>
      <w:b/>
      <w:kern w:val="28"/>
      <w:sz w:val="20"/>
    </w:rPr>
  </w:style>
  <w:style w:type="paragraph" w:customStyle="1" w:styleId="TofSectsHeading">
    <w:name w:val="TofSects(Heading)"/>
    <w:basedOn w:val="OPCParaBase"/>
    <w:rsid w:val="00EF4AD2"/>
    <w:pPr>
      <w:spacing w:before="240" w:after="120" w:line="240" w:lineRule="auto"/>
    </w:pPr>
    <w:rPr>
      <w:b/>
      <w:sz w:val="24"/>
    </w:rPr>
  </w:style>
  <w:style w:type="paragraph" w:customStyle="1" w:styleId="TofSectsSection">
    <w:name w:val="TofSects(Section)"/>
    <w:basedOn w:val="OPCParaBase"/>
    <w:rsid w:val="00EF4AD2"/>
    <w:pPr>
      <w:keepLines/>
      <w:spacing w:before="40" w:line="240" w:lineRule="auto"/>
      <w:ind w:left="1588" w:hanging="794"/>
    </w:pPr>
    <w:rPr>
      <w:kern w:val="28"/>
      <w:sz w:val="18"/>
    </w:rPr>
  </w:style>
  <w:style w:type="paragraph" w:customStyle="1" w:styleId="TofSectsSubdiv">
    <w:name w:val="TofSects(Subdiv)"/>
    <w:basedOn w:val="OPCParaBase"/>
    <w:rsid w:val="00EF4AD2"/>
    <w:pPr>
      <w:keepLines/>
      <w:spacing w:before="80" w:line="240" w:lineRule="auto"/>
      <w:ind w:left="1588" w:hanging="794"/>
    </w:pPr>
    <w:rPr>
      <w:kern w:val="28"/>
    </w:rPr>
  </w:style>
  <w:style w:type="paragraph" w:customStyle="1" w:styleId="WRStyle">
    <w:name w:val="WR Style"/>
    <w:aliases w:val="WR"/>
    <w:basedOn w:val="OPCParaBase"/>
    <w:rsid w:val="00EF4AD2"/>
    <w:pPr>
      <w:spacing w:before="240" w:line="240" w:lineRule="auto"/>
      <w:ind w:left="284" w:hanging="284"/>
    </w:pPr>
    <w:rPr>
      <w:b/>
      <w:i/>
      <w:kern w:val="28"/>
      <w:sz w:val="24"/>
    </w:rPr>
  </w:style>
  <w:style w:type="paragraph" w:customStyle="1" w:styleId="notepara">
    <w:name w:val="note(para)"/>
    <w:aliases w:val="na"/>
    <w:basedOn w:val="OPCParaBase"/>
    <w:rsid w:val="00EF4AD2"/>
    <w:pPr>
      <w:spacing w:before="40" w:line="198" w:lineRule="exact"/>
      <w:ind w:left="2354" w:hanging="369"/>
    </w:pPr>
    <w:rPr>
      <w:sz w:val="18"/>
    </w:rPr>
  </w:style>
  <w:style w:type="paragraph" w:styleId="Footer">
    <w:name w:val="footer"/>
    <w:link w:val="FooterChar"/>
    <w:rsid w:val="00EF4AD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F4AD2"/>
    <w:rPr>
      <w:rFonts w:eastAsia="Times New Roman" w:cs="Times New Roman"/>
      <w:sz w:val="22"/>
      <w:szCs w:val="24"/>
      <w:lang w:eastAsia="en-AU"/>
    </w:rPr>
  </w:style>
  <w:style w:type="character" w:styleId="LineNumber">
    <w:name w:val="line number"/>
    <w:basedOn w:val="OPCCharBase"/>
    <w:uiPriority w:val="99"/>
    <w:unhideWhenUsed/>
    <w:rsid w:val="00EF4AD2"/>
    <w:rPr>
      <w:sz w:val="16"/>
    </w:rPr>
  </w:style>
  <w:style w:type="table" w:customStyle="1" w:styleId="CFlag">
    <w:name w:val="CFlag"/>
    <w:basedOn w:val="TableNormal"/>
    <w:uiPriority w:val="99"/>
    <w:rsid w:val="00EF4AD2"/>
    <w:rPr>
      <w:rFonts w:eastAsia="Times New Roman" w:cs="Times New Roman"/>
      <w:lang w:eastAsia="en-AU"/>
    </w:rPr>
    <w:tblPr/>
  </w:style>
  <w:style w:type="paragraph" w:styleId="BalloonText">
    <w:name w:val="Balloon Text"/>
    <w:basedOn w:val="Normal"/>
    <w:link w:val="BalloonTextChar"/>
    <w:uiPriority w:val="99"/>
    <w:unhideWhenUsed/>
    <w:rsid w:val="00EF4A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F4AD2"/>
    <w:rPr>
      <w:rFonts w:ascii="Tahoma" w:hAnsi="Tahoma" w:cs="Tahoma"/>
      <w:sz w:val="16"/>
      <w:szCs w:val="16"/>
    </w:rPr>
  </w:style>
  <w:style w:type="table" w:styleId="TableGrid">
    <w:name w:val="Table Grid"/>
    <w:basedOn w:val="TableNormal"/>
    <w:uiPriority w:val="59"/>
    <w:rsid w:val="00EF4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EF4AD2"/>
    <w:rPr>
      <w:b/>
      <w:sz w:val="28"/>
      <w:szCs w:val="32"/>
    </w:rPr>
  </w:style>
  <w:style w:type="paragraph" w:customStyle="1" w:styleId="LegislationMadeUnder">
    <w:name w:val="LegislationMadeUnder"/>
    <w:basedOn w:val="OPCParaBase"/>
    <w:next w:val="Normal"/>
    <w:rsid w:val="00EF4AD2"/>
    <w:rPr>
      <w:i/>
      <w:sz w:val="32"/>
      <w:szCs w:val="32"/>
    </w:rPr>
  </w:style>
  <w:style w:type="paragraph" w:customStyle="1" w:styleId="SignCoverPageEnd">
    <w:name w:val="SignCoverPageEnd"/>
    <w:basedOn w:val="OPCParaBase"/>
    <w:next w:val="Normal"/>
    <w:rsid w:val="00EF4AD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F4AD2"/>
    <w:pPr>
      <w:pBdr>
        <w:top w:val="single" w:sz="4" w:space="1" w:color="auto"/>
      </w:pBdr>
      <w:spacing w:before="360"/>
      <w:ind w:right="397"/>
      <w:jc w:val="both"/>
    </w:pPr>
  </w:style>
  <w:style w:type="paragraph" w:customStyle="1" w:styleId="NotesHeading1">
    <w:name w:val="NotesHeading 1"/>
    <w:basedOn w:val="OPCParaBase"/>
    <w:next w:val="Normal"/>
    <w:rsid w:val="00EF4AD2"/>
    <w:rPr>
      <w:b/>
      <w:sz w:val="28"/>
      <w:szCs w:val="28"/>
    </w:rPr>
  </w:style>
  <w:style w:type="paragraph" w:customStyle="1" w:styleId="NotesHeading2">
    <w:name w:val="NotesHeading 2"/>
    <w:basedOn w:val="OPCParaBase"/>
    <w:next w:val="Normal"/>
    <w:rsid w:val="00EF4AD2"/>
    <w:rPr>
      <w:b/>
      <w:sz w:val="28"/>
      <w:szCs w:val="28"/>
    </w:rPr>
  </w:style>
  <w:style w:type="paragraph" w:customStyle="1" w:styleId="CompiledActNo">
    <w:name w:val="CompiledActNo"/>
    <w:basedOn w:val="OPCParaBase"/>
    <w:next w:val="Normal"/>
    <w:rsid w:val="00EF4AD2"/>
    <w:rPr>
      <w:b/>
      <w:sz w:val="24"/>
      <w:szCs w:val="24"/>
    </w:rPr>
  </w:style>
  <w:style w:type="paragraph" w:customStyle="1" w:styleId="ENotesText">
    <w:name w:val="ENotesText"/>
    <w:aliases w:val="Ent"/>
    <w:basedOn w:val="OPCParaBase"/>
    <w:next w:val="Normal"/>
    <w:rsid w:val="00EF4AD2"/>
    <w:pPr>
      <w:spacing w:before="120"/>
    </w:pPr>
  </w:style>
  <w:style w:type="paragraph" w:customStyle="1" w:styleId="CompiledMadeUnder">
    <w:name w:val="CompiledMadeUnder"/>
    <w:basedOn w:val="OPCParaBase"/>
    <w:next w:val="Normal"/>
    <w:rsid w:val="00EF4AD2"/>
    <w:rPr>
      <w:i/>
      <w:sz w:val="24"/>
      <w:szCs w:val="24"/>
    </w:rPr>
  </w:style>
  <w:style w:type="paragraph" w:customStyle="1" w:styleId="Paragraphsub-sub-sub">
    <w:name w:val="Paragraph(sub-sub-sub)"/>
    <w:aliases w:val="aaaa"/>
    <w:basedOn w:val="OPCParaBase"/>
    <w:rsid w:val="00EF4AD2"/>
    <w:pPr>
      <w:tabs>
        <w:tab w:val="right" w:pos="3402"/>
      </w:tabs>
      <w:spacing w:before="40" w:line="240" w:lineRule="auto"/>
      <w:ind w:left="3402" w:hanging="3402"/>
    </w:pPr>
  </w:style>
  <w:style w:type="paragraph" w:customStyle="1" w:styleId="TableTextEndNotes">
    <w:name w:val="TableTextEndNotes"/>
    <w:aliases w:val="Tten"/>
    <w:basedOn w:val="Normal"/>
    <w:rsid w:val="00EF4AD2"/>
    <w:pPr>
      <w:spacing w:before="60" w:line="240" w:lineRule="auto"/>
    </w:pPr>
    <w:rPr>
      <w:rFonts w:cs="Arial"/>
      <w:sz w:val="20"/>
      <w:szCs w:val="22"/>
    </w:rPr>
  </w:style>
  <w:style w:type="paragraph" w:customStyle="1" w:styleId="NoteToSubpara">
    <w:name w:val="NoteToSubpara"/>
    <w:aliases w:val="nts"/>
    <w:basedOn w:val="OPCParaBase"/>
    <w:rsid w:val="00EF4AD2"/>
    <w:pPr>
      <w:spacing w:before="40" w:line="198" w:lineRule="exact"/>
      <w:ind w:left="2835" w:hanging="709"/>
    </w:pPr>
    <w:rPr>
      <w:sz w:val="18"/>
    </w:rPr>
  </w:style>
  <w:style w:type="paragraph" w:customStyle="1" w:styleId="ENoteTableHeading">
    <w:name w:val="ENoteTableHeading"/>
    <w:aliases w:val="enth"/>
    <w:basedOn w:val="OPCParaBase"/>
    <w:rsid w:val="00EF4AD2"/>
    <w:pPr>
      <w:keepNext/>
      <w:spacing w:before="60" w:line="240" w:lineRule="atLeast"/>
    </w:pPr>
    <w:rPr>
      <w:rFonts w:ascii="Arial" w:hAnsi="Arial"/>
      <w:b/>
      <w:sz w:val="16"/>
    </w:rPr>
  </w:style>
  <w:style w:type="paragraph" w:customStyle="1" w:styleId="ENoteTTi">
    <w:name w:val="ENoteTTi"/>
    <w:aliases w:val="entti"/>
    <w:basedOn w:val="OPCParaBase"/>
    <w:rsid w:val="00EF4AD2"/>
    <w:pPr>
      <w:keepNext/>
      <w:spacing w:before="60" w:line="240" w:lineRule="atLeast"/>
      <w:ind w:left="170"/>
    </w:pPr>
    <w:rPr>
      <w:sz w:val="16"/>
    </w:rPr>
  </w:style>
  <w:style w:type="paragraph" w:customStyle="1" w:styleId="ENotesHeading1">
    <w:name w:val="ENotesHeading 1"/>
    <w:aliases w:val="Enh1"/>
    <w:basedOn w:val="OPCParaBase"/>
    <w:next w:val="Normal"/>
    <w:rsid w:val="00EF4AD2"/>
    <w:pPr>
      <w:spacing w:before="120"/>
      <w:outlineLvl w:val="1"/>
    </w:pPr>
    <w:rPr>
      <w:b/>
      <w:sz w:val="28"/>
      <w:szCs w:val="28"/>
    </w:rPr>
  </w:style>
  <w:style w:type="paragraph" w:customStyle="1" w:styleId="ENotesHeading2">
    <w:name w:val="ENotesHeading 2"/>
    <w:aliases w:val="Enh2"/>
    <w:basedOn w:val="OPCParaBase"/>
    <w:next w:val="Normal"/>
    <w:rsid w:val="00EF4AD2"/>
    <w:pPr>
      <w:spacing w:before="120" w:after="120"/>
      <w:outlineLvl w:val="2"/>
    </w:pPr>
    <w:rPr>
      <w:b/>
      <w:sz w:val="24"/>
      <w:szCs w:val="28"/>
    </w:rPr>
  </w:style>
  <w:style w:type="paragraph" w:customStyle="1" w:styleId="ENoteTTIndentHeading">
    <w:name w:val="ENoteTTIndentHeading"/>
    <w:aliases w:val="enTTHi"/>
    <w:basedOn w:val="OPCParaBase"/>
    <w:rsid w:val="00EF4AD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F4AD2"/>
    <w:pPr>
      <w:spacing w:before="60" w:line="240" w:lineRule="atLeast"/>
    </w:pPr>
    <w:rPr>
      <w:sz w:val="16"/>
    </w:rPr>
  </w:style>
  <w:style w:type="paragraph" w:customStyle="1" w:styleId="MadeunderText">
    <w:name w:val="MadeunderText"/>
    <w:basedOn w:val="OPCParaBase"/>
    <w:next w:val="Normal"/>
    <w:rsid w:val="00EF4AD2"/>
    <w:pPr>
      <w:spacing w:before="240"/>
    </w:pPr>
    <w:rPr>
      <w:sz w:val="24"/>
      <w:szCs w:val="24"/>
    </w:rPr>
  </w:style>
  <w:style w:type="paragraph" w:customStyle="1" w:styleId="ENotesHeading3">
    <w:name w:val="ENotesHeading 3"/>
    <w:aliases w:val="Enh3"/>
    <w:basedOn w:val="OPCParaBase"/>
    <w:next w:val="Normal"/>
    <w:rsid w:val="00EF4AD2"/>
    <w:pPr>
      <w:keepNext/>
      <w:spacing w:before="120" w:line="240" w:lineRule="auto"/>
      <w:outlineLvl w:val="4"/>
    </w:pPr>
    <w:rPr>
      <w:b/>
      <w:szCs w:val="24"/>
    </w:rPr>
  </w:style>
  <w:style w:type="character" w:customStyle="1" w:styleId="CharSubPartTextCASA">
    <w:name w:val="CharSubPartText(CASA)"/>
    <w:basedOn w:val="OPCCharBase"/>
    <w:uiPriority w:val="1"/>
    <w:rsid w:val="00EF4AD2"/>
  </w:style>
  <w:style w:type="character" w:customStyle="1" w:styleId="CharSubPartNoCASA">
    <w:name w:val="CharSubPartNo(CASA)"/>
    <w:basedOn w:val="OPCCharBase"/>
    <w:uiPriority w:val="1"/>
    <w:rsid w:val="00EF4AD2"/>
  </w:style>
  <w:style w:type="paragraph" w:customStyle="1" w:styleId="ENoteTTIndentHeadingSub">
    <w:name w:val="ENoteTTIndentHeadingSub"/>
    <w:aliases w:val="enTTHis"/>
    <w:basedOn w:val="OPCParaBase"/>
    <w:rsid w:val="00EF4AD2"/>
    <w:pPr>
      <w:keepNext/>
      <w:spacing w:before="60" w:line="240" w:lineRule="atLeast"/>
      <w:ind w:left="340"/>
    </w:pPr>
    <w:rPr>
      <w:b/>
      <w:sz w:val="16"/>
    </w:rPr>
  </w:style>
  <w:style w:type="paragraph" w:customStyle="1" w:styleId="ENoteTTiSub">
    <w:name w:val="ENoteTTiSub"/>
    <w:aliases w:val="enttis"/>
    <w:basedOn w:val="OPCParaBase"/>
    <w:rsid w:val="00EF4AD2"/>
    <w:pPr>
      <w:keepNext/>
      <w:spacing w:before="60" w:line="240" w:lineRule="atLeast"/>
      <w:ind w:left="340"/>
    </w:pPr>
    <w:rPr>
      <w:sz w:val="16"/>
    </w:rPr>
  </w:style>
  <w:style w:type="paragraph" w:customStyle="1" w:styleId="SubDivisionMigration">
    <w:name w:val="SubDivisionMigration"/>
    <w:aliases w:val="sdm"/>
    <w:basedOn w:val="OPCParaBase"/>
    <w:rsid w:val="00EF4AD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F4AD2"/>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EF4AD2"/>
    <w:pPr>
      <w:spacing w:before="122" w:line="240" w:lineRule="auto"/>
      <w:ind w:left="1985" w:hanging="851"/>
    </w:pPr>
    <w:rPr>
      <w:sz w:val="18"/>
    </w:rPr>
  </w:style>
  <w:style w:type="paragraph" w:customStyle="1" w:styleId="FreeForm">
    <w:name w:val="FreeForm"/>
    <w:rsid w:val="00EF4AD2"/>
    <w:rPr>
      <w:rFonts w:ascii="Arial" w:hAnsi="Arial"/>
      <w:sz w:val="22"/>
    </w:rPr>
  </w:style>
  <w:style w:type="paragraph" w:customStyle="1" w:styleId="SOText">
    <w:name w:val="SO Text"/>
    <w:aliases w:val="sot"/>
    <w:link w:val="SOTextChar"/>
    <w:rsid w:val="00EF4AD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F4AD2"/>
    <w:rPr>
      <w:sz w:val="22"/>
    </w:rPr>
  </w:style>
  <w:style w:type="paragraph" w:customStyle="1" w:styleId="SOTextNote">
    <w:name w:val="SO TextNote"/>
    <w:aliases w:val="sont"/>
    <w:basedOn w:val="SOText"/>
    <w:qFormat/>
    <w:rsid w:val="00EF4AD2"/>
    <w:pPr>
      <w:spacing w:before="122" w:line="198" w:lineRule="exact"/>
      <w:ind w:left="1843" w:hanging="709"/>
    </w:pPr>
    <w:rPr>
      <w:sz w:val="18"/>
    </w:rPr>
  </w:style>
  <w:style w:type="paragraph" w:customStyle="1" w:styleId="SOPara">
    <w:name w:val="SO Para"/>
    <w:aliases w:val="soa"/>
    <w:basedOn w:val="SOText"/>
    <w:link w:val="SOParaChar"/>
    <w:qFormat/>
    <w:rsid w:val="00EF4AD2"/>
    <w:pPr>
      <w:tabs>
        <w:tab w:val="right" w:pos="1786"/>
      </w:tabs>
      <w:spacing w:before="40"/>
      <w:ind w:left="2070" w:hanging="936"/>
    </w:pPr>
  </w:style>
  <w:style w:type="character" w:customStyle="1" w:styleId="SOParaChar">
    <w:name w:val="SO Para Char"/>
    <w:aliases w:val="soa Char"/>
    <w:basedOn w:val="DefaultParagraphFont"/>
    <w:link w:val="SOPara"/>
    <w:rsid w:val="00EF4AD2"/>
    <w:rPr>
      <w:sz w:val="22"/>
    </w:rPr>
  </w:style>
  <w:style w:type="paragraph" w:customStyle="1" w:styleId="FileName">
    <w:name w:val="FileName"/>
    <w:basedOn w:val="Normal"/>
    <w:rsid w:val="00EF4AD2"/>
  </w:style>
  <w:style w:type="paragraph" w:customStyle="1" w:styleId="TableHeading">
    <w:name w:val="TableHeading"/>
    <w:aliases w:val="th"/>
    <w:basedOn w:val="OPCParaBase"/>
    <w:next w:val="Tabletext"/>
    <w:rsid w:val="00EF4AD2"/>
    <w:pPr>
      <w:keepNext/>
      <w:spacing w:before="60" w:line="240" w:lineRule="atLeast"/>
    </w:pPr>
    <w:rPr>
      <w:b/>
      <w:sz w:val="20"/>
    </w:rPr>
  </w:style>
  <w:style w:type="paragraph" w:customStyle="1" w:styleId="SOHeadBold">
    <w:name w:val="SO HeadBold"/>
    <w:aliases w:val="sohb"/>
    <w:basedOn w:val="SOText"/>
    <w:next w:val="SOText"/>
    <w:link w:val="SOHeadBoldChar"/>
    <w:qFormat/>
    <w:rsid w:val="00EF4AD2"/>
    <w:rPr>
      <w:b/>
    </w:rPr>
  </w:style>
  <w:style w:type="character" w:customStyle="1" w:styleId="SOHeadBoldChar">
    <w:name w:val="SO HeadBold Char"/>
    <w:aliases w:val="sohb Char"/>
    <w:basedOn w:val="DefaultParagraphFont"/>
    <w:link w:val="SOHeadBold"/>
    <w:rsid w:val="00EF4AD2"/>
    <w:rPr>
      <w:b/>
      <w:sz w:val="22"/>
    </w:rPr>
  </w:style>
  <w:style w:type="paragraph" w:customStyle="1" w:styleId="SOHeadItalic">
    <w:name w:val="SO HeadItalic"/>
    <w:aliases w:val="sohi"/>
    <w:basedOn w:val="SOText"/>
    <w:next w:val="SOText"/>
    <w:link w:val="SOHeadItalicChar"/>
    <w:qFormat/>
    <w:rsid w:val="00EF4AD2"/>
    <w:rPr>
      <w:i/>
    </w:rPr>
  </w:style>
  <w:style w:type="character" w:customStyle="1" w:styleId="SOHeadItalicChar">
    <w:name w:val="SO HeadItalic Char"/>
    <w:aliases w:val="sohi Char"/>
    <w:basedOn w:val="DefaultParagraphFont"/>
    <w:link w:val="SOHeadItalic"/>
    <w:rsid w:val="00EF4AD2"/>
    <w:rPr>
      <w:i/>
      <w:sz w:val="22"/>
    </w:rPr>
  </w:style>
  <w:style w:type="paragraph" w:customStyle="1" w:styleId="SOBullet">
    <w:name w:val="SO Bullet"/>
    <w:aliases w:val="sotb"/>
    <w:basedOn w:val="SOText"/>
    <w:link w:val="SOBulletChar"/>
    <w:qFormat/>
    <w:rsid w:val="00EF4AD2"/>
    <w:pPr>
      <w:ind w:left="1559" w:hanging="425"/>
    </w:pPr>
  </w:style>
  <w:style w:type="character" w:customStyle="1" w:styleId="SOBulletChar">
    <w:name w:val="SO Bullet Char"/>
    <w:aliases w:val="sotb Char"/>
    <w:basedOn w:val="DefaultParagraphFont"/>
    <w:link w:val="SOBullet"/>
    <w:rsid w:val="00EF4AD2"/>
    <w:rPr>
      <w:sz w:val="22"/>
    </w:rPr>
  </w:style>
  <w:style w:type="paragraph" w:customStyle="1" w:styleId="SOBulletNote">
    <w:name w:val="SO BulletNote"/>
    <w:aliases w:val="sonb"/>
    <w:basedOn w:val="SOTextNote"/>
    <w:link w:val="SOBulletNoteChar"/>
    <w:qFormat/>
    <w:rsid w:val="00EF4AD2"/>
    <w:pPr>
      <w:tabs>
        <w:tab w:val="left" w:pos="1560"/>
      </w:tabs>
      <w:ind w:left="2268" w:hanging="1134"/>
    </w:pPr>
  </w:style>
  <w:style w:type="character" w:customStyle="1" w:styleId="SOBulletNoteChar">
    <w:name w:val="SO BulletNote Char"/>
    <w:aliases w:val="sonb Char"/>
    <w:basedOn w:val="DefaultParagraphFont"/>
    <w:link w:val="SOBulletNote"/>
    <w:rsid w:val="00EF4AD2"/>
    <w:rPr>
      <w:sz w:val="18"/>
    </w:rPr>
  </w:style>
  <w:style w:type="paragraph" w:customStyle="1" w:styleId="SOText2">
    <w:name w:val="SO Text2"/>
    <w:aliases w:val="sot2"/>
    <w:basedOn w:val="Normal"/>
    <w:next w:val="SOText"/>
    <w:link w:val="SOText2Char"/>
    <w:rsid w:val="00EF4AD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F4AD2"/>
    <w:rPr>
      <w:sz w:val="22"/>
    </w:rPr>
  </w:style>
  <w:style w:type="paragraph" w:customStyle="1" w:styleId="SubPartCASA">
    <w:name w:val="SubPart(CASA)"/>
    <w:aliases w:val="csp"/>
    <w:basedOn w:val="OPCParaBase"/>
    <w:next w:val="ActHead3"/>
    <w:rsid w:val="00EF4AD2"/>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EF4AD2"/>
    <w:rPr>
      <w:rFonts w:eastAsia="Times New Roman" w:cs="Times New Roman"/>
      <w:sz w:val="22"/>
      <w:lang w:eastAsia="en-AU"/>
    </w:rPr>
  </w:style>
  <w:style w:type="character" w:customStyle="1" w:styleId="notetextChar">
    <w:name w:val="note(text) Char"/>
    <w:aliases w:val="n Char"/>
    <w:basedOn w:val="DefaultParagraphFont"/>
    <w:link w:val="notetext"/>
    <w:rsid w:val="00EF4AD2"/>
    <w:rPr>
      <w:rFonts w:eastAsia="Times New Roman" w:cs="Times New Roman"/>
      <w:sz w:val="18"/>
      <w:lang w:eastAsia="en-AU"/>
    </w:rPr>
  </w:style>
  <w:style w:type="character" w:customStyle="1" w:styleId="Heading1Char">
    <w:name w:val="Heading 1 Char"/>
    <w:basedOn w:val="DefaultParagraphFont"/>
    <w:link w:val="Heading1"/>
    <w:uiPriority w:val="9"/>
    <w:rsid w:val="00EF4A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4A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4AD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EF4AD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EF4AD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EF4AD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EF4AD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EF4AD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EF4AD2"/>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EF4AD2"/>
    <w:rPr>
      <w:rFonts w:ascii="Arial" w:hAnsi="Arial" w:cs="Arial" w:hint="default"/>
      <w:b/>
      <w:bCs/>
      <w:sz w:val="28"/>
      <w:szCs w:val="28"/>
    </w:rPr>
  </w:style>
  <w:style w:type="paragraph" w:styleId="Index1">
    <w:name w:val="index 1"/>
    <w:basedOn w:val="Normal"/>
    <w:next w:val="Normal"/>
    <w:autoRedefine/>
    <w:rsid w:val="00EF4AD2"/>
    <w:pPr>
      <w:ind w:left="240" w:hanging="240"/>
    </w:pPr>
  </w:style>
  <w:style w:type="paragraph" w:styleId="Index2">
    <w:name w:val="index 2"/>
    <w:basedOn w:val="Normal"/>
    <w:next w:val="Normal"/>
    <w:autoRedefine/>
    <w:rsid w:val="00EF4AD2"/>
    <w:pPr>
      <w:ind w:left="480" w:hanging="240"/>
    </w:pPr>
  </w:style>
  <w:style w:type="paragraph" w:styleId="Index3">
    <w:name w:val="index 3"/>
    <w:basedOn w:val="Normal"/>
    <w:next w:val="Normal"/>
    <w:autoRedefine/>
    <w:rsid w:val="00EF4AD2"/>
    <w:pPr>
      <w:ind w:left="720" w:hanging="240"/>
    </w:pPr>
  </w:style>
  <w:style w:type="paragraph" w:styleId="Index4">
    <w:name w:val="index 4"/>
    <w:basedOn w:val="Normal"/>
    <w:next w:val="Normal"/>
    <w:autoRedefine/>
    <w:rsid w:val="00EF4AD2"/>
    <w:pPr>
      <w:ind w:left="960" w:hanging="240"/>
    </w:pPr>
  </w:style>
  <w:style w:type="paragraph" w:styleId="Index5">
    <w:name w:val="index 5"/>
    <w:basedOn w:val="Normal"/>
    <w:next w:val="Normal"/>
    <w:autoRedefine/>
    <w:rsid w:val="00EF4AD2"/>
    <w:pPr>
      <w:ind w:left="1200" w:hanging="240"/>
    </w:pPr>
  </w:style>
  <w:style w:type="paragraph" w:styleId="Index6">
    <w:name w:val="index 6"/>
    <w:basedOn w:val="Normal"/>
    <w:next w:val="Normal"/>
    <w:autoRedefine/>
    <w:rsid w:val="00EF4AD2"/>
    <w:pPr>
      <w:ind w:left="1440" w:hanging="240"/>
    </w:pPr>
  </w:style>
  <w:style w:type="paragraph" w:styleId="Index7">
    <w:name w:val="index 7"/>
    <w:basedOn w:val="Normal"/>
    <w:next w:val="Normal"/>
    <w:autoRedefine/>
    <w:rsid w:val="00EF4AD2"/>
    <w:pPr>
      <w:ind w:left="1680" w:hanging="240"/>
    </w:pPr>
  </w:style>
  <w:style w:type="paragraph" w:styleId="Index8">
    <w:name w:val="index 8"/>
    <w:basedOn w:val="Normal"/>
    <w:next w:val="Normal"/>
    <w:autoRedefine/>
    <w:rsid w:val="00EF4AD2"/>
    <w:pPr>
      <w:ind w:left="1920" w:hanging="240"/>
    </w:pPr>
  </w:style>
  <w:style w:type="paragraph" w:styleId="Index9">
    <w:name w:val="index 9"/>
    <w:basedOn w:val="Normal"/>
    <w:next w:val="Normal"/>
    <w:autoRedefine/>
    <w:rsid w:val="00EF4AD2"/>
    <w:pPr>
      <w:ind w:left="2160" w:hanging="240"/>
    </w:pPr>
  </w:style>
  <w:style w:type="paragraph" w:styleId="NormalIndent">
    <w:name w:val="Normal Indent"/>
    <w:basedOn w:val="Normal"/>
    <w:rsid w:val="00EF4AD2"/>
    <w:pPr>
      <w:ind w:left="720"/>
    </w:pPr>
  </w:style>
  <w:style w:type="paragraph" w:styleId="FootnoteText">
    <w:name w:val="footnote text"/>
    <w:basedOn w:val="Normal"/>
    <w:link w:val="FootnoteTextChar"/>
    <w:rsid w:val="00EF4AD2"/>
    <w:rPr>
      <w:sz w:val="20"/>
    </w:rPr>
  </w:style>
  <w:style w:type="character" w:customStyle="1" w:styleId="FootnoteTextChar">
    <w:name w:val="Footnote Text Char"/>
    <w:basedOn w:val="DefaultParagraphFont"/>
    <w:link w:val="FootnoteText"/>
    <w:rsid w:val="00EF4AD2"/>
  </w:style>
  <w:style w:type="paragraph" w:styleId="CommentText">
    <w:name w:val="annotation text"/>
    <w:basedOn w:val="Normal"/>
    <w:link w:val="CommentTextChar"/>
    <w:rsid w:val="00EF4AD2"/>
    <w:rPr>
      <w:sz w:val="20"/>
    </w:rPr>
  </w:style>
  <w:style w:type="character" w:customStyle="1" w:styleId="CommentTextChar">
    <w:name w:val="Comment Text Char"/>
    <w:basedOn w:val="DefaultParagraphFont"/>
    <w:link w:val="CommentText"/>
    <w:rsid w:val="00EF4AD2"/>
  </w:style>
  <w:style w:type="paragraph" w:styleId="IndexHeading">
    <w:name w:val="index heading"/>
    <w:basedOn w:val="Normal"/>
    <w:next w:val="Index1"/>
    <w:rsid w:val="00EF4AD2"/>
    <w:rPr>
      <w:rFonts w:ascii="Arial" w:hAnsi="Arial" w:cs="Arial"/>
      <w:b/>
      <w:bCs/>
    </w:rPr>
  </w:style>
  <w:style w:type="paragraph" w:styleId="Caption">
    <w:name w:val="caption"/>
    <w:basedOn w:val="Normal"/>
    <w:next w:val="Normal"/>
    <w:qFormat/>
    <w:rsid w:val="00EF4AD2"/>
    <w:pPr>
      <w:spacing w:before="120" w:after="120"/>
    </w:pPr>
    <w:rPr>
      <w:b/>
      <w:bCs/>
      <w:sz w:val="20"/>
    </w:rPr>
  </w:style>
  <w:style w:type="paragraph" w:styleId="TableofFigures">
    <w:name w:val="table of figures"/>
    <w:basedOn w:val="Normal"/>
    <w:next w:val="Normal"/>
    <w:rsid w:val="00EF4AD2"/>
    <w:pPr>
      <w:ind w:left="480" w:hanging="480"/>
    </w:pPr>
  </w:style>
  <w:style w:type="paragraph" w:styleId="EnvelopeAddress">
    <w:name w:val="envelope address"/>
    <w:basedOn w:val="Normal"/>
    <w:rsid w:val="00EF4AD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F4AD2"/>
    <w:rPr>
      <w:rFonts w:ascii="Arial" w:hAnsi="Arial" w:cs="Arial"/>
      <w:sz w:val="20"/>
    </w:rPr>
  </w:style>
  <w:style w:type="character" w:styleId="FootnoteReference">
    <w:name w:val="footnote reference"/>
    <w:basedOn w:val="DefaultParagraphFont"/>
    <w:rsid w:val="00EF4AD2"/>
    <w:rPr>
      <w:rFonts w:ascii="Times New Roman" w:hAnsi="Times New Roman"/>
      <w:sz w:val="20"/>
      <w:vertAlign w:val="superscript"/>
    </w:rPr>
  </w:style>
  <w:style w:type="character" w:styleId="CommentReference">
    <w:name w:val="annotation reference"/>
    <w:basedOn w:val="DefaultParagraphFont"/>
    <w:rsid w:val="00EF4AD2"/>
    <w:rPr>
      <w:sz w:val="16"/>
      <w:szCs w:val="16"/>
    </w:rPr>
  </w:style>
  <w:style w:type="character" w:styleId="PageNumber">
    <w:name w:val="page number"/>
    <w:basedOn w:val="DefaultParagraphFont"/>
    <w:rsid w:val="00EF4AD2"/>
  </w:style>
  <w:style w:type="character" w:styleId="EndnoteReference">
    <w:name w:val="endnote reference"/>
    <w:basedOn w:val="DefaultParagraphFont"/>
    <w:rsid w:val="00EF4AD2"/>
    <w:rPr>
      <w:vertAlign w:val="superscript"/>
    </w:rPr>
  </w:style>
  <w:style w:type="paragraph" w:styleId="EndnoteText">
    <w:name w:val="endnote text"/>
    <w:basedOn w:val="Normal"/>
    <w:link w:val="EndnoteTextChar"/>
    <w:rsid w:val="00EF4AD2"/>
    <w:rPr>
      <w:sz w:val="20"/>
    </w:rPr>
  </w:style>
  <w:style w:type="character" w:customStyle="1" w:styleId="EndnoteTextChar">
    <w:name w:val="Endnote Text Char"/>
    <w:basedOn w:val="DefaultParagraphFont"/>
    <w:link w:val="EndnoteText"/>
    <w:rsid w:val="00EF4AD2"/>
  </w:style>
  <w:style w:type="paragraph" w:styleId="TableofAuthorities">
    <w:name w:val="table of authorities"/>
    <w:basedOn w:val="Normal"/>
    <w:next w:val="Normal"/>
    <w:rsid w:val="00EF4AD2"/>
    <w:pPr>
      <w:ind w:left="240" w:hanging="240"/>
    </w:pPr>
  </w:style>
  <w:style w:type="paragraph" w:styleId="MacroText">
    <w:name w:val="macro"/>
    <w:link w:val="MacroTextChar"/>
    <w:rsid w:val="00EF4AD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EF4AD2"/>
    <w:rPr>
      <w:rFonts w:ascii="Courier New" w:eastAsia="Times New Roman" w:hAnsi="Courier New" w:cs="Courier New"/>
      <w:lang w:eastAsia="en-AU"/>
    </w:rPr>
  </w:style>
  <w:style w:type="paragraph" w:styleId="TOAHeading">
    <w:name w:val="toa heading"/>
    <w:basedOn w:val="Normal"/>
    <w:next w:val="Normal"/>
    <w:rsid w:val="00EF4AD2"/>
    <w:pPr>
      <w:spacing w:before="120"/>
    </w:pPr>
    <w:rPr>
      <w:rFonts w:ascii="Arial" w:hAnsi="Arial" w:cs="Arial"/>
      <w:b/>
      <w:bCs/>
    </w:rPr>
  </w:style>
  <w:style w:type="paragraph" w:styleId="List">
    <w:name w:val="List"/>
    <w:basedOn w:val="Normal"/>
    <w:rsid w:val="00EF4AD2"/>
    <w:pPr>
      <w:ind w:left="283" w:hanging="283"/>
    </w:pPr>
  </w:style>
  <w:style w:type="paragraph" w:styleId="ListBullet">
    <w:name w:val="List Bullet"/>
    <w:basedOn w:val="Normal"/>
    <w:autoRedefine/>
    <w:rsid w:val="00EF4AD2"/>
    <w:pPr>
      <w:tabs>
        <w:tab w:val="num" w:pos="360"/>
      </w:tabs>
      <w:ind w:left="360" w:hanging="360"/>
    </w:pPr>
  </w:style>
  <w:style w:type="paragraph" w:styleId="ListNumber">
    <w:name w:val="List Number"/>
    <w:basedOn w:val="Normal"/>
    <w:rsid w:val="00EF4AD2"/>
    <w:pPr>
      <w:tabs>
        <w:tab w:val="num" w:pos="360"/>
      </w:tabs>
      <w:ind w:left="360" w:hanging="360"/>
    </w:pPr>
  </w:style>
  <w:style w:type="paragraph" w:styleId="List2">
    <w:name w:val="List 2"/>
    <w:basedOn w:val="Normal"/>
    <w:rsid w:val="00EF4AD2"/>
    <w:pPr>
      <w:ind w:left="566" w:hanging="283"/>
    </w:pPr>
  </w:style>
  <w:style w:type="paragraph" w:styleId="List3">
    <w:name w:val="List 3"/>
    <w:basedOn w:val="Normal"/>
    <w:rsid w:val="00EF4AD2"/>
    <w:pPr>
      <w:ind w:left="849" w:hanging="283"/>
    </w:pPr>
  </w:style>
  <w:style w:type="paragraph" w:styleId="List4">
    <w:name w:val="List 4"/>
    <w:basedOn w:val="Normal"/>
    <w:rsid w:val="00EF4AD2"/>
    <w:pPr>
      <w:ind w:left="1132" w:hanging="283"/>
    </w:pPr>
  </w:style>
  <w:style w:type="paragraph" w:styleId="List5">
    <w:name w:val="List 5"/>
    <w:basedOn w:val="Normal"/>
    <w:rsid w:val="00EF4AD2"/>
    <w:pPr>
      <w:ind w:left="1415" w:hanging="283"/>
    </w:pPr>
  </w:style>
  <w:style w:type="paragraph" w:styleId="ListBullet2">
    <w:name w:val="List Bullet 2"/>
    <w:basedOn w:val="Normal"/>
    <w:autoRedefine/>
    <w:rsid w:val="00EF4AD2"/>
    <w:pPr>
      <w:tabs>
        <w:tab w:val="num" w:pos="360"/>
      </w:tabs>
    </w:pPr>
  </w:style>
  <w:style w:type="paragraph" w:styleId="ListBullet3">
    <w:name w:val="List Bullet 3"/>
    <w:basedOn w:val="Normal"/>
    <w:autoRedefine/>
    <w:rsid w:val="00EF4AD2"/>
    <w:pPr>
      <w:tabs>
        <w:tab w:val="num" w:pos="926"/>
      </w:tabs>
      <w:ind w:left="926" w:hanging="360"/>
    </w:pPr>
  </w:style>
  <w:style w:type="paragraph" w:styleId="ListBullet4">
    <w:name w:val="List Bullet 4"/>
    <w:basedOn w:val="Normal"/>
    <w:autoRedefine/>
    <w:rsid w:val="00EF4AD2"/>
    <w:pPr>
      <w:tabs>
        <w:tab w:val="num" w:pos="1209"/>
      </w:tabs>
      <w:ind w:left="1209" w:hanging="360"/>
    </w:pPr>
  </w:style>
  <w:style w:type="paragraph" w:styleId="ListBullet5">
    <w:name w:val="List Bullet 5"/>
    <w:basedOn w:val="Normal"/>
    <w:autoRedefine/>
    <w:rsid w:val="00EF4AD2"/>
    <w:pPr>
      <w:tabs>
        <w:tab w:val="num" w:pos="1492"/>
      </w:tabs>
      <w:ind w:left="1492" w:hanging="360"/>
    </w:pPr>
  </w:style>
  <w:style w:type="paragraph" w:styleId="ListNumber2">
    <w:name w:val="List Number 2"/>
    <w:basedOn w:val="Normal"/>
    <w:rsid w:val="00EF4AD2"/>
    <w:pPr>
      <w:tabs>
        <w:tab w:val="num" w:pos="643"/>
      </w:tabs>
      <w:ind w:left="643" w:hanging="360"/>
    </w:pPr>
  </w:style>
  <w:style w:type="paragraph" w:styleId="ListNumber3">
    <w:name w:val="List Number 3"/>
    <w:basedOn w:val="Normal"/>
    <w:rsid w:val="00EF4AD2"/>
    <w:pPr>
      <w:tabs>
        <w:tab w:val="num" w:pos="926"/>
      </w:tabs>
      <w:ind w:left="926" w:hanging="360"/>
    </w:pPr>
  </w:style>
  <w:style w:type="paragraph" w:styleId="ListNumber4">
    <w:name w:val="List Number 4"/>
    <w:basedOn w:val="Normal"/>
    <w:rsid w:val="00EF4AD2"/>
    <w:pPr>
      <w:tabs>
        <w:tab w:val="num" w:pos="1209"/>
      </w:tabs>
      <w:ind w:left="1209" w:hanging="360"/>
    </w:pPr>
  </w:style>
  <w:style w:type="paragraph" w:styleId="ListNumber5">
    <w:name w:val="List Number 5"/>
    <w:basedOn w:val="Normal"/>
    <w:rsid w:val="00EF4AD2"/>
    <w:pPr>
      <w:tabs>
        <w:tab w:val="num" w:pos="1492"/>
      </w:tabs>
      <w:ind w:left="1492" w:hanging="360"/>
    </w:pPr>
  </w:style>
  <w:style w:type="paragraph" w:styleId="Title">
    <w:name w:val="Title"/>
    <w:basedOn w:val="Normal"/>
    <w:link w:val="TitleChar"/>
    <w:qFormat/>
    <w:rsid w:val="00EF4AD2"/>
    <w:pPr>
      <w:spacing w:before="240" w:after="60"/>
    </w:pPr>
    <w:rPr>
      <w:rFonts w:ascii="Arial" w:hAnsi="Arial" w:cs="Arial"/>
      <w:b/>
      <w:bCs/>
      <w:sz w:val="40"/>
      <w:szCs w:val="40"/>
    </w:rPr>
  </w:style>
  <w:style w:type="character" w:customStyle="1" w:styleId="TitleChar">
    <w:name w:val="Title Char"/>
    <w:basedOn w:val="DefaultParagraphFont"/>
    <w:link w:val="Title"/>
    <w:rsid w:val="00EF4AD2"/>
    <w:rPr>
      <w:rFonts w:ascii="Arial" w:hAnsi="Arial" w:cs="Arial"/>
      <w:b/>
      <w:bCs/>
      <w:sz w:val="40"/>
      <w:szCs w:val="40"/>
    </w:rPr>
  </w:style>
  <w:style w:type="paragraph" w:styleId="Closing">
    <w:name w:val="Closing"/>
    <w:basedOn w:val="Normal"/>
    <w:link w:val="ClosingChar"/>
    <w:rsid w:val="00EF4AD2"/>
    <w:pPr>
      <w:ind w:left="4252"/>
    </w:pPr>
  </w:style>
  <w:style w:type="character" w:customStyle="1" w:styleId="ClosingChar">
    <w:name w:val="Closing Char"/>
    <w:basedOn w:val="DefaultParagraphFont"/>
    <w:link w:val="Closing"/>
    <w:rsid w:val="00EF4AD2"/>
    <w:rPr>
      <w:sz w:val="22"/>
    </w:rPr>
  </w:style>
  <w:style w:type="paragraph" w:styleId="Signature">
    <w:name w:val="Signature"/>
    <w:basedOn w:val="Normal"/>
    <w:link w:val="SignatureChar"/>
    <w:rsid w:val="00EF4AD2"/>
    <w:pPr>
      <w:ind w:left="4252"/>
    </w:pPr>
  </w:style>
  <w:style w:type="character" w:customStyle="1" w:styleId="SignatureChar">
    <w:name w:val="Signature Char"/>
    <w:basedOn w:val="DefaultParagraphFont"/>
    <w:link w:val="Signature"/>
    <w:rsid w:val="00EF4AD2"/>
    <w:rPr>
      <w:sz w:val="22"/>
    </w:rPr>
  </w:style>
  <w:style w:type="paragraph" w:styleId="BodyText">
    <w:name w:val="Body Text"/>
    <w:basedOn w:val="Normal"/>
    <w:link w:val="BodyTextChar"/>
    <w:rsid w:val="00EF4AD2"/>
    <w:pPr>
      <w:spacing w:after="120"/>
    </w:pPr>
  </w:style>
  <w:style w:type="character" w:customStyle="1" w:styleId="BodyTextChar">
    <w:name w:val="Body Text Char"/>
    <w:basedOn w:val="DefaultParagraphFont"/>
    <w:link w:val="BodyText"/>
    <w:rsid w:val="00EF4AD2"/>
    <w:rPr>
      <w:sz w:val="22"/>
    </w:rPr>
  </w:style>
  <w:style w:type="paragraph" w:styleId="BodyTextIndent">
    <w:name w:val="Body Text Indent"/>
    <w:basedOn w:val="Normal"/>
    <w:link w:val="BodyTextIndentChar"/>
    <w:rsid w:val="00EF4AD2"/>
    <w:pPr>
      <w:spacing w:after="120"/>
      <w:ind w:left="283"/>
    </w:pPr>
  </w:style>
  <w:style w:type="character" w:customStyle="1" w:styleId="BodyTextIndentChar">
    <w:name w:val="Body Text Indent Char"/>
    <w:basedOn w:val="DefaultParagraphFont"/>
    <w:link w:val="BodyTextIndent"/>
    <w:rsid w:val="00EF4AD2"/>
    <w:rPr>
      <w:sz w:val="22"/>
    </w:rPr>
  </w:style>
  <w:style w:type="paragraph" w:styleId="ListContinue">
    <w:name w:val="List Continue"/>
    <w:basedOn w:val="Normal"/>
    <w:rsid w:val="00EF4AD2"/>
    <w:pPr>
      <w:spacing w:after="120"/>
      <w:ind w:left="283"/>
    </w:pPr>
  </w:style>
  <w:style w:type="paragraph" w:styleId="ListContinue2">
    <w:name w:val="List Continue 2"/>
    <w:basedOn w:val="Normal"/>
    <w:rsid w:val="00EF4AD2"/>
    <w:pPr>
      <w:spacing w:after="120"/>
      <w:ind w:left="566"/>
    </w:pPr>
  </w:style>
  <w:style w:type="paragraph" w:styleId="ListContinue3">
    <w:name w:val="List Continue 3"/>
    <w:basedOn w:val="Normal"/>
    <w:rsid w:val="00EF4AD2"/>
    <w:pPr>
      <w:spacing w:after="120"/>
      <w:ind w:left="849"/>
    </w:pPr>
  </w:style>
  <w:style w:type="paragraph" w:styleId="ListContinue4">
    <w:name w:val="List Continue 4"/>
    <w:basedOn w:val="Normal"/>
    <w:rsid w:val="00EF4AD2"/>
    <w:pPr>
      <w:spacing w:after="120"/>
      <w:ind w:left="1132"/>
    </w:pPr>
  </w:style>
  <w:style w:type="paragraph" w:styleId="ListContinue5">
    <w:name w:val="List Continue 5"/>
    <w:basedOn w:val="Normal"/>
    <w:rsid w:val="00EF4AD2"/>
    <w:pPr>
      <w:spacing w:after="120"/>
      <w:ind w:left="1415"/>
    </w:pPr>
  </w:style>
  <w:style w:type="paragraph" w:styleId="MessageHeader">
    <w:name w:val="Message Header"/>
    <w:basedOn w:val="Normal"/>
    <w:link w:val="MessageHeaderChar"/>
    <w:rsid w:val="00EF4AD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EF4AD2"/>
    <w:rPr>
      <w:rFonts w:ascii="Arial" w:hAnsi="Arial" w:cs="Arial"/>
      <w:sz w:val="22"/>
      <w:shd w:val="pct20" w:color="auto" w:fill="auto"/>
    </w:rPr>
  </w:style>
  <w:style w:type="paragraph" w:styleId="Subtitle">
    <w:name w:val="Subtitle"/>
    <w:basedOn w:val="Normal"/>
    <w:link w:val="SubtitleChar"/>
    <w:qFormat/>
    <w:rsid w:val="00EF4AD2"/>
    <w:pPr>
      <w:spacing w:after="60"/>
      <w:jc w:val="center"/>
      <w:outlineLvl w:val="1"/>
    </w:pPr>
    <w:rPr>
      <w:rFonts w:ascii="Arial" w:hAnsi="Arial" w:cs="Arial"/>
    </w:rPr>
  </w:style>
  <w:style w:type="character" w:customStyle="1" w:styleId="SubtitleChar">
    <w:name w:val="Subtitle Char"/>
    <w:basedOn w:val="DefaultParagraphFont"/>
    <w:link w:val="Subtitle"/>
    <w:rsid w:val="00EF4AD2"/>
    <w:rPr>
      <w:rFonts w:ascii="Arial" w:hAnsi="Arial" w:cs="Arial"/>
      <w:sz w:val="22"/>
    </w:rPr>
  </w:style>
  <w:style w:type="paragraph" w:styleId="Salutation">
    <w:name w:val="Salutation"/>
    <w:basedOn w:val="Normal"/>
    <w:next w:val="Normal"/>
    <w:link w:val="SalutationChar"/>
    <w:rsid w:val="00EF4AD2"/>
  </w:style>
  <w:style w:type="character" w:customStyle="1" w:styleId="SalutationChar">
    <w:name w:val="Salutation Char"/>
    <w:basedOn w:val="DefaultParagraphFont"/>
    <w:link w:val="Salutation"/>
    <w:rsid w:val="00EF4AD2"/>
    <w:rPr>
      <w:sz w:val="22"/>
    </w:rPr>
  </w:style>
  <w:style w:type="paragraph" w:styleId="Date">
    <w:name w:val="Date"/>
    <w:basedOn w:val="Normal"/>
    <w:next w:val="Normal"/>
    <w:link w:val="DateChar"/>
    <w:rsid w:val="00EF4AD2"/>
  </w:style>
  <w:style w:type="character" w:customStyle="1" w:styleId="DateChar">
    <w:name w:val="Date Char"/>
    <w:basedOn w:val="DefaultParagraphFont"/>
    <w:link w:val="Date"/>
    <w:rsid w:val="00EF4AD2"/>
    <w:rPr>
      <w:sz w:val="22"/>
    </w:rPr>
  </w:style>
  <w:style w:type="paragraph" w:styleId="BodyTextFirstIndent">
    <w:name w:val="Body Text First Indent"/>
    <w:basedOn w:val="BodyText"/>
    <w:link w:val="BodyTextFirstIndentChar"/>
    <w:rsid w:val="00EF4AD2"/>
    <w:pPr>
      <w:ind w:firstLine="210"/>
    </w:pPr>
  </w:style>
  <w:style w:type="character" w:customStyle="1" w:styleId="BodyTextFirstIndentChar">
    <w:name w:val="Body Text First Indent Char"/>
    <w:basedOn w:val="BodyTextChar"/>
    <w:link w:val="BodyTextFirstIndent"/>
    <w:rsid w:val="00EF4AD2"/>
    <w:rPr>
      <w:sz w:val="22"/>
    </w:rPr>
  </w:style>
  <w:style w:type="paragraph" w:styleId="BodyTextFirstIndent2">
    <w:name w:val="Body Text First Indent 2"/>
    <w:basedOn w:val="BodyTextIndent"/>
    <w:link w:val="BodyTextFirstIndent2Char"/>
    <w:rsid w:val="00EF4AD2"/>
    <w:pPr>
      <w:ind w:firstLine="210"/>
    </w:pPr>
  </w:style>
  <w:style w:type="character" w:customStyle="1" w:styleId="BodyTextFirstIndent2Char">
    <w:name w:val="Body Text First Indent 2 Char"/>
    <w:basedOn w:val="BodyTextIndentChar"/>
    <w:link w:val="BodyTextFirstIndent2"/>
    <w:rsid w:val="00EF4AD2"/>
    <w:rPr>
      <w:sz w:val="22"/>
    </w:rPr>
  </w:style>
  <w:style w:type="paragraph" w:styleId="BodyText2">
    <w:name w:val="Body Text 2"/>
    <w:basedOn w:val="Normal"/>
    <w:link w:val="BodyText2Char"/>
    <w:rsid w:val="00EF4AD2"/>
    <w:pPr>
      <w:spacing w:after="120" w:line="480" w:lineRule="auto"/>
    </w:pPr>
  </w:style>
  <w:style w:type="character" w:customStyle="1" w:styleId="BodyText2Char">
    <w:name w:val="Body Text 2 Char"/>
    <w:basedOn w:val="DefaultParagraphFont"/>
    <w:link w:val="BodyText2"/>
    <w:rsid w:val="00EF4AD2"/>
    <w:rPr>
      <w:sz w:val="22"/>
    </w:rPr>
  </w:style>
  <w:style w:type="paragraph" w:styleId="BodyText3">
    <w:name w:val="Body Text 3"/>
    <w:basedOn w:val="Normal"/>
    <w:link w:val="BodyText3Char"/>
    <w:rsid w:val="00EF4AD2"/>
    <w:pPr>
      <w:spacing w:after="120"/>
    </w:pPr>
    <w:rPr>
      <w:sz w:val="16"/>
      <w:szCs w:val="16"/>
    </w:rPr>
  </w:style>
  <w:style w:type="character" w:customStyle="1" w:styleId="BodyText3Char">
    <w:name w:val="Body Text 3 Char"/>
    <w:basedOn w:val="DefaultParagraphFont"/>
    <w:link w:val="BodyText3"/>
    <w:rsid w:val="00EF4AD2"/>
    <w:rPr>
      <w:sz w:val="16"/>
      <w:szCs w:val="16"/>
    </w:rPr>
  </w:style>
  <w:style w:type="paragraph" w:styleId="BodyTextIndent2">
    <w:name w:val="Body Text Indent 2"/>
    <w:basedOn w:val="Normal"/>
    <w:link w:val="BodyTextIndent2Char"/>
    <w:rsid w:val="00EF4AD2"/>
    <w:pPr>
      <w:spacing w:after="120" w:line="480" w:lineRule="auto"/>
      <w:ind w:left="283"/>
    </w:pPr>
  </w:style>
  <w:style w:type="character" w:customStyle="1" w:styleId="BodyTextIndent2Char">
    <w:name w:val="Body Text Indent 2 Char"/>
    <w:basedOn w:val="DefaultParagraphFont"/>
    <w:link w:val="BodyTextIndent2"/>
    <w:rsid w:val="00EF4AD2"/>
    <w:rPr>
      <w:sz w:val="22"/>
    </w:rPr>
  </w:style>
  <w:style w:type="paragraph" w:styleId="BodyTextIndent3">
    <w:name w:val="Body Text Indent 3"/>
    <w:basedOn w:val="Normal"/>
    <w:link w:val="BodyTextIndent3Char"/>
    <w:rsid w:val="00EF4AD2"/>
    <w:pPr>
      <w:spacing w:after="120"/>
      <w:ind w:left="283"/>
    </w:pPr>
    <w:rPr>
      <w:sz w:val="16"/>
      <w:szCs w:val="16"/>
    </w:rPr>
  </w:style>
  <w:style w:type="character" w:customStyle="1" w:styleId="BodyTextIndent3Char">
    <w:name w:val="Body Text Indent 3 Char"/>
    <w:basedOn w:val="DefaultParagraphFont"/>
    <w:link w:val="BodyTextIndent3"/>
    <w:rsid w:val="00EF4AD2"/>
    <w:rPr>
      <w:sz w:val="16"/>
      <w:szCs w:val="16"/>
    </w:rPr>
  </w:style>
  <w:style w:type="paragraph" w:styleId="BlockText">
    <w:name w:val="Block Text"/>
    <w:basedOn w:val="Normal"/>
    <w:rsid w:val="00EF4AD2"/>
    <w:pPr>
      <w:spacing w:after="120"/>
      <w:ind w:left="1440" w:right="1440"/>
    </w:pPr>
  </w:style>
  <w:style w:type="character" w:styleId="Hyperlink">
    <w:name w:val="Hyperlink"/>
    <w:basedOn w:val="DefaultParagraphFont"/>
    <w:rsid w:val="00EF4AD2"/>
    <w:rPr>
      <w:color w:val="0000FF"/>
      <w:u w:val="single"/>
    </w:rPr>
  </w:style>
  <w:style w:type="character" w:styleId="FollowedHyperlink">
    <w:name w:val="FollowedHyperlink"/>
    <w:basedOn w:val="DefaultParagraphFont"/>
    <w:rsid w:val="00EF4AD2"/>
    <w:rPr>
      <w:color w:val="800080"/>
      <w:u w:val="single"/>
    </w:rPr>
  </w:style>
  <w:style w:type="character" w:styleId="Strong">
    <w:name w:val="Strong"/>
    <w:basedOn w:val="DefaultParagraphFont"/>
    <w:qFormat/>
    <w:rsid w:val="00EF4AD2"/>
    <w:rPr>
      <w:b/>
      <w:bCs/>
    </w:rPr>
  </w:style>
  <w:style w:type="character" w:styleId="Emphasis">
    <w:name w:val="Emphasis"/>
    <w:basedOn w:val="DefaultParagraphFont"/>
    <w:qFormat/>
    <w:rsid w:val="00EF4AD2"/>
    <w:rPr>
      <w:i/>
      <w:iCs/>
    </w:rPr>
  </w:style>
  <w:style w:type="paragraph" w:styleId="DocumentMap">
    <w:name w:val="Document Map"/>
    <w:basedOn w:val="Normal"/>
    <w:link w:val="DocumentMapChar"/>
    <w:rsid w:val="00EF4AD2"/>
    <w:pPr>
      <w:shd w:val="clear" w:color="auto" w:fill="000080"/>
    </w:pPr>
    <w:rPr>
      <w:rFonts w:ascii="Tahoma" w:hAnsi="Tahoma" w:cs="Tahoma"/>
    </w:rPr>
  </w:style>
  <w:style w:type="character" w:customStyle="1" w:styleId="DocumentMapChar">
    <w:name w:val="Document Map Char"/>
    <w:basedOn w:val="DefaultParagraphFont"/>
    <w:link w:val="DocumentMap"/>
    <w:rsid w:val="00EF4AD2"/>
    <w:rPr>
      <w:rFonts w:ascii="Tahoma" w:hAnsi="Tahoma" w:cs="Tahoma"/>
      <w:sz w:val="22"/>
      <w:shd w:val="clear" w:color="auto" w:fill="000080"/>
    </w:rPr>
  </w:style>
  <w:style w:type="paragraph" w:styleId="PlainText">
    <w:name w:val="Plain Text"/>
    <w:basedOn w:val="Normal"/>
    <w:link w:val="PlainTextChar"/>
    <w:rsid w:val="00EF4AD2"/>
    <w:rPr>
      <w:rFonts w:ascii="Courier New" w:hAnsi="Courier New" w:cs="Courier New"/>
      <w:sz w:val="20"/>
    </w:rPr>
  </w:style>
  <w:style w:type="character" w:customStyle="1" w:styleId="PlainTextChar">
    <w:name w:val="Plain Text Char"/>
    <w:basedOn w:val="DefaultParagraphFont"/>
    <w:link w:val="PlainText"/>
    <w:rsid w:val="00EF4AD2"/>
    <w:rPr>
      <w:rFonts w:ascii="Courier New" w:hAnsi="Courier New" w:cs="Courier New"/>
    </w:rPr>
  </w:style>
  <w:style w:type="paragraph" w:styleId="E-mailSignature">
    <w:name w:val="E-mail Signature"/>
    <w:basedOn w:val="Normal"/>
    <w:link w:val="E-mailSignatureChar"/>
    <w:rsid w:val="00EF4AD2"/>
  </w:style>
  <w:style w:type="character" w:customStyle="1" w:styleId="E-mailSignatureChar">
    <w:name w:val="E-mail Signature Char"/>
    <w:basedOn w:val="DefaultParagraphFont"/>
    <w:link w:val="E-mailSignature"/>
    <w:rsid w:val="00EF4AD2"/>
    <w:rPr>
      <w:sz w:val="22"/>
    </w:rPr>
  </w:style>
  <w:style w:type="paragraph" w:styleId="NormalWeb">
    <w:name w:val="Normal (Web)"/>
    <w:basedOn w:val="Normal"/>
    <w:rsid w:val="00EF4AD2"/>
  </w:style>
  <w:style w:type="character" w:styleId="HTMLAcronym">
    <w:name w:val="HTML Acronym"/>
    <w:basedOn w:val="DefaultParagraphFont"/>
    <w:rsid w:val="00EF4AD2"/>
  </w:style>
  <w:style w:type="paragraph" w:styleId="HTMLAddress">
    <w:name w:val="HTML Address"/>
    <w:basedOn w:val="Normal"/>
    <w:link w:val="HTMLAddressChar"/>
    <w:rsid w:val="00EF4AD2"/>
    <w:rPr>
      <w:i/>
      <w:iCs/>
    </w:rPr>
  </w:style>
  <w:style w:type="character" w:customStyle="1" w:styleId="HTMLAddressChar">
    <w:name w:val="HTML Address Char"/>
    <w:basedOn w:val="DefaultParagraphFont"/>
    <w:link w:val="HTMLAddress"/>
    <w:rsid w:val="00EF4AD2"/>
    <w:rPr>
      <w:i/>
      <w:iCs/>
      <w:sz w:val="22"/>
    </w:rPr>
  </w:style>
  <w:style w:type="character" w:styleId="HTMLCite">
    <w:name w:val="HTML Cite"/>
    <w:basedOn w:val="DefaultParagraphFont"/>
    <w:rsid w:val="00EF4AD2"/>
    <w:rPr>
      <w:i/>
      <w:iCs/>
    </w:rPr>
  </w:style>
  <w:style w:type="character" w:styleId="HTMLCode">
    <w:name w:val="HTML Code"/>
    <w:basedOn w:val="DefaultParagraphFont"/>
    <w:rsid w:val="00EF4AD2"/>
    <w:rPr>
      <w:rFonts w:ascii="Courier New" w:hAnsi="Courier New" w:cs="Courier New"/>
      <w:sz w:val="20"/>
      <w:szCs w:val="20"/>
    </w:rPr>
  </w:style>
  <w:style w:type="character" w:styleId="HTMLDefinition">
    <w:name w:val="HTML Definition"/>
    <w:basedOn w:val="DefaultParagraphFont"/>
    <w:rsid w:val="00EF4AD2"/>
    <w:rPr>
      <w:i/>
      <w:iCs/>
    </w:rPr>
  </w:style>
  <w:style w:type="character" w:styleId="HTMLKeyboard">
    <w:name w:val="HTML Keyboard"/>
    <w:basedOn w:val="DefaultParagraphFont"/>
    <w:rsid w:val="00EF4AD2"/>
    <w:rPr>
      <w:rFonts w:ascii="Courier New" w:hAnsi="Courier New" w:cs="Courier New"/>
      <w:sz w:val="20"/>
      <w:szCs w:val="20"/>
    </w:rPr>
  </w:style>
  <w:style w:type="paragraph" w:styleId="HTMLPreformatted">
    <w:name w:val="HTML Preformatted"/>
    <w:basedOn w:val="Normal"/>
    <w:link w:val="HTMLPreformattedChar"/>
    <w:rsid w:val="00EF4AD2"/>
    <w:rPr>
      <w:rFonts w:ascii="Courier New" w:hAnsi="Courier New" w:cs="Courier New"/>
      <w:sz w:val="20"/>
    </w:rPr>
  </w:style>
  <w:style w:type="character" w:customStyle="1" w:styleId="HTMLPreformattedChar">
    <w:name w:val="HTML Preformatted Char"/>
    <w:basedOn w:val="DefaultParagraphFont"/>
    <w:link w:val="HTMLPreformatted"/>
    <w:rsid w:val="00EF4AD2"/>
    <w:rPr>
      <w:rFonts w:ascii="Courier New" w:hAnsi="Courier New" w:cs="Courier New"/>
    </w:rPr>
  </w:style>
  <w:style w:type="character" w:styleId="HTMLSample">
    <w:name w:val="HTML Sample"/>
    <w:basedOn w:val="DefaultParagraphFont"/>
    <w:rsid w:val="00EF4AD2"/>
    <w:rPr>
      <w:rFonts w:ascii="Courier New" w:hAnsi="Courier New" w:cs="Courier New"/>
    </w:rPr>
  </w:style>
  <w:style w:type="character" w:styleId="HTMLTypewriter">
    <w:name w:val="HTML Typewriter"/>
    <w:basedOn w:val="DefaultParagraphFont"/>
    <w:rsid w:val="00EF4AD2"/>
    <w:rPr>
      <w:rFonts w:ascii="Courier New" w:hAnsi="Courier New" w:cs="Courier New"/>
      <w:sz w:val="20"/>
      <w:szCs w:val="20"/>
    </w:rPr>
  </w:style>
  <w:style w:type="character" w:styleId="HTMLVariable">
    <w:name w:val="HTML Variable"/>
    <w:basedOn w:val="DefaultParagraphFont"/>
    <w:rsid w:val="00EF4AD2"/>
    <w:rPr>
      <w:i/>
      <w:iCs/>
    </w:rPr>
  </w:style>
  <w:style w:type="paragraph" w:styleId="CommentSubject">
    <w:name w:val="annotation subject"/>
    <w:basedOn w:val="CommentText"/>
    <w:next w:val="CommentText"/>
    <w:link w:val="CommentSubjectChar"/>
    <w:rsid w:val="00EF4AD2"/>
    <w:rPr>
      <w:b/>
      <w:bCs/>
    </w:rPr>
  </w:style>
  <w:style w:type="character" w:customStyle="1" w:styleId="CommentSubjectChar">
    <w:name w:val="Comment Subject Char"/>
    <w:basedOn w:val="CommentTextChar"/>
    <w:link w:val="CommentSubject"/>
    <w:rsid w:val="00EF4AD2"/>
    <w:rPr>
      <w:b/>
      <w:bCs/>
    </w:rPr>
  </w:style>
  <w:style w:type="numbering" w:styleId="1ai">
    <w:name w:val="Outline List 1"/>
    <w:basedOn w:val="NoList"/>
    <w:rsid w:val="00EF4AD2"/>
    <w:pPr>
      <w:numPr>
        <w:numId w:val="14"/>
      </w:numPr>
    </w:pPr>
  </w:style>
  <w:style w:type="numbering" w:styleId="111111">
    <w:name w:val="Outline List 2"/>
    <w:basedOn w:val="NoList"/>
    <w:rsid w:val="00EF4AD2"/>
    <w:pPr>
      <w:numPr>
        <w:numId w:val="15"/>
      </w:numPr>
    </w:pPr>
  </w:style>
  <w:style w:type="numbering" w:styleId="ArticleSection">
    <w:name w:val="Outline List 3"/>
    <w:basedOn w:val="NoList"/>
    <w:rsid w:val="00EF4AD2"/>
    <w:pPr>
      <w:numPr>
        <w:numId w:val="17"/>
      </w:numPr>
    </w:pPr>
  </w:style>
  <w:style w:type="table" w:styleId="TableSimple1">
    <w:name w:val="Table Simple 1"/>
    <w:basedOn w:val="TableNormal"/>
    <w:rsid w:val="00EF4AD2"/>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F4AD2"/>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F4AD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F4AD2"/>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F4AD2"/>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F4AD2"/>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F4AD2"/>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F4AD2"/>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F4AD2"/>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F4AD2"/>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F4AD2"/>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F4AD2"/>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F4AD2"/>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F4AD2"/>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F4AD2"/>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F4AD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F4AD2"/>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F4AD2"/>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F4AD2"/>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F4AD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F4AD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F4AD2"/>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F4AD2"/>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F4AD2"/>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F4AD2"/>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F4AD2"/>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F4AD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F4AD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F4AD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F4AD2"/>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F4AD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EF4AD2"/>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F4AD2"/>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F4AD2"/>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F4AD2"/>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F4AD2"/>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EF4AD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F4AD2"/>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F4AD2"/>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EF4AD2"/>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F4AD2"/>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F4AD2"/>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EF4AD2"/>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EF4AD2"/>
    <w:rPr>
      <w:rFonts w:eastAsia="Times New Roman" w:cs="Times New Roman"/>
      <w:b/>
      <w:kern w:val="28"/>
      <w:sz w:val="24"/>
      <w:lang w:eastAsia="en-AU"/>
    </w:rPr>
  </w:style>
  <w:style w:type="paragraph" w:customStyle="1" w:styleId="ETAsubitem">
    <w:name w:val="ETA(subitem)"/>
    <w:basedOn w:val="OPCParaBase"/>
    <w:rsid w:val="00EF4AD2"/>
    <w:pPr>
      <w:tabs>
        <w:tab w:val="right" w:pos="340"/>
      </w:tabs>
      <w:spacing w:before="60" w:line="240" w:lineRule="auto"/>
      <w:ind w:left="454" w:hanging="454"/>
    </w:pPr>
    <w:rPr>
      <w:sz w:val="20"/>
    </w:rPr>
  </w:style>
  <w:style w:type="paragraph" w:customStyle="1" w:styleId="ETApara">
    <w:name w:val="ETA(para)"/>
    <w:basedOn w:val="OPCParaBase"/>
    <w:rsid w:val="00EF4AD2"/>
    <w:pPr>
      <w:tabs>
        <w:tab w:val="right" w:pos="754"/>
      </w:tabs>
      <w:spacing w:before="60" w:line="240" w:lineRule="auto"/>
      <w:ind w:left="828" w:hanging="828"/>
    </w:pPr>
    <w:rPr>
      <w:sz w:val="20"/>
    </w:rPr>
  </w:style>
  <w:style w:type="paragraph" w:customStyle="1" w:styleId="ETAsubpara">
    <w:name w:val="ETA(subpara)"/>
    <w:basedOn w:val="OPCParaBase"/>
    <w:rsid w:val="00EF4AD2"/>
    <w:pPr>
      <w:tabs>
        <w:tab w:val="right" w:pos="1083"/>
      </w:tabs>
      <w:spacing w:before="60" w:line="240" w:lineRule="auto"/>
      <w:ind w:left="1191" w:hanging="1191"/>
    </w:pPr>
    <w:rPr>
      <w:sz w:val="20"/>
    </w:rPr>
  </w:style>
  <w:style w:type="paragraph" w:customStyle="1" w:styleId="ETAsub-subpara">
    <w:name w:val="ETA(sub-subpara)"/>
    <w:basedOn w:val="OPCParaBase"/>
    <w:rsid w:val="00EF4AD2"/>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EF4AD2"/>
  </w:style>
  <w:style w:type="paragraph" w:styleId="ListParagraph">
    <w:name w:val="List Paragraph"/>
    <w:basedOn w:val="Normal"/>
    <w:uiPriority w:val="34"/>
    <w:qFormat/>
    <w:rsid w:val="00830EEE"/>
    <w:pPr>
      <w:spacing w:line="240" w:lineRule="auto"/>
      <w:ind w:left="72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A37A-B80E-4EEA-927A-A1D35945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17</Pages>
  <Words>3772</Words>
  <Characters>19900</Characters>
  <Application>Microsoft Office Word</Application>
  <DocSecurity>6</DocSecurity>
  <PresentationFormat/>
  <Lines>515</Lines>
  <Paragraphs>286</Paragraphs>
  <ScaleCrop>false</ScaleCrop>
  <HeadingPairs>
    <vt:vector size="2" baseType="variant">
      <vt:variant>
        <vt:lpstr>Title</vt:lpstr>
      </vt:variant>
      <vt:variant>
        <vt:i4>1</vt:i4>
      </vt:variant>
    </vt:vector>
  </HeadingPairs>
  <TitlesOfParts>
    <vt:vector size="1" baseType="lpstr">
      <vt:lpstr>National Disability Insurance Scheme (Participant Service Guarantee) Rules 2021</vt:lpstr>
    </vt:vector>
  </TitlesOfParts>
  <Manager/>
  <Company/>
  <LinksUpToDate>false</LinksUpToDate>
  <CharactersWithSpaces>23504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2021-07-21T04:20:00Z</cp:lastPrinted>
  <dcterms:created xsi:type="dcterms:W3CDTF">2021-08-16T21:56:00Z</dcterms:created>
  <dcterms:modified xsi:type="dcterms:W3CDTF">2021-08-16T21:56:00Z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National Disability Insurance Scheme (Participant Service Guarantee) Rules 2021</vt:lpwstr>
  </property>
  <property fmtid="{D5CDD505-2E9C-101B-9397-08002B2CF9AE}" pid="4" name="Header">
    <vt:lpwstr>Section</vt:lpwstr>
  </property>
  <property fmtid="{D5CDD505-2E9C-101B-9397-08002B2CF9AE}" pid="5" name="Class">
    <vt:lpwstr>Rules</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2021</vt:lpwstr>
  </property>
  <property fmtid="{D5CDD505-2E9C-101B-9397-08002B2CF9AE}" pid="10" name="Authority">
    <vt:lpwstr>Unk</vt:lpwstr>
  </property>
  <property fmtid="{D5CDD505-2E9C-101B-9397-08002B2CF9AE}" pid="11" name="ID">
    <vt:lpwstr>OPC64422</vt:lpwstr>
  </property>
  <property fmtid="{D5CDD505-2E9C-101B-9397-08002B2CF9AE}" pid="12" name="Classification">
    <vt:lpwstr>EXPOSURE DRAFT</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TrimID">
    <vt:lpwstr>PC:D21/12191</vt:lpwstr>
  </property>
</Properties>
</file>