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4741" w14:textId="77777777" w:rsidR="003D0347" w:rsidRDefault="003D0347" w:rsidP="00D83AAB">
      <w:pPr>
        <w:jc w:val="center"/>
        <w:rPr>
          <w:rFonts w:ascii="Arial" w:hAnsi="Arial" w:cs="Arial"/>
          <w:b/>
          <w:bCs/>
          <w:color w:val="2C2A29"/>
          <w:shd w:val="clear" w:color="auto" w:fill="FFFFFF"/>
        </w:rPr>
      </w:pPr>
    </w:p>
    <w:p w14:paraId="03D9439D" w14:textId="11DD278F" w:rsidR="00D83AAB" w:rsidRDefault="00D83AAB" w:rsidP="00D83AAB">
      <w:pPr>
        <w:jc w:val="center"/>
        <w:rPr>
          <w:rFonts w:ascii="Arial" w:hAnsi="Arial" w:cs="Arial"/>
          <w:b/>
          <w:bCs/>
          <w:color w:val="2C2A29"/>
          <w:shd w:val="clear" w:color="auto" w:fill="FFFFFF"/>
        </w:rPr>
      </w:pPr>
      <w:r w:rsidRPr="00D83AAB">
        <w:rPr>
          <w:rFonts w:ascii="Arial" w:hAnsi="Arial" w:cs="Arial"/>
          <w:b/>
          <w:bCs/>
          <w:color w:val="2C2A29"/>
          <w:shd w:val="clear" w:color="auto" w:fill="FFFFFF"/>
        </w:rPr>
        <w:t xml:space="preserve">Consultation by the Department of Social Services on proposed improvements and legislative changes to implement the recommendations from the review </w:t>
      </w:r>
    </w:p>
    <w:p w14:paraId="4F8A44FB" w14:textId="5F0D3E69" w:rsidR="00D83AAB" w:rsidRPr="00D83AAB" w:rsidRDefault="00F75AE6" w:rsidP="00D83AAB">
      <w:pPr>
        <w:jc w:val="center"/>
        <w:rPr>
          <w:rFonts w:ascii="Arial" w:hAnsi="Arial" w:cs="Arial"/>
          <w:b/>
          <w:bCs/>
        </w:rPr>
      </w:pPr>
      <w:hyperlink r:id="rId8" w:history="1">
        <w:r w:rsidR="00D83AAB" w:rsidRPr="00D83AAB">
          <w:rPr>
            <w:rStyle w:val="Emphasis"/>
            <w:rFonts w:ascii="Arial" w:hAnsi="Arial" w:cs="Arial"/>
            <w:b/>
            <w:bCs/>
            <w:color w:val="921D2E"/>
            <w:shd w:val="clear" w:color="auto" w:fill="FFFFFF"/>
          </w:rPr>
          <w:t>Implementing the recommendations of the 2019 NDIS Act review</w:t>
        </w:r>
      </w:hyperlink>
    </w:p>
    <w:p w14:paraId="3DC1F780" w14:textId="77C709F5" w:rsidR="00D83AAB" w:rsidRDefault="00D83AAB" w:rsidP="00D83AAB">
      <w:pPr>
        <w:jc w:val="center"/>
        <w:rPr>
          <w:rFonts w:ascii="Arial" w:hAnsi="Arial" w:cs="Arial"/>
          <w:b/>
          <w:bCs/>
        </w:rPr>
      </w:pPr>
    </w:p>
    <w:p w14:paraId="29D6007B" w14:textId="77777777" w:rsidR="003D0347" w:rsidRPr="00D83AAB" w:rsidRDefault="003D0347" w:rsidP="00D83AAB">
      <w:pPr>
        <w:jc w:val="center"/>
        <w:rPr>
          <w:rFonts w:ascii="Arial" w:hAnsi="Arial" w:cs="Arial"/>
          <w:b/>
          <w:bCs/>
        </w:rPr>
      </w:pPr>
    </w:p>
    <w:p w14:paraId="6AF2A159" w14:textId="3BA9F3F1" w:rsidR="00D83AAB" w:rsidRPr="00D83AAB" w:rsidRDefault="00715659" w:rsidP="00D83AAB">
      <w:pPr>
        <w:jc w:val="center"/>
        <w:rPr>
          <w:rFonts w:ascii="Arial" w:hAnsi="Arial" w:cs="Arial"/>
          <w:b/>
          <w:bCs/>
        </w:rPr>
      </w:pPr>
      <w:r w:rsidRPr="00D83AAB">
        <w:rPr>
          <w:rFonts w:ascii="Arial" w:hAnsi="Arial" w:cs="Arial"/>
          <w:b/>
          <w:bCs/>
        </w:rPr>
        <w:t>SUBMISSION BY THE TELETHON KIDS INSTITUTE</w:t>
      </w:r>
    </w:p>
    <w:p w14:paraId="1421C88A" w14:textId="3CBFB1C3" w:rsidR="00D83AAB" w:rsidRPr="00D83AAB" w:rsidRDefault="00D83AAB" w:rsidP="003405BA">
      <w:pPr>
        <w:jc w:val="center"/>
        <w:rPr>
          <w:rFonts w:ascii="Arial" w:hAnsi="Arial" w:cs="Arial"/>
        </w:rPr>
      </w:pPr>
    </w:p>
    <w:p w14:paraId="6C989086" w14:textId="4BC3CA33" w:rsidR="00D83AAB" w:rsidRDefault="00D83AAB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D83AAB">
        <w:rPr>
          <w:rFonts w:ascii="Arial" w:hAnsi="Arial" w:cs="Arial"/>
        </w:rPr>
        <w:t xml:space="preserve">The Telethon Kids Institute welcomes the </w:t>
      </w:r>
      <w:r w:rsidR="007E1C42">
        <w:rPr>
          <w:rFonts w:ascii="Arial" w:hAnsi="Arial" w:cs="Arial"/>
        </w:rPr>
        <w:t xml:space="preserve">changes </w:t>
      </w:r>
      <w:r w:rsidRPr="00D83AAB">
        <w:rPr>
          <w:rFonts w:ascii="Arial" w:hAnsi="Arial" w:cs="Arial"/>
        </w:rPr>
        <w:t xml:space="preserve">proposed </w:t>
      </w:r>
      <w:r w:rsidR="007E1C42">
        <w:rPr>
          <w:rFonts w:ascii="Arial" w:hAnsi="Arial" w:cs="Arial"/>
        </w:rPr>
        <w:t xml:space="preserve">to </w:t>
      </w:r>
      <w:r w:rsidRPr="00D83AAB">
        <w:rPr>
          <w:rFonts w:ascii="Arial" w:hAnsi="Arial" w:cs="Arial"/>
          <w:color w:val="2C2A29"/>
        </w:rPr>
        <w:t xml:space="preserve">give participants </w:t>
      </w:r>
      <w:r w:rsidR="007E1C42">
        <w:rPr>
          <w:rFonts w:ascii="Arial" w:hAnsi="Arial" w:cs="Arial"/>
          <w:color w:val="2C2A29"/>
        </w:rPr>
        <w:t xml:space="preserve">to the NDIS </w:t>
      </w:r>
      <w:r w:rsidRPr="00D83AAB">
        <w:rPr>
          <w:rFonts w:ascii="Arial" w:hAnsi="Arial" w:cs="Arial"/>
          <w:color w:val="2C2A29"/>
        </w:rPr>
        <w:t xml:space="preserve">more choice and flexibility, fix parts of the legislation that are not clear or are out of date, and </w:t>
      </w:r>
      <w:r w:rsidR="00023B16">
        <w:rPr>
          <w:rFonts w:ascii="Arial" w:hAnsi="Arial" w:cs="Arial"/>
          <w:color w:val="2C2A29"/>
        </w:rPr>
        <w:t xml:space="preserve">to </w:t>
      </w:r>
      <w:r w:rsidRPr="00D83AAB">
        <w:rPr>
          <w:rFonts w:ascii="Arial" w:hAnsi="Arial" w:cs="Arial"/>
          <w:color w:val="2C2A29"/>
        </w:rPr>
        <w:t>give better support to people with more complex or unique needs, such as people with psychosocial disability, and children and families.</w:t>
      </w:r>
    </w:p>
    <w:p w14:paraId="72CB6799" w14:textId="77777777" w:rsidR="003405BA" w:rsidRPr="00D83AAB" w:rsidRDefault="003405BA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33ED4D5B" w14:textId="6DD5BBB1" w:rsidR="00D83AAB" w:rsidRDefault="004726BA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The Te</w:t>
      </w:r>
      <w:r w:rsidR="007E1C42">
        <w:rPr>
          <w:rFonts w:ascii="Arial" w:hAnsi="Arial" w:cs="Arial"/>
          <w:color w:val="2C2A29"/>
        </w:rPr>
        <w:t xml:space="preserve">lethon Kids </w:t>
      </w:r>
      <w:r>
        <w:rPr>
          <w:rFonts w:ascii="Arial" w:hAnsi="Arial" w:cs="Arial"/>
          <w:color w:val="2C2A29"/>
        </w:rPr>
        <w:t xml:space="preserve">Institute is highly </w:t>
      </w:r>
      <w:r w:rsidR="007E1C42">
        <w:rPr>
          <w:rFonts w:ascii="Arial" w:hAnsi="Arial" w:cs="Arial"/>
          <w:color w:val="2C2A29"/>
        </w:rPr>
        <w:t>support</w:t>
      </w:r>
      <w:r>
        <w:rPr>
          <w:rFonts w:ascii="Arial" w:hAnsi="Arial" w:cs="Arial"/>
          <w:color w:val="2C2A29"/>
        </w:rPr>
        <w:t>ive of</w:t>
      </w:r>
      <w:r w:rsidR="007E1C42">
        <w:rPr>
          <w:rFonts w:ascii="Arial" w:hAnsi="Arial" w:cs="Arial"/>
          <w:color w:val="2C2A29"/>
        </w:rPr>
        <w:t xml:space="preserve"> the </w:t>
      </w:r>
      <w:r w:rsidR="00D83AAB" w:rsidRPr="00D83AAB">
        <w:rPr>
          <w:rFonts w:ascii="Arial" w:hAnsi="Arial" w:cs="Arial"/>
          <w:color w:val="2C2A29"/>
        </w:rPr>
        <w:t>introduction of the Participant Service Guarantee</w:t>
      </w:r>
      <w:r w:rsidR="007E1C42">
        <w:rPr>
          <w:rFonts w:ascii="Arial" w:hAnsi="Arial" w:cs="Arial"/>
          <w:color w:val="2C2A29"/>
        </w:rPr>
        <w:t xml:space="preserve"> </w:t>
      </w:r>
      <w:r w:rsidR="003405BA">
        <w:rPr>
          <w:rFonts w:ascii="Arial" w:hAnsi="Arial" w:cs="Arial"/>
          <w:color w:val="2C2A29"/>
        </w:rPr>
        <w:t xml:space="preserve">to </w:t>
      </w:r>
      <w:r w:rsidR="00D83AAB" w:rsidRPr="00D83AAB">
        <w:rPr>
          <w:rFonts w:ascii="Arial" w:hAnsi="Arial" w:cs="Arial"/>
          <w:color w:val="2C2A29"/>
        </w:rPr>
        <w:t>set standards for how long NDIS processes such as approving or amending a plan will take and how the NDIA will work with people with disability.</w:t>
      </w:r>
    </w:p>
    <w:p w14:paraId="6F114C33" w14:textId="77777777" w:rsidR="003405BA" w:rsidRDefault="003405BA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1A8F1000" w14:textId="611F6020" w:rsidR="007E1C42" w:rsidRDefault="007E1C42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 xml:space="preserve">We are particularly </w:t>
      </w:r>
      <w:r w:rsidR="004726BA">
        <w:rPr>
          <w:rFonts w:ascii="Arial" w:hAnsi="Arial" w:cs="Arial"/>
          <w:color w:val="2C2A29"/>
        </w:rPr>
        <w:t xml:space="preserve">pleased </w:t>
      </w:r>
      <w:r>
        <w:rPr>
          <w:rFonts w:ascii="Arial" w:hAnsi="Arial" w:cs="Arial"/>
          <w:color w:val="2C2A29"/>
        </w:rPr>
        <w:t xml:space="preserve">to see this work </w:t>
      </w:r>
      <w:r w:rsidR="004726BA">
        <w:rPr>
          <w:rFonts w:ascii="Arial" w:hAnsi="Arial" w:cs="Arial"/>
          <w:color w:val="2C2A29"/>
        </w:rPr>
        <w:t xml:space="preserve">progress to this </w:t>
      </w:r>
      <w:r>
        <w:rPr>
          <w:rFonts w:ascii="Arial" w:hAnsi="Arial" w:cs="Arial"/>
          <w:color w:val="2C2A29"/>
        </w:rPr>
        <w:t>stage as one of our key researchers, Professor Andrew Whitehouse, who has worked with DSS and the NDIA for some time, sat on the formal consultative committee for this review.</w:t>
      </w:r>
    </w:p>
    <w:p w14:paraId="2D69A03F" w14:textId="77777777" w:rsidR="003405BA" w:rsidRDefault="003405BA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26141A63" w14:textId="03D721BD" w:rsidR="007E1C42" w:rsidRDefault="007E1C42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 xml:space="preserve">With this in mind, we are pleased to provide support for the proposed changes. However, in doing so we offer additional commentary, as provided below, against 2 of the 14 recommended changes </w:t>
      </w:r>
      <w:r w:rsidR="003405BA">
        <w:rPr>
          <w:rFonts w:ascii="Arial" w:hAnsi="Arial" w:cs="Arial"/>
          <w:color w:val="2C2A29"/>
        </w:rPr>
        <w:t xml:space="preserve">(Recommendations 12 and 13) </w:t>
      </w:r>
      <w:r>
        <w:rPr>
          <w:rFonts w:ascii="Arial" w:hAnsi="Arial" w:cs="Arial"/>
          <w:color w:val="2C2A29"/>
        </w:rPr>
        <w:t xml:space="preserve">where research undertaken by the Telethon Kids </w:t>
      </w:r>
      <w:r w:rsidR="002E3B4A">
        <w:rPr>
          <w:rFonts w:ascii="Arial" w:hAnsi="Arial" w:cs="Arial"/>
          <w:color w:val="2C2A29"/>
        </w:rPr>
        <w:t>Institute</w:t>
      </w:r>
      <w:r>
        <w:rPr>
          <w:rFonts w:ascii="Arial" w:hAnsi="Arial" w:cs="Arial"/>
          <w:color w:val="2C2A29"/>
        </w:rPr>
        <w:t xml:space="preserve"> can further inform your review process.</w:t>
      </w:r>
    </w:p>
    <w:p w14:paraId="7C86AEF6" w14:textId="77777777" w:rsidR="003405BA" w:rsidRDefault="003405BA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2B19AEB2" w14:textId="5F7C27D2" w:rsidR="007E1C42" w:rsidRDefault="007E1C42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 xml:space="preserve">Should you require any further clarification or wish to discuss these comments, </w:t>
      </w:r>
      <w:r w:rsidR="0066445B">
        <w:rPr>
          <w:rFonts w:ascii="Arial" w:hAnsi="Arial" w:cs="Arial"/>
          <w:color w:val="2C2A29"/>
        </w:rPr>
        <w:t>we would be pleased to meet with you to discuss. P</w:t>
      </w:r>
      <w:r>
        <w:rPr>
          <w:rFonts w:ascii="Arial" w:hAnsi="Arial" w:cs="Arial"/>
          <w:color w:val="2C2A29"/>
        </w:rPr>
        <w:t>ls contact A/Professor Jenny Downs, Principal Research Fellow, on 08 63191763</w:t>
      </w:r>
      <w:r w:rsidR="0066445B">
        <w:rPr>
          <w:rFonts w:ascii="Arial" w:hAnsi="Arial" w:cs="Arial"/>
          <w:color w:val="2C2A29"/>
        </w:rPr>
        <w:t xml:space="preserve"> or me on the phone numbers below.</w:t>
      </w:r>
    </w:p>
    <w:p w14:paraId="6A1D0FF4" w14:textId="77777777" w:rsidR="003405BA" w:rsidRDefault="003405BA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743BF3A9" w14:textId="55F31943" w:rsidR="007E1C42" w:rsidRPr="0066445B" w:rsidRDefault="007E1C42" w:rsidP="00340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66445B">
        <w:rPr>
          <w:rFonts w:ascii="Arial" w:hAnsi="Arial" w:cs="Arial"/>
          <w:color w:val="2C2A29"/>
        </w:rPr>
        <w:t>Thank you again for the opportunity to provide a submission.</w:t>
      </w:r>
    </w:p>
    <w:p w14:paraId="59C87EC7" w14:textId="413E547E" w:rsidR="003405BA" w:rsidRPr="00A255F2" w:rsidRDefault="003405BA" w:rsidP="003405BA">
      <w:pPr>
        <w:rPr>
          <w:rFonts w:ascii="Arial" w:hAnsi="Arial" w:cs="Arial"/>
        </w:rPr>
      </w:pPr>
    </w:p>
    <w:p w14:paraId="0F3C46BC" w14:textId="6A665327" w:rsidR="0066445B" w:rsidRPr="00A255F2" w:rsidRDefault="0066445B" w:rsidP="003405BA">
      <w:pPr>
        <w:rPr>
          <w:rFonts w:ascii="Arial" w:hAnsi="Arial" w:cs="Arial"/>
        </w:rPr>
      </w:pPr>
      <w:r w:rsidRPr="00A255F2">
        <w:rPr>
          <w:rFonts w:ascii="Arial" w:hAnsi="Arial" w:cs="Arial"/>
        </w:rPr>
        <w:t>Fiona Roche</w:t>
      </w:r>
    </w:p>
    <w:p w14:paraId="3A5DB3C2" w14:textId="77777777" w:rsidR="0066445B" w:rsidRDefault="0066445B" w:rsidP="003405BA"/>
    <w:p w14:paraId="4D7AE6C1" w14:textId="77777777" w:rsidR="003405BA" w:rsidRDefault="003405BA" w:rsidP="003405B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5"/>
      </w:tblGrid>
      <w:tr w:rsidR="003405BA" w14:paraId="45E5004B" w14:textId="77777777" w:rsidTr="003405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690"/>
              <w:gridCol w:w="5595"/>
            </w:tblGrid>
            <w:tr w:rsidR="003405BA" w14:paraId="696ECCB8" w14:textId="77777777" w:rsidTr="003405BA">
              <w:trPr>
                <w:trHeight w:val="135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B475BA" w14:textId="4FC02675" w:rsidR="003405BA" w:rsidRDefault="003405BA">
                  <w:pPr>
                    <w:rPr>
                      <w:rFonts w:ascii="Calibri" w:eastAsia="Times New Roman" w:hAnsi="Calibri" w:cs="Calibri"/>
                      <w:noProof/>
                      <w:lang w:eastAsia="en-AU"/>
                    </w:rPr>
                  </w:pPr>
                  <w:bookmarkStart w:id="0" w:name="_MailAutoSig"/>
                  <w:r>
                    <w:rPr>
                      <w:rFonts w:ascii="Calibri" w:eastAsia="Times New Roman" w:hAnsi="Calibri" w:cs="Calibri"/>
                      <w:noProof/>
                      <w:lang w:eastAsia="en-AU"/>
                    </w:rPr>
                    <w:drawing>
                      <wp:inline distT="0" distB="0" distL="0" distR="0" wp14:anchorId="7920BBF5" wp14:editId="6CAD4F17">
                        <wp:extent cx="1219200" cy="942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0" w:type="dxa"/>
                  <w:vAlign w:val="center"/>
                  <w:hideMark/>
                </w:tcPr>
                <w:p w14:paraId="55154DD1" w14:textId="77777777" w:rsidR="003405BA" w:rsidRDefault="003405BA">
                  <w:pPr>
                    <w:rPr>
                      <w:rFonts w:ascii="Calibri" w:eastAsia="Times New Roman" w:hAnsi="Calibri" w:cs="Calibri"/>
                      <w:noProof/>
                      <w:lang w:eastAsia="en-AU"/>
                    </w:rPr>
                  </w:pPr>
                </w:p>
              </w:tc>
              <w:tc>
                <w:tcPr>
                  <w:tcW w:w="5595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1"/>
                  </w:tblGrid>
                  <w:tr w:rsidR="003405BA" w14:paraId="0238CF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571E79" w14:textId="77777777" w:rsidR="003405BA" w:rsidRDefault="003405BA">
                        <w:pPr>
                          <w:spacing w:before="100" w:beforeAutospacing="1" w:after="100" w:afterAutospacing="1"/>
                          <w:rPr>
                            <w:rFonts w:ascii="Calibri" w:eastAsiaTheme="minorEastAsia" w:hAnsi="Calibri" w:cs="Calibri"/>
                            <w:noProof/>
                            <w:sz w:val="22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ascii="Calibri" w:eastAsiaTheme="minorEastAsia" w:hAnsi="Calibri" w:cs="Calibr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eastAsia="en-AU"/>
                          </w:rPr>
                          <w:t>Fiona</w:t>
                        </w:r>
                        <w:r>
                          <w:rPr>
                            <w:rFonts w:ascii="Calibri" w:eastAsiaTheme="minorEastAsia" w:hAnsi="Calibri" w:cs="Calibri"/>
                            <w:noProof/>
                            <w:lang w:eastAsia="en-AU"/>
                          </w:rPr>
                          <w:t> </w:t>
                        </w:r>
                        <w:r>
                          <w:rPr>
                            <w:rFonts w:ascii="Calibri" w:eastAsiaTheme="minorEastAsia" w:hAnsi="Calibri" w:cs="Calibr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eastAsia="en-AU"/>
                          </w:rPr>
                          <w:t>Roche</w:t>
                        </w:r>
                        <w:r>
                          <w:rPr>
                            <w:rFonts w:ascii="Calibri" w:eastAsiaTheme="minorEastAsia" w:hAnsi="Calibri" w:cs="Calibri"/>
                            <w:noProof/>
                            <w:lang w:eastAsia="en-AU"/>
                          </w:rPr>
                          <w:t> </w:t>
                        </w:r>
                        <w:r>
                          <w:rPr>
                            <w:rFonts w:ascii="Calibri" w:eastAsiaTheme="minorEastAsia" w:hAnsi="Calibri" w:cs="Calibri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  <w:lang w:eastAsia="en-AU"/>
                          </w:rPr>
                          <w:t>|Senior Advisor, Government Relations</w:t>
                        </w:r>
                      </w:p>
                    </w:tc>
                  </w:tr>
                  <w:tr w:rsidR="003405BA" w14:paraId="361BC2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865FF3" w14:textId="77777777" w:rsidR="003405BA" w:rsidRDefault="003405BA">
                        <w:pPr>
                          <w:rPr>
                            <w:rFonts w:ascii="Calibri" w:eastAsia="Times New Roman" w:hAnsi="Calibri" w:cs="Calibri"/>
                            <w:noProof/>
                            <w:lang w:eastAsia="en-A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20"/>
                            <w:szCs w:val="20"/>
                            <w:lang w:eastAsia="en-AU"/>
                          </w:rPr>
                          <w:t>ph +61 8 6319 1239</w:t>
                        </w: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15"/>
                            <w:szCs w:val="15"/>
                            <w:lang w:eastAsia="en-AU"/>
                          </w:rPr>
                          <w:t> </w:t>
                        </w: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  <w:sz w:val="20"/>
                            <w:szCs w:val="20"/>
                            <w:lang w:eastAsia="en-AU"/>
                          </w:rPr>
                          <w:t>|0405 420 052</w:t>
                        </w:r>
                      </w:p>
                    </w:tc>
                  </w:tr>
                  <w:tr w:rsidR="003405BA" w14:paraId="592572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FD9AB8" w14:textId="77777777" w:rsidR="003405BA" w:rsidRDefault="00F75AE6">
                        <w:pPr>
                          <w:rPr>
                            <w:rFonts w:ascii="Calibri" w:eastAsia="Times New Roman" w:hAnsi="Calibri" w:cs="Calibri"/>
                            <w:noProof/>
                            <w:lang w:eastAsia="en-AU"/>
                          </w:rPr>
                        </w:pPr>
                        <w:hyperlink r:id="rId11" w:tooltip="Click to send email to Fiona Roche" w:history="1">
                          <w:r w:rsidR="003405BA">
                            <w:rPr>
                              <w:rStyle w:val="Hyperlink"/>
                              <w:rFonts w:ascii="Calibri" w:eastAsia="Times New Roman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en-AU"/>
                            </w:rPr>
                            <w:t>fiona.roche@telethonkids.org.au</w:t>
                          </w:r>
                        </w:hyperlink>
                      </w:p>
                    </w:tc>
                  </w:tr>
                  <w:tr w:rsidR="003405BA" w14:paraId="0FCE1E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AACED9" w14:textId="77777777" w:rsidR="003405BA" w:rsidRDefault="003405BA">
                        <w:pPr>
                          <w:rPr>
                            <w:rFonts w:ascii="Calibri" w:eastAsia="Times New Roman" w:hAnsi="Calibri" w:cs="Calibri"/>
                            <w:noProof/>
                            <w:lang w:eastAsia="en-AU"/>
                          </w:rPr>
                        </w:pPr>
                      </w:p>
                    </w:tc>
                  </w:tr>
                </w:tbl>
                <w:p w14:paraId="716922F4" w14:textId="0685F9F0" w:rsidR="003405BA" w:rsidRDefault="003405BA">
                  <w:pPr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noProof/>
                      <w:sz w:val="20"/>
                      <w:szCs w:val="20"/>
                      <w:lang w:eastAsia="en-AU"/>
                    </w:rPr>
                    <w:t xml:space="preserve">  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noProof/>
                      <w:sz w:val="20"/>
                      <w:szCs w:val="20"/>
                      <w:lang w:eastAsia="en-AU"/>
                    </w:rPr>
                    <w:br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en-AU"/>
                    </w:rPr>
                    <w:t xml:space="preserve">Northern Entrance, Perth Children's Hospital, 15 Hospital Avenue, Nedlands, Western Australia, 6009 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lang w:eastAsia="en-AU"/>
                    </w:rPr>
                    <w:br/>
                    <w:t>PO Box 855, West Perth, Western Australia, 6872</w:t>
                  </w:r>
                </w:p>
              </w:tc>
            </w:tr>
          </w:tbl>
          <w:p w14:paraId="5AB0A634" w14:textId="77777777" w:rsidR="003405BA" w:rsidRDefault="003405BA">
            <w:pPr>
              <w:spacing w:before="100" w:beforeAutospacing="1" w:after="100" w:afterAutospacing="1"/>
              <w:rPr>
                <w:rFonts w:ascii="Calibri" w:eastAsiaTheme="minorEastAsia" w:hAnsi="Calibri" w:cs="Calibri"/>
                <w:noProof/>
                <w:lang w:eastAsia="en-AU"/>
              </w:rPr>
            </w:pPr>
            <w:r>
              <w:rPr>
                <w:rFonts w:ascii="Calibri" w:eastAsiaTheme="minorEastAsia" w:hAnsi="Calibri" w:cs="Calibri"/>
                <w:noProof/>
                <w:lang w:eastAsia="en-AU"/>
              </w:rPr>
              <w:t> </w:t>
            </w:r>
          </w:p>
        </w:tc>
      </w:tr>
      <w:tr w:rsidR="003405BA" w14:paraId="1E1892C3" w14:textId="77777777" w:rsidTr="003405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490A32" w14:textId="7DDBB823" w:rsidR="003405BA" w:rsidRDefault="003405BA">
            <w:pP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49"/>
              <w:gridCol w:w="3556"/>
            </w:tblGrid>
            <w:tr w:rsidR="003405BA" w14:paraId="3A85BB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190EE8" w14:textId="77777777" w:rsidR="003405BA" w:rsidRDefault="00F75AE6">
                  <w:pPr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  <w:lang w:eastAsia="en-AU"/>
                    </w:rPr>
                  </w:pPr>
                  <w:hyperlink r:id="rId12" w:history="1">
                    <w:r w:rsidR="003405BA">
                      <w:rPr>
                        <w:rStyle w:val="Hyperlink"/>
                        <w:rFonts w:ascii="Calibri" w:eastAsia="Times New Roman" w:hAnsi="Calibri" w:cs="Calibri"/>
                        <w:noProof/>
                        <w:sz w:val="20"/>
                        <w:szCs w:val="20"/>
                        <w:lang w:eastAsia="en-AU"/>
                      </w:rPr>
                      <w:t>www.telethonkids.org.au </w:t>
                    </w:r>
                    <w:r w:rsidR="003405BA">
                      <w:rPr>
                        <w:rFonts w:ascii="Calibri" w:eastAsia="Times New Roman" w:hAnsi="Calibri" w:cs="Calibri"/>
                        <w:noProof/>
                        <w:color w:val="0000FF"/>
                        <w:sz w:val="20"/>
                        <w:szCs w:val="20"/>
                        <w:u w:val="single"/>
                        <w:lang w:eastAsia="en-AU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5DC61B" w14:textId="2B3BCF13" w:rsidR="003405BA" w:rsidRDefault="003405BA">
                  <w:pPr>
                    <w:jc w:val="center"/>
                    <w:rPr>
                      <w:rFonts w:ascii="Calibri" w:eastAsia="Times New Roman" w:hAnsi="Calibri" w:cs="Calibri"/>
                      <w:noProof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en-AU"/>
                    </w:rPr>
                    <w:t>  </w:t>
                  </w:r>
                  <w:r>
                    <w:rPr>
                      <w:rFonts w:ascii="Calibri" w:eastAsia="Times New Roman" w:hAnsi="Calibri" w:cs="Calibri"/>
                      <w:noProof/>
                      <w:color w:val="0000FF"/>
                      <w:lang w:eastAsia="en-AU"/>
                    </w:rPr>
                    <w:drawing>
                      <wp:inline distT="0" distB="0" distL="0" distR="0" wp14:anchorId="77D7AA19" wp14:editId="0D26F96F">
                        <wp:extent cx="304800" cy="285750"/>
                        <wp:effectExtent l="0" t="0" r="0" b="0"/>
                        <wp:docPr id="4" name="Picture 4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lang w:eastAsia="en-A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noProof/>
                      <w:color w:val="0000FF"/>
                      <w:lang w:eastAsia="en-AU"/>
                    </w:rPr>
                    <w:drawing>
                      <wp:inline distT="0" distB="0" distL="0" distR="0" wp14:anchorId="27A58A47" wp14:editId="30D3D0F1">
                        <wp:extent cx="304800" cy="304800"/>
                        <wp:effectExtent l="0" t="0" r="0" b="0"/>
                        <wp:docPr id="3" name="Picture 3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FF"/>
                      <w:lang w:eastAsia="en-AU"/>
                    </w:rPr>
                    <w:drawing>
                      <wp:inline distT="0" distB="0" distL="0" distR="0" wp14:anchorId="14B68FC0" wp14:editId="0BAF62D8">
                        <wp:extent cx="304800" cy="304800"/>
                        <wp:effectExtent l="0" t="0" r="0" b="0"/>
                        <wp:docPr id="2" name="Picture 2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8901D8" w14:textId="5CD217DF" w:rsidR="003405BA" w:rsidRDefault="003405BA">
            <w:pPr>
              <w:spacing w:before="100" w:beforeAutospacing="1" w:after="100" w:afterAutospacing="1"/>
              <w:rPr>
                <w:rFonts w:ascii="Calibri" w:eastAsiaTheme="minorEastAsia" w:hAnsi="Calibri" w:cs="Calibri"/>
                <w:noProof/>
                <w:lang w:eastAsia="en-AU"/>
              </w:rPr>
            </w:pPr>
          </w:p>
        </w:tc>
      </w:tr>
      <w:tr w:rsidR="003405BA" w14:paraId="68F40A9E" w14:textId="77777777" w:rsidTr="003405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C30DC5" w14:textId="77777777" w:rsidR="003405BA" w:rsidRDefault="003405BA">
            <w:pPr>
              <w:spacing w:before="100" w:beforeAutospacing="1" w:after="100" w:afterAutospacing="1"/>
              <w:rPr>
                <w:rFonts w:ascii="Calibri" w:eastAsiaTheme="minorEastAsia" w:hAnsi="Calibri" w:cs="Calibri"/>
                <w:noProof/>
                <w:lang w:eastAsia="en-AU"/>
              </w:rPr>
            </w:pPr>
            <w:r>
              <w:rPr>
                <w:rFonts w:ascii="Calibri" w:eastAsiaTheme="minorEastAsia" w:hAnsi="Calibri" w:cs="Calibri"/>
                <w:noProof/>
                <w:lang w:eastAsia="en-AU"/>
              </w:rPr>
              <w:t> </w:t>
            </w:r>
          </w:p>
        </w:tc>
      </w:tr>
      <w:bookmarkEnd w:id="0"/>
    </w:tbl>
    <w:p w14:paraId="266D2DAD" w14:textId="77777777" w:rsidR="00D83AAB" w:rsidRPr="00D83AAB" w:rsidRDefault="00D83AAB">
      <w:pPr>
        <w:rPr>
          <w:rFonts w:ascii="Arial" w:hAnsi="Arial" w:cs="Arial"/>
        </w:rPr>
      </w:pPr>
    </w:p>
    <w:p w14:paraId="1F2C0BA2" w14:textId="77777777" w:rsidR="003D0347" w:rsidRDefault="003D034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CBBB147" w14:textId="74709C60" w:rsidR="00F80BEE" w:rsidRPr="00A255F2" w:rsidRDefault="00715659" w:rsidP="003405BA">
      <w:pPr>
        <w:jc w:val="center"/>
        <w:rPr>
          <w:b/>
          <w:bCs/>
          <w:u w:val="single"/>
        </w:rPr>
      </w:pPr>
      <w:r w:rsidRPr="00A255F2">
        <w:rPr>
          <w:b/>
          <w:bCs/>
          <w:u w:val="single"/>
        </w:rPr>
        <w:lastRenderedPageBreak/>
        <w:t>TELETHON KIDS INSTITUTE – COMMENTS AGAINST 2 OF THE 14 RECOMMENDATIONS</w:t>
      </w:r>
    </w:p>
    <w:p w14:paraId="21611011" w14:textId="77777777" w:rsidR="003405BA" w:rsidRPr="006228FB" w:rsidRDefault="003405BA"/>
    <w:p w14:paraId="735F3D28" w14:textId="77777777" w:rsidR="00F80BEE" w:rsidRPr="006228FB" w:rsidRDefault="00F80BEE" w:rsidP="00F80BEE">
      <w:pPr>
        <w:rPr>
          <w:b/>
          <w:bCs/>
        </w:rPr>
      </w:pPr>
      <w:r w:rsidRPr="006228FB">
        <w:rPr>
          <w:b/>
          <w:bCs/>
        </w:rPr>
        <w:t>Recommendation 12</w:t>
      </w:r>
    </w:p>
    <w:p w14:paraId="27BA2171" w14:textId="77777777" w:rsidR="00F80BEE" w:rsidRPr="006228FB" w:rsidRDefault="00F80BEE" w:rsidP="00F80BEE">
      <w:r w:rsidRPr="006228FB">
        <w:t>12.</w:t>
      </w:r>
      <w:r w:rsidRPr="006228FB">
        <w:tab/>
        <w:t>The NDIS Rules are amended to reinforce that the determination of reasonable and necessary supports for children with disability will:</w:t>
      </w:r>
    </w:p>
    <w:p w14:paraId="2AA1B3E9" w14:textId="77777777" w:rsidR="00F80BEE" w:rsidRPr="006228FB" w:rsidRDefault="00F80BEE" w:rsidP="00F80BEE">
      <w:r w:rsidRPr="006228FB">
        <w:t>a) recognise the additional informal supports provided by their families and carers, when compared to children without disability</w:t>
      </w:r>
    </w:p>
    <w:p w14:paraId="187FAC8A" w14:textId="77777777" w:rsidR="00F80BEE" w:rsidRPr="006228FB" w:rsidRDefault="00F80BEE" w:rsidP="00F80BEE">
      <w:r w:rsidRPr="006228FB">
        <w:t>b) provide families and carers with access to supports in the home and other forms of respite</w:t>
      </w:r>
    </w:p>
    <w:p w14:paraId="41EFF786" w14:textId="6B322E49" w:rsidR="00F80BEE" w:rsidRPr="006228FB" w:rsidRDefault="00F80BEE" w:rsidP="00F80BEE">
      <w:r w:rsidRPr="006228FB">
        <w:t>c) build the capacity of families and carers to support children with disability in natural settings such as the home and community.</w:t>
      </w:r>
    </w:p>
    <w:p w14:paraId="7F2697E2" w14:textId="069DB290" w:rsidR="00F80BEE" w:rsidRPr="006228FB" w:rsidRDefault="00F80BEE" w:rsidP="00F80BEE"/>
    <w:p w14:paraId="487BF2AA" w14:textId="6C391B0E" w:rsidR="00F80BEE" w:rsidRPr="006228FB" w:rsidRDefault="00F80BEE" w:rsidP="00F80BEE"/>
    <w:p w14:paraId="65CFD328" w14:textId="391088F8" w:rsidR="00AF2526" w:rsidRPr="006228FB" w:rsidRDefault="00AF2526" w:rsidP="00F80BEE">
      <w:pPr>
        <w:rPr>
          <w:b/>
          <w:bCs/>
        </w:rPr>
      </w:pPr>
      <w:r w:rsidRPr="006228FB">
        <w:rPr>
          <w:b/>
          <w:bCs/>
        </w:rPr>
        <w:t xml:space="preserve">Response </w:t>
      </w:r>
      <w:r w:rsidR="004726BA" w:rsidRPr="006228FB">
        <w:rPr>
          <w:b/>
          <w:bCs/>
        </w:rPr>
        <w:t xml:space="preserve">to the three components of Recommendation 12 by the </w:t>
      </w:r>
      <w:r w:rsidRPr="006228FB">
        <w:rPr>
          <w:b/>
          <w:bCs/>
        </w:rPr>
        <w:t>Telethon Kids Institute</w:t>
      </w:r>
      <w:r w:rsidR="004726BA" w:rsidRPr="006228FB">
        <w:rPr>
          <w:b/>
          <w:bCs/>
        </w:rPr>
        <w:t xml:space="preserve"> is </w:t>
      </w:r>
      <w:r w:rsidR="0066445B" w:rsidRPr="006228FB">
        <w:rPr>
          <w:b/>
          <w:bCs/>
        </w:rPr>
        <w:t>as follows</w:t>
      </w:r>
      <w:r w:rsidR="004726BA" w:rsidRPr="006228FB">
        <w:rPr>
          <w:b/>
          <w:bCs/>
        </w:rPr>
        <w:t>:</w:t>
      </w:r>
    </w:p>
    <w:p w14:paraId="1AF03DFA" w14:textId="77777777" w:rsidR="004726BA" w:rsidRPr="006228FB" w:rsidRDefault="004726BA" w:rsidP="00F80BEE">
      <w:pPr>
        <w:rPr>
          <w:b/>
          <w:bCs/>
        </w:rPr>
      </w:pPr>
    </w:p>
    <w:p w14:paraId="4E6A2706" w14:textId="288A36B6" w:rsidR="00535F0F" w:rsidRPr="00A255F2" w:rsidRDefault="00F80BEE" w:rsidP="0066445B">
      <w:pPr>
        <w:pStyle w:val="ListParagraph"/>
        <w:numPr>
          <w:ilvl w:val="0"/>
          <w:numId w:val="1"/>
        </w:numPr>
        <w:ind w:left="0" w:firstLine="0"/>
      </w:pPr>
      <w:r w:rsidRPr="00A255F2">
        <w:t>T</w:t>
      </w:r>
      <w:r w:rsidR="004726BA" w:rsidRPr="00A255F2">
        <w:t>h</w:t>
      </w:r>
      <w:r w:rsidR="00200E3B">
        <w:t>e</w:t>
      </w:r>
      <w:r w:rsidR="004726BA" w:rsidRPr="00A255F2">
        <w:t xml:space="preserve"> </w:t>
      </w:r>
      <w:r w:rsidR="0066445B" w:rsidRPr="00A255F2">
        <w:t>recommendation</w:t>
      </w:r>
      <w:r w:rsidR="004726BA" w:rsidRPr="00A255F2">
        <w:t xml:space="preserve"> to expand the </w:t>
      </w:r>
      <w:r w:rsidRPr="00A255F2">
        <w:t>NDIS</w:t>
      </w:r>
      <w:r w:rsidR="00535F0F" w:rsidRPr="00A255F2">
        <w:t xml:space="preserve"> </w:t>
      </w:r>
      <w:r w:rsidR="004726BA" w:rsidRPr="00A255F2">
        <w:t xml:space="preserve">to </w:t>
      </w:r>
      <w:r w:rsidR="00277AAE" w:rsidRPr="00A255F2">
        <w:t xml:space="preserve">recognise the additional informal supports provided by the child’s families and carers, </w:t>
      </w:r>
      <w:r w:rsidR="004726BA" w:rsidRPr="00A255F2">
        <w:t xml:space="preserve">is strongly supported. </w:t>
      </w:r>
      <w:r w:rsidRPr="00A255F2">
        <w:t xml:space="preserve">Reasonable and necessary supports are essential for children with </w:t>
      </w:r>
      <w:r w:rsidR="00535F0F" w:rsidRPr="00A255F2">
        <w:t>disability,</w:t>
      </w:r>
      <w:r w:rsidRPr="00A255F2">
        <w:t xml:space="preserve"> </w:t>
      </w:r>
      <w:r w:rsidR="00535F0F" w:rsidRPr="00A255F2">
        <w:t>irrespective of any funded supports that are provided for the child,</w:t>
      </w:r>
      <w:r w:rsidRPr="00A255F2">
        <w:t xml:space="preserve"> families and carers deliver substantial care and support</w:t>
      </w:r>
      <w:r w:rsidR="00535F0F" w:rsidRPr="00A255F2">
        <w:t xml:space="preserve"> themselves. This is a critical part of parenting, but </w:t>
      </w:r>
      <w:r w:rsidR="00277AAE" w:rsidRPr="00A255F2">
        <w:t xml:space="preserve">for parents with a child with a disability, parenting can be </w:t>
      </w:r>
      <w:r w:rsidR="00535F0F" w:rsidRPr="00A255F2">
        <w:t xml:space="preserve">associated with strain, stress, and threats to </w:t>
      </w:r>
      <w:r w:rsidR="00A255F2">
        <w:t xml:space="preserve">their </w:t>
      </w:r>
      <w:r w:rsidR="00535F0F" w:rsidRPr="00A255F2">
        <w:t xml:space="preserve">mental health. </w:t>
      </w:r>
    </w:p>
    <w:p w14:paraId="02FAAD21" w14:textId="77777777" w:rsidR="00535F0F" w:rsidRPr="00A255F2" w:rsidRDefault="00535F0F" w:rsidP="00F80BEE"/>
    <w:p w14:paraId="22A77962" w14:textId="7F9016BF" w:rsidR="00F80BEE" w:rsidRPr="00A255F2" w:rsidRDefault="004726BA" w:rsidP="0066445B">
      <w:pPr>
        <w:pStyle w:val="ListParagraph"/>
        <w:numPr>
          <w:ilvl w:val="0"/>
          <w:numId w:val="1"/>
        </w:numPr>
        <w:ind w:left="0" w:firstLine="0"/>
      </w:pPr>
      <w:r w:rsidRPr="00A255F2">
        <w:t xml:space="preserve">The </w:t>
      </w:r>
      <w:r w:rsidR="00A34697">
        <w:t>recommendation</w:t>
      </w:r>
      <w:r w:rsidRPr="00A255F2">
        <w:t xml:space="preserve"> to provide </w:t>
      </w:r>
      <w:r w:rsidR="00277AAE" w:rsidRPr="00A255F2">
        <w:t>parents with supports in the home and other forms of respite, to minimise threats to their mental health by providing breaks in their caring</w:t>
      </w:r>
      <w:r w:rsidRPr="00A255F2">
        <w:t xml:space="preserve"> is also strongly supported. The </w:t>
      </w:r>
      <w:r w:rsidR="00277AAE" w:rsidRPr="00A255F2">
        <w:t xml:space="preserve">Telethon Kids Institute </w:t>
      </w:r>
      <w:r w:rsidR="00535F0F" w:rsidRPr="00A255F2">
        <w:t>ha</w:t>
      </w:r>
      <w:r w:rsidR="003405BA" w:rsidRPr="00A255F2">
        <w:t>s</w:t>
      </w:r>
      <w:r w:rsidR="00535F0F" w:rsidRPr="00A255F2">
        <w:t xml:space="preserve"> studied the mental health of parents with a child with intellectual disability </w:t>
      </w:r>
      <w:r w:rsidR="00277AAE" w:rsidRPr="00A255F2">
        <w:t>or</w:t>
      </w:r>
      <w:r w:rsidR="00535F0F" w:rsidRPr="00A255F2">
        <w:t xml:space="preserve"> a neurogenetic disorder associated with intellectual disability</w:t>
      </w:r>
      <w:r w:rsidR="009A463E" w:rsidRPr="00A255F2">
        <w:t xml:space="preserve"> for many years</w:t>
      </w:r>
      <w:r w:rsidR="00535F0F" w:rsidRPr="00A255F2">
        <w:t>. Across all diagnostic groups, mental health is poorer for parents with a child with intellectual disability compared to parents in the general population whose children do not have intellectual disability.</w:t>
      </w:r>
    </w:p>
    <w:p w14:paraId="3DA663BB" w14:textId="334CD07B" w:rsidR="00535F0F" w:rsidRPr="00A255F2" w:rsidRDefault="00535F0F" w:rsidP="00F80BEE"/>
    <w:p w14:paraId="24E6C678" w14:textId="162BDC4A" w:rsidR="00535F0F" w:rsidRPr="00A255F2" w:rsidRDefault="00AF2526" w:rsidP="00F80BEE">
      <w:r w:rsidRPr="00A255F2">
        <w:t xml:space="preserve">A </w:t>
      </w:r>
      <w:r w:rsidR="00535F0F" w:rsidRPr="00A255F2">
        <w:t>recent study</w:t>
      </w:r>
      <w:r w:rsidRPr="00A255F2">
        <w:t xml:space="preserve"> led by Telethon Kids Institute investigate</w:t>
      </w:r>
      <w:r w:rsidR="009A463E" w:rsidRPr="00A255F2">
        <w:t>d</w:t>
      </w:r>
      <w:r w:rsidRPr="00A255F2">
        <w:t xml:space="preserve"> the mental health of </w:t>
      </w:r>
      <w:r w:rsidR="009A463E" w:rsidRPr="00A255F2">
        <w:t>447 c</w:t>
      </w:r>
      <w:r w:rsidR="00535F0F" w:rsidRPr="00A255F2">
        <w:t>aregivers with a</w:t>
      </w:r>
      <w:r w:rsidR="009A463E" w:rsidRPr="00A255F2">
        <w:t xml:space="preserve"> child with </w:t>
      </w:r>
      <w:r w:rsidR="00535F0F" w:rsidRPr="00A255F2">
        <w:t>intellectual disability</w:t>
      </w:r>
      <w:r w:rsidR="009A463E" w:rsidRPr="00A255F2">
        <w:t xml:space="preserve"> who</w:t>
      </w:r>
      <w:r w:rsidR="00535F0F" w:rsidRPr="00A255F2">
        <w:t xml:space="preserve"> reported their psychological distress using the Kessler Psychological Distress Scale.</w:t>
      </w:r>
      <w:r w:rsidR="00B63549" w:rsidRPr="00A255F2">
        <w:t xml:space="preserve"> </w:t>
      </w:r>
      <w:r w:rsidR="009A463E" w:rsidRPr="00A255F2">
        <w:t>The minority of caregivers had</w:t>
      </w:r>
      <w:r w:rsidR="00B63549" w:rsidRPr="00A255F2">
        <w:t xml:space="preserve"> scores classified as no psychological distress </w:t>
      </w:r>
      <w:r w:rsidR="009A463E" w:rsidRPr="00A255F2">
        <w:t>(n=</w:t>
      </w:r>
      <w:r w:rsidR="00B63549" w:rsidRPr="00A255F2">
        <w:t>21</w:t>
      </w:r>
      <w:r w:rsidR="009A463E" w:rsidRPr="00A255F2">
        <w:t xml:space="preserve">, </w:t>
      </w:r>
      <w:r w:rsidR="00B63549" w:rsidRPr="00A255F2">
        <w:t xml:space="preserve">27.1%), mild distress </w:t>
      </w:r>
      <w:r w:rsidR="009A463E" w:rsidRPr="00A255F2">
        <w:t xml:space="preserve">was reported by </w:t>
      </w:r>
      <w:r w:rsidR="00B63549" w:rsidRPr="00A255F2">
        <w:t>135 (30.2%)</w:t>
      </w:r>
      <w:r w:rsidR="00A255F2">
        <w:t xml:space="preserve"> caregivers</w:t>
      </w:r>
      <w:r w:rsidR="00B63549" w:rsidRPr="00A255F2">
        <w:t xml:space="preserve">, moderate distress </w:t>
      </w:r>
      <w:r w:rsidR="009A463E" w:rsidRPr="00A255F2">
        <w:t xml:space="preserve">by </w:t>
      </w:r>
      <w:r w:rsidR="00B63549" w:rsidRPr="00A255F2">
        <w:t>121 (27.1%)</w:t>
      </w:r>
      <w:r w:rsidR="00A255F2">
        <w:t>,</w:t>
      </w:r>
      <w:r w:rsidR="00B63549" w:rsidRPr="00A255F2">
        <w:t xml:space="preserve"> and high distress </w:t>
      </w:r>
      <w:r w:rsidR="009A463E" w:rsidRPr="00A255F2">
        <w:t xml:space="preserve">by </w:t>
      </w:r>
      <w:r w:rsidR="00B63549" w:rsidRPr="00A255F2">
        <w:t>70 (15.7%) of caregivers.</w:t>
      </w:r>
      <w:r w:rsidR="009A463E" w:rsidRPr="00A255F2">
        <w:t xml:space="preserve"> High levels of psychological distress reported in earlier studies remain in the current day.</w:t>
      </w:r>
    </w:p>
    <w:p w14:paraId="0482A5EB" w14:textId="2323D45B" w:rsidR="00C607F6" w:rsidRPr="00A255F2" w:rsidRDefault="00C607F6" w:rsidP="00F80BEE"/>
    <w:p w14:paraId="30967270" w14:textId="1AA91263" w:rsidR="00C607F6" w:rsidRPr="00A255F2" w:rsidRDefault="00C607F6" w:rsidP="00F80BEE">
      <w:r w:rsidRPr="00A255F2">
        <w:t xml:space="preserve">There </w:t>
      </w:r>
      <w:r w:rsidR="00B667BF">
        <w:t>we</w:t>
      </w:r>
      <w:r w:rsidR="009A463E" w:rsidRPr="00A255F2">
        <w:t>re</w:t>
      </w:r>
      <w:r w:rsidRPr="00A255F2">
        <w:t xml:space="preserve"> flow on implications </w:t>
      </w:r>
      <w:r w:rsidR="009A463E" w:rsidRPr="00A255F2">
        <w:t xml:space="preserve">from poor parent mental health </w:t>
      </w:r>
      <w:r w:rsidRPr="00A255F2">
        <w:t xml:space="preserve">for the child’s quality of life: </w:t>
      </w:r>
      <w:r w:rsidR="00200E3B">
        <w:t>poorer parental mental health was</w:t>
      </w:r>
      <w:r w:rsidRPr="00A255F2">
        <w:t xml:space="preserve"> associated with lower </w:t>
      </w:r>
      <w:r w:rsidR="00200E3B">
        <w:t>child quality of life</w:t>
      </w:r>
      <w:r w:rsidRPr="00A255F2">
        <w:t xml:space="preserve"> scores (</w:t>
      </w:r>
      <w:proofErr w:type="spellStart"/>
      <w:r w:rsidRPr="00A255F2">
        <w:t>coeff</w:t>
      </w:r>
      <w:proofErr w:type="spellEnd"/>
      <w:r w:rsidRPr="00A255F2">
        <w:t xml:space="preserve"> -0.47, 95%CI -0.61,</w:t>
      </w:r>
      <w:r w:rsidR="00A255F2">
        <w:t xml:space="preserve"> </w:t>
      </w:r>
      <w:r w:rsidRPr="00A255F2">
        <w:t>-0.32).</w:t>
      </w:r>
    </w:p>
    <w:p w14:paraId="65F2962E" w14:textId="77777777" w:rsidR="003405BA" w:rsidRPr="00A255F2" w:rsidRDefault="003405BA" w:rsidP="00F80BEE"/>
    <w:p w14:paraId="16118105" w14:textId="336A2D39" w:rsidR="008004F0" w:rsidRPr="00A255F2" w:rsidRDefault="008004F0" w:rsidP="00F80BEE">
      <w:r w:rsidRPr="00A255F2">
        <w:t xml:space="preserve">Parent caregivers with a child or adolescent with intellectual disability are extremely vulnerable to psychological strain and distress, illustrated </w:t>
      </w:r>
      <w:r w:rsidR="00212FFD">
        <w:t xml:space="preserve">by our data </w:t>
      </w:r>
      <w:r w:rsidRPr="00A255F2">
        <w:t xml:space="preserve">where 27.1% reported no distress compared with approximately 70% in the general population. Poorer mental </w:t>
      </w:r>
      <w:r w:rsidRPr="00A255F2">
        <w:lastRenderedPageBreak/>
        <w:t xml:space="preserve">health has been attributed to the child’s sleep and behavioural problems, recurring grief and challenges navigating the complex care pathways for their child’s necessary supports. </w:t>
      </w:r>
    </w:p>
    <w:p w14:paraId="7A472A56" w14:textId="173024D9" w:rsidR="00535F0F" w:rsidRPr="00A255F2" w:rsidRDefault="00535F0F" w:rsidP="00F80BEE"/>
    <w:p w14:paraId="2D025932" w14:textId="73707D12" w:rsidR="00535F0F" w:rsidRPr="00A255F2" w:rsidRDefault="004726BA" w:rsidP="00F80BEE">
      <w:r w:rsidRPr="00A255F2">
        <w:t xml:space="preserve">Greater </w:t>
      </w:r>
      <w:r w:rsidR="009A463E" w:rsidRPr="00A255F2">
        <w:t>caregiver support</w:t>
      </w:r>
      <w:r w:rsidRPr="00A255F2">
        <w:t xml:space="preserve"> is strongly </w:t>
      </w:r>
      <w:r w:rsidR="0066445B" w:rsidRPr="00A255F2">
        <w:t>supported. Additional</w:t>
      </w:r>
      <w:r w:rsidR="00535F0F" w:rsidRPr="00A255F2">
        <w:t xml:space="preserve"> to the provision of new supports, </w:t>
      </w:r>
      <w:r w:rsidR="0066445B" w:rsidRPr="00A255F2">
        <w:t xml:space="preserve">we </w:t>
      </w:r>
      <w:r w:rsidR="00212FFD">
        <w:t>recommend</w:t>
      </w:r>
      <w:r w:rsidRPr="00A255F2">
        <w:t xml:space="preserve"> that</w:t>
      </w:r>
      <w:r w:rsidR="0066445B" w:rsidRPr="00A255F2">
        <w:t xml:space="preserve"> </w:t>
      </w:r>
      <w:r w:rsidRPr="00A255F2">
        <w:t xml:space="preserve">the additional step </w:t>
      </w:r>
      <w:r w:rsidR="0066445B" w:rsidRPr="00A255F2">
        <w:t xml:space="preserve">should be made </w:t>
      </w:r>
      <w:r w:rsidRPr="00A255F2">
        <w:t xml:space="preserve">of </w:t>
      </w:r>
      <w:r w:rsidR="008004F0" w:rsidRPr="00A255F2">
        <w:t>collectin</w:t>
      </w:r>
      <w:r w:rsidRPr="00A255F2">
        <w:t>g</w:t>
      </w:r>
      <w:r w:rsidR="008004F0" w:rsidRPr="00A255F2">
        <w:t xml:space="preserve"> data to evaluate the merits of </w:t>
      </w:r>
      <w:r w:rsidR="00A50519" w:rsidRPr="00A255F2">
        <w:t xml:space="preserve">providing respite/carer supports </w:t>
      </w:r>
      <w:r w:rsidRPr="00A255F2">
        <w:t xml:space="preserve">in order </w:t>
      </w:r>
      <w:r w:rsidR="00A50519" w:rsidRPr="00A255F2">
        <w:t>to understand effects on parental mental health and any flow on effects for family wellbeing and parental productivity.</w:t>
      </w:r>
      <w:r w:rsidR="002E3B4A" w:rsidRPr="00A255F2">
        <w:t xml:space="preserve"> We feel this is critical to guide future initiatives in this </w:t>
      </w:r>
      <w:r w:rsidR="00212FFD">
        <w:t xml:space="preserve">important </w:t>
      </w:r>
      <w:r w:rsidR="002E3B4A" w:rsidRPr="00A255F2">
        <w:t xml:space="preserve">domain. </w:t>
      </w:r>
    </w:p>
    <w:p w14:paraId="7A330AE4" w14:textId="20FCD447" w:rsidR="00A50519" w:rsidRPr="00A255F2" w:rsidRDefault="00A50519" w:rsidP="00F80BEE"/>
    <w:p w14:paraId="1E687EA3" w14:textId="2031289A" w:rsidR="009A463E" w:rsidRPr="00A255F2" w:rsidRDefault="009A463E" w:rsidP="00F80BEE">
      <w:pPr>
        <w:rPr>
          <w:i/>
          <w:iCs/>
        </w:rPr>
      </w:pPr>
      <w:r w:rsidRPr="00A255F2">
        <w:rPr>
          <w:i/>
          <w:iCs/>
        </w:rPr>
        <w:t xml:space="preserve">See: Whitehouse A, Jacoby P, </w:t>
      </w:r>
      <w:proofErr w:type="spellStart"/>
      <w:r w:rsidRPr="00A255F2">
        <w:rPr>
          <w:i/>
          <w:iCs/>
        </w:rPr>
        <w:t>Reddihough</w:t>
      </w:r>
      <w:proofErr w:type="spellEnd"/>
      <w:r w:rsidRPr="00A255F2">
        <w:rPr>
          <w:i/>
          <w:iCs/>
        </w:rPr>
        <w:t xml:space="preserve"> D, Leonard H, Williams K, Downs J. The effect of functioning on </w:t>
      </w:r>
      <w:proofErr w:type="gramStart"/>
      <w:r w:rsidRPr="00A255F2">
        <w:rPr>
          <w:i/>
          <w:iCs/>
        </w:rPr>
        <w:t>Quality of Life</w:t>
      </w:r>
      <w:proofErr w:type="gramEnd"/>
      <w:r w:rsidRPr="00A255F2">
        <w:rPr>
          <w:i/>
          <w:iCs/>
        </w:rPr>
        <w:t xml:space="preserve"> Inventory-Disability measured quality of life in children with intellectual disability is not mediated or moderated by parental psychological distress. Quality of Life Research. </w:t>
      </w:r>
      <w:proofErr w:type="spellStart"/>
      <w:r w:rsidRPr="00A255F2">
        <w:rPr>
          <w:i/>
          <w:iCs/>
        </w:rPr>
        <w:t>doi</w:t>
      </w:r>
      <w:proofErr w:type="spellEnd"/>
      <w:r w:rsidRPr="00A255F2">
        <w:rPr>
          <w:i/>
          <w:iCs/>
        </w:rPr>
        <w:t>: 10.1007/s11136-021-02855-9.</w:t>
      </w:r>
    </w:p>
    <w:p w14:paraId="7A476BBB" w14:textId="77777777" w:rsidR="009A463E" w:rsidRPr="00A255F2" w:rsidRDefault="009A463E" w:rsidP="00F80BEE"/>
    <w:p w14:paraId="103012DE" w14:textId="4059CA14" w:rsidR="00A50519" w:rsidRPr="00A255F2" w:rsidRDefault="00A34697" w:rsidP="0066445B">
      <w:pPr>
        <w:pStyle w:val="ListParagraph"/>
        <w:numPr>
          <w:ilvl w:val="0"/>
          <w:numId w:val="1"/>
        </w:numPr>
        <w:ind w:left="0" w:firstLine="0"/>
      </w:pPr>
      <w:r>
        <w:t>The recommendation</w:t>
      </w:r>
      <w:r w:rsidR="009A463E" w:rsidRPr="00A255F2">
        <w:t xml:space="preserve"> to build the capacity of families and carers to support children with disability in natural settings such as the home and community</w:t>
      </w:r>
      <w:r w:rsidR="004726BA" w:rsidRPr="00A255F2">
        <w:t xml:space="preserve"> </w:t>
      </w:r>
      <w:r>
        <w:t>is</w:t>
      </w:r>
      <w:r w:rsidR="004726BA" w:rsidRPr="00A255F2">
        <w:t xml:space="preserve"> strongly supported</w:t>
      </w:r>
      <w:r w:rsidR="009A463E" w:rsidRPr="00A255F2">
        <w:t xml:space="preserve">. </w:t>
      </w:r>
      <w:r w:rsidR="004726BA" w:rsidRPr="00A255F2">
        <w:t xml:space="preserve"> The Telethon Kids Institute </w:t>
      </w:r>
      <w:r w:rsidR="009A463E" w:rsidRPr="00A255F2">
        <w:t>recently</w:t>
      </w:r>
      <w:r w:rsidR="0011683D" w:rsidRPr="00A255F2">
        <w:t xml:space="preserve"> investigated relationships between</w:t>
      </w:r>
      <w:r w:rsidR="009A463E" w:rsidRPr="00A255F2">
        <w:t xml:space="preserve"> the child’s</w:t>
      </w:r>
      <w:r w:rsidR="0011683D" w:rsidRPr="00A255F2">
        <w:t xml:space="preserve"> functioning, participation</w:t>
      </w:r>
      <w:r w:rsidR="009A463E" w:rsidRPr="00A255F2">
        <w:t xml:space="preserve"> in the community</w:t>
      </w:r>
      <w:r w:rsidR="0011683D" w:rsidRPr="00A255F2">
        <w:t xml:space="preserve"> and </w:t>
      </w:r>
      <w:r w:rsidR="009A463E" w:rsidRPr="00A255F2">
        <w:t>quality of life in children with intellectual disability</w:t>
      </w:r>
      <w:r w:rsidR="0011683D" w:rsidRPr="00A255F2">
        <w:t xml:space="preserve">.  </w:t>
      </w:r>
      <w:r w:rsidR="009A463E" w:rsidRPr="00A255F2">
        <w:t>M</w:t>
      </w:r>
      <w:r w:rsidR="0011683D" w:rsidRPr="00A255F2">
        <w:t xml:space="preserve">ore impaired functioning was associated with poorer </w:t>
      </w:r>
      <w:r w:rsidR="009A463E" w:rsidRPr="00A255F2">
        <w:t xml:space="preserve">quality of life, and </w:t>
      </w:r>
      <w:r w:rsidR="00872D0A" w:rsidRPr="00A255F2">
        <w:t>m</w:t>
      </w:r>
      <w:r w:rsidR="0011683D" w:rsidRPr="00A255F2">
        <w:t xml:space="preserve">ore frequent </w:t>
      </w:r>
      <w:r w:rsidR="00872D0A" w:rsidRPr="00A255F2">
        <w:t xml:space="preserve">community </w:t>
      </w:r>
      <w:r w:rsidR="0011683D" w:rsidRPr="00A255F2">
        <w:t xml:space="preserve">participation was associated with higher </w:t>
      </w:r>
      <w:r w:rsidR="00872D0A" w:rsidRPr="00A255F2">
        <w:t>quality of life, irrespective of the child’s level of functioning</w:t>
      </w:r>
      <w:r w:rsidR="0011683D" w:rsidRPr="00A255F2">
        <w:t>.</w:t>
      </w:r>
    </w:p>
    <w:p w14:paraId="5650BB18" w14:textId="685BD756" w:rsidR="0011683D" w:rsidRPr="00A255F2" w:rsidRDefault="0011683D" w:rsidP="0011683D"/>
    <w:p w14:paraId="0B1B0352" w14:textId="4B46385A" w:rsidR="003405BA" w:rsidRPr="00A255F2" w:rsidRDefault="00872D0A" w:rsidP="0011683D">
      <w:r w:rsidRPr="00A255F2">
        <w:t xml:space="preserve">Engaging in community participation is an </w:t>
      </w:r>
      <w:r w:rsidR="0011683D" w:rsidRPr="00A255F2">
        <w:t xml:space="preserve">important modifiable factor that </w:t>
      </w:r>
      <w:r w:rsidRPr="00A255F2">
        <w:t xml:space="preserve">can </w:t>
      </w:r>
      <w:r w:rsidR="0011683D" w:rsidRPr="00A255F2">
        <w:t xml:space="preserve">improve </w:t>
      </w:r>
      <w:r w:rsidRPr="00A255F2">
        <w:t xml:space="preserve">how well the child lives. </w:t>
      </w:r>
      <w:r w:rsidR="0011683D" w:rsidRPr="00A255F2">
        <w:t xml:space="preserve">Participation in the community such as social and recreational experiences that are fun and interesting can contribute to the development of emotional wellbeing and social </w:t>
      </w:r>
      <w:r w:rsidR="00A34697" w:rsidRPr="00A255F2">
        <w:t>networks and</w:t>
      </w:r>
      <w:r w:rsidR="0066445B" w:rsidRPr="00A255F2">
        <w:t xml:space="preserve"> </w:t>
      </w:r>
      <w:r w:rsidR="0011683D" w:rsidRPr="00A255F2">
        <w:t xml:space="preserve">are particularly important to counter social isolation. Participation interventions that are tailored appropriately for a child’s interests and level of disability might include sport, recreation or </w:t>
      </w:r>
      <w:r w:rsidR="0066445B" w:rsidRPr="00A255F2">
        <w:t>arts-based</w:t>
      </w:r>
      <w:r w:rsidR="0011683D" w:rsidRPr="00A255F2">
        <w:t xml:space="preserve"> activities and would also include opportunities for the child’s choice, control</w:t>
      </w:r>
      <w:r w:rsidR="00A255F2">
        <w:t>,</w:t>
      </w:r>
      <w:r w:rsidR="0011683D" w:rsidRPr="00A255F2">
        <w:t xml:space="preserve"> and personal engagement. </w:t>
      </w:r>
    </w:p>
    <w:p w14:paraId="3F2E93F8" w14:textId="78EF6D2D" w:rsidR="0011683D" w:rsidRPr="00A255F2" w:rsidRDefault="0011683D" w:rsidP="0011683D"/>
    <w:p w14:paraId="143C609F" w14:textId="58BB459E" w:rsidR="0011683D" w:rsidRPr="00A255F2" w:rsidRDefault="004726BA" w:rsidP="0011683D">
      <w:r w:rsidRPr="00A255F2">
        <w:t xml:space="preserve">The </w:t>
      </w:r>
      <w:r w:rsidR="003405BA" w:rsidRPr="00A255F2">
        <w:t xml:space="preserve">Telethon Kids </w:t>
      </w:r>
      <w:r w:rsidRPr="00A255F2">
        <w:t>Institute</w:t>
      </w:r>
      <w:r w:rsidR="0066445B" w:rsidRPr="00A255F2">
        <w:t xml:space="preserve"> further supports </w:t>
      </w:r>
      <w:r w:rsidR="0011683D" w:rsidRPr="00A255F2">
        <w:t xml:space="preserve">additional social and community opportunities </w:t>
      </w:r>
      <w:r w:rsidR="0066445B" w:rsidRPr="00A255F2">
        <w:t>be</w:t>
      </w:r>
      <w:r w:rsidR="00A255F2">
        <w:t>ing</w:t>
      </w:r>
      <w:r w:rsidR="0066445B" w:rsidRPr="00A255F2">
        <w:t xml:space="preserve"> made </w:t>
      </w:r>
      <w:r w:rsidR="0011683D" w:rsidRPr="00A255F2">
        <w:t xml:space="preserve">available for children with disabilities. This can be </w:t>
      </w:r>
      <w:r w:rsidR="00A255F2">
        <w:t xml:space="preserve">a </w:t>
      </w:r>
      <w:r w:rsidR="0066445B" w:rsidRPr="00A255F2">
        <w:t>problematic</w:t>
      </w:r>
      <w:r w:rsidR="00A255F2">
        <w:t xml:space="preserve"> area </w:t>
      </w:r>
      <w:r w:rsidR="0011683D" w:rsidRPr="00A255F2">
        <w:t xml:space="preserve">for parents to advocate for when planning supports with the NDIS </w:t>
      </w:r>
      <w:r w:rsidR="0066445B" w:rsidRPr="00A255F2">
        <w:t>as it can be difficult</w:t>
      </w:r>
      <w:r w:rsidR="00A255F2">
        <w:t xml:space="preserve"> for them </w:t>
      </w:r>
      <w:r w:rsidR="0066445B" w:rsidRPr="00A255F2">
        <w:t xml:space="preserve">to </w:t>
      </w:r>
      <w:r w:rsidR="002E3B4A" w:rsidRPr="00A255F2">
        <w:t>identify goals for their child</w:t>
      </w:r>
      <w:r w:rsidR="00A255F2">
        <w:t>,</w:t>
      </w:r>
      <w:r w:rsidR="002E3B4A" w:rsidRPr="00A255F2">
        <w:t xml:space="preserve"> </w:t>
      </w:r>
      <w:r w:rsidR="0066445B" w:rsidRPr="00A255F2">
        <w:t xml:space="preserve">that will assist them to </w:t>
      </w:r>
      <w:r w:rsidR="002E3B4A" w:rsidRPr="00A255F2">
        <w:t>liv</w:t>
      </w:r>
      <w:r w:rsidR="0066445B" w:rsidRPr="00A255F2">
        <w:t>e</w:t>
      </w:r>
      <w:r w:rsidR="002E3B4A" w:rsidRPr="00A255F2">
        <w:t xml:space="preserve"> productively in the community. We </w:t>
      </w:r>
      <w:r w:rsidR="0011683D" w:rsidRPr="00A255F2">
        <w:t>suggest that the NDIS document how th</w:t>
      </w:r>
      <w:r w:rsidR="002E3B4A" w:rsidRPr="00A255F2">
        <w:t>ese</w:t>
      </w:r>
      <w:r w:rsidR="0011683D" w:rsidRPr="00A255F2">
        <w:t xml:space="preserve"> goal</w:t>
      </w:r>
      <w:r w:rsidR="002E3B4A" w:rsidRPr="00A255F2">
        <w:t>s</w:t>
      </w:r>
      <w:r w:rsidR="0011683D" w:rsidRPr="00A255F2">
        <w:t xml:space="preserve"> </w:t>
      </w:r>
      <w:r w:rsidR="002E3B4A" w:rsidRPr="00A255F2">
        <w:t xml:space="preserve">are </w:t>
      </w:r>
      <w:r w:rsidR="0011683D" w:rsidRPr="00A255F2">
        <w:t>achieved</w:t>
      </w:r>
      <w:r w:rsidR="002E3B4A" w:rsidRPr="00A255F2">
        <w:t xml:space="preserve"> by children and their families</w:t>
      </w:r>
      <w:r w:rsidR="0011683D" w:rsidRPr="00A255F2">
        <w:t xml:space="preserve"> to enable experiences of </w:t>
      </w:r>
      <w:r w:rsidR="0066445B" w:rsidRPr="00A255F2">
        <w:t xml:space="preserve">healthy </w:t>
      </w:r>
      <w:r w:rsidR="0011683D" w:rsidRPr="00A255F2">
        <w:t>living to help families visualise this for their child</w:t>
      </w:r>
      <w:r w:rsidR="002E3B4A" w:rsidRPr="00A255F2">
        <w:t>,</w:t>
      </w:r>
      <w:r w:rsidR="0011683D" w:rsidRPr="00A255F2">
        <w:t xml:space="preserve"> and thereafter identify and implement strategies that would suit them.</w:t>
      </w:r>
    </w:p>
    <w:p w14:paraId="42C4E6E6" w14:textId="77777777" w:rsidR="007A6954" w:rsidRPr="00A255F2" w:rsidRDefault="007A6954" w:rsidP="0011683D">
      <w:pPr>
        <w:rPr>
          <w:i/>
          <w:iCs/>
        </w:rPr>
      </w:pPr>
    </w:p>
    <w:p w14:paraId="3903E099" w14:textId="47EBCCBB" w:rsidR="007A6954" w:rsidRPr="00A255F2" w:rsidRDefault="007A6954" w:rsidP="0011683D">
      <w:pPr>
        <w:rPr>
          <w:i/>
          <w:iCs/>
        </w:rPr>
      </w:pPr>
      <w:r w:rsidRPr="00A255F2">
        <w:rPr>
          <w:i/>
          <w:iCs/>
        </w:rPr>
        <w:t>See:</w:t>
      </w:r>
      <w:r w:rsidRPr="006228FB">
        <w:rPr>
          <w:i/>
          <w:iCs/>
        </w:rPr>
        <w:t xml:space="preserve"> </w:t>
      </w:r>
      <w:r w:rsidRPr="00A255F2">
        <w:rPr>
          <w:i/>
          <w:iCs/>
        </w:rPr>
        <w:t xml:space="preserve">Williams K, Jacoby P, Whitehouse A, Kim R, Epstein A, Murphy N, Reid S, Leonard H, </w:t>
      </w:r>
      <w:proofErr w:type="spellStart"/>
      <w:r w:rsidRPr="00A255F2">
        <w:rPr>
          <w:i/>
          <w:iCs/>
        </w:rPr>
        <w:t>Reddihough</w:t>
      </w:r>
      <w:proofErr w:type="spellEnd"/>
      <w:r w:rsidRPr="00A255F2">
        <w:rPr>
          <w:i/>
          <w:iCs/>
        </w:rPr>
        <w:t xml:space="preserve"> D, Downs J. Functioning, </w:t>
      </w:r>
      <w:proofErr w:type="gramStart"/>
      <w:r w:rsidRPr="00A255F2">
        <w:rPr>
          <w:i/>
          <w:iCs/>
        </w:rPr>
        <w:t>participation</w:t>
      </w:r>
      <w:proofErr w:type="gramEnd"/>
      <w:r w:rsidRPr="00A255F2">
        <w:rPr>
          <w:i/>
          <w:iCs/>
        </w:rPr>
        <w:t xml:space="preserve"> and quality of life in children with intellectual disability: An observational study. Developmental Medicine and Child Neurology. Doi: 10.1111/(ISSN)1469-8749.</w:t>
      </w:r>
    </w:p>
    <w:p w14:paraId="3A141B0E" w14:textId="305EC54C" w:rsidR="00F80BEE" w:rsidRPr="006228FB" w:rsidRDefault="00F80BEE" w:rsidP="00F80BEE">
      <w:pPr>
        <w:rPr>
          <w:sz w:val="22"/>
          <w:szCs w:val="22"/>
        </w:rPr>
      </w:pPr>
    </w:p>
    <w:p w14:paraId="02DFB12E" w14:textId="77777777" w:rsidR="00F80BEE" w:rsidRPr="006228FB" w:rsidRDefault="00F80BEE" w:rsidP="00F80BEE">
      <w:pPr>
        <w:rPr>
          <w:b/>
          <w:bCs/>
        </w:rPr>
      </w:pPr>
      <w:r w:rsidRPr="006228FB">
        <w:rPr>
          <w:b/>
          <w:bCs/>
        </w:rPr>
        <w:t>Recommendation 13</w:t>
      </w:r>
    </w:p>
    <w:p w14:paraId="5A9CD154" w14:textId="77777777" w:rsidR="00F80BEE" w:rsidRPr="006228FB" w:rsidRDefault="00F80BEE" w:rsidP="00F80BEE">
      <w:r w:rsidRPr="006228FB">
        <w:t>13.</w:t>
      </w:r>
      <w:r w:rsidRPr="006228FB">
        <w:tab/>
        <w:t xml:space="preserve">The NDIS Act is amended to provide more flexibility for the NDIA to fund early intervention support for children under the age of seven years outside a NDIS plan, </w:t>
      </w:r>
      <w:proofErr w:type="gramStart"/>
      <w:r w:rsidRPr="006228FB">
        <w:t>in order to</w:t>
      </w:r>
      <w:proofErr w:type="gramEnd"/>
      <w:r w:rsidRPr="006228FB">
        <w:t xml:space="preserve"> develop family capacity and ability to exercise informed choice and control.</w:t>
      </w:r>
    </w:p>
    <w:p w14:paraId="3EC3CCF3" w14:textId="2ECC46CF" w:rsidR="00F80BEE" w:rsidRPr="006228FB" w:rsidRDefault="00F80BEE" w:rsidP="00F80BEE"/>
    <w:p w14:paraId="67E93AB9" w14:textId="3C19EF2F" w:rsidR="004726BA" w:rsidRPr="006228FB" w:rsidRDefault="0066445B" w:rsidP="004726BA">
      <w:pPr>
        <w:rPr>
          <w:b/>
          <w:bCs/>
        </w:rPr>
      </w:pPr>
      <w:r w:rsidRPr="006228FB">
        <w:rPr>
          <w:b/>
          <w:bCs/>
        </w:rPr>
        <w:t xml:space="preserve">Response to </w:t>
      </w:r>
      <w:r w:rsidR="004726BA" w:rsidRPr="006228FB">
        <w:rPr>
          <w:b/>
          <w:bCs/>
        </w:rPr>
        <w:t xml:space="preserve">Recommendation 13 </w:t>
      </w:r>
      <w:r w:rsidRPr="006228FB">
        <w:rPr>
          <w:b/>
          <w:bCs/>
        </w:rPr>
        <w:t xml:space="preserve">by the Telethon Kids Institute </w:t>
      </w:r>
      <w:r w:rsidR="004726BA" w:rsidRPr="006228FB">
        <w:rPr>
          <w:b/>
          <w:bCs/>
        </w:rPr>
        <w:t>is as follows:</w:t>
      </w:r>
    </w:p>
    <w:p w14:paraId="5B3BD3C5" w14:textId="3485C5C4" w:rsidR="004726BA" w:rsidRPr="006228FB" w:rsidRDefault="004726BA" w:rsidP="004726BA">
      <w:pPr>
        <w:rPr>
          <w:b/>
          <w:bCs/>
        </w:rPr>
      </w:pPr>
    </w:p>
    <w:p w14:paraId="6F0573CE" w14:textId="49C25A76" w:rsidR="0011683D" w:rsidRPr="00A255F2" w:rsidRDefault="004726BA" w:rsidP="00F80BEE">
      <w:r w:rsidRPr="00A255F2">
        <w:t>This recommendation is strongly support</w:t>
      </w:r>
      <w:r w:rsidR="00B04F85" w:rsidRPr="00A255F2">
        <w:t>ed</w:t>
      </w:r>
      <w:r w:rsidRPr="00A255F2">
        <w:t xml:space="preserve">, </w:t>
      </w:r>
      <w:r w:rsidR="00B04F85" w:rsidRPr="00A255F2">
        <w:t xml:space="preserve">with the additional suggestion that there is a </w:t>
      </w:r>
      <w:r w:rsidR="0011683D" w:rsidRPr="00A255F2">
        <w:t xml:space="preserve">need for </w:t>
      </w:r>
      <w:r w:rsidR="003405BA" w:rsidRPr="00A255F2">
        <w:t xml:space="preserve">further </w:t>
      </w:r>
      <w:r w:rsidR="0011683D" w:rsidRPr="00A255F2">
        <w:t>equity in this arena</w:t>
      </w:r>
      <w:r w:rsidR="00B04F85" w:rsidRPr="00A255F2">
        <w:t xml:space="preserve">. The </w:t>
      </w:r>
      <w:r w:rsidR="0011683D" w:rsidRPr="00A255F2">
        <w:t>burden of disability is greatest in families who live with disadvantage</w:t>
      </w:r>
      <w:r w:rsidR="003405BA" w:rsidRPr="00A255F2">
        <w:t>,</w:t>
      </w:r>
      <w:r w:rsidR="0011683D" w:rsidRPr="00A255F2">
        <w:t xml:space="preserve"> yet those </w:t>
      </w:r>
      <w:r w:rsidR="002E3B4A" w:rsidRPr="00A255F2">
        <w:t xml:space="preserve">are the </w:t>
      </w:r>
      <w:r w:rsidR="0011683D" w:rsidRPr="00A255F2">
        <w:t xml:space="preserve">families </w:t>
      </w:r>
      <w:r w:rsidR="002E3B4A" w:rsidRPr="00A255F2">
        <w:t xml:space="preserve">who </w:t>
      </w:r>
      <w:r w:rsidR="0011683D" w:rsidRPr="00A255F2">
        <w:t xml:space="preserve">are less likely to access services and supports. </w:t>
      </w:r>
      <w:r w:rsidR="002E3B4A" w:rsidRPr="00A255F2">
        <w:t>We recommend that the NDIS consider the following</w:t>
      </w:r>
      <w:r w:rsidR="0011683D" w:rsidRPr="00A255F2">
        <w:t>:</w:t>
      </w:r>
    </w:p>
    <w:p w14:paraId="09832C12" w14:textId="77777777" w:rsidR="003405BA" w:rsidRPr="00A255F2" w:rsidRDefault="003405BA" w:rsidP="00F80BEE"/>
    <w:p w14:paraId="40492BA5" w14:textId="40153E74" w:rsidR="0011683D" w:rsidRPr="00A255F2" w:rsidRDefault="00B04F85" w:rsidP="0011683D">
      <w:pPr>
        <w:pStyle w:val="ListParagraph"/>
        <w:numPr>
          <w:ilvl w:val="0"/>
          <w:numId w:val="3"/>
        </w:numPr>
      </w:pPr>
      <w:r w:rsidRPr="00A255F2">
        <w:t>The c</w:t>
      </w:r>
      <w:r w:rsidR="0011683D" w:rsidRPr="00A255F2">
        <w:t>ollect</w:t>
      </w:r>
      <w:r w:rsidRPr="00A255F2">
        <w:t>ion of</w:t>
      </w:r>
      <w:r w:rsidR="0011683D" w:rsidRPr="00A255F2">
        <w:t xml:space="preserve"> data on how to engage with difficult to reach families, and then evaluate the merits and effectiveness of any identified strategies.</w:t>
      </w:r>
    </w:p>
    <w:p w14:paraId="07DA277C" w14:textId="0A09BCF7" w:rsidR="0011683D" w:rsidRPr="00A255F2" w:rsidRDefault="00B04F85" w:rsidP="0011683D">
      <w:pPr>
        <w:pStyle w:val="ListParagraph"/>
        <w:numPr>
          <w:ilvl w:val="0"/>
          <w:numId w:val="3"/>
        </w:numPr>
      </w:pPr>
      <w:r w:rsidRPr="00A255F2">
        <w:t>The d</w:t>
      </w:r>
      <w:r w:rsidR="0011683D" w:rsidRPr="00A255F2">
        <w:t>evelop</w:t>
      </w:r>
      <w:r w:rsidRPr="00A255F2">
        <w:t>ment of</w:t>
      </w:r>
      <w:r w:rsidR="0011683D" w:rsidRPr="00A255F2">
        <w:t xml:space="preserve"> a range of intensities of support with light touch interventions available as needed that can increase to greater intensities as needed by the developmental needs of the child.</w:t>
      </w:r>
    </w:p>
    <w:p w14:paraId="45189BD5" w14:textId="308B7346" w:rsidR="0011683D" w:rsidRPr="00A255F2" w:rsidRDefault="00B04F85" w:rsidP="0011683D">
      <w:pPr>
        <w:pStyle w:val="ListParagraph"/>
        <w:numPr>
          <w:ilvl w:val="0"/>
          <w:numId w:val="3"/>
        </w:numPr>
      </w:pPr>
      <w:r w:rsidRPr="00A255F2">
        <w:t xml:space="preserve">The inclusion of </w:t>
      </w:r>
      <w:r w:rsidR="0011683D" w:rsidRPr="00A255F2">
        <w:t xml:space="preserve">child and parent mental health support </w:t>
      </w:r>
      <w:r w:rsidR="002E3B4A" w:rsidRPr="00A255F2">
        <w:t xml:space="preserve">interventions to </w:t>
      </w:r>
      <w:r w:rsidR="0011683D" w:rsidRPr="00A255F2">
        <w:t>promote positive and strengths-based attachment with the child.</w:t>
      </w:r>
    </w:p>
    <w:p w14:paraId="7EE79152" w14:textId="481F4BE5" w:rsidR="0011683D" w:rsidRPr="00A255F2" w:rsidRDefault="00B04F85" w:rsidP="0011683D">
      <w:pPr>
        <w:pStyle w:val="ListParagraph"/>
        <w:numPr>
          <w:ilvl w:val="0"/>
          <w:numId w:val="3"/>
        </w:numPr>
      </w:pPr>
      <w:r w:rsidRPr="00A255F2">
        <w:t>The p</w:t>
      </w:r>
      <w:r w:rsidR="002E3B4A" w:rsidRPr="00A255F2">
        <w:t>rovi</w:t>
      </w:r>
      <w:r w:rsidRPr="00A255F2">
        <w:t xml:space="preserve">sion of </w:t>
      </w:r>
      <w:r w:rsidR="0011683D" w:rsidRPr="00A255F2">
        <w:t xml:space="preserve">early interventions </w:t>
      </w:r>
      <w:r w:rsidR="002E3B4A" w:rsidRPr="00A255F2">
        <w:t xml:space="preserve">that </w:t>
      </w:r>
      <w:r w:rsidR="0011683D" w:rsidRPr="00A255F2">
        <w:t>reduce social isolations</w:t>
      </w:r>
      <w:r w:rsidR="00F95F2F" w:rsidRPr="00A255F2">
        <w:t xml:space="preserve"> and promote peer support</w:t>
      </w:r>
      <w:r w:rsidR="002E3B4A" w:rsidRPr="00A255F2">
        <w:t>s</w:t>
      </w:r>
      <w:r w:rsidR="00F95F2F" w:rsidRPr="00A255F2">
        <w:t>.</w:t>
      </w:r>
    </w:p>
    <w:p w14:paraId="5457C623" w14:textId="52858627" w:rsidR="0066445B" w:rsidRPr="00A255F2" w:rsidRDefault="00B04F85" w:rsidP="0066445B">
      <w:pPr>
        <w:pStyle w:val="ListParagraph"/>
        <w:numPr>
          <w:ilvl w:val="0"/>
          <w:numId w:val="3"/>
        </w:numPr>
      </w:pPr>
      <w:r w:rsidRPr="00A255F2">
        <w:t xml:space="preserve">The inclusion </w:t>
      </w:r>
      <w:r w:rsidR="0066445B" w:rsidRPr="00A255F2">
        <w:t xml:space="preserve">of </w:t>
      </w:r>
      <w:r w:rsidR="00F95F2F" w:rsidRPr="00A255F2">
        <w:t xml:space="preserve">a health literacy </w:t>
      </w:r>
      <w:proofErr w:type="gramStart"/>
      <w:r w:rsidR="00F95F2F" w:rsidRPr="00A255F2">
        <w:t>focus</w:t>
      </w:r>
      <w:proofErr w:type="gramEnd"/>
      <w:r w:rsidR="00F95F2F" w:rsidRPr="00A255F2">
        <w:t xml:space="preserve"> </w:t>
      </w:r>
      <w:r w:rsidR="002E3B4A" w:rsidRPr="00A255F2">
        <w:t xml:space="preserve">to </w:t>
      </w:r>
      <w:r w:rsidR="00F95F2F" w:rsidRPr="00A255F2">
        <w:t>build</w:t>
      </w:r>
      <w:r w:rsidR="002E3B4A" w:rsidRPr="00A255F2">
        <w:t xml:space="preserve"> </w:t>
      </w:r>
      <w:r w:rsidR="00F95F2F" w:rsidRPr="00A255F2">
        <w:t>family capacity to understand, access and implement health information according to what they need.</w:t>
      </w:r>
    </w:p>
    <w:p w14:paraId="67786E51" w14:textId="3EA3F9D5" w:rsidR="0066445B" w:rsidRPr="00A255F2" w:rsidRDefault="0066445B" w:rsidP="0066445B"/>
    <w:p w14:paraId="33B4253E" w14:textId="210577B1" w:rsidR="0066445B" w:rsidRPr="00A255F2" w:rsidRDefault="0066445B" w:rsidP="0066445B"/>
    <w:p w14:paraId="69CD95AB" w14:textId="7590934F" w:rsidR="0066445B" w:rsidRPr="006228FB" w:rsidRDefault="0066445B" w:rsidP="00A255F2">
      <w:r w:rsidRPr="00A255F2">
        <w:t>7 October 2021</w:t>
      </w:r>
    </w:p>
    <w:sectPr w:rsidR="0066445B" w:rsidRPr="006228FB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ACE6" w14:textId="77777777" w:rsidR="00A44AD0" w:rsidRDefault="00A44AD0" w:rsidP="00715659">
      <w:r>
        <w:separator/>
      </w:r>
    </w:p>
  </w:endnote>
  <w:endnote w:type="continuationSeparator" w:id="0">
    <w:p w14:paraId="4F530BCC" w14:textId="77777777" w:rsidR="00A44AD0" w:rsidRDefault="00A44AD0" w:rsidP="0071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10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81BF2" w14:textId="37BC111F" w:rsidR="00715659" w:rsidRDefault="007156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5DCDB" w14:textId="77777777" w:rsidR="00715659" w:rsidRDefault="00715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F114" w14:textId="77777777" w:rsidR="00A44AD0" w:rsidRDefault="00A44AD0" w:rsidP="00715659">
      <w:r>
        <w:separator/>
      </w:r>
    </w:p>
  </w:footnote>
  <w:footnote w:type="continuationSeparator" w:id="0">
    <w:p w14:paraId="00745A6A" w14:textId="77777777" w:rsidR="00A44AD0" w:rsidRDefault="00A44AD0" w:rsidP="0071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419"/>
    <w:multiLevelType w:val="hybridMultilevel"/>
    <w:tmpl w:val="E60A8A7A"/>
    <w:lvl w:ilvl="0" w:tplc="F6A60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585"/>
    <w:multiLevelType w:val="hybridMultilevel"/>
    <w:tmpl w:val="9F0AEEAC"/>
    <w:lvl w:ilvl="0" w:tplc="61D6C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399A"/>
    <w:multiLevelType w:val="hybridMultilevel"/>
    <w:tmpl w:val="F6663FF8"/>
    <w:lvl w:ilvl="0" w:tplc="F6A60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EE"/>
    <w:rsid w:val="00023B16"/>
    <w:rsid w:val="00036465"/>
    <w:rsid w:val="00066025"/>
    <w:rsid w:val="00072F89"/>
    <w:rsid w:val="0011683D"/>
    <w:rsid w:val="00182960"/>
    <w:rsid w:val="00200E3B"/>
    <w:rsid w:val="00204831"/>
    <w:rsid w:val="00212FFD"/>
    <w:rsid w:val="00277AAE"/>
    <w:rsid w:val="002E3B4A"/>
    <w:rsid w:val="002E47E7"/>
    <w:rsid w:val="003405BA"/>
    <w:rsid w:val="003D0347"/>
    <w:rsid w:val="00433961"/>
    <w:rsid w:val="004726BA"/>
    <w:rsid w:val="004B7E49"/>
    <w:rsid w:val="00535F0F"/>
    <w:rsid w:val="006228FB"/>
    <w:rsid w:val="0066445B"/>
    <w:rsid w:val="00715659"/>
    <w:rsid w:val="00733233"/>
    <w:rsid w:val="0074786F"/>
    <w:rsid w:val="007A6954"/>
    <w:rsid w:val="007C49E2"/>
    <w:rsid w:val="007E1C42"/>
    <w:rsid w:val="008004F0"/>
    <w:rsid w:val="0086661B"/>
    <w:rsid w:val="00872D0A"/>
    <w:rsid w:val="00876755"/>
    <w:rsid w:val="008B1D63"/>
    <w:rsid w:val="008C635D"/>
    <w:rsid w:val="008E25CC"/>
    <w:rsid w:val="009A463E"/>
    <w:rsid w:val="00A255F2"/>
    <w:rsid w:val="00A34697"/>
    <w:rsid w:val="00A35416"/>
    <w:rsid w:val="00A44AD0"/>
    <w:rsid w:val="00A50519"/>
    <w:rsid w:val="00AD55FB"/>
    <w:rsid w:val="00AF2526"/>
    <w:rsid w:val="00B04F85"/>
    <w:rsid w:val="00B63549"/>
    <w:rsid w:val="00B667BF"/>
    <w:rsid w:val="00BE22BA"/>
    <w:rsid w:val="00C607F6"/>
    <w:rsid w:val="00CA1C2C"/>
    <w:rsid w:val="00CA259B"/>
    <w:rsid w:val="00D83AAB"/>
    <w:rsid w:val="00D91BFA"/>
    <w:rsid w:val="00DA2B4E"/>
    <w:rsid w:val="00DE2A10"/>
    <w:rsid w:val="00ED4AEC"/>
    <w:rsid w:val="00EE7F80"/>
    <w:rsid w:val="00EF6831"/>
    <w:rsid w:val="00F37C81"/>
    <w:rsid w:val="00F451E3"/>
    <w:rsid w:val="00F75AE6"/>
    <w:rsid w:val="00F80BEE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E596"/>
  <w15:chartTrackingRefBased/>
  <w15:docId w15:val="{E3349036-C830-0B4E-BD69-68ADB0C8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3A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3A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405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59"/>
  </w:style>
  <w:style w:type="paragraph" w:styleId="Footer">
    <w:name w:val="footer"/>
    <w:basedOn w:val="Normal"/>
    <w:link w:val="FooterChar"/>
    <w:uiPriority w:val="99"/>
    <w:unhideWhenUsed/>
    <w:rsid w:val="00715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659"/>
  </w:style>
  <w:style w:type="character" w:styleId="CommentReference">
    <w:name w:val="annotation reference"/>
    <w:basedOn w:val="DefaultParagraphFont"/>
    <w:uiPriority w:val="99"/>
    <w:semiHidden/>
    <w:unhideWhenUsed/>
    <w:rsid w:val="0006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?page_id=12697" TargetMode="External"/><Relationship Id="rId13" Type="http://schemas.openxmlformats.org/officeDocument/2006/relationships/hyperlink" Target="http://twitter.com/telethonkids" TargetMode="External"/><Relationship Id="rId18" Type="http://schemas.openxmlformats.org/officeDocument/2006/relationships/image" Target="http://delta.ichr.uwa.edu.au/LinkedIn32.png" TargetMode="External"/><Relationship Id="rId3" Type="http://schemas.openxmlformats.org/officeDocument/2006/relationships/styles" Target="styles.xml"/><Relationship Id="rId21" Type="http://schemas.openxmlformats.org/officeDocument/2006/relationships/image" Target="http://delta.ichr.uwa.edu.au/facebook32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lethonkids.org.a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linkedin.com/company/telethon-institute-for-child-health-research?trk=company_name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ona.roche@telethonkids.org.a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delta.ichr.uwa.edu.au/twitter32.jpg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delta.ichr.uwa.edu.au/Telethon_Kids_Logo_128.jpg" TargetMode="External"/><Relationship Id="rId19" Type="http://schemas.openxmlformats.org/officeDocument/2006/relationships/hyperlink" Target="http://www.facebook.com/TelethonKi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A53F-53D7-4CF1-92AC-7ECAF507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Downs</dc:creator>
  <cp:keywords/>
  <dc:description/>
  <cp:lastModifiedBy>Fiona Roche</cp:lastModifiedBy>
  <cp:revision>2</cp:revision>
  <dcterms:created xsi:type="dcterms:W3CDTF">2021-10-07T10:48:00Z</dcterms:created>
  <dcterms:modified xsi:type="dcterms:W3CDTF">2021-10-07T10:48:00Z</dcterms:modified>
</cp:coreProperties>
</file>