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410"/>
        <w:tblW w:w="10348" w:type="dxa"/>
        <w:tblLook w:val="04A0" w:firstRow="1" w:lastRow="0" w:firstColumn="1" w:lastColumn="0" w:noHBand="0" w:noVBand="1"/>
      </w:tblPr>
      <w:tblGrid>
        <w:gridCol w:w="1167"/>
        <w:gridCol w:w="9181"/>
      </w:tblGrid>
      <w:tr w:rsidR="00DE2548" w:rsidRPr="00DE2548" w14:paraId="4EFF0D8B" w14:textId="77777777" w:rsidTr="0074228D">
        <w:tc>
          <w:tcPr>
            <w:tcW w:w="10348" w:type="dxa"/>
            <w:gridSpan w:val="2"/>
            <w:shd w:val="clear" w:color="auto" w:fill="264356" w:themeFill="text2" w:themeFillShade="BF"/>
          </w:tcPr>
          <w:p w14:paraId="7309834D" w14:textId="3347BA65" w:rsidR="0021380B" w:rsidRPr="00DE2548" w:rsidRDefault="0021380B" w:rsidP="00B25FF1">
            <w:pPr>
              <w:jc w:val="center"/>
              <w:rPr>
                <w:sz w:val="22"/>
                <w:szCs w:val="22"/>
              </w:rPr>
            </w:pPr>
            <w:r w:rsidRPr="00DE2548">
              <w:rPr>
                <w:b/>
                <w:bCs/>
                <w:sz w:val="22"/>
                <w:szCs w:val="22"/>
                <w:lang w:val="en-US" w:eastAsia="en-AU"/>
              </w:rPr>
              <w:t xml:space="preserve"> </w:t>
            </w:r>
            <w:r w:rsidR="00B25FF1" w:rsidRPr="00DE2548">
              <w:rPr>
                <w:b/>
                <w:bCs/>
                <w:sz w:val="22"/>
                <w:szCs w:val="22"/>
                <w:lang w:val="en-US" w:eastAsia="en-AU"/>
              </w:rPr>
              <w:t xml:space="preserve">NIAA </w:t>
            </w:r>
            <w:r w:rsidRPr="00DE2548">
              <w:rPr>
                <w:b/>
                <w:bCs/>
                <w:sz w:val="22"/>
                <w:szCs w:val="22"/>
                <w:lang w:val="en-US" w:eastAsia="en-AU"/>
              </w:rPr>
              <w:t xml:space="preserve">Input - New Disability Employment </w:t>
            </w:r>
            <w:r w:rsidR="00F32624" w:rsidRPr="00DE2548">
              <w:rPr>
                <w:b/>
                <w:bCs/>
                <w:sz w:val="22"/>
                <w:szCs w:val="22"/>
                <w:lang w:val="en-US" w:eastAsia="en-AU"/>
              </w:rPr>
              <w:t>S</w:t>
            </w:r>
            <w:r w:rsidR="00B25FF1" w:rsidRPr="00DE2548">
              <w:rPr>
                <w:b/>
                <w:bCs/>
                <w:sz w:val="22"/>
                <w:szCs w:val="22"/>
                <w:lang w:val="en-US" w:eastAsia="en-AU"/>
              </w:rPr>
              <w:t xml:space="preserve">upport </w:t>
            </w:r>
            <w:r w:rsidRPr="00DE2548">
              <w:rPr>
                <w:b/>
                <w:bCs/>
                <w:sz w:val="22"/>
                <w:szCs w:val="22"/>
                <w:lang w:val="en-US" w:eastAsia="en-AU"/>
              </w:rPr>
              <w:t>Model</w:t>
            </w:r>
            <w:r w:rsidR="00B25FF1" w:rsidRPr="00DE2548">
              <w:rPr>
                <w:b/>
                <w:bCs/>
                <w:sz w:val="22"/>
                <w:szCs w:val="22"/>
                <w:lang w:val="en-US" w:eastAsia="en-AU"/>
              </w:rPr>
              <w:t xml:space="preserve"> </w:t>
            </w:r>
          </w:p>
        </w:tc>
      </w:tr>
      <w:tr w:rsidR="00DE2548" w:rsidRPr="00DE2548" w14:paraId="35575E3F" w14:textId="77777777" w:rsidTr="0074228D">
        <w:tc>
          <w:tcPr>
            <w:tcW w:w="1167" w:type="dxa"/>
            <w:shd w:val="clear" w:color="auto" w:fill="CFDFEA" w:themeFill="text2" w:themeFillTint="33"/>
          </w:tcPr>
          <w:p w14:paraId="29B76EFB" w14:textId="6026E98D" w:rsidR="0021380B" w:rsidRPr="00DE2548" w:rsidRDefault="006C7C35" w:rsidP="0074228D">
            <w:pPr>
              <w:rPr>
                <w:sz w:val="22"/>
                <w:szCs w:val="22"/>
              </w:rPr>
            </w:pPr>
            <w:r w:rsidRPr="00DE2548">
              <w:rPr>
                <w:sz w:val="22"/>
                <w:szCs w:val="22"/>
              </w:rPr>
              <w:t>Question no</w:t>
            </w:r>
          </w:p>
        </w:tc>
        <w:tc>
          <w:tcPr>
            <w:tcW w:w="9181" w:type="dxa"/>
            <w:shd w:val="clear" w:color="auto" w:fill="CFDFEA" w:themeFill="text2" w:themeFillTint="33"/>
          </w:tcPr>
          <w:p w14:paraId="7D2952B8" w14:textId="77777777" w:rsidR="0021380B" w:rsidRPr="00DE2548" w:rsidRDefault="0021380B" w:rsidP="0074228D">
            <w:pPr>
              <w:rPr>
                <w:sz w:val="22"/>
                <w:szCs w:val="22"/>
              </w:rPr>
            </w:pPr>
            <w:r w:rsidRPr="00DE2548">
              <w:rPr>
                <w:sz w:val="22"/>
                <w:szCs w:val="22"/>
              </w:rPr>
              <w:t>Comments</w:t>
            </w:r>
          </w:p>
        </w:tc>
      </w:tr>
      <w:tr w:rsidR="00DE2548" w:rsidRPr="00DE2548" w14:paraId="0582DA20" w14:textId="77777777" w:rsidTr="006C7C35">
        <w:tc>
          <w:tcPr>
            <w:tcW w:w="1167" w:type="dxa"/>
            <w:vAlign w:val="center"/>
          </w:tcPr>
          <w:p w14:paraId="09A3E548" w14:textId="77777777" w:rsidR="00B25FF1" w:rsidRPr="00DE2548" w:rsidRDefault="00B25FF1" w:rsidP="006C7C35">
            <w:pPr>
              <w:jc w:val="center"/>
              <w:rPr>
                <w:sz w:val="22"/>
                <w:szCs w:val="22"/>
                <w:lang w:eastAsia="en-AU"/>
              </w:rPr>
            </w:pPr>
            <w:r w:rsidRPr="00DE2548">
              <w:rPr>
                <w:sz w:val="22"/>
                <w:szCs w:val="22"/>
                <w:lang w:eastAsia="en-AU"/>
              </w:rPr>
              <w:t>6</w:t>
            </w:r>
          </w:p>
          <w:p w14:paraId="5C88282F" w14:textId="77777777" w:rsidR="00B25FF1" w:rsidRPr="00DE2548" w:rsidRDefault="00B25FF1" w:rsidP="006C7C35">
            <w:pPr>
              <w:jc w:val="center"/>
              <w:rPr>
                <w:sz w:val="22"/>
                <w:szCs w:val="22"/>
                <w:lang w:eastAsia="en-AU"/>
              </w:rPr>
            </w:pPr>
          </w:p>
          <w:p w14:paraId="3A2D16F2" w14:textId="6F9FB24D" w:rsidR="002B5981" w:rsidRPr="00DE2548" w:rsidRDefault="00B25FF1" w:rsidP="006C7C35">
            <w:pPr>
              <w:jc w:val="center"/>
              <w:rPr>
                <w:sz w:val="22"/>
                <w:szCs w:val="22"/>
                <w:lang w:eastAsia="en-AU"/>
              </w:rPr>
            </w:pPr>
            <w:r w:rsidRPr="00DE2548">
              <w:rPr>
                <w:sz w:val="22"/>
                <w:szCs w:val="22"/>
                <w:lang w:eastAsia="en-AU"/>
              </w:rPr>
              <w:t xml:space="preserve">6.1 </w:t>
            </w:r>
          </w:p>
          <w:p w14:paraId="519C4A99" w14:textId="73E6BC60" w:rsidR="00B25FF1" w:rsidRPr="00DE2548" w:rsidRDefault="00B25FF1" w:rsidP="006C7C35">
            <w:pPr>
              <w:jc w:val="center"/>
              <w:rPr>
                <w:sz w:val="22"/>
                <w:szCs w:val="22"/>
                <w:lang w:eastAsia="en-AU"/>
              </w:rPr>
            </w:pPr>
          </w:p>
          <w:p w14:paraId="75D5A52F" w14:textId="42E48F42" w:rsidR="00B25FF1" w:rsidRPr="00DE2548" w:rsidRDefault="00B25FF1" w:rsidP="006C7C35">
            <w:pPr>
              <w:jc w:val="center"/>
              <w:rPr>
                <w:sz w:val="22"/>
                <w:szCs w:val="22"/>
                <w:lang w:eastAsia="en-AU"/>
              </w:rPr>
            </w:pPr>
            <w:r w:rsidRPr="00DE2548">
              <w:rPr>
                <w:sz w:val="22"/>
                <w:szCs w:val="22"/>
                <w:lang w:eastAsia="en-AU"/>
              </w:rPr>
              <w:t xml:space="preserve">6.2 </w:t>
            </w:r>
          </w:p>
          <w:p w14:paraId="73C76509" w14:textId="616EBBF1" w:rsidR="0021380B" w:rsidRPr="00DE2548" w:rsidRDefault="0021380B" w:rsidP="006C7C35">
            <w:pPr>
              <w:jc w:val="center"/>
              <w:rPr>
                <w:sz w:val="22"/>
                <w:szCs w:val="22"/>
              </w:rPr>
            </w:pPr>
          </w:p>
        </w:tc>
        <w:tc>
          <w:tcPr>
            <w:tcW w:w="9181" w:type="dxa"/>
          </w:tcPr>
          <w:p w14:paraId="05443F1A" w14:textId="77777777" w:rsidR="00B25FF1" w:rsidRPr="00DE2548" w:rsidRDefault="00B25FF1" w:rsidP="00B25FF1">
            <w:pPr>
              <w:rPr>
                <w:sz w:val="22"/>
                <w:szCs w:val="22"/>
              </w:rPr>
            </w:pPr>
          </w:p>
          <w:p w14:paraId="515EC6B2" w14:textId="6EA609F8" w:rsidR="00B25FF1" w:rsidRPr="00DE2548" w:rsidRDefault="00B25FF1" w:rsidP="00B25FF1">
            <w:pPr>
              <w:rPr>
                <w:b/>
                <w:iCs/>
                <w:sz w:val="22"/>
                <w:szCs w:val="22"/>
              </w:rPr>
            </w:pPr>
            <w:r w:rsidRPr="00DE2548">
              <w:rPr>
                <w:b/>
                <w:sz w:val="22"/>
                <w:szCs w:val="22"/>
              </w:rPr>
              <w:t>6. How</w:t>
            </w:r>
            <w:r w:rsidRPr="00DE2548">
              <w:rPr>
                <w:b/>
                <w:iCs/>
                <w:sz w:val="22"/>
                <w:szCs w:val="22"/>
              </w:rPr>
              <w:t xml:space="preserve"> do we best tailor mutual obligation requirements to increase the likelihood of people with disability finding work in the future?</w:t>
            </w:r>
          </w:p>
          <w:p w14:paraId="3AB4F929" w14:textId="4592E39E" w:rsidR="00B25FF1" w:rsidRPr="00DE2548" w:rsidRDefault="00B25FF1" w:rsidP="0074228D">
            <w:pPr>
              <w:rPr>
                <w:sz w:val="22"/>
                <w:szCs w:val="22"/>
              </w:rPr>
            </w:pPr>
          </w:p>
          <w:p w14:paraId="4C1E9425" w14:textId="0DD66399" w:rsidR="00B25FF1" w:rsidRPr="00DE2548" w:rsidRDefault="00B25FF1" w:rsidP="00B25FF1">
            <w:pPr>
              <w:autoSpaceDE w:val="0"/>
              <w:autoSpaceDN w:val="0"/>
              <w:rPr>
                <w:b/>
                <w:iCs/>
                <w:sz w:val="22"/>
                <w:szCs w:val="22"/>
              </w:rPr>
            </w:pPr>
            <w:r w:rsidRPr="00DE2548">
              <w:rPr>
                <w:b/>
                <w:iCs/>
                <w:sz w:val="22"/>
                <w:szCs w:val="22"/>
              </w:rPr>
              <w:t xml:space="preserve">6.1. What specific assistance or flexibilities would better support people with disability to meet their mutual obligation requirements? </w:t>
            </w:r>
          </w:p>
          <w:p w14:paraId="4C263558" w14:textId="77777777" w:rsidR="00B25FF1" w:rsidRPr="00DE2548" w:rsidRDefault="00B25FF1" w:rsidP="00B25FF1">
            <w:pPr>
              <w:autoSpaceDE w:val="0"/>
              <w:autoSpaceDN w:val="0"/>
              <w:rPr>
                <w:b/>
                <w:iCs/>
                <w:sz w:val="22"/>
                <w:szCs w:val="22"/>
              </w:rPr>
            </w:pPr>
          </w:p>
          <w:p w14:paraId="70D94C01" w14:textId="77777777" w:rsidR="00B25FF1" w:rsidRPr="00DE2548" w:rsidRDefault="00B25FF1" w:rsidP="00B25FF1">
            <w:pPr>
              <w:autoSpaceDE w:val="0"/>
              <w:autoSpaceDN w:val="0"/>
              <w:rPr>
                <w:b/>
                <w:iCs/>
                <w:sz w:val="22"/>
                <w:szCs w:val="22"/>
              </w:rPr>
            </w:pPr>
            <w:r w:rsidRPr="00DE2548">
              <w:rPr>
                <w:b/>
                <w:iCs/>
                <w:sz w:val="22"/>
                <w:szCs w:val="22"/>
              </w:rPr>
              <w:t xml:space="preserve">6.2. How should a future program consider other forms of participation and engagement, such as voluntary work or community engagement? </w:t>
            </w:r>
          </w:p>
          <w:p w14:paraId="3E989A7E" w14:textId="77777777" w:rsidR="00B25FF1" w:rsidRPr="00DE2548" w:rsidRDefault="00B25FF1" w:rsidP="0074228D">
            <w:pPr>
              <w:rPr>
                <w:sz w:val="22"/>
                <w:szCs w:val="22"/>
              </w:rPr>
            </w:pPr>
          </w:p>
          <w:p w14:paraId="18556E17" w14:textId="77777777" w:rsidR="00A247AF" w:rsidRPr="00DE2548" w:rsidRDefault="00B25FF1" w:rsidP="00A247AF">
            <w:pPr>
              <w:rPr>
                <w:sz w:val="22"/>
                <w:szCs w:val="22"/>
              </w:rPr>
            </w:pPr>
            <w:r w:rsidRPr="00DE2548">
              <w:rPr>
                <w:sz w:val="22"/>
                <w:szCs w:val="22"/>
              </w:rPr>
              <w:t xml:space="preserve">NIAA notes that the </w:t>
            </w:r>
            <w:r w:rsidR="000921CA" w:rsidRPr="00DE2548">
              <w:rPr>
                <w:sz w:val="22"/>
                <w:szCs w:val="22"/>
              </w:rPr>
              <w:t>document states that ‘</w:t>
            </w:r>
            <w:r w:rsidR="000921CA" w:rsidRPr="00DE2548">
              <w:rPr>
                <w:iCs/>
                <w:sz w:val="22"/>
                <w:szCs w:val="22"/>
              </w:rPr>
              <w:t>Currently, people eligible for disability employment services include those with a disability, injury or health condition that will last more than 6 months’</w:t>
            </w:r>
            <w:r w:rsidR="000921CA" w:rsidRPr="00DE2548">
              <w:rPr>
                <w:sz w:val="22"/>
                <w:szCs w:val="22"/>
              </w:rPr>
              <w:t xml:space="preserve">. </w:t>
            </w:r>
          </w:p>
          <w:p w14:paraId="1550065D" w14:textId="77777777" w:rsidR="00A247AF" w:rsidRPr="00DE2548" w:rsidRDefault="00A247AF" w:rsidP="00A247AF">
            <w:pPr>
              <w:rPr>
                <w:sz w:val="22"/>
                <w:szCs w:val="22"/>
              </w:rPr>
            </w:pPr>
          </w:p>
          <w:p w14:paraId="195D8E65" w14:textId="06E69F33" w:rsidR="00A247AF" w:rsidRPr="00DE2548" w:rsidRDefault="000921CA" w:rsidP="00A247AF">
            <w:pPr>
              <w:rPr>
                <w:sz w:val="22"/>
                <w:szCs w:val="22"/>
              </w:rPr>
            </w:pPr>
            <w:r w:rsidRPr="00DE2548">
              <w:rPr>
                <w:sz w:val="22"/>
                <w:szCs w:val="22"/>
              </w:rPr>
              <w:t>Assuming that addicti</w:t>
            </w:r>
            <w:r w:rsidR="00A247AF" w:rsidRPr="00DE2548">
              <w:rPr>
                <w:sz w:val="22"/>
                <w:szCs w:val="22"/>
              </w:rPr>
              <w:t xml:space="preserve">on fits within the above definition, it could be considered that undertaking alcohol and other drugs rehabilitation could count as a reasonable form of mutual obligation because it would </w:t>
            </w:r>
            <w:r w:rsidR="00A247AF" w:rsidRPr="00DE2548">
              <w:rPr>
                <w:sz w:val="22"/>
                <w:szCs w:val="22"/>
                <w:u w:val="single"/>
              </w:rPr>
              <w:t xml:space="preserve">increase the likelihood of people with disability finding work in the future, </w:t>
            </w:r>
            <w:r w:rsidR="00A247AF" w:rsidRPr="00DE2548">
              <w:rPr>
                <w:sz w:val="22"/>
                <w:szCs w:val="22"/>
              </w:rPr>
              <w:t>in this case people with an addiction disability.</w:t>
            </w:r>
          </w:p>
          <w:p w14:paraId="437BF56B" w14:textId="77777777" w:rsidR="0021380B" w:rsidRPr="00DE2548" w:rsidRDefault="0021380B" w:rsidP="00A247AF">
            <w:pPr>
              <w:rPr>
                <w:sz w:val="22"/>
                <w:szCs w:val="22"/>
              </w:rPr>
            </w:pPr>
          </w:p>
        </w:tc>
      </w:tr>
      <w:tr w:rsidR="00DE2548" w:rsidRPr="00DE2548" w14:paraId="44DE99B8" w14:textId="77777777" w:rsidTr="0074228D">
        <w:tc>
          <w:tcPr>
            <w:tcW w:w="1167" w:type="dxa"/>
          </w:tcPr>
          <w:p w14:paraId="33B1B30B" w14:textId="77777777" w:rsidR="00135DE7" w:rsidRPr="00DE2548" w:rsidRDefault="00135DE7" w:rsidP="0074228D">
            <w:pPr>
              <w:rPr>
                <w:sz w:val="22"/>
                <w:szCs w:val="22"/>
                <w:lang w:eastAsia="en-AU"/>
              </w:rPr>
            </w:pPr>
          </w:p>
          <w:p w14:paraId="69A7408B" w14:textId="77777777" w:rsidR="004128DB" w:rsidRPr="00DE2548" w:rsidRDefault="004128DB" w:rsidP="0074228D">
            <w:pPr>
              <w:rPr>
                <w:sz w:val="22"/>
                <w:szCs w:val="22"/>
                <w:lang w:eastAsia="en-AU"/>
              </w:rPr>
            </w:pPr>
          </w:p>
          <w:p w14:paraId="27EE660F" w14:textId="77777777" w:rsidR="004128DB" w:rsidRPr="00DE2548" w:rsidRDefault="004128DB" w:rsidP="006C7C35">
            <w:pPr>
              <w:jc w:val="center"/>
              <w:rPr>
                <w:sz w:val="22"/>
                <w:szCs w:val="22"/>
                <w:lang w:eastAsia="en-AU"/>
              </w:rPr>
            </w:pPr>
          </w:p>
          <w:p w14:paraId="1DCE9AF4" w14:textId="54FC9D10" w:rsidR="0083778F" w:rsidRPr="00DE2548" w:rsidRDefault="0083778F" w:rsidP="006C7C35">
            <w:pPr>
              <w:jc w:val="center"/>
              <w:rPr>
                <w:sz w:val="22"/>
                <w:szCs w:val="22"/>
                <w:lang w:eastAsia="en-AU"/>
              </w:rPr>
            </w:pPr>
          </w:p>
          <w:p w14:paraId="22E65854" w14:textId="77777777" w:rsidR="0083778F" w:rsidRPr="00DE2548" w:rsidRDefault="0083778F" w:rsidP="006C7C35">
            <w:pPr>
              <w:jc w:val="center"/>
              <w:rPr>
                <w:sz w:val="22"/>
                <w:szCs w:val="22"/>
                <w:lang w:eastAsia="en-AU"/>
              </w:rPr>
            </w:pPr>
          </w:p>
          <w:p w14:paraId="3643112B" w14:textId="1A1B4302" w:rsidR="004128DB" w:rsidRPr="00DE2548" w:rsidRDefault="00FE7532" w:rsidP="006C7C35">
            <w:pPr>
              <w:jc w:val="center"/>
              <w:rPr>
                <w:sz w:val="22"/>
                <w:szCs w:val="22"/>
                <w:lang w:eastAsia="en-AU"/>
              </w:rPr>
            </w:pPr>
            <w:r w:rsidRPr="00DE2548">
              <w:rPr>
                <w:sz w:val="22"/>
                <w:szCs w:val="22"/>
                <w:lang w:eastAsia="en-AU"/>
              </w:rPr>
              <w:t>1.1</w:t>
            </w:r>
          </w:p>
          <w:p w14:paraId="1C528EB6" w14:textId="77777777" w:rsidR="00FE7532" w:rsidRPr="00DE2548" w:rsidRDefault="00FE7532" w:rsidP="006C7C35">
            <w:pPr>
              <w:jc w:val="center"/>
              <w:rPr>
                <w:sz w:val="22"/>
                <w:szCs w:val="22"/>
                <w:lang w:eastAsia="en-AU"/>
              </w:rPr>
            </w:pPr>
          </w:p>
          <w:p w14:paraId="09AD71E8" w14:textId="77777777" w:rsidR="00FE7532" w:rsidRPr="00DE2548" w:rsidRDefault="0083778F" w:rsidP="006C7C35">
            <w:pPr>
              <w:jc w:val="center"/>
              <w:rPr>
                <w:sz w:val="22"/>
                <w:szCs w:val="22"/>
                <w:lang w:eastAsia="en-AU"/>
              </w:rPr>
            </w:pPr>
            <w:r w:rsidRPr="00DE2548">
              <w:rPr>
                <w:sz w:val="22"/>
                <w:szCs w:val="22"/>
                <w:lang w:eastAsia="en-AU"/>
              </w:rPr>
              <w:t>2.1</w:t>
            </w:r>
          </w:p>
          <w:p w14:paraId="7ED773AD" w14:textId="77777777" w:rsidR="0083778F" w:rsidRPr="00DE2548" w:rsidRDefault="0083778F" w:rsidP="006C7C35">
            <w:pPr>
              <w:jc w:val="center"/>
              <w:rPr>
                <w:sz w:val="22"/>
                <w:szCs w:val="22"/>
                <w:lang w:eastAsia="en-AU"/>
              </w:rPr>
            </w:pPr>
          </w:p>
          <w:p w14:paraId="45B2AFC9" w14:textId="77777777" w:rsidR="0083778F" w:rsidRPr="00DE2548" w:rsidRDefault="0083778F" w:rsidP="006C7C35">
            <w:pPr>
              <w:jc w:val="center"/>
              <w:rPr>
                <w:sz w:val="22"/>
                <w:szCs w:val="22"/>
                <w:lang w:eastAsia="en-AU"/>
              </w:rPr>
            </w:pPr>
            <w:r w:rsidRPr="00DE2548">
              <w:rPr>
                <w:sz w:val="22"/>
                <w:szCs w:val="22"/>
                <w:lang w:eastAsia="en-AU"/>
              </w:rPr>
              <w:t>3.2</w:t>
            </w:r>
          </w:p>
          <w:p w14:paraId="11C8E519" w14:textId="77777777" w:rsidR="001F2DA4" w:rsidRPr="00DE2548" w:rsidRDefault="001F2DA4" w:rsidP="006C7C35">
            <w:pPr>
              <w:jc w:val="center"/>
              <w:rPr>
                <w:sz w:val="22"/>
                <w:szCs w:val="22"/>
                <w:lang w:eastAsia="en-AU"/>
              </w:rPr>
            </w:pPr>
          </w:p>
          <w:p w14:paraId="024D8837" w14:textId="77777777" w:rsidR="001F2DA4" w:rsidRPr="00DE2548" w:rsidRDefault="001F2DA4" w:rsidP="006C7C35">
            <w:pPr>
              <w:jc w:val="center"/>
              <w:rPr>
                <w:sz w:val="22"/>
                <w:szCs w:val="22"/>
                <w:lang w:eastAsia="en-AU"/>
              </w:rPr>
            </w:pPr>
          </w:p>
          <w:p w14:paraId="0F7789D3" w14:textId="77777777" w:rsidR="001F2DA4" w:rsidRPr="00DE2548" w:rsidRDefault="001F2DA4" w:rsidP="006C7C35">
            <w:pPr>
              <w:jc w:val="center"/>
              <w:rPr>
                <w:sz w:val="22"/>
                <w:szCs w:val="22"/>
                <w:lang w:eastAsia="en-AU"/>
              </w:rPr>
            </w:pPr>
          </w:p>
          <w:p w14:paraId="28B93149" w14:textId="77777777" w:rsidR="001F2DA4" w:rsidRPr="00DE2548" w:rsidRDefault="001F2DA4" w:rsidP="006C7C35">
            <w:pPr>
              <w:jc w:val="center"/>
              <w:rPr>
                <w:sz w:val="22"/>
                <w:szCs w:val="22"/>
                <w:lang w:eastAsia="en-AU"/>
              </w:rPr>
            </w:pPr>
          </w:p>
          <w:p w14:paraId="393619CA" w14:textId="77777777" w:rsidR="001F2DA4" w:rsidRPr="00DE2548" w:rsidRDefault="001F2DA4" w:rsidP="006C7C35">
            <w:pPr>
              <w:jc w:val="center"/>
              <w:rPr>
                <w:sz w:val="22"/>
                <w:szCs w:val="22"/>
                <w:lang w:eastAsia="en-AU"/>
              </w:rPr>
            </w:pPr>
          </w:p>
          <w:p w14:paraId="6131986F" w14:textId="77777777" w:rsidR="001F2DA4" w:rsidRPr="00DE2548" w:rsidRDefault="001F2DA4" w:rsidP="006C7C35">
            <w:pPr>
              <w:jc w:val="center"/>
              <w:rPr>
                <w:sz w:val="22"/>
                <w:szCs w:val="22"/>
                <w:lang w:eastAsia="en-AU"/>
              </w:rPr>
            </w:pPr>
          </w:p>
          <w:p w14:paraId="2A2B8300" w14:textId="77777777" w:rsidR="001F2DA4" w:rsidRPr="00DE2548" w:rsidRDefault="001F2DA4" w:rsidP="006C7C35">
            <w:pPr>
              <w:jc w:val="center"/>
              <w:rPr>
                <w:sz w:val="22"/>
                <w:szCs w:val="22"/>
                <w:lang w:eastAsia="en-AU"/>
              </w:rPr>
            </w:pPr>
          </w:p>
          <w:p w14:paraId="4E3F8D2D" w14:textId="77777777" w:rsidR="001F2DA4" w:rsidRPr="00DE2548" w:rsidRDefault="001F2DA4" w:rsidP="006C7C35">
            <w:pPr>
              <w:jc w:val="center"/>
              <w:rPr>
                <w:sz w:val="22"/>
                <w:szCs w:val="22"/>
                <w:lang w:eastAsia="en-AU"/>
              </w:rPr>
            </w:pPr>
          </w:p>
          <w:p w14:paraId="68566962" w14:textId="77777777" w:rsidR="001F2DA4" w:rsidRPr="00DE2548" w:rsidRDefault="001F2DA4" w:rsidP="006C7C35">
            <w:pPr>
              <w:jc w:val="center"/>
              <w:rPr>
                <w:sz w:val="22"/>
                <w:szCs w:val="22"/>
                <w:lang w:eastAsia="en-AU"/>
              </w:rPr>
            </w:pPr>
          </w:p>
          <w:p w14:paraId="1B27DBD3" w14:textId="77777777" w:rsidR="001F2DA4" w:rsidRPr="00DE2548" w:rsidRDefault="001F2DA4" w:rsidP="006C7C35">
            <w:pPr>
              <w:jc w:val="center"/>
              <w:rPr>
                <w:sz w:val="22"/>
                <w:szCs w:val="22"/>
                <w:lang w:eastAsia="en-AU"/>
              </w:rPr>
            </w:pPr>
          </w:p>
          <w:p w14:paraId="360615FC" w14:textId="77777777" w:rsidR="001F2DA4" w:rsidRPr="00DE2548" w:rsidRDefault="001F2DA4" w:rsidP="006C7C35">
            <w:pPr>
              <w:jc w:val="center"/>
              <w:rPr>
                <w:sz w:val="22"/>
                <w:szCs w:val="22"/>
                <w:lang w:eastAsia="en-AU"/>
              </w:rPr>
            </w:pPr>
          </w:p>
          <w:p w14:paraId="106DCC29" w14:textId="77777777" w:rsidR="001F2DA4" w:rsidRPr="00DE2548" w:rsidRDefault="001F2DA4" w:rsidP="006C7C35">
            <w:pPr>
              <w:jc w:val="center"/>
              <w:rPr>
                <w:sz w:val="22"/>
                <w:szCs w:val="22"/>
                <w:lang w:eastAsia="en-AU"/>
              </w:rPr>
            </w:pPr>
          </w:p>
          <w:p w14:paraId="68C8DBAE" w14:textId="77777777" w:rsidR="001F2DA4" w:rsidRPr="00DE2548" w:rsidRDefault="001F2DA4" w:rsidP="006C7C35">
            <w:pPr>
              <w:jc w:val="center"/>
              <w:rPr>
                <w:sz w:val="22"/>
                <w:szCs w:val="22"/>
                <w:lang w:eastAsia="en-AU"/>
              </w:rPr>
            </w:pPr>
          </w:p>
          <w:p w14:paraId="3578BCBD" w14:textId="77777777" w:rsidR="001F2DA4" w:rsidRPr="00DE2548" w:rsidRDefault="001F2DA4" w:rsidP="006C7C35">
            <w:pPr>
              <w:jc w:val="center"/>
              <w:rPr>
                <w:sz w:val="22"/>
                <w:szCs w:val="22"/>
                <w:lang w:eastAsia="en-AU"/>
              </w:rPr>
            </w:pPr>
          </w:p>
          <w:p w14:paraId="76462E6A" w14:textId="77777777" w:rsidR="001F2DA4" w:rsidRPr="00DE2548" w:rsidRDefault="001F2DA4" w:rsidP="006C7C35">
            <w:pPr>
              <w:jc w:val="center"/>
              <w:rPr>
                <w:sz w:val="22"/>
                <w:szCs w:val="22"/>
                <w:lang w:eastAsia="en-AU"/>
              </w:rPr>
            </w:pPr>
          </w:p>
          <w:p w14:paraId="3A34730B" w14:textId="77777777" w:rsidR="001F2DA4" w:rsidRPr="00DE2548" w:rsidRDefault="001F2DA4" w:rsidP="006C7C35">
            <w:pPr>
              <w:jc w:val="center"/>
              <w:rPr>
                <w:sz w:val="22"/>
                <w:szCs w:val="22"/>
                <w:lang w:eastAsia="en-AU"/>
              </w:rPr>
            </w:pPr>
          </w:p>
          <w:p w14:paraId="4BDF79C3" w14:textId="77777777" w:rsidR="001F2DA4" w:rsidRPr="00DE2548" w:rsidRDefault="001F2DA4" w:rsidP="006C7C35">
            <w:pPr>
              <w:jc w:val="center"/>
              <w:rPr>
                <w:sz w:val="22"/>
                <w:szCs w:val="22"/>
                <w:lang w:eastAsia="en-AU"/>
              </w:rPr>
            </w:pPr>
          </w:p>
          <w:p w14:paraId="10CC0E85" w14:textId="77777777" w:rsidR="001F2DA4" w:rsidRPr="00DE2548" w:rsidRDefault="001F2DA4" w:rsidP="006C7C35">
            <w:pPr>
              <w:jc w:val="center"/>
              <w:rPr>
                <w:sz w:val="22"/>
                <w:szCs w:val="22"/>
                <w:lang w:eastAsia="en-AU"/>
              </w:rPr>
            </w:pPr>
          </w:p>
          <w:p w14:paraId="180B2651" w14:textId="77777777" w:rsidR="001F2DA4" w:rsidRPr="00DE2548" w:rsidRDefault="001F2DA4" w:rsidP="006C7C35">
            <w:pPr>
              <w:jc w:val="center"/>
              <w:rPr>
                <w:sz w:val="22"/>
                <w:szCs w:val="22"/>
                <w:lang w:eastAsia="en-AU"/>
              </w:rPr>
            </w:pPr>
          </w:p>
          <w:p w14:paraId="188306B2" w14:textId="77777777" w:rsidR="001F2DA4" w:rsidRPr="00DE2548" w:rsidRDefault="001F2DA4" w:rsidP="006C7C35">
            <w:pPr>
              <w:jc w:val="center"/>
              <w:rPr>
                <w:sz w:val="22"/>
                <w:szCs w:val="22"/>
                <w:lang w:eastAsia="en-AU"/>
              </w:rPr>
            </w:pPr>
          </w:p>
          <w:p w14:paraId="483526FD" w14:textId="77777777" w:rsidR="001F2DA4" w:rsidRPr="00DE2548" w:rsidRDefault="001F2DA4" w:rsidP="006C7C35">
            <w:pPr>
              <w:jc w:val="center"/>
              <w:rPr>
                <w:sz w:val="22"/>
                <w:szCs w:val="22"/>
                <w:lang w:eastAsia="en-AU"/>
              </w:rPr>
            </w:pPr>
          </w:p>
          <w:p w14:paraId="4C2D5D41" w14:textId="77777777" w:rsidR="001F2DA4" w:rsidRPr="00DE2548" w:rsidRDefault="001F2DA4" w:rsidP="006C7C35">
            <w:pPr>
              <w:jc w:val="center"/>
              <w:rPr>
                <w:sz w:val="22"/>
                <w:szCs w:val="22"/>
                <w:lang w:eastAsia="en-AU"/>
              </w:rPr>
            </w:pPr>
          </w:p>
          <w:p w14:paraId="7ACAED6A" w14:textId="77777777" w:rsidR="001F2DA4" w:rsidRPr="00DE2548" w:rsidRDefault="001F2DA4" w:rsidP="006C7C35">
            <w:pPr>
              <w:jc w:val="center"/>
              <w:rPr>
                <w:sz w:val="22"/>
                <w:szCs w:val="22"/>
                <w:lang w:eastAsia="en-AU"/>
              </w:rPr>
            </w:pPr>
          </w:p>
          <w:p w14:paraId="4CFAB5CB" w14:textId="77777777" w:rsidR="001F2DA4" w:rsidRPr="00DE2548" w:rsidRDefault="001F2DA4" w:rsidP="006C7C35">
            <w:pPr>
              <w:jc w:val="center"/>
              <w:rPr>
                <w:sz w:val="22"/>
                <w:szCs w:val="22"/>
                <w:lang w:eastAsia="en-AU"/>
              </w:rPr>
            </w:pPr>
          </w:p>
          <w:p w14:paraId="79841ACF" w14:textId="77777777" w:rsidR="001F2DA4" w:rsidRPr="00DE2548" w:rsidRDefault="001F2DA4" w:rsidP="006C7C35">
            <w:pPr>
              <w:jc w:val="center"/>
              <w:rPr>
                <w:sz w:val="22"/>
                <w:szCs w:val="22"/>
                <w:lang w:eastAsia="en-AU"/>
              </w:rPr>
            </w:pPr>
          </w:p>
          <w:p w14:paraId="5607FB84" w14:textId="77777777" w:rsidR="001F2DA4" w:rsidRPr="00DE2548" w:rsidRDefault="001F2DA4" w:rsidP="006C7C35">
            <w:pPr>
              <w:jc w:val="center"/>
              <w:rPr>
                <w:sz w:val="22"/>
                <w:szCs w:val="22"/>
                <w:lang w:eastAsia="en-AU"/>
              </w:rPr>
            </w:pPr>
          </w:p>
          <w:p w14:paraId="0405E758" w14:textId="77777777" w:rsidR="001F2DA4" w:rsidRPr="00DE2548" w:rsidRDefault="001F2DA4" w:rsidP="006C7C35">
            <w:pPr>
              <w:jc w:val="center"/>
              <w:rPr>
                <w:sz w:val="22"/>
                <w:szCs w:val="22"/>
                <w:lang w:eastAsia="en-AU"/>
              </w:rPr>
            </w:pPr>
          </w:p>
          <w:p w14:paraId="280BA119" w14:textId="77777777" w:rsidR="001F2DA4" w:rsidRPr="00DE2548" w:rsidRDefault="001F2DA4" w:rsidP="006C7C35">
            <w:pPr>
              <w:jc w:val="center"/>
              <w:rPr>
                <w:sz w:val="22"/>
                <w:szCs w:val="22"/>
                <w:lang w:eastAsia="en-AU"/>
              </w:rPr>
            </w:pPr>
          </w:p>
          <w:p w14:paraId="08DD7D6A" w14:textId="77777777" w:rsidR="001F2DA4" w:rsidRPr="00DE2548" w:rsidRDefault="001F2DA4" w:rsidP="006C7C35">
            <w:pPr>
              <w:jc w:val="center"/>
              <w:rPr>
                <w:sz w:val="22"/>
                <w:szCs w:val="22"/>
                <w:lang w:eastAsia="en-AU"/>
              </w:rPr>
            </w:pPr>
          </w:p>
          <w:p w14:paraId="730502A5" w14:textId="77777777" w:rsidR="001F2DA4" w:rsidRPr="00DE2548" w:rsidRDefault="001F2DA4" w:rsidP="006C7C35">
            <w:pPr>
              <w:jc w:val="center"/>
              <w:rPr>
                <w:sz w:val="22"/>
                <w:szCs w:val="22"/>
                <w:lang w:eastAsia="en-AU"/>
              </w:rPr>
            </w:pPr>
          </w:p>
          <w:p w14:paraId="0E5E9D20" w14:textId="77777777" w:rsidR="001F2DA4" w:rsidRPr="00DE2548" w:rsidRDefault="001F2DA4" w:rsidP="006C7C35">
            <w:pPr>
              <w:jc w:val="center"/>
              <w:rPr>
                <w:sz w:val="22"/>
                <w:szCs w:val="22"/>
                <w:lang w:eastAsia="en-AU"/>
              </w:rPr>
            </w:pPr>
          </w:p>
          <w:p w14:paraId="509D266A" w14:textId="77777777" w:rsidR="001F2DA4" w:rsidRPr="00DE2548" w:rsidRDefault="001F2DA4" w:rsidP="006C7C35">
            <w:pPr>
              <w:jc w:val="center"/>
              <w:rPr>
                <w:sz w:val="22"/>
                <w:szCs w:val="22"/>
                <w:lang w:eastAsia="en-AU"/>
              </w:rPr>
            </w:pPr>
          </w:p>
          <w:p w14:paraId="65980AD6" w14:textId="77777777" w:rsidR="001F2DA4" w:rsidRPr="00DE2548" w:rsidRDefault="001F2DA4" w:rsidP="006C7C35">
            <w:pPr>
              <w:jc w:val="center"/>
              <w:rPr>
                <w:sz w:val="22"/>
                <w:szCs w:val="22"/>
                <w:lang w:eastAsia="en-AU"/>
              </w:rPr>
            </w:pPr>
          </w:p>
          <w:p w14:paraId="1FAAF835" w14:textId="77777777" w:rsidR="001F2DA4" w:rsidRPr="00DE2548" w:rsidRDefault="001F2DA4" w:rsidP="006C7C35">
            <w:pPr>
              <w:jc w:val="center"/>
              <w:rPr>
                <w:sz w:val="22"/>
                <w:szCs w:val="22"/>
                <w:lang w:eastAsia="en-AU"/>
              </w:rPr>
            </w:pPr>
          </w:p>
          <w:p w14:paraId="234361DA" w14:textId="7F5AB7E4" w:rsidR="001F2DA4" w:rsidRPr="00DE2548" w:rsidRDefault="001F2DA4" w:rsidP="006C7C35">
            <w:pPr>
              <w:jc w:val="center"/>
              <w:rPr>
                <w:sz w:val="22"/>
                <w:szCs w:val="22"/>
                <w:lang w:eastAsia="en-AU"/>
              </w:rPr>
            </w:pPr>
          </w:p>
          <w:p w14:paraId="564D9A91" w14:textId="7A2F8683" w:rsidR="0007604F" w:rsidRPr="00DE2548" w:rsidRDefault="0007604F" w:rsidP="006C7C35">
            <w:pPr>
              <w:jc w:val="center"/>
              <w:rPr>
                <w:sz w:val="22"/>
                <w:szCs w:val="22"/>
                <w:lang w:eastAsia="en-AU"/>
              </w:rPr>
            </w:pPr>
          </w:p>
          <w:p w14:paraId="0C4847A1" w14:textId="77777777" w:rsidR="0007604F" w:rsidRPr="00DE2548" w:rsidRDefault="0007604F" w:rsidP="006C7C35">
            <w:pPr>
              <w:jc w:val="center"/>
              <w:rPr>
                <w:sz w:val="22"/>
                <w:szCs w:val="22"/>
                <w:lang w:eastAsia="en-AU"/>
              </w:rPr>
            </w:pPr>
          </w:p>
          <w:p w14:paraId="0994A80D" w14:textId="77777777" w:rsidR="001F2DA4" w:rsidRPr="00DE2548" w:rsidRDefault="001F2DA4" w:rsidP="006C7C35">
            <w:pPr>
              <w:jc w:val="center"/>
              <w:rPr>
                <w:sz w:val="22"/>
                <w:szCs w:val="22"/>
                <w:lang w:eastAsia="en-AU"/>
              </w:rPr>
            </w:pPr>
          </w:p>
          <w:p w14:paraId="4BCEF628" w14:textId="21D17566" w:rsidR="001F2DA4" w:rsidRPr="00DE2548" w:rsidRDefault="001F2DA4" w:rsidP="006C7C35">
            <w:pPr>
              <w:jc w:val="center"/>
              <w:rPr>
                <w:sz w:val="22"/>
                <w:szCs w:val="22"/>
                <w:lang w:eastAsia="en-AU"/>
              </w:rPr>
            </w:pPr>
            <w:r w:rsidRPr="00DE2548">
              <w:rPr>
                <w:sz w:val="22"/>
                <w:szCs w:val="22"/>
                <w:lang w:eastAsia="en-AU"/>
              </w:rPr>
              <w:t>4.2</w:t>
            </w:r>
          </w:p>
          <w:p w14:paraId="7B91A131" w14:textId="77777777" w:rsidR="001F2DA4" w:rsidRPr="00DE2548" w:rsidRDefault="001F2DA4" w:rsidP="006C7C35">
            <w:pPr>
              <w:jc w:val="center"/>
              <w:rPr>
                <w:sz w:val="22"/>
                <w:szCs w:val="22"/>
                <w:lang w:eastAsia="en-AU"/>
              </w:rPr>
            </w:pPr>
          </w:p>
          <w:p w14:paraId="3B92CA5C" w14:textId="1CE1DE85" w:rsidR="001F2DA4" w:rsidRPr="00DE2548" w:rsidRDefault="001F2DA4" w:rsidP="006C7C35">
            <w:pPr>
              <w:jc w:val="center"/>
              <w:rPr>
                <w:sz w:val="22"/>
                <w:szCs w:val="22"/>
                <w:lang w:eastAsia="en-AU"/>
              </w:rPr>
            </w:pPr>
            <w:r w:rsidRPr="00DE2548">
              <w:rPr>
                <w:sz w:val="22"/>
                <w:szCs w:val="22"/>
                <w:lang w:eastAsia="en-AU"/>
              </w:rPr>
              <w:t>5.1</w:t>
            </w:r>
          </w:p>
          <w:p w14:paraId="202268C3" w14:textId="77777777" w:rsidR="001F2DA4" w:rsidRPr="00DE2548" w:rsidRDefault="001F2DA4" w:rsidP="006C7C35">
            <w:pPr>
              <w:jc w:val="center"/>
              <w:rPr>
                <w:sz w:val="22"/>
                <w:szCs w:val="22"/>
                <w:lang w:eastAsia="en-AU"/>
              </w:rPr>
            </w:pPr>
          </w:p>
          <w:p w14:paraId="4CCE5F08" w14:textId="6319CF83" w:rsidR="001F2DA4" w:rsidRPr="00DE2548" w:rsidRDefault="001F2DA4" w:rsidP="006C7C35">
            <w:pPr>
              <w:jc w:val="center"/>
              <w:rPr>
                <w:sz w:val="22"/>
                <w:szCs w:val="22"/>
                <w:lang w:eastAsia="en-AU"/>
              </w:rPr>
            </w:pPr>
            <w:r w:rsidRPr="00DE2548">
              <w:rPr>
                <w:sz w:val="22"/>
                <w:szCs w:val="22"/>
                <w:lang w:eastAsia="en-AU"/>
              </w:rPr>
              <w:t>7.1</w:t>
            </w:r>
          </w:p>
          <w:p w14:paraId="703ACA26" w14:textId="77777777" w:rsidR="001F2DA4" w:rsidRPr="00DE2548" w:rsidRDefault="001F2DA4" w:rsidP="006C7C35">
            <w:pPr>
              <w:jc w:val="center"/>
              <w:rPr>
                <w:sz w:val="22"/>
                <w:szCs w:val="22"/>
                <w:lang w:eastAsia="en-AU"/>
              </w:rPr>
            </w:pPr>
          </w:p>
          <w:p w14:paraId="475CC4AE" w14:textId="1A6A13C9" w:rsidR="001F2DA4" w:rsidRPr="00DE2548" w:rsidRDefault="001F2DA4" w:rsidP="006C7C35">
            <w:pPr>
              <w:jc w:val="center"/>
              <w:rPr>
                <w:sz w:val="22"/>
                <w:szCs w:val="22"/>
                <w:lang w:eastAsia="en-AU"/>
              </w:rPr>
            </w:pPr>
            <w:r w:rsidRPr="00DE2548">
              <w:rPr>
                <w:sz w:val="22"/>
                <w:szCs w:val="22"/>
                <w:lang w:eastAsia="en-AU"/>
              </w:rPr>
              <w:t>8.1</w:t>
            </w:r>
          </w:p>
          <w:p w14:paraId="7285C2C9" w14:textId="77777777" w:rsidR="001F2DA4" w:rsidRPr="00DE2548" w:rsidRDefault="001F2DA4" w:rsidP="006C7C35">
            <w:pPr>
              <w:jc w:val="center"/>
              <w:rPr>
                <w:sz w:val="22"/>
                <w:szCs w:val="22"/>
                <w:lang w:eastAsia="en-AU"/>
              </w:rPr>
            </w:pPr>
          </w:p>
          <w:p w14:paraId="748A03FE" w14:textId="108E7EC6" w:rsidR="001F2DA4" w:rsidRPr="00DE2548" w:rsidRDefault="001F2DA4" w:rsidP="006C7C35">
            <w:pPr>
              <w:jc w:val="center"/>
              <w:rPr>
                <w:sz w:val="22"/>
                <w:szCs w:val="22"/>
                <w:lang w:eastAsia="en-AU"/>
              </w:rPr>
            </w:pPr>
            <w:r w:rsidRPr="00DE2548">
              <w:rPr>
                <w:sz w:val="22"/>
                <w:szCs w:val="22"/>
                <w:lang w:eastAsia="en-AU"/>
              </w:rPr>
              <w:t>8.6</w:t>
            </w:r>
          </w:p>
          <w:p w14:paraId="45A23F2E" w14:textId="77777777" w:rsidR="001F2DA4" w:rsidRPr="00DE2548" w:rsidRDefault="001F2DA4" w:rsidP="006C7C35">
            <w:pPr>
              <w:jc w:val="center"/>
              <w:rPr>
                <w:sz w:val="22"/>
                <w:szCs w:val="22"/>
                <w:lang w:eastAsia="en-AU"/>
              </w:rPr>
            </w:pPr>
          </w:p>
          <w:p w14:paraId="5F22E505" w14:textId="51180700" w:rsidR="001F2DA4" w:rsidRPr="00DE2548" w:rsidRDefault="001F2DA4" w:rsidP="006C7C35">
            <w:pPr>
              <w:jc w:val="center"/>
              <w:rPr>
                <w:sz w:val="22"/>
                <w:szCs w:val="22"/>
                <w:lang w:eastAsia="en-AU"/>
              </w:rPr>
            </w:pPr>
            <w:r w:rsidRPr="00DE2548">
              <w:rPr>
                <w:sz w:val="22"/>
                <w:szCs w:val="22"/>
                <w:lang w:eastAsia="en-AU"/>
              </w:rPr>
              <w:t>9.4</w:t>
            </w:r>
          </w:p>
        </w:tc>
        <w:tc>
          <w:tcPr>
            <w:tcW w:w="9181" w:type="dxa"/>
          </w:tcPr>
          <w:p w14:paraId="656AF491" w14:textId="77777777" w:rsidR="00D43FE5" w:rsidRPr="00DE2548" w:rsidRDefault="00D43FE5" w:rsidP="0074228D">
            <w:pPr>
              <w:spacing w:after="120"/>
              <w:rPr>
                <w:b/>
                <w:bCs/>
                <w:sz w:val="22"/>
                <w:szCs w:val="22"/>
              </w:rPr>
            </w:pPr>
          </w:p>
          <w:p w14:paraId="309C8BB5" w14:textId="5CEC0439" w:rsidR="00135DE7" w:rsidRPr="00DE2548" w:rsidRDefault="00135DE7" w:rsidP="0074228D">
            <w:pPr>
              <w:spacing w:after="120"/>
              <w:rPr>
                <w:b/>
                <w:bCs/>
                <w:sz w:val="22"/>
                <w:szCs w:val="22"/>
              </w:rPr>
            </w:pPr>
            <w:r w:rsidRPr="00DE2548">
              <w:rPr>
                <w:b/>
                <w:bCs/>
                <w:sz w:val="22"/>
                <w:szCs w:val="22"/>
              </w:rPr>
              <w:t xml:space="preserve">1.1. Who should be able to access a disability employment support program? </w:t>
            </w:r>
          </w:p>
          <w:p w14:paraId="44DD13B6" w14:textId="77777777" w:rsidR="00A247AF" w:rsidRPr="00DE2548" w:rsidRDefault="00135DE7" w:rsidP="0074228D">
            <w:pPr>
              <w:spacing w:after="120"/>
              <w:rPr>
                <w:sz w:val="22"/>
                <w:szCs w:val="22"/>
              </w:rPr>
            </w:pPr>
            <w:r w:rsidRPr="00DE2548">
              <w:rPr>
                <w:sz w:val="22"/>
                <w:szCs w:val="22"/>
              </w:rPr>
              <w:t xml:space="preserve">Aboriginal and Torres Strait Islander job seekers with a disability who have complex support needs should be explicitly identified as a priority cohort for this program. </w:t>
            </w:r>
          </w:p>
          <w:p w14:paraId="7B39FE70" w14:textId="77777777" w:rsidR="00A247AF" w:rsidRPr="00DE2548" w:rsidRDefault="00135DE7" w:rsidP="0074228D">
            <w:pPr>
              <w:spacing w:after="120"/>
              <w:rPr>
                <w:sz w:val="22"/>
                <w:szCs w:val="22"/>
              </w:rPr>
            </w:pPr>
            <w:r w:rsidRPr="00DE2548">
              <w:rPr>
                <w:sz w:val="22"/>
                <w:szCs w:val="22"/>
              </w:rPr>
              <w:t xml:space="preserve">There is a higher prevalence of disability </w:t>
            </w:r>
            <w:r w:rsidR="00A247AF" w:rsidRPr="00DE2548">
              <w:rPr>
                <w:sz w:val="22"/>
                <w:szCs w:val="22"/>
              </w:rPr>
              <w:t xml:space="preserve">for Aboriginal and Torres Strait Islander peoples than non-Indigenous Australians. </w:t>
            </w:r>
          </w:p>
          <w:p w14:paraId="6315D3D7" w14:textId="6A7CAA96" w:rsidR="00A247AF" w:rsidRPr="00DE2548" w:rsidRDefault="00135DE7" w:rsidP="0074228D">
            <w:pPr>
              <w:spacing w:after="120"/>
              <w:rPr>
                <w:sz w:val="22"/>
                <w:szCs w:val="22"/>
              </w:rPr>
            </w:pPr>
            <w:r w:rsidRPr="00DE2548">
              <w:rPr>
                <w:sz w:val="22"/>
                <w:szCs w:val="22"/>
              </w:rPr>
              <w:t xml:space="preserve">Almost half (45%) of Aboriginal and Torres Strait Islander peoples aged 15 years and over live with one or more disabilities or restrictive long-term health conditions, according to the Wiyi Yani U Thangani (Women's Voices) Report (2020). The report further states that across all age groups, Aboriginal and Torres Strait Islander peoples experience higher rates of disability than </w:t>
            </w:r>
            <w:r w:rsidR="003B7AAA" w:rsidRPr="00DE2548">
              <w:rPr>
                <w:sz w:val="22"/>
                <w:szCs w:val="22"/>
              </w:rPr>
              <w:br/>
            </w:r>
            <w:r w:rsidRPr="00DE2548">
              <w:rPr>
                <w:sz w:val="22"/>
                <w:szCs w:val="22"/>
              </w:rPr>
              <w:t xml:space="preserve">non-Indigenous people. For Aboriginal and Torres Strait Islander peoples, the rate of co-occurring disabilities is 2.5 disability types per person. This means every person experiencing one disability type will most likely be living with an additional one or two other types of disability. </w:t>
            </w:r>
          </w:p>
          <w:p w14:paraId="00A869D6" w14:textId="6186B5F7" w:rsidR="00135DE7" w:rsidRPr="00DE2548" w:rsidRDefault="00135DE7" w:rsidP="0074228D">
            <w:pPr>
              <w:spacing w:after="120"/>
              <w:rPr>
                <w:sz w:val="22"/>
                <w:szCs w:val="22"/>
              </w:rPr>
            </w:pPr>
            <w:r w:rsidRPr="00DE2548">
              <w:rPr>
                <w:sz w:val="22"/>
                <w:szCs w:val="22"/>
              </w:rPr>
              <w:t>Additionally, rates of mental and psychological distress occur at five times the rate for Aboriginal and Torres Strait Islander peoples with disability compared to other Aboriginal and Torres Strait Islander peoples. DSS could consider NESM specialist license arrangements for priority cohorts</w:t>
            </w:r>
            <w:r w:rsidR="00A247AF" w:rsidRPr="00DE2548">
              <w:rPr>
                <w:sz w:val="22"/>
                <w:szCs w:val="22"/>
              </w:rPr>
              <w:t xml:space="preserve">, </w:t>
            </w:r>
            <w:r w:rsidRPr="00DE2548">
              <w:rPr>
                <w:sz w:val="22"/>
                <w:szCs w:val="22"/>
              </w:rPr>
              <w:t xml:space="preserve">including </w:t>
            </w:r>
            <w:r w:rsidR="00A247AF" w:rsidRPr="00DE2548">
              <w:rPr>
                <w:sz w:val="22"/>
                <w:szCs w:val="22"/>
              </w:rPr>
              <w:t xml:space="preserve">Aboriginal and Torres Strait Islander peoples </w:t>
            </w:r>
            <w:r w:rsidRPr="00DE2548">
              <w:rPr>
                <w:sz w:val="22"/>
                <w:szCs w:val="22"/>
              </w:rPr>
              <w:t>and ex-offenders.</w:t>
            </w:r>
          </w:p>
          <w:p w14:paraId="57F0EA5E" w14:textId="684850B4" w:rsidR="00135DE7" w:rsidRPr="00DE2548" w:rsidRDefault="00D43FE5" w:rsidP="0074228D">
            <w:pPr>
              <w:spacing w:after="120"/>
              <w:rPr>
                <w:b/>
                <w:bCs/>
                <w:sz w:val="22"/>
                <w:szCs w:val="22"/>
              </w:rPr>
            </w:pPr>
            <w:r w:rsidRPr="00DE2548">
              <w:rPr>
                <w:b/>
                <w:bCs/>
                <w:sz w:val="22"/>
                <w:szCs w:val="22"/>
              </w:rPr>
              <w:br/>
            </w:r>
            <w:r w:rsidR="00135DE7" w:rsidRPr="00DE2548">
              <w:rPr>
                <w:b/>
                <w:bCs/>
                <w:sz w:val="22"/>
                <w:szCs w:val="22"/>
              </w:rPr>
              <w:t xml:space="preserve">2.1. How can the assessment process be improved to connect people with </w:t>
            </w:r>
            <w:r w:rsidR="005669FD" w:rsidRPr="00DE2548">
              <w:rPr>
                <w:b/>
                <w:bCs/>
                <w:sz w:val="22"/>
                <w:szCs w:val="22"/>
              </w:rPr>
              <w:t>disability to</w:t>
            </w:r>
            <w:r w:rsidR="00135DE7" w:rsidRPr="00DE2548">
              <w:rPr>
                <w:b/>
                <w:bCs/>
                <w:sz w:val="22"/>
                <w:szCs w:val="22"/>
              </w:rPr>
              <w:t xml:space="preserve"> the right employment services?</w:t>
            </w:r>
          </w:p>
          <w:p w14:paraId="04AE59B8" w14:textId="0A5B2C8F" w:rsidR="00A8470E" w:rsidRPr="00DE2548" w:rsidRDefault="003B7AAA" w:rsidP="0074228D">
            <w:pPr>
              <w:spacing w:after="120"/>
              <w:rPr>
                <w:sz w:val="22"/>
                <w:szCs w:val="22"/>
              </w:rPr>
            </w:pPr>
            <w:r w:rsidRPr="00DE2548">
              <w:rPr>
                <w:sz w:val="22"/>
                <w:szCs w:val="22"/>
              </w:rPr>
              <w:t xml:space="preserve">NIAA </w:t>
            </w:r>
            <w:r w:rsidR="00135DE7" w:rsidRPr="00DE2548">
              <w:rPr>
                <w:sz w:val="22"/>
                <w:szCs w:val="22"/>
              </w:rPr>
              <w:t>suggest</w:t>
            </w:r>
            <w:r w:rsidRPr="00DE2548">
              <w:rPr>
                <w:sz w:val="22"/>
                <w:szCs w:val="22"/>
              </w:rPr>
              <w:t>s</w:t>
            </w:r>
            <w:r w:rsidR="00135DE7" w:rsidRPr="00DE2548">
              <w:rPr>
                <w:sz w:val="22"/>
                <w:szCs w:val="22"/>
              </w:rPr>
              <w:t xml:space="preserve"> reviewing the assessment tools and providing additional, targeted training to assessors to ensure that they are culturally appropriate, sensitive and can effectively assess the needs of those people with disability from Aboriginal and Torres Strait Islander backgrounds. </w:t>
            </w:r>
          </w:p>
          <w:p w14:paraId="505BF7C2" w14:textId="60F4FEE0" w:rsidR="00135DE7" w:rsidRPr="00DE2548" w:rsidRDefault="00135DE7" w:rsidP="0074228D">
            <w:pPr>
              <w:spacing w:after="120"/>
              <w:rPr>
                <w:sz w:val="22"/>
                <w:szCs w:val="22"/>
              </w:rPr>
            </w:pPr>
            <w:r w:rsidRPr="00DE2548">
              <w:rPr>
                <w:sz w:val="22"/>
                <w:szCs w:val="22"/>
              </w:rPr>
              <w:t xml:space="preserve">Note: DESE </w:t>
            </w:r>
            <w:r w:rsidR="00A8470E" w:rsidRPr="00DE2548">
              <w:rPr>
                <w:sz w:val="22"/>
                <w:szCs w:val="22"/>
              </w:rPr>
              <w:t xml:space="preserve">is </w:t>
            </w:r>
            <w:r w:rsidRPr="00DE2548">
              <w:rPr>
                <w:sz w:val="22"/>
                <w:szCs w:val="22"/>
              </w:rPr>
              <w:t>exploring options for online cultural competency training for employment service providers and employers. If this program progresses, there could be opportunity to extend to DES providers and</w:t>
            </w:r>
            <w:r w:rsidR="00A8470E" w:rsidRPr="00DE2548">
              <w:rPr>
                <w:sz w:val="22"/>
                <w:szCs w:val="22"/>
              </w:rPr>
              <w:t xml:space="preserve"> employers of DES participants]</w:t>
            </w:r>
          </w:p>
          <w:p w14:paraId="2752022C" w14:textId="59969FB5" w:rsidR="00D43FE5" w:rsidRPr="00DE2548" w:rsidRDefault="00D43FE5" w:rsidP="0074228D">
            <w:pPr>
              <w:spacing w:after="120"/>
              <w:rPr>
                <w:b/>
                <w:bCs/>
                <w:sz w:val="22"/>
                <w:szCs w:val="22"/>
              </w:rPr>
            </w:pPr>
          </w:p>
          <w:p w14:paraId="733CAA16" w14:textId="2E38B2F8" w:rsidR="00135DE7" w:rsidRPr="00DE2548" w:rsidRDefault="00135DE7" w:rsidP="0074228D">
            <w:pPr>
              <w:spacing w:after="120"/>
              <w:rPr>
                <w:b/>
                <w:bCs/>
                <w:sz w:val="22"/>
                <w:szCs w:val="22"/>
              </w:rPr>
            </w:pPr>
            <w:r w:rsidRPr="00DE2548">
              <w:rPr>
                <w:b/>
                <w:bCs/>
                <w:sz w:val="22"/>
                <w:szCs w:val="22"/>
              </w:rPr>
              <w:t>3.2. What type of services and support would best help a person with disability find and keep a suitable job, and progress their career? Who should provide this support?</w:t>
            </w:r>
          </w:p>
          <w:p w14:paraId="297184F3" w14:textId="4181435C" w:rsidR="00B25FF1" w:rsidRPr="00DE2548" w:rsidRDefault="00B25FF1" w:rsidP="00B25FF1">
            <w:pPr>
              <w:spacing w:after="120"/>
              <w:rPr>
                <w:b/>
                <w:bCs/>
                <w:sz w:val="22"/>
                <w:szCs w:val="22"/>
              </w:rPr>
            </w:pPr>
            <w:r w:rsidRPr="00DE2548">
              <w:rPr>
                <w:bCs/>
                <w:sz w:val="22"/>
                <w:szCs w:val="22"/>
              </w:rPr>
              <w:lastRenderedPageBreak/>
              <w:t xml:space="preserve">This question </w:t>
            </w:r>
            <w:r w:rsidRPr="00DE2548">
              <w:rPr>
                <w:sz w:val="22"/>
                <w:szCs w:val="22"/>
              </w:rPr>
              <w:t xml:space="preserve">notes that ‘appropriate job matching and culture fit are linked to participants achieving long-term employment outcomes’.  The consultation paper could highlight that a culturally appropriate workplace is particularly important for Indigenous Australians. </w:t>
            </w:r>
          </w:p>
          <w:p w14:paraId="750D1678" w14:textId="67395320" w:rsidR="00A8470E" w:rsidRPr="00DE2548" w:rsidRDefault="00135DE7" w:rsidP="0074228D">
            <w:pPr>
              <w:spacing w:after="120"/>
              <w:rPr>
                <w:sz w:val="22"/>
                <w:szCs w:val="22"/>
              </w:rPr>
            </w:pPr>
            <w:r w:rsidRPr="00DE2548">
              <w:rPr>
                <w:sz w:val="22"/>
                <w:szCs w:val="22"/>
              </w:rPr>
              <w:t>Support currently available under DES does not take into account broader/additional barriers and issues experienced by some job-seekers with access to other services and support required to achieve sustainable employment outcomes</w:t>
            </w:r>
            <w:r w:rsidR="00A8470E" w:rsidRPr="00DE2548">
              <w:rPr>
                <w:sz w:val="22"/>
                <w:szCs w:val="22"/>
              </w:rPr>
              <w:t xml:space="preserve">. </w:t>
            </w:r>
          </w:p>
          <w:p w14:paraId="37A90103" w14:textId="6394213C" w:rsidR="002272BD" w:rsidRPr="00DE2548" w:rsidRDefault="00135DE7" w:rsidP="00A8470E">
            <w:pPr>
              <w:rPr>
                <w:b/>
                <w:bCs/>
                <w:sz w:val="22"/>
                <w:szCs w:val="22"/>
              </w:rPr>
            </w:pPr>
            <w:r w:rsidRPr="00DE2548">
              <w:rPr>
                <w:sz w:val="22"/>
                <w:szCs w:val="22"/>
              </w:rPr>
              <w:t xml:space="preserve">DSS </w:t>
            </w:r>
            <w:r w:rsidR="00A8470E" w:rsidRPr="00DE2548">
              <w:rPr>
                <w:sz w:val="22"/>
                <w:szCs w:val="22"/>
              </w:rPr>
              <w:t>is encouraged to i</w:t>
            </w:r>
            <w:r w:rsidRPr="00DE2548">
              <w:rPr>
                <w:sz w:val="22"/>
                <w:szCs w:val="22"/>
              </w:rPr>
              <w:t>nclude in DES intensive case management</w:t>
            </w:r>
            <w:r w:rsidR="00A8470E" w:rsidRPr="00DE2548">
              <w:rPr>
                <w:sz w:val="22"/>
                <w:szCs w:val="22"/>
              </w:rPr>
              <w:t>, strong</w:t>
            </w:r>
            <w:r w:rsidRPr="00DE2548">
              <w:rPr>
                <w:sz w:val="22"/>
                <w:szCs w:val="22"/>
              </w:rPr>
              <w:t xml:space="preserve"> support for target groups</w:t>
            </w:r>
            <w:r w:rsidR="00A8470E" w:rsidRPr="00DE2548">
              <w:rPr>
                <w:sz w:val="22"/>
                <w:szCs w:val="22"/>
              </w:rPr>
              <w:t xml:space="preserve">, including Aboriginal and Torres Strait Islander </w:t>
            </w:r>
            <w:r w:rsidRPr="00DE2548">
              <w:rPr>
                <w:sz w:val="22"/>
                <w:szCs w:val="22"/>
              </w:rPr>
              <w:t>job-seekers w</w:t>
            </w:r>
            <w:r w:rsidR="00A8470E" w:rsidRPr="00DE2548">
              <w:rPr>
                <w:sz w:val="22"/>
                <w:szCs w:val="22"/>
              </w:rPr>
              <w:t xml:space="preserve">ith disability &amp; complex needs </w:t>
            </w:r>
            <w:r w:rsidRPr="00DE2548">
              <w:rPr>
                <w:sz w:val="22"/>
                <w:szCs w:val="22"/>
              </w:rPr>
              <w:t>to ad</w:t>
            </w:r>
            <w:r w:rsidR="00A8470E" w:rsidRPr="00DE2548">
              <w:rPr>
                <w:sz w:val="22"/>
                <w:szCs w:val="22"/>
              </w:rPr>
              <w:t>dress barriers and challenges. Hurdles exist for</w:t>
            </w:r>
            <w:r w:rsidR="00DB6066" w:rsidRPr="00DE2548">
              <w:rPr>
                <w:sz w:val="22"/>
                <w:szCs w:val="22"/>
              </w:rPr>
              <w:t xml:space="preserve"> </w:t>
            </w:r>
            <w:r w:rsidR="00A8470E" w:rsidRPr="00DE2548">
              <w:rPr>
                <w:sz w:val="22"/>
                <w:szCs w:val="22"/>
              </w:rPr>
              <w:t xml:space="preserve">those with </w:t>
            </w:r>
            <w:r w:rsidRPr="00DE2548">
              <w:rPr>
                <w:sz w:val="22"/>
                <w:szCs w:val="22"/>
              </w:rPr>
              <w:t xml:space="preserve">multiple and complex needs </w:t>
            </w:r>
            <w:r w:rsidR="00A8470E" w:rsidRPr="00DE2548">
              <w:rPr>
                <w:sz w:val="22"/>
                <w:szCs w:val="22"/>
              </w:rPr>
              <w:t xml:space="preserve">who </w:t>
            </w:r>
            <w:r w:rsidRPr="00DE2548">
              <w:rPr>
                <w:sz w:val="22"/>
                <w:szCs w:val="22"/>
              </w:rPr>
              <w:t xml:space="preserve">require intensive assistance with navigating welfare systems such as housing, health and other systems to achieve effective and sustainable employment outcomes. </w:t>
            </w:r>
            <w:r w:rsidR="00A8470E" w:rsidRPr="00DE2548">
              <w:rPr>
                <w:sz w:val="22"/>
                <w:szCs w:val="22"/>
              </w:rPr>
              <w:t xml:space="preserve"> </w:t>
            </w:r>
            <w:r w:rsidRPr="00DE2548">
              <w:rPr>
                <w:sz w:val="22"/>
                <w:szCs w:val="22"/>
              </w:rPr>
              <w:t>Support should also include long-term mentoring (beyond 26 weeks and by appropriately trained mentors) to best support sustainable employment outcomes.</w:t>
            </w:r>
            <w:r w:rsidR="002272BD" w:rsidRPr="00DE2548">
              <w:rPr>
                <w:sz w:val="22"/>
                <w:szCs w:val="22"/>
              </w:rPr>
              <w:br/>
            </w:r>
          </w:p>
          <w:p w14:paraId="777B6B62" w14:textId="3847E671" w:rsidR="00DC3809" w:rsidRPr="00DE2548" w:rsidRDefault="00B25FF1" w:rsidP="0074228D">
            <w:pPr>
              <w:spacing w:after="120"/>
              <w:rPr>
                <w:b/>
                <w:bCs/>
                <w:sz w:val="22"/>
                <w:szCs w:val="22"/>
              </w:rPr>
            </w:pPr>
            <w:r w:rsidRPr="00DE2548">
              <w:rPr>
                <w:bCs/>
                <w:sz w:val="22"/>
                <w:szCs w:val="22"/>
              </w:rPr>
              <w:t xml:space="preserve">NIAA’s </w:t>
            </w:r>
            <w:r w:rsidR="00DC3809" w:rsidRPr="00DE2548">
              <w:rPr>
                <w:sz w:val="22"/>
                <w:szCs w:val="22"/>
              </w:rPr>
              <w:t xml:space="preserve">Remote Employment Programs &amp; Implementation Branch (responsible for the Community Development Program (CDP)) </w:t>
            </w:r>
            <w:r w:rsidRPr="00DE2548">
              <w:rPr>
                <w:sz w:val="22"/>
                <w:szCs w:val="22"/>
              </w:rPr>
              <w:t xml:space="preserve">is </w:t>
            </w:r>
            <w:r w:rsidR="00DC3809" w:rsidRPr="00DE2548">
              <w:rPr>
                <w:sz w:val="22"/>
                <w:szCs w:val="22"/>
              </w:rPr>
              <w:t>interested in seeing the results of the consultation p</w:t>
            </w:r>
            <w:r w:rsidRPr="00DE2548">
              <w:rPr>
                <w:sz w:val="22"/>
                <w:szCs w:val="22"/>
              </w:rPr>
              <w:t xml:space="preserve">rocess, as information gathered </w:t>
            </w:r>
            <w:r w:rsidR="00DC3809" w:rsidRPr="00DE2548">
              <w:rPr>
                <w:sz w:val="22"/>
                <w:szCs w:val="22"/>
              </w:rPr>
              <w:t xml:space="preserve">will likely be relevant to CDP (and the new Remote Engagement Program) and services provided to job seekers with </w:t>
            </w:r>
            <w:r w:rsidRPr="00DE2548">
              <w:rPr>
                <w:sz w:val="22"/>
                <w:szCs w:val="22"/>
              </w:rPr>
              <w:t>disability in remote Australia.</w:t>
            </w:r>
          </w:p>
          <w:p w14:paraId="72970680" w14:textId="46B8B949" w:rsidR="00135DE7" w:rsidRPr="00DE2548" w:rsidRDefault="00135DE7" w:rsidP="0074228D">
            <w:pPr>
              <w:spacing w:after="120"/>
              <w:rPr>
                <w:b/>
                <w:bCs/>
                <w:sz w:val="22"/>
                <w:szCs w:val="22"/>
              </w:rPr>
            </w:pPr>
            <w:r w:rsidRPr="00DE2548">
              <w:rPr>
                <w:b/>
                <w:bCs/>
                <w:sz w:val="22"/>
                <w:szCs w:val="22"/>
              </w:rPr>
              <w:t xml:space="preserve">4.2 Should there be assistance to prepare young people to think about work much earlier than after they leave school? </w:t>
            </w:r>
          </w:p>
          <w:p w14:paraId="26E13FA2" w14:textId="56857A96" w:rsidR="00135DE7" w:rsidRPr="00DE2548" w:rsidRDefault="00135DE7" w:rsidP="0074228D">
            <w:pPr>
              <w:spacing w:after="120"/>
              <w:rPr>
                <w:b/>
                <w:bCs/>
                <w:sz w:val="22"/>
                <w:szCs w:val="22"/>
              </w:rPr>
            </w:pPr>
            <w:r w:rsidRPr="00DE2548">
              <w:rPr>
                <w:sz w:val="22"/>
                <w:szCs w:val="22"/>
              </w:rPr>
              <w:t>The recent evaluation of the NIAA funded TAEG-School Based Traineeships Program found that working with student trainees to provide work experience, qualifications, life skills and mentoring gave them an advantage in competing for employment (</w:t>
            </w:r>
            <w:hyperlink r:id="rId5" w:history="1">
              <w:r w:rsidRPr="00DE2548">
                <w:rPr>
                  <w:rStyle w:val="Hyperlink"/>
                  <w:color w:val="auto"/>
                  <w:sz w:val="22"/>
                  <w:szCs w:val="22"/>
                </w:rPr>
                <w:t>Evaluation of the TAEG-School Based Traineeships Program 2016-19 Final Report (niaa.gov.au)</w:t>
              </w:r>
            </w:hyperlink>
            <w:r w:rsidRPr="00DE2548">
              <w:rPr>
                <w:sz w:val="22"/>
                <w:szCs w:val="22"/>
              </w:rPr>
              <w:t xml:space="preserve">). </w:t>
            </w:r>
            <w:r w:rsidR="00A8470E" w:rsidRPr="00DE2548">
              <w:rPr>
                <w:sz w:val="22"/>
                <w:szCs w:val="22"/>
              </w:rPr>
              <w:t xml:space="preserve">NIAA </w:t>
            </w:r>
            <w:r w:rsidRPr="00DE2548">
              <w:rPr>
                <w:sz w:val="22"/>
                <w:szCs w:val="22"/>
              </w:rPr>
              <w:t>would encourage DSS to provide assistance (including mentoring, career advice, and targeted training) through DES for students with a disability.</w:t>
            </w:r>
          </w:p>
          <w:p w14:paraId="2A52E951" w14:textId="77777777" w:rsidR="00135DE7" w:rsidRPr="00DE2548" w:rsidRDefault="00135DE7" w:rsidP="0074228D">
            <w:pPr>
              <w:pStyle w:val="Default"/>
              <w:rPr>
                <w:rFonts w:asciiTheme="minorHAnsi" w:hAnsiTheme="minorHAnsi"/>
                <w:color w:val="auto"/>
                <w:sz w:val="22"/>
                <w:szCs w:val="22"/>
              </w:rPr>
            </w:pPr>
          </w:p>
          <w:p w14:paraId="49CD9C7F" w14:textId="77777777" w:rsidR="00135DE7" w:rsidRPr="00DE2548" w:rsidRDefault="00135DE7" w:rsidP="0074228D">
            <w:pPr>
              <w:spacing w:after="120"/>
              <w:rPr>
                <w:b/>
                <w:bCs/>
                <w:sz w:val="22"/>
                <w:szCs w:val="22"/>
              </w:rPr>
            </w:pPr>
            <w:r w:rsidRPr="00DE2548">
              <w:rPr>
                <w:b/>
                <w:bCs/>
                <w:sz w:val="22"/>
                <w:szCs w:val="22"/>
              </w:rPr>
              <w:t xml:space="preserve">5.1 What are the most important things that can be done to build an employer’s confidence to employ a person with disability? </w:t>
            </w:r>
          </w:p>
          <w:p w14:paraId="3CF07599" w14:textId="44178E91" w:rsidR="00DB6066" w:rsidRPr="00DE2548" w:rsidRDefault="00135DE7" w:rsidP="0074228D">
            <w:pPr>
              <w:spacing w:after="120"/>
              <w:rPr>
                <w:sz w:val="22"/>
                <w:szCs w:val="22"/>
              </w:rPr>
            </w:pPr>
            <w:r w:rsidRPr="00DE2548">
              <w:rPr>
                <w:sz w:val="22"/>
                <w:szCs w:val="22"/>
              </w:rPr>
              <w:t xml:space="preserve">Ensuring culturally safe workplaces are critical to the recruitment, retention and promotion of </w:t>
            </w:r>
            <w:r w:rsidR="00DB6066" w:rsidRPr="00DE2548">
              <w:rPr>
                <w:sz w:val="22"/>
                <w:szCs w:val="22"/>
              </w:rPr>
              <w:t xml:space="preserve">Aboriginal and Torres Strait Islander </w:t>
            </w:r>
            <w:r w:rsidRPr="00DE2548">
              <w:rPr>
                <w:sz w:val="22"/>
                <w:szCs w:val="22"/>
              </w:rPr>
              <w:t xml:space="preserve">jobseekers, including those with a disability. </w:t>
            </w:r>
          </w:p>
          <w:p w14:paraId="6FF98655" w14:textId="34994AB3" w:rsidR="00135DE7" w:rsidRPr="00DE2548" w:rsidRDefault="00135DE7" w:rsidP="0074228D">
            <w:pPr>
              <w:spacing w:after="120"/>
              <w:rPr>
                <w:sz w:val="22"/>
                <w:szCs w:val="22"/>
              </w:rPr>
            </w:pPr>
            <w:r w:rsidRPr="00DE2548">
              <w:rPr>
                <w:sz w:val="22"/>
                <w:szCs w:val="22"/>
              </w:rPr>
              <w:t>NIAA encourage</w:t>
            </w:r>
            <w:r w:rsidR="00DB6066" w:rsidRPr="00DE2548">
              <w:rPr>
                <w:sz w:val="22"/>
                <w:szCs w:val="22"/>
              </w:rPr>
              <w:t>s</w:t>
            </w:r>
            <w:r w:rsidRPr="00DE2548">
              <w:rPr>
                <w:sz w:val="22"/>
                <w:szCs w:val="22"/>
              </w:rPr>
              <w:t xml:space="preserve"> DSS to work with service providers and commitments from DES-supported workplaces to ensure they are culturally safe</w:t>
            </w:r>
            <w:r w:rsidR="00DB6066" w:rsidRPr="00DE2548">
              <w:rPr>
                <w:sz w:val="22"/>
                <w:szCs w:val="22"/>
              </w:rPr>
              <w:t xml:space="preserve"> and culturally appropriate. </w:t>
            </w:r>
            <w:r w:rsidRPr="00DE2548">
              <w:rPr>
                <w:sz w:val="22"/>
                <w:szCs w:val="22"/>
              </w:rPr>
              <w:t xml:space="preserve">This should include the opportunity for </w:t>
            </w:r>
            <w:r w:rsidR="00DB6066" w:rsidRPr="00DE2548">
              <w:rPr>
                <w:sz w:val="22"/>
                <w:szCs w:val="22"/>
              </w:rPr>
              <w:t xml:space="preserve">Aboriginal and Torres Strait Islander peoples </w:t>
            </w:r>
            <w:r w:rsidRPr="00DE2548">
              <w:rPr>
                <w:sz w:val="22"/>
                <w:szCs w:val="22"/>
              </w:rPr>
              <w:t xml:space="preserve">to participate in </w:t>
            </w:r>
            <w:r w:rsidR="00DB6066" w:rsidRPr="00DE2548">
              <w:rPr>
                <w:sz w:val="22"/>
                <w:szCs w:val="22"/>
              </w:rPr>
              <w:t xml:space="preserve">the </w:t>
            </w:r>
            <w:r w:rsidRPr="00DE2548">
              <w:rPr>
                <w:sz w:val="22"/>
                <w:szCs w:val="22"/>
              </w:rPr>
              <w:t>co-</w:t>
            </w:r>
            <w:r w:rsidR="00340D28" w:rsidRPr="00DE2548">
              <w:rPr>
                <w:sz w:val="22"/>
                <w:szCs w:val="22"/>
              </w:rPr>
              <w:t xml:space="preserve">design </w:t>
            </w:r>
            <w:r w:rsidR="00DB6066" w:rsidRPr="00DE2548">
              <w:rPr>
                <w:sz w:val="22"/>
                <w:szCs w:val="22"/>
              </w:rPr>
              <w:t>and</w:t>
            </w:r>
            <w:r w:rsidRPr="00DE2548">
              <w:rPr>
                <w:sz w:val="22"/>
                <w:szCs w:val="22"/>
              </w:rPr>
              <w:t xml:space="preserve"> development of any support. </w:t>
            </w:r>
          </w:p>
          <w:p w14:paraId="6D848B11" w14:textId="7771CA78" w:rsidR="00DB6066" w:rsidRPr="00DE2548" w:rsidRDefault="002272BD" w:rsidP="00DB6066">
            <w:pPr>
              <w:spacing w:before="240"/>
              <w:rPr>
                <w:sz w:val="22"/>
                <w:szCs w:val="22"/>
              </w:rPr>
            </w:pPr>
            <w:r w:rsidRPr="00DE2548">
              <w:rPr>
                <w:sz w:val="22"/>
                <w:szCs w:val="22"/>
              </w:rPr>
              <w:t xml:space="preserve">NIAA </w:t>
            </w:r>
            <w:r w:rsidR="00DB6066" w:rsidRPr="00DE2548">
              <w:rPr>
                <w:sz w:val="22"/>
                <w:szCs w:val="22"/>
              </w:rPr>
              <w:t xml:space="preserve">reinforces the need for employment strategies to </w:t>
            </w:r>
            <w:r w:rsidRPr="00DE2548">
              <w:rPr>
                <w:sz w:val="22"/>
                <w:szCs w:val="22"/>
              </w:rPr>
              <w:t>be culturally aware, respectful and effective at supporting Aboriginal and Torres Strait Islander peoples and provide access to a service safe from discrimination.</w:t>
            </w:r>
            <w:r w:rsidR="00DB6066" w:rsidRPr="00DE2548">
              <w:rPr>
                <w:sz w:val="22"/>
                <w:szCs w:val="22"/>
              </w:rPr>
              <w:t xml:space="preserve">  A culturally safe environment is created when Aboriginal and Torres Strait Islander peoples’ experiences are believed and validated, their cultures are centred and valued in service decisions and delivery, they feel welcomed and they do not experience any f</w:t>
            </w:r>
            <w:r w:rsidR="000D355C" w:rsidRPr="00DE2548">
              <w:rPr>
                <w:sz w:val="22"/>
                <w:szCs w:val="22"/>
              </w:rPr>
              <w:t>orm of racism.</w:t>
            </w:r>
          </w:p>
          <w:p w14:paraId="0D8D1C3B" w14:textId="0FDA64D7" w:rsidR="002272BD" w:rsidRPr="00DE2548" w:rsidRDefault="000D355C" w:rsidP="00DB6066">
            <w:pPr>
              <w:spacing w:before="240"/>
              <w:rPr>
                <w:sz w:val="22"/>
                <w:szCs w:val="22"/>
              </w:rPr>
            </w:pPr>
            <w:r w:rsidRPr="00DE2548">
              <w:rPr>
                <w:sz w:val="22"/>
                <w:szCs w:val="22"/>
              </w:rPr>
              <w:t>S</w:t>
            </w:r>
            <w:r w:rsidR="002272BD" w:rsidRPr="00DE2548">
              <w:rPr>
                <w:sz w:val="22"/>
                <w:szCs w:val="22"/>
              </w:rPr>
              <w:t xml:space="preserve">ocial and emotional wellbeing (SEWB) is the foundation for physical and mental health for Aboriginal and Torres Strait Islander peoples. Employment support and potential employers should be aware of the impacts of SEWB on successful employment outcomes. </w:t>
            </w:r>
          </w:p>
          <w:p w14:paraId="7980CAFD" w14:textId="56C51BD4" w:rsidR="002272BD" w:rsidRPr="00DE2548" w:rsidRDefault="002272BD" w:rsidP="002272BD">
            <w:pPr>
              <w:pStyle w:val="ListParagraph"/>
              <w:numPr>
                <w:ilvl w:val="0"/>
                <w:numId w:val="1"/>
              </w:numPr>
              <w:spacing w:after="160" w:line="252" w:lineRule="auto"/>
              <w:contextualSpacing/>
              <w:rPr>
                <w:rFonts w:asciiTheme="minorHAnsi" w:hAnsiTheme="minorHAnsi"/>
              </w:rPr>
            </w:pPr>
            <w:r w:rsidRPr="00DE2548">
              <w:rPr>
                <w:rFonts w:asciiTheme="minorHAnsi" w:hAnsiTheme="minorHAnsi"/>
              </w:rPr>
              <w:t>Aboriginal and Torres Strait Islander people</w:t>
            </w:r>
            <w:r w:rsidR="00DB6066" w:rsidRPr="00DE2548">
              <w:rPr>
                <w:rFonts w:asciiTheme="minorHAnsi" w:hAnsiTheme="minorHAnsi"/>
              </w:rPr>
              <w:t>s</w:t>
            </w:r>
            <w:r w:rsidRPr="00DE2548">
              <w:rPr>
                <w:rFonts w:asciiTheme="minorHAnsi" w:hAnsiTheme="minorHAnsi"/>
              </w:rPr>
              <w:t xml:space="preserve"> may experience disability in different ways to other population groups. The efficacy of a support program that does not understand or reflect the cultural needs and differences of the population it is set up to assist may be compromised.</w:t>
            </w:r>
          </w:p>
          <w:p w14:paraId="5CF837A8" w14:textId="4A3EA695" w:rsidR="002272BD" w:rsidRPr="00DE2548" w:rsidRDefault="002272BD" w:rsidP="002272BD">
            <w:pPr>
              <w:pStyle w:val="ListParagraph"/>
              <w:numPr>
                <w:ilvl w:val="0"/>
                <w:numId w:val="1"/>
              </w:numPr>
              <w:spacing w:after="160" w:line="252" w:lineRule="auto"/>
              <w:contextualSpacing/>
              <w:rPr>
                <w:rFonts w:asciiTheme="minorHAnsi" w:hAnsiTheme="minorHAnsi"/>
              </w:rPr>
            </w:pPr>
            <w:r w:rsidRPr="00DE2548">
              <w:rPr>
                <w:rFonts w:asciiTheme="minorHAnsi" w:hAnsiTheme="minorHAnsi"/>
              </w:rPr>
              <w:t>The program would benefit from having an Indigenous-focused team or workforce that can meet the specific needs of Aboriginal and Torres Strait Islander people</w:t>
            </w:r>
            <w:r w:rsidR="000D355C" w:rsidRPr="00DE2548">
              <w:rPr>
                <w:rFonts w:asciiTheme="minorHAnsi" w:hAnsiTheme="minorHAnsi"/>
              </w:rPr>
              <w:t xml:space="preserve">s with </w:t>
            </w:r>
            <w:r w:rsidRPr="00DE2548">
              <w:rPr>
                <w:rFonts w:asciiTheme="minorHAnsi" w:hAnsiTheme="minorHAnsi"/>
              </w:rPr>
              <w:t>disability or mental health concerns</w:t>
            </w:r>
          </w:p>
          <w:p w14:paraId="397C09AA" w14:textId="78A59628" w:rsidR="002272BD" w:rsidRPr="00DE2548" w:rsidRDefault="002272BD" w:rsidP="002272BD">
            <w:pPr>
              <w:rPr>
                <w:sz w:val="22"/>
                <w:szCs w:val="22"/>
              </w:rPr>
            </w:pPr>
            <w:r w:rsidRPr="00DE2548">
              <w:rPr>
                <w:sz w:val="22"/>
                <w:szCs w:val="22"/>
              </w:rPr>
              <w:t xml:space="preserve">Noting the intersection between disability and mental health, </w:t>
            </w:r>
            <w:r w:rsidR="000D355C" w:rsidRPr="00DE2548">
              <w:rPr>
                <w:sz w:val="22"/>
                <w:szCs w:val="22"/>
              </w:rPr>
              <w:t xml:space="preserve">NIAA </w:t>
            </w:r>
            <w:r w:rsidRPr="00DE2548">
              <w:rPr>
                <w:sz w:val="22"/>
                <w:szCs w:val="22"/>
              </w:rPr>
              <w:t>suggest</w:t>
            </w:r>
            <w:r w:rsidR="000D355C" w:rsidRPr="00DE2548">
              <w:rPr>
                <w:sz w:val="22"/>
                <w:szCs w:val="22"/>
              </w:rPr>
              <w:t>s</w:t>
            </w:r>
            <w:r w:rsidRPr="00DE2548">
              <w:rPr>
                <w:sz w:val="22"/>
                <w:szCs w:val="22"/>
              </w:rPr>
              <w:t xml:space="preserve"> that a disability employment program could also act as a touch point to identifying those currently in distress and providing appropriate referrals to mental health support services. </w:t>
            </w:r>
          </w:p>
          <w:p w14:paraId="4C0577E8" w14:textId="77777777" w:rsidR="002272BD" w:rsidRPr="00DE2548" w:rsidRDefault="002272BD" w:rsidP="0074228D">
            <w:pPr>
              <w:spacing w:after="120"/>
              <w:rPr>
                <w:sz w:val="22"/>
                <w:szCs w:val="22"/>
              </w:rPr>
            </w:pPr>
          </w:p>
          <w:p w14:paraId="52A34EAF" w14:textId="77777777" w:rsidR="00135DE7" w:rsidRPr="00DE2548" w:rsidRDefault="00135DE7" w:rsidP="0074228D">
            <w:pPr>
              <w:spacing w:after="120"/>
              <w:rPr>
                <w:b/>
                <w:bCs/>
                <w:sz w:val="22"/>
                <w:szCs w:val="22"/>
              </w:rPr>
            </w:pPr>
            <w:r w:rsidRPr="00DE2548">
              <w:rPr>
                <w:b/>
                <w:bCs/>
                <w:sz w:val="22"/>
                <w:szCs w:val="22"/>
              </w:rPr>
              <w:t>7.1. How could the future funding arrangements ensure services across a continuum of work readiness, placement and retention are tailored to the needs of the participant?</w:t>
            </w:r>
          </w:p>
          <w:p w14:paraId="5E0E6750" w14:textId="2BCD0DBB" w:rsidR="00135DE7" w:rsidRPr="00DE2548" w:rsidRDefault="000D355C" w:rsidP="0074228D">
            <w:pPr>
              <w:spacing w:after="120"/>
              <w:rPr>
                <w:sz w:val="22"/>
                <w:szCs w:val="22"/>
              </w:rPr>
            </w:pPr>
            <w:r w:rsidRPr="00DE2548">
              <w:rPr>
                <w:sz w:val="22"/>
                <w:szCs w:val="22"/>
              </w:rPr>
              <w:t xml:space="preserve">NIAA encourages </w:t>
            </w:r>
            <w:r w:rsidR="00135DE7" w:rsidRPr="00DE2548">
              <w:rPr>
                <w:sz w:val="22"/>
                <w:szCs w:val="22"/>
              </w:rPr>
              <w:t xml:space="preserve">DSS to include special incentives for providers who achieve positive outcomes for those job-seekers with disability who have complex support requirements. The funding model should appropriately recompense those providers who spend that additional time (resulting in increased service costs to providers) with clients (job-seekers) to achieve better outcomes for some of the most vulnerable and disadvantaged cohorts which </w:t>
            </w:r>
            <w:r w:rsidRPr="00DE2548">
              <w:rPr>
                <w:sz w:val="22"/>
                <w:szCs w:val="22"/>
              </w:rPr>
              <w:t xml:space="preserve">often involves Aboriginal and Torres Strait Islander </w:t>
            </w:r>
            <w:r w:rsidR="00135DE7" w:rsidRPr="00DE2548">
              <w:rPr>
                <w:sz w:val="22"/>
                <w:szCs w:val="22"/>
              </w:rPr>
              <w:t>job-seekers with disability</w:t>
            </w:r>
            <w:r w:rsidRPr="00DE2548">
              <w:rPr>
                <w:sz w:val="22"/>
                <w:szCs w:val="22"/>
              </w:rPr>
              <w:t>.</w:t>
            </w:r>
          </w:p>
          <w:p w14:paraId="33FCBCFA" w14:textId="77777777" w:rsidR="004C5A74" w:rsidRPr="00DE2548" w:rsidRDefault="004C5A74" w:rsidP="0074228D">
            <w:pPr>
              <w:spacing w:after="120"/>
              <w:rPr>
                <w:sz w:val="22"/>
                <w:szCs w:val="22"/>
              </w:rPr>
            </w:pPr>
          </w:p>
          <w:p w14:paraId="699E5CCC" w14:textId="77777777" w:rsidR="00135DE7" w:rsidRPr="00DE2548" w:rsidRDefault="00135DE7" w:rsidP="0074228D">
            <w:pPr>
              <w:spacing w:after="120"/>
              <w:rPr>
                <w:b/>
                <w:bCs/>
                <w:sz w:val="22"/>
                <w:szCs w:val="22"/>
              </w:rPr>
            </w:pPr>
            <w:r w:rsidRPr="00DE2548">
              <w:rPr>
                <w:b/>
                <w:bCs/>
                <w:sz w:val="22"/>
                <w:szCs w:val="22"/>
              </w:rPr>
              <w:t>8.1. How should an effective and efficient competitive provider market be structured and how should business be allocated?</w:t>
            </w:r>
          </w:p>
          <w:p w14:paraId="7B5AFE29" w14:textId="6F1082AF" w:rsidR="00135DE7" w:rsidRPr="00DE2548" w:rsidRDefault="00135DE7" w:rsidP="0074228D">
            <w:pPr>
              <w:pStyle w:val="ListParagraph"/>
              <w:spacing w:after="120"/>
              <w:ind w:left="0"/>
              <w:rPr>
                <w:rFonts w:asciiTheme="minorHAnsi" w:hAnsiTheme="minorHAnsi"/>
              </w:rPr>
            </w:pPr>
            <w:r w:rsidRPr="00DE2548">
              <w:rPr>
                <w:rFonts w:asciiTheme="minorHAnsi" w:hAnsiTheme="minorHAnsi"/>
              </w:rPr>
              <w:t xml:space="preserve">It is important that Indigenous organisations are selected as part of the provider market. In addition, mandatory cultural training and cultural competency performance indicators should also be factored into the design of the DES program. </w:t>
            </w:r>
          </w:p>
          <w:p w14:paraId="6772732D" w14:textId="77777777" w:rsidR="00756B34" w:rsidRPr="00DE2548" w:rsidRDefault="00756B34" w:rsidP="0074228D">
            <w:pPr>
              <w:pStyle w:val="ListParagraph"/>
              <w:spacing w:after="120"/>
              <w:ind w:left="0"/>
              <w:rPr>
                <w:rFonts w:asciiTheme="minorHAnsi" w:hAnsiTheme="minorHAnsi"/>
              </w:rPr>
            </w:pPr>
          </w:p>
          <w:p w14:paraId="6CD554FE" w14:textId="5AC5DEC1" w:rsidR="00135DE7" w:rsidRPr="00DE2548" w:rsidRDefault="00135DE7" w:rsidP="0074228D">
            <w:pPr>
              <w:spacing w:after="120"/>
              <w:rPr>
                <w:b/>
                <w:bCs/>
                <w:sz w:val="22"/>
                <w:szCs w:val="22"/>
              </w:rPr>
            </w:pPr>
            <w:r w:rsidRPr="00DE2548">
              <w:rPr>
                <w:b/>
                <w:bCs/>
                <w:sz w:val="22"/>
                <w:szCs w:val="22"/>
              </w:rPr>
              <w:t>8.6. Is there a market need for specialist providers (disability/industry/age cohorts)</w:t>
            </w:r>
            <w:r w:rsidR="00756B34" w:rsidRPr="00DE2548">
              <w:rPr>
                <w:b/>
                <w:bCs/>
                <w:sz w:val="22"/>
                <w:szCs w:val="22"/>
              </w:rPr>
              <w:t xml:space="preserve"> </w:t>
            </w:r>
            <w:r w:rsidRPr="00DE2548">
              <w:rPr>
                <w:b/>
                <w:bCs/>
                <w:sz w:val="22"/>
                <w:szCs w:val="22"/>
              </w:rPr>
              <w:t>that would increase employment opportunities?</w:t>
            </w:r>
          </w:p>
          <w:p w14:paraId="4F2A75E8" w14:textId="49370BF7" w:rsidR="00135DE7" w:rsidRPr="00DE2548" w:rsidRDefault="00135DE7" w:rsidP="0074228D">
            <w:pPr>
              <w:pStyle w:val="ListParagraph"/>
              <w:spacing w:after="120"/>
              <w:ind w:left="0"/>
              <w:rPr>
                <w:rFonts w:asciiTheme="minorHAnsi" w:hAnsiTheme="minorHAnsi"/>
              </w:rPr>
            </w:pPr>
            <w:r w:rsidRPr="00DE2548">
              <w:rPr>
                <w:rFonts w:asciiTheme="minorHAnsi" w:hAnsiTheme="minorHAnsi"/>
              </w:rPr>
              <w:t xml:space="preserve">It is important that </w:t>
            </w:r>
            <w:r w:rsidR="000D355C" w:rsidRPr="00DE2548">
              <w:rPr>
                <w:rFonts w:asciiTheme="minorHAnsi" w:hAnsiTheme="minorHAnsi"/>
              </w:rPr>
              <w:t xml:space="preserve">Aboriginal and Torres Strait Islander </w:t>
            </w:r>
            <w:r w:rsidRPr="00DE2548">
              <w:rPr>
                <w:rFonts w:asciiTheme="minorHAnsi" w:hAnsiTheme="minorHAnsi"/>
              </w:rPr>
              <w:t xml:space="preserve">organisations are selected as part of the provider market/panel of providers (and that the IPP is applied). </w:t>
            </w:r>
            <w:r w:rsidR="000D355C" w:rsidRPr="00DE2548">
              <w:rPr>
                <w:rFonts w:asciiTheme="minorHAnsi" w:hAnsiTheme="minorHAnsi"/>
              </w:rPr>
              <w:t xml:space="preserve"> We know that Aboriginal and Torres Strait Islander </w:t>
            </w:r>
            <w:r w:rsidRPr="00DE2548">
              <w:rPr>
                <w:rFonts w:asciiTheme="minorHAnsi" w:hAnsiTheme="minorHAnsi"/>
              </w:rPr>
              <w:t>people</w:t>
            </w:r>
            <w:r w:rsidR="000D355C" w:rsidRPr="00DE2548">
              <w:rPr>
                <w:rFonts w:asciiTheme="minorHAnsi" w:hAnsiTheme="minorHAnsi"/>
              </w:rPr>
              <w:t>s</w:t>
            </w:r>
            <w:r w:rsidRPr="00DE2548">
              <w:rPr>
                <w:rFonts w:asciiTheme="minorHAnsi" w:hAnsiTheme="minorHAnsi"/>
              </w:rPr>
              <w:t xml:space="preserve"> prefer to be serviced by Indigenous organisations wh</w:t>
            </w:r>
            <w:r w:rsidR="000D355C" w:rsidRPr="00DE2548">
              <w:rPr>
                <w:rFonts w:asciiTheme="minorHAnsi" w:hAnsiTheme="minorHAnsi"/>
              </w:rPr>
              <w:t xml:space="preserve">ich </w:t>
            </w:r>
            <w:r w:rsidRPr="00DE2548">
              <w:rPr>
                <w:rFonts w:asciiTheme="minorHAnsi" w:hAnsiTheme="minorHAnsi"/>
              </w:rPr>
              <w:t xml:space="preserve">in turn are more likely to employ </w:t>
            </w:r>
            <w:r w:rsidR="000D355C" w:rsidRPr="00DE2548">
              <w:rPr>
                <w:rFonts w:asciiTheme="minorHAnsi" w:hAnsiTheme="minorHAnsi"/>
              </w:rPr>
              <w:t xml:space="preserve">Aboriginal and Torres Strait Islander staff. </w:t>
            </w:r>
            <w:r w:rsidRPr="00DE2548">
              <w:rPr>
                <w:rFonts w:asciiTheme="minorHAnsi" w:hAnsiTheme="minorHAnsi"/>
              </w:rPr>
              <w:t xml:space="preserve">  </w:t>
            </w:r>
          </w:p>
          <w:p w14:paraId="6073EFDD" w14:textId="77777777" w:rsidR="00756B34" w:rsidRPr="00DE2548" w:rsidRDefault="00756B34" w:rsidP="0074228D">
            <w:pPr>
              <w:pStyle w:val="ListParagraph"/>
              <w:spacing w:after="120"/>
              <w:ind w:left="0"/>
              <w:rPr>
                <w:rFonts w:asciiTheme="minorHAnsi" w:hAnsiTheme="minorHAnsi"/>
              </w:rPr>
            </w:pPr>
          </w:p>
          <w:p w14:paraId="2AFA12D5" w14:textId="77777777" w:rsidR="00135DE7" w:rsidRPr="00DE2548" w:rsidRDefault="00135DE7" w:rsidP="0074228D">
            <w:pPr>
              <w:spacing w:after="120"/>
              <w:rPr>
                <w:b/>
                <w:bCs/>
                <w:sz w:val="22"/>
                <w:szCs w:val="22"/>
              </w:rPr>
            </w:pPr>
            <w:r w:rsidRPr="00DE2548">
              <w:rPr>
                <w:b/>
                <w:bCs/>
                <w:sz w:val="22"/>
                <w:szCs w:val="22"/>
              </w:rPr>
              <w:t xml:space="preserve">9.4. What do people with disability and employers need to make an informed choice to select the best provider for their needs and how should this information be made available? </w:t>
            </w:r>
          </w:p>
          <w:p w14:paraId="58B8CEB3" w14:textId="0FBEF516" w:rsidR="00135DE7" w:rsidRPr="00DE2548" w:rsidRDefault="00135DE7" w:rsidP="000D355C">
            <w:pPr>
              <w:spacing w:after="120"/>
              <w:rPr>
                <w:sz w:val="22"/>
                <w:szCs w:val="22"/>
              </w:rPr>
            </w:pPr>
            <w:r w:rsidRPr="00DE2548">
              <w:rPr>
                <w:sz w:val="22"/>
                <w:szCs w:val="22"/>
              </w:rPr>
              <w:t xml:space="preserve">In line with Closing the </w:t>
            </w:r>
            <w:r w:rsidR="000D355C" w:rsidRPr="00DE2548">
              <w:rPr>
                <w:sz w:val="22"/>
                <w:szCs w:val="22"/>
              </w:rPr>
              <w:t>G</w:t>
            </w:r>
            <w:r w:rsidRPr="00DE2548">
              <w:rPr>
                <w:sz w:val="22"/>
                <w:szCs w:val="22"/>
              </w:rPr>
              <w:t xml:space="preserve">ap Priority Reform, DSS should ensure shared access to data and information; and that the performance framework aligns with </w:t>
            </w:r>
            <w:r w:rsidR="000D355C" w:rsidRPr="00DE2548">
              <w:rPr>
                <w:sz w:val="22"/>
                <w:szCs w:val="22"/>
              </w:rPr>
              <w:t xml:space="preserve">CTG </w:t>
            </w:r>
            <w:r w:rsidRPr="00DE2548">
              <w:rPr>
                <w:sz w:val="22"/>
                <w:szCs w:val="22"/>
              </w:rPr>
              <w:t>Targets 7 and 8.</w:t>
            </w:r>
          </w:p>
        </w:tc>
      </w:tr>
    </w:tbl>
    <w:p w14:paraId="3BD93B4D" w14:textId="77777777" w:rsidR="006D25AD" w:rsidRPr="00DE2548" w:rsidRDefault="006D25AD">
      <w:pPr>
        <w:rPr>
          <w:sz w:val="22"/>
          <w:szCs w:val="22"/>
        </w:rPr>
      </w:pPr>
      <w:bookmarkStart w:id="0" w:name="_GoBack"/>
      <w:bookmarkEnd w:id="0"/>
    </w:p>
    <w:sectPr w:rsidR="006D25AD" w:rsidRPr="00DE2548" w:rsidSect="002C25A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B7EBC"/>
    <w:multiLevelType w:val="hybridMultilevel"/>
    <w:tmpl w:val="92DA4B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12271E7"/>
    <w:multiLevelType w:val="hybridMultilevel"/>
    <w:tmpl w:val="F63274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0B"/>
    <w:rsid w:val="0007604F"/>
    <w:rsid w:val="00090208"/>
    <w:rsid w:val="000921CA"/>
    <w:rsid w:val="000D355C"/>
    <w:rsid w:val="00135DE7"/>
    <w:rsid w:val="00175CFC"/>
    <w:rsid w:val="001F2DA4"/>
    <w:rsid w:val="0021380B"/>
    <w:rsid w:val="002272BD"/>
    <w:rsid w:val="002B5981"/>
    <w:rsid w:val="002C25A6"/>
    <w:rsid w:val="00340D28"/>
    <w:rsid w:val="003B7AAA"/>
    <w:rsid w:val="004128DB"/>
    <w:rsid w:val="004C5A74"/>
    <w:rsid w:val="005669FD"/>
    <w:rsid w:val="00627A53"/>
    <w:rsid w:val="006C7C35"/>
    <w:rsid w:val="006D25AD"/>
    <w:rsid w:val="0074228D"/>
    <w:rsid w:val="00756B34"/>
    <w:rsid w:val="007B4DD8"/>
    <w:rsid w:val="0083778F"/>
    <w:rsid w:val="00893968"/>
    <w:rsid w:val="008D4EDD"/>
    <w:rsid w:val="00997CF4"/>
    <w:rsid w:val="00A247AF"/>
    <w:rsid w:val="00A8470E"/>
    <w:rsid w:val="00B25FF1"/>
    <w:rsid w:val="00D43FE5"/>
    <w:rsid w:val="00DB6066"/>
    <w:rsid w:val="00DC3809"/>
    <w:rsid w:val="00DE2548"/>
    <w:rsid w:val="00F32624"/>
    <w:rsid w:val="00F64CFB"/>
    <w:rsid w:val="00FE7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9F2D"/>
  <w15:chartTrackingRefBased/>
  <w15:docId w15:val="{177B95C3-336D-49EB-B423-654BF995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80B"/>
  </w:style>
  <w:style w:type="paragraph" w:styleId="Heading1">
    <w:name w:val="heading 1"/>
    <w:basedOn w:val="Normal"/>
    <w:next w:val="Normal"/>
    <w:link w:val="Heading1Char"/>
    <w:uiPriority w:val="9"/>
    <w:qFormat/>
    <w:rsid w:val="0021380B"/>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semiHidden/>
    <w:unhideWhenUsed/>
    <w:qFormat/>
    <w:rsid w:val="0021380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1380B"/>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Heading4">
    <w:name w:val="heading 4"/>
    <w:basedOn w:val="Normal"/>
    <w:next w:val="Normal"/>
    <w:link w:val="Heading4Char"/>
    <w:uiPriority w:val="9"/>
    <w:semiHidden/>
    <w:unhideWhenUsed/>
    <w:qFormat/>
    <w:rsid w:val="0021380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1380B"/>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Heading6">
    <w:name w:val="heading 6"/>
    <w:basedOn w:val="Normal"/>
    <w:next w:val="Normal"/>
    <w:link w:val="Heading6Char"/>
    <w:uiPriority w:val="9"/>
    <w:semiHidden/>
    <w:unhideWhenUsed/>
    <w:qFormat/>
    <w:rsid w:val="0021380B"/>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Heading7">
    <w:name w:val="heading 7"/>
    <w:basedOn w:val="Normal"/>
    <w:next w:val="Normal"/>
    <w:link w:val="Heading7Char"/>
    <w:uiPriority w:val="9"/>
    <w:semiHidden/>
    <w:unhideWhenUsed/>
    <w:qFormat/>
    <w:rsid w:val="0021380B"/>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Heading8">
    <w:name w:val="heading 8"/>
    <w:basedOn w:val="Normal"/>
    <w:next w:val="Normal"/>
    <w:link w:val="Heading8Char"/>
    <w:uiPriority w:val="9"/>
    <w:semiHidden/>
    <w:unhideWhenUsed/>
    <w:qFormat/>
    <w:rsid w:val="0021380B"/>
    <w:pPr>
      <w:keepNext/>
      <w:keepLines/>
      <w:spacing w:before="40" w:after="0"/>
      <w:outlineLvl w:val="7"/>
    </w:pPr>
    <w:rPr>
      <w:rFonts w:asciiTheme="majorHAnsi" w:eastAsiaTheme="majorEastAsia" w:hAnsiTheme="majorHAnsi" w:cstheme="majorBidi"/>
      <w:b/>
      <w:bCs/>
      <w:color w:val="335B74" w:themeColor="text2"/>
    </w:rPr>
  </w:style>
  <w:style w:type="paragraph" w:styleId="Heading9">
    <w:name w:val="heading 9"/>
    <w:basedOn w:val="Normal"/>
    <w:next w:val="Normal"/>
    <w:link w:val="Heading9Char"/>
    <w:uiPriority w:val="9"/>
    <w:semiHidden/>
    <w:unhideWhenUsed/>
    <w:qFormat/>
    <w:rsid w:val="0021380B"/>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380B"/>
    <w:rPr>
      <w:rFonts w:asciiTheme="majorHAnsi" w:eastAsiaTheme="majorEastAsia" w:hAnsiTheme="majorHAnsi" w:cstheme="majorBidi"/>
      <w:color w:val="1481AB" w:themeColor="accent1" w:themeShade="BF"/>
      <w:sz w:val="32"/>
      <w:szCs w:val="32"/>
    </w:rPr>
  </w:style>
  <w:style w:type="character" w:customStyle="1" w:styleId="Heading2Char">
    <w:name w:val="Heading 2 Char"/>
    <w:basedOn w:val="DefaultParagraphFont"/>
    <w:link w:val="Heading2"/>
    <w:uiPriority w:val="9"/>
    <w:semiHidden/>
    <w:rsid w:val="0021380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1380B"/>
    <w:rPr>
      <w:rFonts w:asciiTheme="majorHAnsi" w:eastAsiaTheme="majorEastAsia" w:hAnsiTheme="majorHAnsi" w:cstheme="majorBidi"/>
      <w:color w:val="335B74" w:themeColor="text2"/>
      <w:sz w:val="24"/>
      <w:szCs w:val="24"/>
    </w:rPr>
  </w:style>
  <w:style w:type="character" w:customStyle="1" w:styleId="Heading4Char">
    <w:name w:val="Heading 4 Char"/>
    <w:basedOn w:val="DefaultParagraphFont"/>
    <w:link w:val="Heading4"/>
    <w:uiPriority w:val="9"/>
    <w:semiHidden/>
    <w:rsid w:val="0021380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1380B"/>
    <w:rPr>
      <w:rFonts w:asciiTheme="majorHAnsi" w:eastAsiaTheme="majorEastAsia" w:hAnsiTheme="majorHAnsi" w:cstheme="majorBidi"/>
      <w:color w:val="335B74" w:themeColor="text2"/>
      <w:sz w:val="22"/>
      <w:szCs w:val="22"/>
    </w:rPr>
  </w:style>
  <w:style w:type="character" w:customStyle="1" w:styleId="Heading6Char">
    <w:name w:val="Heading 6 Char"/>
    <w:basedOn w:val="DefaultParagraphFont"/>
    <w:link w:val="Heading6"/>
    <w:uiPriority w:val="9"/>
    <w:semiHidden/>
    <w:rsid w:val="0021380B"/>
    <w:rPr>
      <w:rFonts w:asciiTheme="majorHAnsi" w:eastAsiaTheme="majorEastAsia" w:hAnsiTheme="majorHAnsi" w:cstheme="majorBidi"/>
      <w:i/>
      <w:iCs/>
      <w:color w:val="335B74" w:themeColor="text2"/>
      <w:sz w:val="21"/>
      <w:szCs w:val="21"/>
    </w:rPr>
  </w:style>
  <w:style w:type="character" w:customStyle="1" w:styleId="Heading7Char">
    <w:name w:val="Heading 7 Char"/>
    <w:basedOn w:val="DefaultParagraphFont"/>
    <w:link w:val="Heading7"/>
    <w:uiPriority w:val="9"/>
    <w:semiHidden/>
    <w:rsid w:val="0021380B"/>
    <w:rPr>
      <w:rFonts w:asciiTheme="majorHAnsi" w:eastAsiaTheme="majorEastAsia" w:hAnsiTheme="majorHAnsi" w:cstheme="majorBidi"/>
      <w:i/>
      <w:iCs/>
      <w:color w:val="0D5672" w:themeColor="accent1" w:themeShade="80"/>
      <w:sz w:val="21"/>
      <w:szCs w:val="21"/>
    </w:rPr>
  </w:style>
  <w:style w:type="character" w:customStyle="1" w:styleId="Heading8Char">
    <w:name w:val="Heading 8 Char"/>
    <w:basedOn w:val="DefaultParagraphFont"/>
    <w:link w:val="Heading8"/>
    <w:uiPriority w:val="9"/>
    <w:semiHidden/>
    <w:rsid w:val="0021380B"/>
    <w:rPr>
      <w:rFonts w:asciiTheme="majorHAnsi" w:eastAsiaTheme="majorEastAsia" w:hAnsiTheme="majorHAnsi" w:cstheme="majorBidi"/>
      <w:b/>
      <w:bCs/>
      <w:color w:val="335B74" w:themeColor="text2"/>
    </w:rPr>
  </w:style>
  <w:style w:type="character" w:customStyle="1" w:styleId="Heading9Char">
    <w:name w:val="Heading 9 Char"/>
    <w:basedOn w:val="DefaultParagraphFont"/>
    <w:link w:val="Heading9"/>
    <w:uiPriority w:val="9"/>
    <w:semiHidden/>
    <w:rsid w:val="0021380B"/>
    <w:rPr>
      <w:rFonts w:asciiTheme="majorHAnsi" w:eastAsiaTheme="majorEastAsia" w:hAnsiTheme="majorHAnsi" w:cstheme="majorBidi"/>
      <w:b/>
      <w:bCs/>
      <w:i/>
      <w:iCs/>
      <w:color w:val="335B74" w:themeColor="text2"/>
    </w:rPr>
  </w:style>
  <w:style w:type="paragraph" w:styleId="Caption">
    <w:name w:val="caption"/>
    <w:basedOn w:val="Normal"/>
    <w:next w:val="Normal"/>
    <w:uiPriority w:val="35"/>
    <w:semiHidden/>
    <w:unhideWhenUsed/>
    <w:qFormat/>
    <w:rsid w:val="0021380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1380B"/>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leChar">
    <w:name w:val="Title Char"/>
    <w:basedOn w:val="DefaultParagraphFont"/>
    <w:link w:val="Title"/>
    <w:uiPriority w:val="10"/>
    <w:rsid w:val="0021380B"/>
    <w:rPr>
      <w:rFonts w:asciiTheme="majorHAnsi" w:eastAsiaTheme="majorEastAsia" w:hAnsiTheme="majorHAnsi" w:cstheme="majorBidi"/>
      <w:color w:val="1CADE4" w:themeColor="accent1"/>
      <w:spacing w:val="-10"/>
      <w:sz w:val="56"/>
      <w:szCs w:val="56"/>
    </w:rPr>
  </w:style>
  <w:style w:type="paragraph" w:styleId="Subtitle">
    <w:name w:val="Subtitle"/>
    <w:basedOn w:val="Normal"/>
    <w:next w:val="Normal"/>
    <w:link w:val="SubtitleChar"/>
    <w:uiPriority w:val="11"/>
    <w:qFormat/>
    <w:rsid w:val="0021380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1380B"/>
    <w:rPr>
      <w:rFonts w:asciiTheme="majorHAnsi" w:eastAsiaTheme="majorEastAsia" w:hAnsiTheme="majorHAnsi" w:cstheme="majorBidi"/>
      <w:sz w:val="24"/>
      <w:szCs w:val="24"/>
    </w:rPr>
  </w:style>
  <w:style w:type="character" w:styleId="Strong">
    <w:name w:val="Strong"/>
    <w:basedOn w:val="DefaultParagraphFont"/>
    <w:uiPriority w:val="22"/>
    <w:qFormat/>
    <w:rsid w:val="0021380B"/>
    <w:rPr>
      <w:b/>
      <w:bCs/>
    </w:rPr>
  </w:style>
  <w:style w:type="character" w:styleId="Emphasis">
    <w:name w:val="Emphasis"/>
    <w:basedOn w:val="DefaultParagraphFont"/>
    <w:uiPriority w:val="20"/>
    <w:qFormat/>
    <w:rsid w:val="0021380B"/>
    <w:rPr>
      <w:i/>
      <w:iCs/>
    </w:rPr>
  </w:style>
  <w:style w:type="paragraph" w:styleId="NoSpacing">
    <w:name w:val="No Spacing"/>
    <w:uiPriority w:val="1"/>
    <w:qFormat/>
    <w:rsid w:val="0021380B"/>
    <w:pPr>
      <w:spacing w:after="0" w:line="240" w:lineRule="auto"/>
    </w:pPr>
  </w:style>
  <w:style w:type="paragraph" w:styleId="Quote">
    <w:name w:val="Quote"/>
    <w:basedOn w:val="Normal"/>
    <w:next w:val="Normal"/>
    <w:link w:val="QuoteChar"/>
    <w:uiPriority w:val="29"/>
    <w:qFormat/>
    <w:rsid w:val="0021380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1380B"/>
    <w:rPr>
      <w:i/>
      <w:iCs/>
      <w:color w:val="404040" w:themeColor="text1" w:themeTint="BF"/>
    </w:rPr>
  </w:style>
  <w:style w:type="paragraph" w:styleId="IntenseQuote">
    <w:name w:val="Intense Quote"/>
    <w:basedOn w:val="Normal"/>
    <w:next w:val="Normal"/>
    <w:link w:val="IntenseQuoteChar"/>
    <w:uiPriority w:val="30"/>
    <w:qFormat/>
    <w:rsid w:val="0021380B"/>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21380B"/>
    <w:rPr>
      <w:rFonts w:asciiTheme="majorHAnsi" w:eastAsiaTheme="majorEastAsia" w:hAnsiTheme="majorHAnsi" w:cstheme="majorBidi"/>
      <w:color w:val="1CADE4" w:themeColor="accent1"/>
      <w:sz w:val="28"/>
      <w:szCs w:val="28"/>
    </w:rPr>
  </w:style>
  <w:style w:type="character" w:styleId="SubtleEmphasis">
    <w:name w:val="Subtle Emphasis"/>
    <w:basedOn w:val="DefaultParagraphFont"/>
    <w:uiPriority w:val="19"/>
    <w:qFormat/>
    <w:rsid w:val="0021380B"/>
    <w:rPr>
      <w:i/>
      <w:iCs/>
      <w:color w:val="404040" w:themeColor="text1" w:themeTint="BF"/>
    </w:rPr>
  </w:style>
  <w:style w:type="character" w:styleId="IntenseEmphasis">
    <w:name w:val="Intense Emphasis"/>
    <w:basedOn w:val="DefaultParagraphFont"/>
    <w:uiPriority w:val="21"/>
    <w:qFormat/>
    <w:rsid w:val="0021380B"/>
    <w:rPr>
      <w:b/>
      <w:bCs/>
      <w:i/>
      <w:iCs/>
    </w:rPr>
  </w:style>
  <w:style w:type="character" w:styleId="SubtleReference">
    <w:name w:val="Subtle Reference"/>
    <w:basedOn w:val="DefaultParagraphFont"/>
    <w:uiPriority w:val="31"/>
    <w:qFormat/>
    <w:rsid w:val="002138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380B"/>
    <w:rPr>
      <w:b/>
      <w:bCs/>
      <w:smallCaps/>
      <w:spacing w:val="5"/>
      <w:u w:val="single"/>
    </w:rPr>
  </w:style>
  <w:style w:type="character" w:styleId="BookTitle">
    <w:name w:val="Book Title"/>
    <w:basedOn w:val="DefaultParagraphFont"/>
    <w:uiPriority w:val="33"/>
    <w:qFormat/>
    <w:rsid w:val="0021380B"/>
    <w:rPr>
      <w:b/>
      <w:bCs/>
      <w:smallCaps/>
    </w:rPr>
  </w:style>
  <w:style w:type="paragraph" w:styleId="TOCHeading">
    <w:name w:val="TOC Heading"/>
    <w:basedOn w:val="Heading1"/>
    <w:next w:val="Normal"/>
    <w:uiPriority w:val="39"/>
    <w:semiHidden/>
    <w:unhideWhenUsed/>
    <w:qFormat/>
    <w:rsid w:val="0021380B"/>
    <w:pPr>
      <w:outlineLvl w:val="9"/>
    </w:pPr>
  </w:style>
  <w:style w:type="character" w:styleId="Hyperlink">
    <w:name w:val="Hyperlink"/>
    <w:basedOn w:val="DefaultParagraphFont"/>
    <w:uiPriority w:val="99"/>
    <w:semiHidden/>
    <w:unhideWhenUsed/>
    <w:rsid w:val="00135DE7"/>
    <w:rPr>
      <w:color w:val="0563C1"/>
      <w:u w:val="single"/>
    </w:rPr>
  </w:style>
  <w:style w:type="paragraph" w:styleId="ListParagraph">
    <w:name w:val="List Paragraph"/>
    <w:basedOn w:val="Normal"/>
    <w:uiPriority w:val="34"/>
    <w:qFormat/>
    <w:rsid w:val="00135DE7"/>
    <w:pPr>
      <w:spacing w:after="0" w:line="240" w:lineRule="auto"/>
      <w:ind w:left="720"/>
    </w:pPr>
    <w:rPr>
      <w:rFonts w:ascii="Calibri" w:eastAsiaTheme="minorHAnsi" w:hAnsi="Calibri" w:cs="Calibri"/>
      <w:sz w:val="22"/>
      <w:szCs w:val="22"/>
    </w:rPr>
  </w:style>
  <w:style w:type="paragraph" w:customStyle="1" w:styleId="Default">
    <w:name w:val="Default"/>
    <w:basedOn w:val="Normal"/>
    <w:rsid w:val="00135DE7"/>
    <w:pPr>
      <w:autoSpaceDE w:val="0"/>
      <w:autoSpaceDN w:val="0"/>
      <w:spacing w:after="0" w:line="240" w:lineRule="auto"/>
    </w:pPr>
    <w:rPr>
      <w:rFonts w:ascii="Arial" w:eastAsiaTheme="minorHAnsi"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654903">
      <w:bodyDiv w:val="1"/>
      <w:marLeft w:val="0"/>
      <w:marRight w:val="0"/>
      <w:marTop w:val="0"/>
      <w:marBottom w:val="0"/>
      <w:divBdr>
        <w:top w:val="none" w:sz="0" w:space="0" w:color="auto"/>
        <w:left w:val="none" w:sz="0" w:space="0" w:color="auto"/>
        <w:bottom w:val="none" w:sz="0" w:space="0" w:color="auto"/>
        <w:right w:val="none" w:sz="0" w:space="0" w:color="auto"/>
      </w:divBdr>
    </w:div>
    <w:div w:id="1421681317">
      <w:bodyDiv w:val="1"/>
      <w:marLeft w:val="0"/>
      <w:marRight w:val="0"/>
      <w:marTop w:val="0"/>
      <w:marBottom w:val="0"/>
      <w:divBdr>
        <w:top w:val="none" w:sz="0" w:space="0" w:color="auto"/>
        <w:left w:val="none" w:sz="0" w:space="0" w:color="auto"/>
        <w:bottom w:val="none" w:sz="0" w:space="0" w:color="auto"/>
        <w:right w:val="none" w:sz="0" w:space="0" w:color="auto"/>
      </w:divBdr>
    </w:div>
    <w:div w:id="1715155816">
      <w:bodyDiv w:val="1"/>
      <w:marLeft w:val="0"/>
      <w:marRight w:val="0"/>
      <w:marTop w:val="0"/>
      <w:marBottom w:val="0"/>
      <w:divBdr>
        <w:top w:val="none" w:sz="0" w:space="0" w:color="auto"/>
        <w:left w:val="none" w:sz="0" w:space="0" w:color="auto"/>
        <w:bottom w:val="none" w:sz="0" w:space="0" w:color="auto"/>
        <w:right w:val="none" w:sz="0" w:space="0" w:color="auto"/>
      </w:divBdr>
    </w:div>
    <w:div w:id="1767117177">
      <w:bodyDiv w:val="1"/>
      <w:marLeft w:val="0"/>
      <w:marRight w:val="0"/>
      <w:marTop w:val="0"/>
      <w:marBottom w:val="0"/>
      <w:divBdr>
        <w:top w:val="none" w:sz="0" w:space="0" w:color="auto"/>
        <w:left w:val="none" w:sz="0" w:space="0" w:color="auto"/>
        <w:bottom w:val="none" w:sz="0" w:space="0" w:color="auto"/>
        <w:right w:val="none" w:sz="0" w:space="0" w:color="auto"/>
      </w:divBdr>
    </w:div>
    <w:div w:id="17811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aa.gov.au/sites/default/files/publications/evaluation-taeg-school-based-traineeships-program-2016-19.pdf"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Selwyn, Sarah-Jane</dc:creator>
  <cp:keywords/>
  <dc:description/>
  <cp:lastModifiedBy>Koch, Terina</cp:lastModifiedBy>
  <cp:revision>3</cp:revision>
  <dcterms:created xsi:type="dcterms:W3CDTF">2022-01-30T05:52:00Z</dcterms:created>
  <dcterms:modified xsi:type="dcterms:W3CDTF">2022-01-30T05:55:00Z</dcterms:modified>
</cp:coreProperties>
</file>