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11F2" w14:textId="5F87D5C9" w:rsidR="005721A8" w:rsidRPr="00656D64" w:rsidRDefault="00647865" w:rsidP="00656D64">
      <w:pPr>
        <w:jc w:val="center"/>
        <w:rPr>
          <w:b/>
          <w:bCs/>
          <w:sz w:val="28"/>
          <w:szCs w:val="28"/>
          <w:u w:val="single"/>
        </w:rPr>
      </w:pPr>
      <w:r w:rsidRPr="00656D64">
        <w:rPr>
          <w:b/>
          <w:bCs/>
          <w:sz w:val="28"/>
          <w:szCs w:val="28"/>
          <w:u w:val="single"/>
        </w:rPr>
        <w:t>Response to DSS Consultation paper</w:t>
      </w:r>
    </w:p>
    <w:p w14:paraId="792165B2" w14:textId="58767459" w:rsidR="00647865" w:rsidRPr="004403B6" w:rsidRDefault="00647865" w:rsidP="00656D64">
      <w:pPr>
        <w:jc w:val="center"/>
        <w:rPr>
          <w:b/>
          <w:bCs/>
          <w:i/>
          <w:iCs/>
        </w:rPr>
      </w:pPr>
      <w:r w:rsidRPr="004403B6">
        <w:rPr>
          <w:b/>
          <w:bCs/>
          <w:i/>
          <w:iCs/>
        </w:rPr>
        <w:t>New Disability Employment Support Model</w:t>
      </w:r>
    </w:p>
    <w:p w14:paraId="535A64A8" w14:textId="40152F1B" w:rsidR="00647865" w:rsidRDefault="0072108D" w:rsidP="0072108D">
      <w:pPr>
        <w:pStyle w:val="Heading1"/>
      </w:pPr>
      <w:bookmarkStart w:id="0" w:name="_Toc94614831"/>
      <w:r>
        <w:t>EXECUTIVE SUMMARY</w:t>
      </w:r>
      <w:bookmarkEnd w:id="0"/>
    </w:p>
    <w:p w14:paraId="4FED7E08" w14:textId="77777777" w:rsidR="0072108D" w:rsidRPr="0072108D" w:rsidRDefault="0072108D" w:rsidP="0072108D"/>
    <w:p w14:paraId="653C1F5D" w14:textId="7C20068E" w:rsidR="00647865" w:rsidRDefault="00647865">
      <w:r w:rsidRPr="00034535">
        <w:rPr>
          <w:b/>
          <w:bCs/>
        </w:rPr>
        <w:t xml:space="preserve">Disability Employment </w:t>
      </w:r>
      <w:r w:rsidR="002407DE" w:rsidRPr="00034535">
        <w:rPr>
          <w:b/>
          <w:bCs/>
        </w:rPr>
        <w:t>S</w:t>
      </w:r>
      <w:r w:rsidR="002407DE">
        <w:rPr>
          <w:b/>
          <w:bCs/>
        </w:rPr>
        <w:t>ervices</w:t>
      </w:r>
      <w:r w:rsidR="002407DE">
        <w:t xml:space="preserve"> </w:t>
      </w:r>
      <w:r w:rsidR="007331F5">
        <w:t>(DES)</w:t>
      </w:r>
      <w:r>
        <w:t>, as the name indicates, is a program that works with participants who have a disability. As such the needs of these participants and the barriers they face v</w:t>
      </w:r>
      <w:r w:rsidR="00AE63E0">
        <w:t>a</w:t>
      </w:r>
      <w:r>
        <w:t xml:space="preserve">ry greatly, but are clearly greater, in most cases, </w:t>
      </w:r>
      <w:r w:rsidR="00AE63E0">
        <w:t>to</w:t>
      </w:r>
      <w:r>
        <w:t xml:space="preserve"> the needs and barriers faced by participants without a disability.</w:t>
      </w:r>
    </w:p>
    <w:p w14:paraId="1DF81D1F" w14:textId="7C5FB1BD" w:rsidR="007331F5" w:rsidRPr="00BA4858" w:rsidRDefault="00034535">
      <w:r w:rsidRPr="00034535">
        <w:rPr>
          <w:b/>
          <w:bCs/>
        </w:rPr>
        <w:t>Jobactive</w:t>
      </w:r>
      <w:r>
        <w:t>, t</w:t>
      </w:r>
      <w:r w:rsidR="007331F5">
        <w:t>he current open employment program</w:t>
      </w:r>
      <w:r>
        <w:t>,</w:t>
      </w:r>
      <w:r w:rsidR="007331F5">
        <w:t xml:space="preserve"> </w:t>
      </w:r>
      <w:r w:rsidR="00BA4858">
        <w:t>primarily</w:t>
      </w:r>
      <w:r w:rsidR="007331F5">
        <w:t xml:space="preserve"> works with participants without a disability</w:t>
      </w:r>
      <w:r w:rsidR="005D6183">
        <w:t xml:space="preserve"> 74%, and people with a disability 26%</w:t>
      </w:r>
      <w:r w:rsidR="00BF6E3E">
        <w:rPr>
          <w:rStyle w:val="FootnoteReference"/>
        </w:rPr>
        <w:footnoteReference w:id="2"/>
      </w:r>
      <w:r w:rsidR="00BA4858">
        <w:t>.</w:t>
      </w:r>
    </w:p>
    <w:p w14:paraId="2C3E38AE" w14:textId="2A95093E" w:rsidR="00391772" w:rsidRDefault="00A06B88">
      <w:r>
        <w:t xml:space="preserve">The reason for the comparison of DES and jobactive is because </w:t>
      </w:r>
      <w:r w:rsidR="00034535">
        <w:t>there is a growing flow of data that compares the two programs, the recent “Mid-term Review of the Disability Employment Services (DES) Program</w:t>
      </w:r>
      <w:r w:rsidR="00723501">
        <w:rPr>
          <w:rStyle w:val="FootnoteReference"/>
        </w:rPr>
        <w:footnoteReference w:id="3"/>
      </w:r>
      <w:r w:rsidR="00034535">
        <w:t>” by the Boston Consulting Group contained extensive comparisons of the two programs</w:t>
      </w:r>
      <w:r w:rsidR="00391772">
        <w:t xml:space="preserve">, </w:t>
      </w:r>
      <w:r w:rsidR="00034535">
        <w:t>including an entire Appendix dedicated to the comparison.</w:t>
      </w:r>
    </w:p>
    <w:p w14:paraId="559088B5" w14:textId="5611C39A" w:rsidR="00647865" w:rsidRDefault="00391772">
      <w:r>
        <w:t xml:space="preserve">DES is not an employment </w:t>
      </w:r>
      <w:r w:rsidR="003C0ED7">
        <w:t>program open</w:t>
      </w:r>
      <w:r w:rsidR="00196DC3">
        <w:t xml:space="preserve"> to all </w:t>
      </w:r>
      <w:r w:rsidR="003C0ED7">
        <w:t xml:space="preserve">recipients of income support </w:t>
      </w:r>
      <w:r>
        <w:t>like jobactive, whilst there may be similarities, that is more likely caused by multiple iterations of the programs and a desire to achieve some alignment with the two programs. This is especially evident regarding mutual obligation and the Targeted Compliance Framework (TCF), but also applies to the Employment Services System (ESS) and the desire to align transactions occurring in ESS with both programs.</w:t>
      </w:r>
      <w:r w:rsidR="00034535">
        <w:t xml:space="preserve"> </w:t>
      </w:r>
    </w:p>
    <w:p w14:paraId="337B229B" w14:textId="61853D67" w:rsidR="0026418E" w:rsidRDefault="006E5B51" w:rsidP="0026418E">
      <w:r>
        <w:t>It is our belief that comparing the two programs is flawed as they are not the same</w:t>
      </w:r>
      <w:r w:rsidR="00EF13CE">
        <w:t xml:space="preserve"> programs</w:t>
      </w:r>
      <w:r w:rsidR="00905C38">
        <w:t xml:space="preserve">, </w:t>
      </w:r>
      <w:r w:rsidR="00370F3C">
        <w:t xml:space="preserve">do not </w:t>
      </w:r>
      <w:r w:rsidR="00905C38">
        <w:t xml:space="preserve">deliver the exact same services </w:t>
      </w:r>
      <w:r w:rsidR="00EF13CE">
        <w:t>or deal with the same cohort.</w:t>
      </w:r>
    </w:p>
    <w:p w14:paraId="643B2374" w14:textId="2ED8A3FF" w:rsidR="00EF13CE" w:rsidRDefault="00B35E0D" w:rsidP="0026418E">
      <w:r>
        <w:t xml:space="preserve">We understand the need for the </w:t>
      </w:r>
      <w:r w:rsidR="00BA3907">
        <w:t xml:space="preserve">Targeted Compliance </w:t>
      </w:r>
      <w:r w:rsidR="008547F1">
        <w:t>Framework</w:t>
      </w:r>
      <w:r w:rsidR="00BA3907">
        <w:t xml:space="preserve"> (TCF), but the </w:t>
      </w:r>
      <w:r w:rsidR="009F395A">
        <w:t xml:space="preserve">application of this should not sit with the DES provider, rather with Services Australia. </w:t>
      </w:r>
      <w:r w:rsidR="00D5274F">
        <w:t>We have experienced instances of participants transferring to another provider because the</w:t>
      </w:r>
      <w:r w:rsidR="009E74FA">
        <w:t xml:space="preserve"> TCF has been correctly applied</w:t>
      </w:r>
      <w:r w:rsidR="00363610">
        <w:t xml:space="preserve"> by us</w:t>
      </w:r>
      <w:r w:rsidR="00074082">
        <w:t>, but the participant believes we have punished them</w:t>
      </w:r>
      <w:r w:rsidR="00975A4A">
        <w:t>, this impacts our ability to build rapport and a relationship with our participants</w:t>
      </w:r>
      <w:r w:rsidR="008F56BD">
        <w:t>.</w:t>
      </w:r>
    </w:p>
    <w:p w14:paraId="620E303B" w14:textId="77777777" w:rsidR="00020ABD" w:rsidRDefault="00242599" w:rsidP="0026418E">
      <w:r>
        <w:t xml:space="preserve">The DES 2018 – 2023 </w:t>
      </w:r>
      <w:r w:rsidR="002A1854">
        <w:t xml:space="preserve">program had </w:t>
      </w:r>
      <w:proofErr w:type="gramStart"/>
      <w:r w:rsidR="002A1854">
        <w:t>a number of</w:t>
      </w:r>
      <w:proofErr w:type="gramEnd"/>
      <w:r w:rsidR="002A1854">
        <w:t xml:space="preserve"> </w:t>
      </w:r>
      <w:r w:rsidR="009616C3">
        <w:t>features</w:t>
      </w:r>
      <w:r w:rsidR="002A1854">
        <w:t xml:space="preserve"> welcomed by the industry</w:t>
      </w:r>
      <w:r w:rsidR="00C91FC9">
        <w:t xml:space="preserve">, </w:t>
      </w:r>
      <w:r w:rsidR="007370B3">
        <w:t>one</w:t>
      </w:r>
      <w:r w:rsidR="00C91FC9">
        <w:t xml:space="preserve"> of th</w:t>
      </w:r>
      <w:r w:rsidR="00F31265">
        <w:t>o</w:t>
      </w:r>
      <w:r w:rsidR="00C91FC9">
        <w:t>se in particular ha</w:t>
      </w:r>
      <w:r w:rsidR="007370B3">
        <w:t>s</w:t>
      </w:r>
      <w:r w:rsidR="00C91FC9">
        <w:t xml:space="preserve"> since been </w:t>
      </w:r>
      <w:r w:rsidR="009616C3">
        <w:t>removed</w:t>
      </w:r>
      <w:r w:rsidR="007370B3">
        <w:t xml:space="preserve">, the ability for providers to identify and provide services </w:t>
      </w:r>
      <w:r w:rsidR="002D04CB">
        <w:t>to people with a disability not on income support.</w:t>
      </w:r>
      <w:r w:rsidR="003815DA">
        <w:t xml:space="preserve"> We do not believe enough time was </w:t>
      </w:r>
      <w:r w:rsidR="008547F1">
        <w:t>allowed</w:t>
      </w:r>
      <w:r w:rsidR="003815DA">
        <w:t xml:space="preserve"> to </w:t>
      </w:r>
      <w:r w:rsidR="00DC20BA">
        <w:t>adequately</w:t>
      </w:r>
      <w:r w:rsidR="007244E6">
        <w:t xml:space="preserve"> </w:t>
      </w:r>
      <w:r w:rsidR="003815DA">
        <w:t xml:space="preserve">assess the </w:t>
      </w:r>
      <w:r w:rsidR="00284DEE">
        <w:t xml:space="preserve">effectiveness of this measure, </w:t>
      </w:r>
      <w:r w:rsidR="00E05EFA">
        <w:t xml:space="preserve">we found this cohort were </w:t>
      </w:r>
      <w:r w:rsidR="00676C34">
        <w:t xml:space="preserve">even </w:t>
      </w:r>
      <w:r w:rsidR="00E05EFA">
        <w:t xml:space="preserve">further from the Labour market and generally needed </w:t>
      </w:r>
      <w:r w:rsidR="001B2A4F">
        <w:t xml:space="preserve">training </w:t>
      </w:r>
      <w:r w:rsidR="00676C34">
        <w:t>and/</w:t>
      </w:r>
      <w:r w:rsidR="001B2A4F">
        <w:t>or upskilling to achieve employment</w:t>
      </w:r>
      <w:r w:rsidR="006D53D7">
        <w:t xml:space="preserve">. </w:t>
      </w:r>
      <w:r w:rsidR="00D37C02">
        <w:t>Any</w:t>
      </w:r>
      <w:r w:rsidR="00703DBB">
        <w:t xml:space="preserve"> future iteration of DES</w:t>
      </w:r>
      <w:r w:rsidR="00602534">
        <w:t xml:space="preserve"> </w:t>
      </w:r>
      <w:r w:rsidR="00D37C02">
        <w:t>should clearly indicate any timeline intended to assess innovations in the program</w:t>
      </w:r>
      <w:r w:rsidR="00930D85">
        <w:t>, this should be based on research and communication with providers so all stakeholders understand the time needed to bed down any new initiatives.</w:t>
      </w:r>
    </w:p>
    <w:p w14:paraId="0440B8F5" w14:textId="55FFB8AA" w:rsidR="00433075" w:rsidRDefault="00433075" w:rsidP="0026418E">
      <w:r>
        <w:t>Ongoing support</w:t>
      </w:r>
      <w:r w:rsidR="00AB4643">
        <w:t xml:space="preserve"> (OS)</w:t>
      </w:r>
      <w:r>
        <w:t xml:space="preserve"> is unique to the DES </w:t>
      </w:r>
      <w:r w:rsidR="008547F1">
        <w:t>program,</w:t>
      </w:r>
      <w:r>
        <w:t xml:space="preserve"> and we believe an important part of supporting people with a disability to maintain employment</w:t>
      </w:r>
      <w:r w:rsidR="008F0170">
        <w:t xml:space="preserve"> in the open labour market</w:t>
      </w:r>
      <w:r w:rsidR="0055745D">
        <w:t xml:space="preserve">, consideration should be given to </w:t>
      </w:r>
      <w:r w:rsidR="009D7808">
        <w:t xml:space="preserve">provide greater flexibility and </w:t>
      </w:r>
      <w:r w:rsidR="0082467E">
        <w:t xml:space="preserve">funding for this part of the service. </w:t>
      </w:r>
      <w:r w:rsidR="007330BB">
        <w:t xml:space="preserve">People with disabilities face </w:t>
      </w:r>
      <w:r w:rsidR="005D3AFF">
        <w:t>a variety of</w:t>
      </w:r>
      <w:r w:rsidR="007330BB">
        <w:t xml:space="preserve"> barriers at varying times</w:t>
      </w:r>
      <w:r w:rsidR="00D526AD">
        <w:t>. S</w:t>
      </w:r>
      <w:r w:rsidR="007330BB">
        <w:t xml:space="preserve">uch as </w:t>
      </w:r>
      <w:r w:rsidR="00CB2CC4">
        <w:t xml:space="preserve">episodic events which may require a high level of intervention but once </w:t>
      </w:r>
      <w:r w:rsidR="007C5B54">
        <w:t>stabilised</w:t>
      </w:r>
      <w:r w:rsidR="00CB2CC4">
        <w:t xml:space="preserve"> may reduce to a much lower level. </w:t>
      </w:r>
      <w:r w:rsidR="00D526AD">
        <w:t xml:space="preserve">Consideration should be given to </w:t>
      </w:r>
      <w:r w:rsidR="00AB4643">
        <w:t xml:space="preserve">a more flexible </w:t>
      </w:r>
      <w:r w:rsidR="00E458F4">
        <w:t>OS model, rather than a fixed number of contacts, allow the provider to flex up or down as required</w:t>
      </w:r>
      <w:r w:rsidR="00D84E35">
        <w:t xml:space="preserve"> and base the payment on the service provided. This could still be independently reviewed </w:t>
      </w:r>
      <w:r w:rsidR="00A9442A">
        <w:t>to ensure value for money for the Commonwealth.</w:t>
      </w:r>
    </w:p>
    <w:p w14:paraId="31ACCD47" w14:textId="179577B9" w:rsidR="004403B6" w:rsidRDefault="00B96A14" w:rsidP="0026418E">
      <w:r>
        <w:t xml:space="preserve">Education has been a contentious </w:t>
      </w:r>
      <w:proofErr w:type="gramStart"/>
      <w:r w:rsidR="003420CB">
        <w:t>issue</w:t>
      </w:r>
      <w:r w:rsidR="007A4B19">
        <w:t>,</w:t>
      </w:r>
      <w:proofErr w:type="gramEnd"/>
      <w:r w:rsidR="007A4B19">
        <w:t xml:space="preserve"> </w:t>
      </w:r>
      <w:r w:rsidR="00E10236">
        <w:t xml:space="preserve">it started </w:t>
      </w:r>
      <w:r w:rsidR="00691CA1">
        <w:t xml:space="preserve">this contract as </w:t>
      </w:r>
      <w:r w:rsidR="007A4B19">
        <w:t>having the same financial and Star rating value as employment</w:t>
      </w:r>
      <w:r w:rsidR="005D7E51">
        <w:t xml:space="preserve">. </w:t>
      </w:r>
      <w:r w:rsidR="00DD5A26">
        <w:t xml:space="preserve">In August 2020 </w:t>
      </w:r>
      <w:r w:rsidR="00F45FE2">
        <w:t>education was removed from the Star ratings</w:t>
      </w:r>
      <w:r w:rsidR="009044FC">
        <w:t xml:space="preserve">, providers were subject to </w:t>
      </w:r>
      <w:r w:rsidR="008E40AE">
        <w:t xml:space="preserve">audits of existing education placements </w:t>
      </w:r>
      <w:r w:rsidR="00094376">
        <w:t xml:space="preserve">and felt </w:t>
      </w:r>
      <w:r w:rsidR="00807A2A">
        <w:t xml:space="preserve">it became </w:t>
      </w:r>
      <w:r w:rsidR="00257385">
        <w:t>too difficult to place participants into education.</w:t>
      </w:r>
    </w:p>
    <w:p w14:paraId="413FB603" w14:textId="389D848E" w:rsidR="0033629E" w:rsidRDefault="0033629E" w:rsidP="0026418E">
      <w:r>
        <w:t xml:space="preserve">People with a disability need the opportunity to gain skills or upskill </w:t>
      </w:r>
      <w:r w:rsidR="009216A5">
        <w:t>to secure employment</w:t>
      </w:r>
      <w:r w:rsidR="00943403">
        <w:t xml:space="preserve">. </w:t>
      </w:r>
      <w:r w:rsidR="00EA0791">
        <w:t>Education</w:t>
      </w:r>
      <w:r w:rsidR="00943403">
        <w:t xml:space="preserve"> i</w:t>
      </w:r>
      <w:r w:rsidR="0096321A">
        <w:t xml:space="preserve">s </w:t>
      </w:r>
      <w:r w:rsidR="005E72C6">
        <w:t xml:space="preserve">an important part of gaining employment for many of our participants. </w:t>
      </w:r>
      <w:r w:rsidR="00EF45BD">
        <w:t xml:space="preserve">WCIG believes </w:t>
      </w:r>
      <w:r w:rsidR="0016650A">
        <w:t>an outcome payment should remain for education</w:t>
      </w:r>
      <w:r w:rsidR="00560AFC">
        <w:t xml:space="preserve">, </w:t>
      </w:r>
      <w:r w:rsidR="001A52E0">
        <w:t xml:space="preserve">it is important to note that providers </w:t>
      </w:r>
      <w:r w:rsidR="00EA0791">
        <w:t>pay</w:t>
      </w:r>
      <w:r w:rsidR="001A52E0">
        <w:t xml:space="preserve"> for this training</w:t>
      </w:r>
      <w:r w:rsidR="003A7C72">
        <w:t>. Often participants undertake multiple courses to achieve their employment outcome.</w:t>
      </w:r>
    </w:p>
    <w:p w14:paraId="19AD5639" w14:textId="77777777" w:rsidR="004403B6" w:rsidRDefault="004403B6" w:rsidP="0026418E"/>
    <w:sdt>
      <w:sdtPr>
        <w:rPr>
          <w:rFonts w:asciiTheme="minorHAnsi" w:eastAsiaTheme="minorHAnsi" w:hAnsiTheme="minorHAnsi" w:cstheme="minorBidi"/>
          <w:color w:val="auto"/>
          <w:sz w:val="22"/>
          <w:szCs w:val="22"/>
          <w:lang w:val="en-AU"/>
        </w:rPr>
        <w:id w:val="-566874725"/>
        <w:docPartObj>
          <w:docPartGallery w:val="Table of Contents"/>
          <w:docPartUnique/>
        </w:docPartObj>
      </w:sdtPr>
      <w:sdtEndPr>
        <w:rPr>
          <w:b/>
          <w:bCs/>
          <w:noProof/>
        </w:rPr>
      </w:sdtEndPr>
      <w:sdtContent>
        <w:p w14:paraId="6675F326" w14:textId="77777777" w:rsidR="004403B6" w:rsidRDefault="004403B6">
          <w:pPr>
            <w:pStyle w:val="TOCHeading"/>
            <w:rPr>
              <w:rFonts w:asciiTheme="minorHAnsi" w:eastAsiaTheme="minorHAnsi" w:hAnsiTheme="minorHAnsi" w:cstheme="minorBidi"/>
              <w:color w:val="auto"/>
              <w:sz w:val="22"/>
              <w:szCs w:val="22"/>
              <w:lang w:val="en-AU"/>
            </w:rPr>
          </w:pPr>
        </w:p>
        <w:p w14:paraId="05CEB262" w14:textId="77777777" w:rsidR="004403B6" w:rsidRDefault="004403B6">
          <w:r>
            <w:br w:type="page"/>
          </w:r>
        </w:p>
        <w:p w14:paraId="032BAC6C" w14:textId="77777777" w:rsidR="004403B6" w:rsidRDefault="004403B6">
          <w:pPr>
            <w:pStyle w:val="TOCHeading"/>
          </w:pPr>
        </w:p>
        <w:p w14:paraId="11CA6481" w14:textId="3922B2A1" w:rsidR="00A33A93" w:rsidRDefault="00A33A93">
          <w:pPr>
            <w:pStyle w:val="TOCHeading"/>
          </w:pPr>
          <w:r>
            <w:t>Contents</w:t>
          </w:r>
        </w:p>
        <w:p w14:paraId="7D2615E3" w14:textId="77777777" w:rsidR="004403B6" w:rsidRPr="004403B6" w:rsidRDefault="004403B6" w:rsidP="004403B6">
          <w:pPr>
            <w:rPr>
              <w:lang w:val="en-US"/>
            </w:rPr>
          </w:pPr>
        </w:p>
        <w:p w14:paraId="447404BE" w14:textId="343577AD" w:rsidR="006417AB" w:rsidRDefault="00A33A93">
          <w:pPr>
            <w:pStyle w:val="TOC1"/>
            <w:tabs>
              <w:tab w:val="right" w:leader="dot" w:pos="9322"/>
            </w:tabs>
            <w:rPr>
              <w:rFonts w:eastAsiaTheme="minorEastAsia"/>
              <w:noProof/>
              <w:lang w:eastAsia="en-AU"/>
            </w:rPr>
          </w:pPr>
          <w:r>
            <w:fldChar w:fldCharType="begin"/>
          </w:r>
          <w:r>
            <w:instrText xml:space="preserve"> TOC \o "1-3" \h \z \u </w:instrText>
          </w:r>
          <w:r>
            <w:fldChar w:fldCharType="separate"/>
          </w:r>
          <w:hyperlink w:anchor="_Toc94614831" w:history="1">
            <w:r w:rsidR="006417AB" w:rsidRPr="00FC2376">
              <w:rPr>
                <w:rStyle w:val="Hyperlink"/>
                <w:noProof/>
              </w:rPr>
              <w:t>EXECUTIVE SUMMARY</w:t>
            </w:r>
            <w:r w:rsidR="006417AB">
              <w:rPr>
                <w:noProof/>
                <w:webHidden/>
              </w:rPr>
              <w:tab/>
            </w:r>
            <w:r w:rsidR="006417AB">
              <w:rPr>
                <w:noProof/>
                <w:webHidden/>
              </w:rPr>
              <w:fldChar w:fldCharType="begin"/>
            </w:r>
            <w:r w:rsidR="006417AB">
              <w:rPr>
                <w:noProof/>
                <w:webHidden/>
              </w:rPr>
              <w:instrText xml:space="preserve"> PAGEREF _Toc94614831 \h </w:instrText>
            </w:r>
            <w:r w:rsidR="006417AB">
              <w:rPr>
                <w:noProof/>
                <w:webHidden/>
              </w:rPr>
            </w:r>
            <w:r w:rsidR="006417AB">
              <w:rPr>
                <w:noProof/>
                <w:webHidden/>
              </w:rPr>
              <w:fldChar w:fldCharType="separate"/>
            </w:r>
            <w:r w:rsidR="006417AB">
              <w:rPr>
                <w:noProof/>
                <w:webHidden/>
              </w:rPr>
              <w:t>1</w:t>
            </w:r>
            <w:r w:rsidR="006417AB">
              <w:rPr>
                <w:noProof/>
                <w:webHidden/>
              </w:rPr>
              <w:fldChar w:fldCharType="end"/>
            </w:r>
          </w:hyperlink>
        </w:p>
        <w:p w14:paraId="31E6C238" w14:textId="0B5FC21A" w:rsidR="006417AB" w:rsidRDefault="006417AB">
          <w:pPr>
            <w:pStyle w:val="TOC1"/>
            <w:tabs>
              <w:tab w:val="left" w:pos="440"/>
              <w:tab w:val="right" w:leader="dot" w:pos="9322"/>
            </w:tabs>
            <w:rPr>
              <w:rFonts w:eastAsiaTheme="minorEastAsia"/>
              <w:noProof/>
              <w:lang w:eastAsia="en-AU"/>
            </w:rPr>
          </w:pPr>
          <w:hyperlink w:anchor="_Toc94614832" w:history="1">
            <w:r w:rsidRPr="00FC2376">
              <w:rPr>
                <w:rStyle w:val="Hyperlink"/>
                <w:noProof/>
              </w:rPr>
              <w:t>1.</w:t>
            </w:r>
            <w:r>
              <w:rPr>
                <w:rFonts w:eastAsiaTheme="minorEastAsia"/>
                <w:noProof/>
                <w:lang w:eastAsia="en-AU"/>
              </w:rPr>
              <w:tab/>
            </w:r>
            <w:r w:rsidRPr="00FC2376">
              <w:rPr>
                <w:rStyle w:val="Hyperlink"/>
                <w:b/>
                <w:bCs/>
                <w:noProof/>
              </w:rPr>
              <w:t>Who should be able to access a specialist disability employment</w:t>
            </w:r>
            <w:r w:rsidRPr="00FC2376">
              <w:rPr>
                <w:rStyle w:val="Hyperlink"/>
                <w:noProof/>
              </w:rPr>
              <w:t xml:space="preserve"> program?</w:t>
            </w:r>
            <w:r>
              <w:rPr>
                <w:noProof/>
                <w:webHidden/>
              </w:rPr>
              <w:tab/>
            </w:r>
            <w:r>
              <w:rPr>
                <w:noProof/>
                <w:webHidden/>
              </w:rPr>
              <w:fldChar w:fldCharType="begin"/>
            </w:r>
            <w:r>
              <w:rPr>
                <w:noProof/>
                <w:webHidden/>
              </w:rPr>
              <w:instrText xml:space="preserve"> PAGEREF _Toc94614832 \h </w:instrText>
            </w:r>
            <w:r>
              <w:rPr>
                <w:noProof/>
                <w:webHidden/>
              </w:rPr>
            </w:r>
            <w:r>
              <w:rPr>
                <w:noProof/>
                <w:webHidden/>
              </w:rPr>
              <w:fldChar w:fldCharType="separate"/>
            </w:r>
            <w:r>
              <w:rPr>
                <w:noProof/>
                <w:webHidden/>
              </w:rPr>
              <w:t>3</w:t>
            </w:r>
            <w:r>
              <w:rPr>
                <w:noProof/>
                <w:webHidden/>
              </w:rPr>
              <w:fldChar w:fldCharType="end"/>
            </w:r>
          </w:hyperlink>
        </w:p>
        <w:p w14:paraId="7CB5A5F9" w14:textId="4F56F6BC" w:rsidR="006417AB" w:rsidRDefault="006417AB">
          <w:pPr>
            <w:pStyle w:val="TOC1"/>
            <w:tabs>
              <w:tab w:val="left" w:pos="440"/>
              <w:tab w:val="right" w:leader="dot" w:pos="9322"/>
            </w:tabs>
            <w:rPr>
              <w:rFonts w:eastAsiaTheme="minorEastAsia"/>
              <w:noProof/>
              <w:lang w:eastAsia="en-AU"/>
            </w:rPr>
          </w:pPr>
          <w:hyperlink w:anchor="_Toc94614833" w:history="1">
            <w:r w:rsidRPr="00FC2376">
              <w:rPr>
                <w:rStyle w:val="Hyperlink"/>
                <w:b/>
                <w:bCs/>
                <w:noProof/>
              </w:rPr>
              <w:t>2.</w:t>
            </w:r>
            <w:r>
              <w:rPr>
                <w:rFonts w:eastAsiaTheme="minorEastAsia"/>
                <w:noProof/>
                <w:lang w:eastAsia="en-AU"/>
              </w:rPr>
              <w:tab/>
            </w:r>
            <w:r w:rsidRPr="00FC2376">
              <w:rPr>
                <w:rStyle w:val="Hyperlink"/>
                <w:b/>
                <w:bCs/>
                <w:noProof/>
              </w:rPr>
              <w:t>How can we simplify entry to the disability employment support model?</w:t>
            </w:r>
            <w:r>
              <w:rPr>
                <w:noProof/>
                <w:webHidden/>
              </w:rPr>
              <w:tab/>
            </w:r>
            <w:r>
              <w:rPr>
                <w:noProof/>
                <w:webHidden/>
              </w:rPr>
              <w:fldChar w:fldCharType="begin"/>
            </w:r>
            <w:r>
              <w:rPr>
                <w:noProof/>
                <w:webHidden/>
              </w:rPr>
              <w:instrText xml:space="preserve"> PAGEREF _Toc94614833 \h </w:instrText>
            </w:r>
            <w:r>
              <w:rPr>
                <w:noProof/>
                <w:webHidden/>
              </w:rPr>
            </w:r>
            <w:r>
              <w:rPr>
                <w:noProof/>
                <w:webHidden/>
              </w:rPr>
              <w:fldChar w:fldCharType="separate"/>
            </w:r>
            <w:r>
              <w:rPr>
                <w:noProof/>
                <w:webHidden/>
              </w:rPr>
              <w:t>3</w:t>
            </w:r>
            <w:r>
              <w:rPr>
                <w:noProof/>
                <w:webHidden/>
              </w:rPr>
              <w:fldChar w:fldCharType="end"/>
            </w:r>
          </w:hyperlink>
        </w:p>
        <w:p w14:paraId="5FAD342C" w14:textId="5FB00F57" w:rsidR="006417AB" w:rsidRDefault="006417AB">
          <w:pPr>
            <w:pStyle w:val="TOC1"/>
            <w:tabs>
              <w:tab w:val="left" w:pos="440"/>
              <w:tab w:val="right" w:leader="dot" w:pos="9322"/>
            </w:tabs>
            <w:rPr>
              <w:rFonts w:eastAsiaTheme="minorEastAsia"/>
              <w:noProof/>
              <w:lang w:eastAsia="en-AU"/>
            </w:rPr>
          </w:pPr>
          <w:hyperlink w:anchor="_Toc94614834" w:history="1">
            <w:r w:rsidRPr="00FC2376">
              <w:rPr>
                <w:rStyle w:val="Hyperlink"/>
                <w:b/>
                <w:bCs/>
                <w:noProof/>
              </w:rPr>
              <w:t>3.</w:t>
            </w:r>
            <w:r>
              <w:rPr>
                <w:rFonts w:eastAsiaTheme="minorEastAsia"/>
                <w:noProof/>
                <w:lang w:eastAsia="en-AU"/>
              </w:rPr>
              <w:tab/>
            </w:r>
            <w:r w:rsidRPr="00FC2376">
              <w:rPr>
                <w:rStyle w:val="Hyperlink"/>
                <w:b/>
                <w:bCs/>
                <w:noProof/>
              </w:rPr>
              <w:t>What employment services and supports would most help people with a disability?</w:t>
            </w:r>
            <w:r>
              <w:rPr>
                <w:noProof/>
                <w:webHidden/>
              </w:rPr>
              <w:tab/>
            </w:r>
            <w:r>
              <w:rPr>
                <w:noProof/>
                <w:webHidden/>
              </w:rPr>
              <w:fldChar w:fldCharType="begin"/>
            </w:r>
            <w:r>
              <w:rPr>
                <w:noProof/>
                <w:webHidden/>
              </w:rPr>
              <w:instrText xml:space="preserve"> PAGEREF _Toc94614834 \h </w:instrText>
            </w:r>
            <w:r>
              <w:rPr>
                <w:noProof/>
                <w:webHidden/>
              </w:rPr>
            </w:r>
            <w:r>
              <w:rPr>
                <w:noProof/>
                <w:webHidden/>
              </w:rPr>
              <w:fldChar w:fldCharType="separate"/>
            </w:r>
            <w:r>
              <w:rPr>
                <w:noProof/>
                <w:webHidden/>
              </w:rPr>
              <w:t>4</w:t>
            </w:r>
            <w:r>
              <w:rPr>
                <w:noProof/>
                <w:webHidden/>
              </w:rPr>
              <w:fldChar w:fldCharType="end"/>
            </w:r>
          </w:hyperlink>
        </w:p>
        <w:p w14:paraId="12B7596C" w14:textId="2013CA59" w:rsidR="006417AB" w:rsidRDefault="006417AB">
          <w:pPr>
            <w:pStyle w:val="TOC1"/>
            <w:tabs>
              <w:tab w:val="left" w:pos="440"/>
              <w:tab w:val="right" w:leader="dot" w:pos="9322"/>
            </w:tabs>
            <w:rPr>
              <w:rFonts w:eastAsiaTheme="minorEastAsia"/>
              <w:noProof/>
              <w:lang w:eastAsia="en-AU"/>
            </w:rPr>
          </w:pPr>
          <w:hyperlink w:anchor="_Toc94614835" w:history="1">
            <w:r w:rsidRPr="00FC2376">
              <w:rPr>
                <w:rStyle w:val="Hyperlink"/>
                <w:b/>
                <w:bCs/>
                <w:noProof/>
              </w:rPr>
              <w:t>4.</w:t>
            </w:r>
            <w:r>
              <w:rPr>
                <w:rFonts w:eastAsiaTheme="minorEastAsia"/>
                <w:noProof/>
                <w:lang w:eastAsia="en-AU"/>
              </w:rPr>
              <w:tab/>
            </w:r>
            <w:r w:rsidRPr="00FC2376">
              <w:rPr>
                <w:rStyle w:val="Hyperlink"/>
                <w:b/>
                <w:bCs/>
                <w:noProof/>
              </w:rPr>
              <w:t>What employment services and supports would most help young people?</w:t>
            </w:r>
            <w:r>
              <w:rPr>
                <w:noProof/>
                <w:webHidden/>
              </w:rPr>
              <w:tab/>
            </w:r>
            <w:r>
              <w:rPr>
                <w:noProof/>
                <w:webHidden/>
              </w:rPr>
              <w:fldChar w:fldCharType="begin"/>
            </w:r>
            <w:r>
              <w:rPr>
                <w:noProof/>
                <w:webHidden/>
              </w:rPr>
              <w:instrText xml:space="preserve"> PAGEREF _Toc94614835 \h </w:instrText>
            </w:r>
            <w:r>
              <w:rPr>
                <w:noProof/>
                <w:webHidden/>
              </w:rPr>
            </w:r>
            <w:r>
              <w:rPr>
                <w:noProof/>
                <w:webHidden/>
              </w:rPr>
              <w:fldChar w:fldCharType="separate"/>
            </w:r>
            <w:r>
              <w:rPr>
                <w:noProof/>
                <w:webHidden/>
              </w:rPr>
              <w:t>5</w:t>
            </w:r>
            <w:r>
              <w:rPr>
                <w:noProof/>
                <w:webHidden/>
              </w:rPr>
              <w:fldChar w:fldCharType="end"/>
            </w:r>
          </w:hyperlink>
        </w:p>
        <w:p w14:paraId="1EEE4B1E" w14:textId="565906DD" w:rsidR="006417AB" w:rsidRDefault="006417AB">
          <w:pPr>
            <w:pStyle w:val="TOC1"/>
            <w:tabs>
              <w:tab w:val="left" w:pos="440"/>
              <w:tab w:val="right" w:leader="dot" w:pos="9322"/>
            </w:tabs>
            <w:rPr>
              <w:rFonts w:eastAsiaTheme="minorEastAsia"/>
              <w:noProof/>
              <w:lang w:eastAsia="en-AU"/>
            </w:rPr>
          </w:pPr>
          <w:hyperlink w:anchor="_Toc94614836" w:history="1">
            <w:r w:rsidRPr="00FC2376">
              <w:rPr>
                <w:rStyle w:val="Hyperlink"/>
                <w:b/>
                <w:bCs/>
                <w:noProof/>
              </w:rPr>
              <w:t>5.</w:t>
            </w:r>
            <w:r>
              <w:rPr>
                <w:rFonts w:eastAsiaTheme="minorEastAsia"/>
                <w:noProof/>
                <w:lang w:eastAsia="en-AU"/>
              </w:rPr>
              <w:tab/>
            </w:r>
            <w:r w:rsidRPr="00FC2376">
              <w:rPr>
                <w:rStyle w:val="Hyperlink"/>
                <w:b/>
                <w:bCs/>
                <w:noProof/>
              </w:rPr>
              <w:t>What support do employers need to attract, employ and retain people with disability?</w:t>
            </w:r>
            <w:r>
              <w:rPr>
                <w:noProof/>
                <w:webHidden/>
              </w:rPr>
              <w:tab/>
            </w:r>
            <w:r>
              <w:rPr>
                <w:noProof/>
                <w:webHidden/>
              </w:rPr>
              <w:fldChar w:fldCharType="begin"/>
            </w:r>
            <w:r>
              <w:rPr>
                <w:noProof/>
                <w:webHidden/>
              </w:rPr>
              <w:instrText xml:space="preserve"> PAGEREF _Toc94614836 \h </w:instrText>
            </w:r>
            <w:r>
              <w:rPr>
                <w:noProof/>
                <w:webHidden/>
              </w:rPr>
            </w:r>
            <w:r>
              <w:rPr>
                <w:noProof/>
                <w:webHidden/>
              </w:rPr>
              <w:fldChar w:fldCharType="separate"/>
            </w:r>
            <w:r>
              <w:rPr>
                <w:noProof/>
                <w:webHidden/>
              </w:rPr>
              <w:t>5</w:t>
            </w:r>
            <w:r>
              <w:rPr>
                <w:noProof/>
                <w:webHidden/>
              </w:rPr>
              <w:fldChar w:fldCharType="end"/>
            </w:r>
          </w:hyperlink>
        </w:p>
        <w:p w14:paraId="36C4914B" w14:textId="77CAC935" w:rsidR="006417AB" w:rsidRDefault="006417AB">
          <w:pPr>
            <w:pStyle w:val="TOC1"/>
            <w:tabs>
              <w:tab w:val="left" w:pos="440"/>
              <w:tab w:val="right" w:leader="dot" w:pos="9322"/>
            </w:tabs>
            <w:rPr>
              <w:rFonts w:eastAsiaTheme="minorEastAsia"/>
              <w:noProof/>
              <w:lang w:eastAsia="en-AU"/>
            </w:rPr>
          </w:pPr>
          <w:hyperlink w:anchor="_Toc94614837" w:history="1">
            <w:r w:rsidRPr="00FC2376">
              <w:rPr>
                <w:rStyle w:val="Hyperlink"/>
                <w:b/>
                <w:bCs/>
                <w:noProof/>
              </w:rPr>
              <w:t>7.</w:t>
            </w:r>
            <w:r>
              <w:rPr>
                <w:rFonts w:eastAsiaTheme="minorEastAsia"/>
                <w:noProof/>
                <w:lang w:eastAsia="en-AU"/>
              </w:rPr>
              <w:tab/>
            </w:r>
            <w:r w:rsidRPr="00FC2376">
              <w:rPr>
                <w:rStyle w:val="Hyperlink"/>
                <w:b/>
                <w:bCs/>
                <w:noProof/>
              </w:rPr>
              <w:t>How can funding arrangements incentivise good work outcomes</w:t>
            </w:r>
            <w:r>
              <w:rPr>
                <w:noProof/>
                <w:webHidden/>
              </w:rPr>
              <w:tab/>
            </w:r>
            <w:r>
              <w:rPr>
                <w:noProof/>
                <w:webHidden/>
              </w:rPr>
              <w:fldChar w:fldCharType="begin"/>
            </w:r>
            <w:r>
              <w:rPr>
                <w:noProof/>
                <w:webHidden/>
              </w:rPr>
              <w:instrText xml:space="preserve"> PAGEREF _Toc94614837 \h </w:instrText>
            </w:r>
            <w:r>
              <w:rPr>
                <w:noProof/>
                <w:webHidden/>
              </w:rPr>
            </w:r>
            <w:r>
              <w:rPr>
                <w:noProof/>
                <w:webHidden/>
              </w:rPr>
              <w:fldChar w:fldCharType="separate"/>
            </w:r>
            <w:r>
              <w:rPr>
                <w:noProof/>
                <w:webHidden/>
              </w:rPr>
              <w:t>6</w:t>
            </w:r>
            <w:r>
              <w:rPr>
                <w:noProof/>
                <w:webHidden/>
              </w:rPr>
              <w:fldChar w:fldCharType="end"/>
            </w:r>
          </w:hyperlink>
        </w:p>
        <w:p w14:paraId="2E06CA75" w14:textId="66A22FB7" w:rsidR="006417AB" w:rsidRDefault="006417AB">
          <w:pPr>
            <w:pStyle w:val="TOC1"/>
            <w:tabs>
              <w:tab w:val="left" w:pos="440"/>
              <w:tab w:val="right" w:leader="dot" w:pos="9322"/>
            </w:tabs>
            <w:rPr>
              <w:rFonts w:eastAsiaTheme="minorEastAsia"/>
              <w:noProof/>
              <w:lang w:eastAsia="en-AU"/>
            </w:rPr>
          </w:pPr>
          <w:hyperlink w:anchor="_Toc94614838" w:history="1">
            <w:r w:rsidRPr="00FC2376">
              <w:rPr>
                <w:rStyle w:val="Hyperlink"/>
                <w:b/>
                <w:bCs/>
                <w:noProof/>
              </w:rPr>
              <w:t>8.</w:t>
            </w:r>
            <w:r>
              <w:rPr>
                <w:rFonts w:eastAsiaTheme="minorEastAsia"/>
                <w:noProof/>
                <w:lang w:eastAsia="en-AU"/>
              </w:rPr>
              <w:tab/>
            </w:r>
            <w:r w:rsidRPr="00FC2376">
              <w:rPr>
                <w:rStyle w:val="Hyperlink"/>
                <w:b/>
                <w:bCs/>
                <w:noProof/>
              </w:rPr>
              <w:t>How do we drive high quality services and supports?</w:t>
            </w:r>
            <w:r>
              <w:rPr>
                <w:noProof/>
                <w:webHidden/>
              </w:rPr>
              <w:tab/>
            </w:r>
            <w:r>
              <w:rPr>
                <w:noProof/>
                <w:webHidden/>
              </w:rPr>
              <w:fldChar w:fldCharType="begin"/>
            </w:r>
            <w:r>
              <w:rPr>
                <w:noProof/>
                <w:webHidden/>
              </w:rPr>
              <w:instrText xml:space="preserve"> PAGEREF _Toc94614838 \h </w:instrText>
            </w:r>
            <w:r>
              <w:rPr>
                <w:noProof/>
                <w:webHidden/>
              </w:rPr>
            </w:r>
            <w:r>
              <w:rPr>
                <w:noProof/>
                <w:webHidden/>
              </w:rPr>
              <w:fldChar w:fldCharType="separate"/>
            </w:r>
            <w:r>
              <w:rPr>
                <w:noProof/>
                <w:webHidden/>
              </w:rPr>
              <w:t>6</w:t>
            </w:r>
            <w:r>
              <w:rPr>
                <w:noProof/>
                <w:webHidden/>
              </w:rPr>
              <w:fldChar w:fldCharType="end"/>
            </w:r>
          </w:hyperlink>
        </w:p>
        <w:p w14:paraId="5591A6AC" w14:textId="05E956D9" w:rsidR="006417AB" w:rsidRDefault="006417AB">
          <w:pPr>
            <w:pStyle w:val="TOC1"/>
            <w:tabs>
              <w:tab w:val="left" w:pos="440"/>
              <w:tab w:val="right" w:leader="dot" w:pos="9322"/>
            </w:tabs>
            <w:rPr>
              <w:rFonts w:eastAsiaTheme="minorEastAsia"/>
              <w:noProof/>
              <w:lang w:eastAsia="en-AU"/>
            </w:rPr>
          </w:pPr>
          <w:hyperlink w:anchor="_Toc94614839" w:history="1">
            <w:r w:rsidRPr="00FC2376">
              <w:rPr>
                <w:rStyle w:val="Hyperlink"/>
                <w:b/>
                <w:bCs/>
                <w:noProof/>
              </w:rPr>
              <w:t>9.</w:t>
            </w:r>
            <w:r>
              <w:rPr>
                <w:rFonts w:eastAsiaTheme="minorEastAsia"/>
                <w:noProof/>
                <w:lang w:eastAsia="en-AU"/>
              </w:rPr>
              <w:tab/>
            </w:r>
            <w:r w:rsidRPr="00FC2376">
              <w:rPr>
                <w:rStyle w:val="Hyperlink"/>
                <w:b/>
                <w:bCs/>
                <w:noProof/>
              </w:rPr>
              <w:t>How do we measure success?</w:t>
            </w:r>
            <w:r>
              <w:rPr>
                <w:noProof/>
                <w:webHidden/>
              </w:rPr>
              <w:tab/>
            </w:r>
            <w:r>
              <w:rPr>
                <w:noProof/>
                <w:webHidden/>
              </w:rPr>
              <w:fldChar w:fldCharType="begin"/>
            </w:r>
            <w:r>
              <w:rPr>
                <w:noProof/>
                <w:webHidden/>
              </w:rPr>
              <w:instrText xml:space="preserve"> PAGEREF _Toc94614839 \h </w:instrText>
            </w:r>
            <w:r>
              <w:rPr>
                <w:noProof/>
                <w:webHidden/>
              </w:rPr>
            </w:r>
            <w:r>
              <w:rPr>
                <w:noProof/>
                <w:webHidden/>
              </w:rPr>
              <w:fldChar w:fldCharType="separate"/>
            </w:r>
            <w:r>
              <w:rPr>
                <w:noProof/>
                <w:webHidden/>
              </w:rPr>
              <w:t>6</w:t>
            </w:r>
            <w:r>
              <w:rPr>
                <w:noProof/>
                <w:webHidden/>
              </w:rPr>
              <w:fldChar w:fldCharType="end"/>
            </w:r>
          </w:hyperlink>
        </w:p>
        <w:p w14:paraId="1C7E6F00" w14:textId="4FB3E8DA" w:rsidR="00A33A93" w:rsidRDefault="00A33A93">
          <w:r>
            <w:rPr>
              <w:b/>
              <w:bCs/>
              <w:noProof/>
            </w:rPr>
            <w:fldChar w:fldCharType="end"/>
          </w:r>
        </w:p>
      </w:sdtContent>
    </w:sdt>
    <w:p w14:paraId="69AF8D90" w14:textId="77777777" w:rsidR="00032CAE" w:rsidRDefault="00032CAE" w:rsidP="0026418E"/>
    <w:p w14:paraId="765D1D2D" w14:textId="66679871" w:rsidR="00CE1239" w:rsidRDefault="00CE1239">
      <w:pPr>
        <w:rPr>
          <w:b/>
          <w:bCs/>
          <w:u w:val="single"/>
        </w:rPr>
      </w:pPr>
      <w:r>
        <w:br w:type="page"/>
      </w:r>
    </w:p>
    <w:p w14:paraId="7A362B50" w14:textId="47E1CF0B" w:rsidR="00D81FBF" w:rsidRPr="00E2419B" w:rsidRDefault="00D81FBF" w:rsidP="00E2419B">
      <w:pPr>
        <w:pStyle w:val="Heading1"/>
        <w:numPr>
          <w:ilvl w:val="0"/>
          <w:numId w:val="3"/>
        </w:numPr>
        <w:ind w:left="426" w:hanging="426"/>
      </w:pPr>
      <w:bookmarkStart w:id="1" w:name="_Toc94614832"/>
      <w:r w:rsidRPr="00A61047">
        <w:rPr>
          <w:b/>
          <w:bCs/>
        </w:rPr>
        <w:t>Wh</w:t>
      </w:r>
      <w:r w:rsidR="00DA6B59" w:rsidRPr="00A61047">
        <w:rPr>
          <w:b/>
          <w:bCs/>
        </w:rPr>
        <w:t xml:space="preserve">o should be able to access </w:t>
      </w:r>
      <w:r w:rsidR="004F57A4" w:rsidRPr="00A61047">
        <w:rPr>
          <w:b/>
          <w:bCs/>
        </w:rPr>
        <w:t>a specialist disability employment</w:t>
      </w:r>
      <w:r w:rsidR="004F57A4" w:rsidRPr="00E2419B">
        <w:t xml:space="preserve"> program?</w:t>
      </w:r>
      <w:bookmarkEnd w:id="1"/>
    </w:p>
    <w:p w14:paraId="236EDB85" w14:textId="381111C5" w:rsidR="00AB2F51" w:rsidRDefault="00C3711F" w:rsidP="00EB7B84">
      <w:pPr>
        <w:autoSpaceDE w:val="0"/>
        <w:autoSpaceDN w:val="0"/>
        <w:adjustRightInd w:val="0"/>
        <w:spacing w:after="0" w:line="240" w:lineRule="auto"/>
      </w:pPr>
      <w:r>
        <w:t>P</w:t>
      </w:r>
      <w:r w:rsidR="00751B08">
        <w:t xml:space="preserve">articipants who </w:t>
      </w:r>
      <w:r w:rsidR="00641430">
        <w:t xml:space="preserve">have a disability </w:t>
      </w:r>
      <w:r w:rsidR="005A4745">
        <w:t>which aligns with a specialist provider</w:t>
      </w:r>
      <w:r w:rsidR="00AA7E65">
        <w:t xml:space="preserve"> should be offered the opportunity </w:t>
      </w:r>
      <w:r w:rsidR="004B7716">
        <w:t>to access that specialist.</w:t>
      </w:r>
      <w:r w:rsidR="00E67751">
        <w:t xml:space="preserve"> </w:t>
      </w:r>
      <w:r w:rsidR="00306C0B">
        <w:t xml:space="preserve">There is also the </w:t>
      </w:r>
      <w:r w:rsidR="009C0B03">
        <w:t>question</w:t>
      </w:r>
      <w:r w:rsidR="00306C0B">
        <w:t xml:space="preserve">, </w:t>
      </w:r>
      <w:r w:rsidR="009C0B03">
        <w:t>should specialist</w:t>
      </w:r>
      <w:r w:rsidR="00306C0B">
        <w:t xml:space="preserve"> providers</w:t>
      </w:r>
      <w:r w:rsidR="009C0B03">
        <w:t xml:space="preserve"> </w:t>
      </w:r>
      <w:proofErr w:type="gramStart"/>
      <w:r w:rsidR="009C0B03">
        <w:t>have the opportunity to</w:t>
      </w:r>
      <w:proofErr w:type="gramEnd"/>
      <w:r w:rsidR="009C0B03">
        <w:t xml:space="preserve"> </w:t>
      </w:r>
      <w:r w:rsidR="00AF2550">
        <w:t>receive referrals of participants who do not meet their specialisation</w:t>
      </w:r>
      <w:r w:rsidR="00306C0B">
        <w:t>?</w:t>
      </w:r>
      <w:r w:rsidR="00AF2550">
        <w:t xml:space="preserve"> Generally</w:t>
      </w:r>
      <w:r w:rsidR="008547F1">
        <w:t>,</w:t>
      </w:r>
      <w:r w:rsidR="00AF2550">
        <w:t xml:space="preserve"> </w:t>
      </w:r>
      <w:r w:rsidR="004A63F1">
        <w:t>we</w:t>
      </w:r>
      <w:r w:rsidR="00AF2550">
        <w:t xml:space="preserve"> think the existing rule, which is specialists ca</w:t>
      </w:r>
      <w:r w:rsidR="0005090B">
        <w:t>n only receive referrals of participants who meet the speciality is fine and should</w:t>
      </w:r>
      <w:r w:rsidR="00DE7D59">
        <w:t xml:space="preserve"> remain.</w:t>
      </w:r>
    </w:p>
    <w:p w14:paraId="612B194C" w14:textId="77777777" w:rsidR="00AB2F51" w:rsidRDefault="00AB2F51" w:rsidP="00EB7B84">
      <w:pPr>
        <w:autoSpaceDE w:val="0"/>
        <w:autoSpaceDN w:val="0"/>
        <w:adjustRightInd w:val="0"/>
        <w:spacing w:after="0" w:line="240" w:lineRule="auto"/>
      </w:pPr>
    </w:p>
    <w:p w14:paraId="062D1387" w14:textId="51173CE9" w:rsidR="00F162DF" w:rsidRDefault="00F162DF" w:rsidP="00F162DF">
      <w:pPr>
        <w:autoSpaceDE w:val="0"/>
        <w:autoSpaceDN w:val="0"/>
        <w:adjustRightInd w:val="0"/>
        <w:spacing w:after="0" w:line="240" w:lineRule="auto"/>
      </w:pPr>
      <w:r>
        <w:t xml:space="preserve">We believe the DES program should be </w:t>
      </w:r>
      <w:r w:rsidR="00E15C5F">
        <w:t xml:space="preserve">available </w:t>
      </w:r>
      <w:r>
        <w:t>to anyone with a disability who wants to gain employment</w:t>
      </w:r>
      <w:r w:rsidR="00613EBA" w:rsidRPr="00613EBA">
        <w:t xml:space="preserve"> </w:t>
      </w:r>
      <w:r w:rsidR="00613EBA">
        <w:t>in the open labour market</w:t>
      </w:r>
      <w:r>
        <w:t>, unfortunately a well-meaning attempt to achieve this in the 2018-2023 DES program, we believe, was the main reason for the dramatic increase in unbudgeted funding expenditure.</w:t>
      </w:r>
    </w:p>
    <w:p w14:paraId="0A52D646" w14:textId="77777777" w:rsidR="00F162DF" w:rsidRDefault="00F162DF" w:rsidP="00F162DF">
      <w:pPr>
        <w:autoSpaceDE w:val="0"/>
        <w:autoSpaceDN w:val="0"/>
        <w:adjustRightInd w:val="0"/>
        <w:spacing w:after="0" w:line="240" w:lineRule="auto"/>
      </w:pPr>
      <w:r>
        <w:t>If this cannot be achieved, then any citizen who is receiving income support and has a recorded disability should be provided the opportunity to access DES.</w:t>
      </w:r>
    </w:p>
    <w:p w14:paraId="179B72C3" w14:textId="77777777" w:rsidR="00EA5534" w:rsidRDefault="00EA5534" w:rsidP="00EA5534">
      <w:pPr>
        <w:autoSpaceDE w:val="0"/>
        <w:autoSpaceDN w:val="0"/>
        <w:adjustRightInd w:val="0"/>
        <w:spacing w:after="0" w:line="240" w:lineRule="auto"/>
      </w:pPr>
    </w:p>
    <w:p w14:paraId="2AE14056" w14:textId="1FBC9383" w:rsidR="00D54B17" w:rsidRDefault="00D54B17" w:rsidP="00AF0B27">
      <w:pPr>
        <w:autoSpaceDE w:val="0"/>
        <w:autoSpaceDN w:val="0"/>
        <w:adjustRightInd w:val="0"/>
        <w:spacing w:after="0" w:line="240" w:lineRule="auto"/>
      </w:pPr>
      <w:r>
        <w:t xml:space="preserve">The Australian labour market is changing </w:t>
      </w:r>
      <w:r w:rsidR="00015D80">
        <w:t>with casual, part</w:t>
      </w:r>
      <w:r w:rsidR="00035DAC">
        <w:t>-</w:t>
      </w:r>
      <w:r w:rsidR="00015D80">
        <w:t>time work</w:t>
      </w:r>
      <w:r w:rsidR="00035DAC">
        <w:t>,</w:t>
      </w:r>
      <w:r w:rsidR="00015D80">
        <w:t xml:space="preserve"> along with the Gig economy</w:t>
      </w:r>
      <w:r w:rsidR="00035DAC">
        <w:t>,</w:t>
      </w:r>
      <w:r w:rsidR="00015D80">
        <w:t xml:space="preserve"> featuring widely in the employment landscape. </w:t>
      </w:r>
      <w:r w:rsidR="00997AE3">
        <w:t xml:space="preserve">Acknowledgement </w:t>
      </w:r>
      <w:r w:rsidR="009B379F">
        <w:t>of these roles as genuine employment opportunities</w:t>
      </w:r>
      <w:r w:rsidR="005B41AC">
        <w:t xml:space="preserve"> should </w:t>
      </w:r>
      <w:r w:rsidR="005D660C">
        <w:t>be</w:t>
      </w:r>
      <w:r w:rsidR="005B41AC">
        <w:t xml:space="preserve"> included in future DES programs.</w:t>
      </w:r>
      <w:r w:rsidR="00B348F6">
        <w:t xml:space="preserve"> Consideration should also be given to self-employment</w:t>
      </w:r>
      <w:r w:rsidR="00EE62B3">
        <w:t xml:space="preserve">, especially the reality that earnings </w:t>
      </w:r>
      <w:r w:rsidR="003B32CF">
        <w:t xml:space="preserve">usually build over time. </w:t>
      </w:r>
      <w:r w:rsidR="009B379F">
        <w:t>Therefore,</w:t>
      </w:r>
      <w:r w:rsidR="003B32CF">
        <w:t xml:space="preserve"> ensuring alignment with the mini</w:t>
      </w:r>
      <w:r w:rsidR="00A260E0">
        <w:t xml:space="preserve">mum National wage is difficult with many roles in the gig </w:t>
      </w:r>
      <w:r w:rsidR="000F44EA">
        <w:t>economy</w:t>
      </w:r>
      <w:r w:rsidR="00A260E0">
        <w:t xml:space="preserve"> and self-employment</w:t>
      </w:r>
      <w:r w:rsidR="000F44EA">
        <w:t>, whilst we do not want our participants taken advantage o</w:t>
      </w:r>
      <w:r w:rsidR="00F81692">
        <w:t>f, consultation with the industry should occur to identify other benchmarks that may mee</w:t>
      </w:r>
      <w:r w:rsidR="007B0597">
        <w:t>t the requirements of future programs.</w:t>
      </w:r>
    </w:p>
    <w:p w14:paraId="23676325" w14:textId="77777777" w:rsidR="00AF0B27" w:rsidRDefault="00AF0B27" w:rsidP="00AF0B27">
      <w:pPr>
        <w:autoSpaceDE w:val="0"/>
        <w:autoSpaceDN w:val="0"/>
        <w:adjustRightInd w:val="0"/>
        <w:spacing w:after="0" w:line="240" w:lineRule="auto"/>
      </w:pPr>
    </w:p>
    <w:p w14:paraId="241460DD" w14:textId="2F994D9E" w:rsidR="00AF0B27" w:rsidRDefault="00E479E0" w:rsidP="0013099A">
      <w:pPr>
        <w:autoSpaceDE w:val="0"/>
        <w:autoSpaceDN w:val="0"/>
        <w:adjustRightInd w:val="0"/>
        <w:spacing w:after="0" w:line="240" w:lineRule="auto"/>
      </w:pPr>
      <w:r>
        <w:t xml:space="preserve">Elements </w:t>
      </w:r>
      <w:r w:rsidR="00305AA1">
        <w:t>of all employment services</w:t>
      </w:r>
      <w:r w:rsidR="009E0197">
        <w:t xml:space="preserve"> which are common need to better align, </w:t>
      </w:r>
      <w:r w:rsidR="00482012">
        <w:t>a good example is</w:t>
      </w:r>
      <w:r w:rsidR="009E0197">
        <w:t xml:space="preserve"> wage subsidies</w:t>
      </w:r>
      <w:r w:rsidR="00424574">
        <w:t>, NESM have a broader range of wage subsidies than DES, some wage subsidies</w:t>
      </w:r>
      <w:r w:rsidR="00B60D3E">
        <w:t xml:space="preserve"> in NESM</w:t>
      </w:r>
      <w:r w:rsidR="00424574">
        <w:t xml:space="preserve"> are targeted </w:t>
      </w:r>
      <w:r w:rsidR="00B60D3E">
        <w:t>at a specific demographic such as youth, yet youth in DES cannot access this wage subsidy.</w:t>
      </w:r>
    </w:p>
    <w:p w14:paraId="5654D571" w14:textId="22C8BA2B" w:rsidR="00CA0AFA" w:rsidRDefault="00CA0AFA" w:rsidP="0013099A">
      <w:pPr>
        <w:autoSpaceDE w:val="0"/>
        <w:autoSpaceDN w:val="0"/>
        <w:adjustRightInd w:val="0"/>
        <w:spacing w:after="0" w:line="240" w:lineRule="auto"/>
      </w:pPr>
      <w:r>
        <w:t xml:space="preserve">There also needs to be acceptance and acknowledgment that </w:t>
      </w:r>
      <w:r w:rsidR="00336AC7">
        <w:t>some aspects of each program will not align, Ongoing support is an example of this.</w:t>
      </w:r>
    </w:p>
    <w:p w14:paraId="3001D161" w14:textId="77777777" w:rsidR="0013099A" w:rsidRDefault="0013099A" w:rsidP="0013099A">
      <w:pPr>
        <w:autoSpaceDE w:val="0"/>
        <w:autoSpaceDN w:val="0"/>
        <w:adjustRightInd w:val="0"/>
        <w:spacing w:after="0" w:line="240" w:lineRule="auto"/>
      </w:pPr>
    </w:p>
    <w:p w14:paraId="18E79B54" w14:textId="052F7392" w:rsidR="00B0486D" w:rsidRDefault="00362A16" w:rsidP="00D81FBF">
      <w:pPr>
        <w:autoSpaceDE w:val="0"/>
        <w:autoSpaceDN w:val="0"/>
        <w:adjustRightInd w:val="0"/>
        <w:spacing w:after="0" w:line="240" w:lineRule="auto"/>
      </w:pPr>
      <w:r>
        <w:t xml:space="preserve">One of the 2018 initiatives in DES was to open the program to </w:t>
      </w:r>
      <w:r w:rsidR="00D513E8">
        <w:t>people with a disability</w:t>
      </w:r>
      <w:r>
        <w:t xml:space="preserve"> not on income support</w:t>
      </w:r>
      <w:r w:rsidR="00D513E8">
        <w:t xml:space="preserve">, it is fair to say that many </w:t>
      </w:r>
      <w:r w:rsidR="00A8015C">
        <w:t>were quite a distance from the labour market or had never had a job. Whilst well intentioned</w:t>
      </w:r>
      <w:r w:rsidR="004500E0">
        <w:t xml:space="preserve"> the cost of this </w:t>
      </w:r>
      <w:r w:rsidR="00E81FBF">
        <w:t>initiative</w:t>
      </w:r>
      <w:r w:rsidR="004500E0">
        <w:t xml:space="preserve"> was substantial</w:t>
      </w:r>
      <w:r w:rsidR="00B0486D">
        <w:t xml:space="preserve"> and</w:t>
      </w:r>
      <w:r w:rsidR="00A8015C">
        <w:t xml:space="preserve"> the </w:t>
      </w:r>
      <w:r w:rsidR="002B7B12">
        <w:t>Government has since changed this aspect of DES</w:t>
      </w:r>
      <w:r w:rsidR="00B0486D">
        <w:t xml:space="preserve">, </w:t>
      </w:r>
      <w:r w:rsidR="002B7B12">
        <w:t xml:space="preserve">this group can no longer access DES. </w:t>
      </w:r>
    </w:p>
    <w:p w14:paraId="3F67D870" w14:textId="73620123" w:rsidR="00AB2F51" w:rsidRDefault="00B0486D" w:rsidP="00D81FBF">
      <w:pPr>
        <w:autoSpaceDE w:val="0"/>
        <w:autoSpaceDN w:val="0"/>
        <w:adjustRightInd w:val="0"/>
        <w:spacing w:after="0" w:line="240" w:lineRule="auto"/>
      </w:pPr>
      <w:r>
        <w:t>People with a disability</w:t>
      </w:r>
      <w:r w:rsidR="00547BF4">
        <w:t>,</w:t>
      </w:r>
      <w:r>
        <w:t xml:space="preserve"> not on income support</w:t>
      </w:r>
      <w:r w:rsidR="00547BF4">
        <w:t>,</w:t>
      </w:r>
      <w:r w:rsidR="007737EE">
        <w:t xml:space="preserve"> should be </w:t>
      </w:r>
      <w:r>
        <w:t xml:space="preserve">able to use their </w:t>
      </w:r>
      <w:r w:rsidR="00E00222">
        <w:t>NDIS funding whe</w:t>
      </w:r>
      <w:r w:rsidR="006C2078">
        <w:t>re</w:t>
      </w:r>
      <w:r w:rsidR="00E00222">
        <w:t xml:space="preserve"> it relates to employment </w:t>
      </w:r>
      <w:r w:rsidR="006C2078">
        <w:t xml:space="preserve">to purchase </w:t>
      </w:r>
      <w:r w:rsidR="00392B87">
        <w:t xml:space="preserve">DES services. </w:t>
      </w:r>
      <w:r w:rsidR="00C5703B">
        <w:t>The participant would still be able to choose their provider and even negotiate the employment service they need.</w:t>
      </w:r>
      <w:r w:rsidR="001A525B">
        <w:t xml:space="preserve"> </w:t>
      </w:r>
      <w:r w:rsidR="00C52B0F">
        <w:t xml:space="preserve">There are many ways this may </w:t>
      </w:r>
      <w:r w:rsidR="004034B2">
        <w:t>work,</w:t>
      </w:r>
      <w:r w:rsidR="00C52B0F">
        <w:t xml:space="preserve"> and we recommend consultation with all stakeholders to identify the best </w:t>
      </w:r>
      <w:r w:rsidR="00AB2593">
        <w:t>model. One option may be the NDIS funding pays for the service fee and ongoing support components of DES</w:t>
      </w:r>
      <w:r w:rsidR="00E13F5D">
        <w:t>, but DSS still pay the provider an outcome fee.</w:t>
      </w:r>
      <w:r w:rsidR="001A525B">
        <w:t xml:space="preserve">                                                                                        </w:t>
      </w:r>
      <w:r w:rsidR="00536291">
        <w:t xml:space="preserve"> </w:t>
      </w:r>
    </w:p>
    <w:p w14:paraId="67540893" w14:textId="77777777" w:rsidR="00586400" w:rsidRDefault="00586400" w:rsidP="00D81FBF">
      <w:pPr>
        <w:autoSpaceDE w:val="0"/>
        <w:autoSpaceDN w:val="0"/>
        <w:adjustRightInd w:val="0"/>
        <w:spacing w:after="0" w:line="240" w:lineRule="auto"/>
      </w:pPr>
    </w:p>
    <w:p w14:paraId="45FA5F94" w14:textId="77777777" w:rsidR="002777F1" w:rsidRDefault="002777F1" w:rsidP="00D81FBF">
      <w:pPr>
        <w:autoSpaceDE w:val="0"/>
        <w:autoSpaceDN w:val="0"/>
        <w:adjustRightInd w:val="0"/>
        <w:spacing w:after="0" w:line="240" w:lineRule="auto"/>
      </w:pPr>
    </w:p>
    <w:p w14:paraId="21839362" w14:textId="77777777" w:rsidR="004403B6" w:rsidRDefault="004403B6">
      <w:pPr>
        <w:rPr>
          <w:rFonts w:asciiTheme="majorHAnsi" w:eastAsiaTheme="majorEastAsia" w:hAnsiTheme="majorHAnsi" w:cstheme="majorBidi"/>
          <w:b/>
          <w:bCs/>
          <w:color w:val="2F5496" w:themeColor="accent1" w:themeShade="BF"/>
          <w:sz w:val="32"/>
          <w:szCs w:val="32"/>
        </w:rPr>
      </w:pPr>
      <w:bookmarkStart w:id="2" w:name="_Toc94614833"/>
      <w:r>
        <w:rPr>
          <w:b/>
          <w:bCs/>
        </w:rPr>
        <w:br w:type="page"/>
      </w:r>
    </w:p>
    <w:p w14:paraId="0B540866" w14:textId="281DFD1A" w:rsidR="00975D69" w:rsidRPr="00A61047" w:rsidRDefault="00F76C12" w:rsidP="00E2419B">
      <w:pPr>
        <w:pStyle w:val="Heading1"/>
        <w:numPr>
          <w:ilvl w:val="0"/>
          <w:numId w:val="3"/>
        </w:numPr>
        <w:ind w:left="426" w:hanging="426"/>
        <w:rPr>
          <w:b/>
          <w:bCs/>
        </w:rPr>
      </w:pPr>
      <w:r w:rsidRPr="00A61047">
        <w:rPr>
          <w:b/>
          <w:bCs/>
        </w:rPr>
        <w:t>How can we simplify entry to the disability employment support model?</w:t>
      </w:r>
      <w:bookmarkEnd w:id="2"/>
    </w:p>
    <w:p w14:paraId="7D9D7F0A" w14:textId="59561D6F" w:rsidR="00C01B6E" w:rsidRDefault="00C01B6E" w:rsidP="00C01B6E">
      <w:pPr>
        <w:autoSpaceDE w:val="0"/>
        <w:autoSpaceDN w:val="0"/>
        <w:adjustRightInd w:val="0"/>
        <w:spacing w:after="0" w:line="240" w:lineRule="auto"/>
      </w:pPr>
      <w:r>
        <w:t>If a person receiving income support has a disability recorded on their file, they should be given the option to choose DES, under the current program structure this would require them to undertake a</w:t>
      </w:r>
      <w:r w:rsidR="00A77C0A">
        <w:t>n</w:t>
      </w:r>
      <w:r>
        <w:t xml:space="preserve"> E</w:t>
      </w:r>
      <w:r w:rsidR="006821FB">
        <w:t>SAt</w:t>
      </w:r>
      <w:r w:rsidR="00000727">
        <w:t xml:space="preserve">, primarily to establish benchmark hours. If benchmark hours are </w:t>
      </w:r>
      <w:r w:rsidR="008547F1">
        <w:t>retained,</w:t>
      </w:r>
      <w:r w:rsidR="00000727">
        <w:t xml:space="preserve"> we support the application of the ESAt to establish this </w:t>
      </w:r>
      <w:r w:rsidR="00F62A1C">
        <w:t>measure,</w:t>
      </w:r>
      <w:r w:rsidR="00974CF2">
        <w:t xml:space="preserve"> but consideration should be given to </w:t>
      </w:r>
      <w:r w:rsidR="00D517D5">
        <w:t xml:space="preserve">the need for </w:t>
      </w:r>
      <w:r w:rsidR="00974CF2">
        <w:t xml:space="preserve">subsequent iterations of the </w:t>
      </w:r>
      <w:r w:rsidR="00D517D5">
        <w:t>ESAt</w:t>
      </w:r>
      <w:r w:rsidR="008362B1">
        <w:t>, removing these would reduce workload for providers and Services Australia.</w:t>
      </w:r>
    </w:p>
    <w:p w14:paraId="454F4919" w14:textId="77777777" w:rsidR="00C01B6E" w:rsidRDefault="00C01B6E" w:rsidP="006646B9">
      <w:pPr>
        <w:autoSpaceDE w:val="0"/>
        <w:autoSpaceDN w:val="0"/>
        <w:adjustRightInd w:val="0"/>
        <w:spacing w:after="0" w:line="240" w:lineRule="auto"/>
      </w:pPr>
    </w:p>
    <w:p w14:paraId="63A80DE6" w14:textId="67AE9C1C" w:rsidR="00DF5BC7" w:rsidRPr="00A74DD4" w:rsidRDefault="00DA17B7" w:rsidP="00DF5BC7">
      <w:pPr>
        <w:autoSpaceDE w:val="0"/>
        <w:autoSpaceDN w:val="0"/>
        <w:adjustRightInd w:val="0"/>
        <w:spacing w:after="0" w:line="240" w:lineRule="auto"/>
      </w:pPr>
      <w:r>
        <w:t xml:space="preserve">The assessment process needs to focus on what </w:t>
      </w:r>
      <w:r w:rsidR="00491EB8">
        <w:t>a</w:t>
      </w:r>
      <w:r>
        <w:t xml:space="preserve"> person with a disability can do, rather than the existing Benchmark</w:t>
      </w:r>
      <w:r w:rsidR="007F1D3F">
        <w:t>s which are based on the medical model o</w:t>
      </w:r>
      <w:r w:rsidR="00491EB8">
        <w:t>f</w:t>
      </w:r>
      <w:r w:rsidR="007F1D3F">
        <w:t xml:space="preserve"> disability</w:t>
      </w:r>
      <w:r w:rsidR="00423B9A">
        <w:rPr>
          <w:rStyle w:val="FootnoteReference"/>
        </w:rPr>
        <w:footnoteReference w:id="4"/>
      </w:r>
      <w:r w:rsidR="00825288">
        <w:t xml:space="preserve">. </w:t>
      </w:r>
      <w:r w:rsidR="002D5DE8">
        <w:t>The existing assessment</w:t>
      </w:r>
      <w:r w:rsidR="00A64A59">
        <w:t xml:space="preserve"> focuses on perceived deficits rather </w:t>
      </w:r>
      <w:r w:rsidR="00491EB8">
        <w:t>than what a person with a disability can do.</w:t>
      </w:r>
    </w:p>
    <w:p w14:paraId="7D30253D" w14:textId="77777777" w:rsidR="00DF5BC7" w:rsidRPr="00A74DD4" w:rsidRDefault="00DF5BC7" w:rsidP="00DF5BC7">
      <w:pPr>
        <w:autoSpaceDE w:val="0"/>
        <w:autoSpaceDN w:val="0"/>
        <w:adjustRightInd w:val="0"/>
        <w:spacing w:after="0" w:line="240" w:lineRule="auto"/>
      </w:pPr>
    </w:p>
    <w:p w14:paraId="418B6EB6" w14:textId="604961D4" w:rsidR="00A74DD4" w:rsidRDefault="004E30E1" w:rsidP="00A74DD4">
      <w:pPr>
        <w:autoSpaceDE w:val="0"/>
        <w:autoSpaceDN w:val="0"/>
        <w:adjustRightInd w:val="0"/>
        <w:spacing w:after="0" w:line="240" w:lineRule="auto"/>
      </w:pPr>
      <w:r>
        <w:t xml:space="preserve">The assessment should put the </w:t>
      </w:r>
      <w:r w:rsidR="00724374">
        <w:t xml:space="preserve">person at the centre of the model. In doing this consideration should be given to </w:t>
      </w:r>
      <w:r w:rsidR="00ED1D6B">
        <w:t>the work type and ability of the person to secure employme</w:t>
      </w:r>
      <w:r w:rsidR="00B65D4B">
        <w:t>nt in their chosen field</w:t>
      </w:r>
      <w:r w:rsidR="00C4194A">
        <w:t xml:space="preserve">, the hours they </w:t>
      </w:r>
      <w:r w:rsidR="004D50A9">
        <w:t xml:space="preserve">want to work and barriers they </w:t>
      </w:r>
      <w:r w:rsidR="00663CE4">
        <w:t>have</w:t>
      </w:r>
      <w:r w:rsidR="004D50A9">
        <w:t xml:space="preserve"> </w:t>
      </w:r>
      <w:r w:rsidR="00663CE4">
        <w:t>in</w:t>
      </w:r>
      <w:r w:rsidR="004D50A9">
        <w:t xml:space="preserve"> gaining employment in their chosen field.</w:t>
      </w:r>
    </w:p>
    <w:p w14:paraId="2ABAAF3C" w14:textId="77777777" w:rsidR="00A74DD4" w:rsidRDefault="00A74DD4" w:rsidP="00A74DD4">
      <w:pPr>
        <w:autoSpaceDE w:val="0"/>
        <w:autoSpaceDN w:val="0"/>
        <w:adjustRightInd w:val="0"/>
        <w:spacing w:after="0" w:line="240" w:lineRule="auto"/>
      </w:pPr>
    </w:p>
    <w:p w14:paraId="49017C1F" w14:textId="649EF001" w:rsidR="00A74DD4" w:rsidRDefault="00B04F56" w:rsidP="00A74DD4">
      <w:pPr>
        <w:autoSpaceDE w:val="0"/>
        <w:autoSpaceDN w:val="0"/>
        <w:adjustRightInd w:val="0"/>
        <w:spacing w:after="0" w:line="240" w:lineRule="auto"/>
      </w:pPr>
      <w:r w:rsidRPr="00B04F56">
        <w:t>The DES program is the central vehicle to assist and support people with disability on their pathway to a job. No other employment program in Australia achieves the employment outcome rate of DES. There is not a model as well developed and delivering in any like jurisdiction in the world compared to DES.</w:t>
      </w:r>
      <w:r w:rsidR="002846C0">
        <w:t xml:space="preserve"> </w:t>
      </w:r>
      <w:r w:rsidR="009F59A4">
        <w:t>The user centric model</w:t>
      </w:r>
      <w:r w:rsidR="008026EB">
        <w:t>, which we support, says the participant is the one who should choose</w:t>
      </w:r>
      <w:r w:rsidR="0077499F">
        <w:t xml:space="preserve">. It is important that the participant </w:t>
      </w:r>
      <w:r w:rsidR="0081068C">
        <w:t>can</w:t>
      </w:r>
      <w:r w:rsidR="0077499F">
        <w:t xml:space="preserve"> make an informed choice, this means </w:t>
      </w:r>
      <w:r w:rsidR="0029402A">
        <w:t>more information should be publicly available to inform their choice.</w:t>
      </w:r>
    </w:p>
    <w:p w14:paraId="02988BB1" w14:textId="77777777" w:rsidR="00A74DD4" w:rsidRDefault="00A74DD4" w:rsidP="00A74DD4">
      <w:pPr>
        <w:autoSpaceDE w:val="0"/>
        <w:autoSpaceDN w:val="0"/>
        <w:adjustRightInd w:val="0"/>
        <w:spacing w:after="0" w:line="240" w:lineRule="auto"/>
      </w:pPr>
    </w:p>
    <w:p w14:paraId="260595D6" w14:textId="77777777" w:rsidR="00A74DD4" w:rsidRDefault="00A74DD4" w:rsidP="00A74DD4">
      <w:pPr>
        <w:autoSpaceDE w:val="0"/>
        <w:autoSpaceDN w:val="0"/>
        <w:adjustRightInd w:val="0"/>
        <w:spacing w:after="0" w:line="240" w:lineRule="auto"/>
      </w:pPr>
    </w:p>
    <w:p w14:paraId="2F8F936C" w14:textId="127EE014" w:rsidR="00D81FBF" w:rsidRPr="00A61047" w:rsidRDefault="00D81FBF" w:rsidP="00E2419B">
      <w:pPr>
        <w:pStyle w:val="Heading1"/>
        <w:numPr>
          <w:ilvl w:val="0"/>
          <w:numId w:val="3"/>
        </w:numPr>
        <w:ind w:left="426" w:hanging="426"/>
        <w:rPr>
          <w:b/>
          <w:bCs/>
        </w:rPr>
      </w:pPr>
      <w:bookmarkStart w:id="3" w:name="_Toc94614834"/>
      <w:r w:rsidRPr="00A61047">
        <w:rPr>
          <w:b/>
          <w:bCs/>
        </w:rPr>
        <w:t xml:space="preserve">What </w:t>
      </w:r>
      <w:r w:rsidR="00D90AA1" w:rsidRPr="00A61047">
        <w:rPr>
          <w:b/>
          <w:bCs/>
        </w:rPr>
        <w:t>employment services and supports would most help people with a disabili</w:t>
      </w:r>
      <w:r w:rsidR="00EA22E6" w:rsidRPr="00A61047">
        <w:rPr>
          <w:b/>
          <w:bCs/>
        </w:rPr>
        <w:t>ty?</w:t>
      </w:r>
      <w:bookmarkEnd w:id="3"/>
    </w:p>
    <w:p w14:paraId="113F13D5" w14:textId="347AC342" w:rsidR="00FB64B3" w:rsidRDefault="00DD2562" w:rsidP="00266074">
      <w:pPr>
        <w:autoSpaceDE w:val="0"/>
        <w:autoSpaceDN w:val="0"/>
        <w:adjustRightInd w:val="0"/>
        <w:spacing w:after="0" w:line="240" w:lineRule="auto"/>
      </w:pPr>
      <w:r>
        <w:t>This</w:t>
      </w:r>
      <w:r w:rsidR="00B231C7">
        <w:t xml:space="preserve"> question may elicit some </w:t>
      </w:r>
      <w:r>
        <w:t xml:space="preserve">complex </w:t>
      </w:r>
      <w:r w:rsidR="00B231C7">
        <w:t>responses</w:t>
      </w:r>
      <w:r w:rsidR="00EA553A">
        <w:t xml:space="preserve">, but rather than going to the complexity we believe it </w:t>
      </w:r>
      <w:r w:rsidR="00F40115">
        <w:t xml:space="preserve">can be simplified into </w:t>
      </w:r>
      <w:r w:rsidR="00005891">
        <w:t>5</w:t>
      </w:r>
      <w:r w:rsidR="00F40115">
        <w:t xml:space="preserve"> stages</w:t>
      </w:r>
      <w:r w:rsidR="001D0C3C">
        <w:t xml:space="preserve">, </w:t>
      </w:r>
      <w:r w:rsidR="00005891">
        <w:t xml:space="preserve">understanding the destination, </w:t>
      </w:r>
      <w:r w:rsidR="001D0C3C">
        <w:t xml:space="preserve">addressing the </w:t>
      </w:r>
      <w:r w:rsidR="00F261C2">
        <w:t>individuals’</w:t>
      </w:r>
      <w:r w:rsidR="006C2A81">
        <w:t xml:space="preserve"> challenges, </w:t>
      </w:r>
      <w:proofErr w:type="gramStart"/>
      <w:r w:rsidR="00F261C2">
        <w:t>identifying</w:t>
      </w:r>
      <w:proofErr w:type="gramEnd"/>
      <w:r w:rsidR="00F261C2">
        <w:t xml:space="preserve"> and assisting them gain the skills needed </w:t>
      </w:r>
      <w:r w:rsidR="006C2A81">
        <w:t xml:space="preserve">for </w:t>
      </w:r>
      <w:r w:rsidR="00F261C2">
        <w:t>employment</w:t>
      </w:r>
      <w:r w:rsidR="006C2A81">
        <w:t>, securing employment, supporting the individual in that employment.</w:t>
      </w:r>
      <w:r w:rsidR="00C40040">
        <w:t xml:space="preserve"> </w:t>
      </w:r>
      <w:r w:rsidR="002A2212">
        <w:t xml:space="preserve">There are some complexities within each stage, but that is </w:t>
      </w:r>
      <w:r w:rsidR="00C32D14">
        <w:t xml:space="preserve">because every individual is different, their barriers, skills, </w:t>
      </w:r>
      <w:proofErr w:type="gramStart"/>
      <w:r w:rsidR="00E50862">
        <w:t>abilities</w:t>
      </w:r>
      <w:proofErr w:type="gramEnd"/>
      <w:r w:rsidR="00E50862">
        <w:t xml:space="preserve"> and attitude </w:t>
      </w:r>
      <w:r w:rsidR="00552F29">
        <w:t>vary,</w:t>
      </w:r>
      <w:r w:rsidR="00E50862">
        <w:t xml:space="preserve"> </w:t>
      </w:r>
      <w:r w:rsidR="00552F29">
        <w:t>therefore</w:t>
      </w:r>
      <w:r w:rsidR="00E50862">
        <w:t xml:space="preserve"> the </w:t>
      </w:r>
      <w:r w:rsidR="00EB74F1">
        <w:t xml:space="preserve">5 </w:t>
      </w:r>
      <w:r w:rsidR="00E50862">
        <w:t>stages adapt accordingly.</w:t>
      </w:r>
    </w:p>
    <w:p w14:paraId="57C29364" w14:textId="69569239" w:rsidR="00005891" w:rsidRPr="0037383B" w:rsidRDefault="00005891" w:rsidP="005F6B8B">
      <w:pPr>
        <w:pStyle w:val="ListParagraph"/>
        <w:numPr>
          <w:ilvl w:val="0"/>
          <w:numId w:val="30"/>
        </w:numPr>
        <w:autoSpaceDE w:val="0"/>
        <w:autoSpaceDN w:val="0"/>
        <w:adjustRightInd w:val="0"/>
        <w:spacing w:after="0" w:line="240" w:lineRule="auto"/>
        <w:rPr>
          <w:b/>
          <w:bCs/>
        </w:rPr>
      </w:pPr>
      <w:r w:rsidRPr="0037383B">
        <w:rPr>
          <w:b/>
          <w:bCs/>
        </w:rPr>
        <w:t>Understanding the destination</w:t>
      </w:r>
    </w:p>
    <w:p w14:paraId="2C4259DE" w14:textId="3A769D55" w:rsidR="004140F9" w:rsidRDefault="00154B57" w:rsidP="004140F9">
      <w:pPr>
        <w:autoSpaceDE w:val="0"/>
        <w:autoSpaceDN w:val="0"/>
        <w:adjustRightInd w:val="0"/>
        <w:spacing w:after="0" w:line="240" w:lineRule="auto"/>
        <w:ind w:left="720"/>
      </w:pPr>
      <w:r>
        <w:t>This is the initial stage where we discuss</w:t>
      </w:r>
      <w:r w:rsidR="00951A8F">
        <w:t xml:space="preserve"> the type of work being sort, </w:t>
      </w:r>
      <w:r w:rsidR="00B5197F">
        <w:t>options or variations that may be considered. This stage is important in building rapport with the individual</w:t>
      </w:r>
      <w:r w:rsidR="00982F99">
        <w:t>.</w:t>
      </w:r>
    </w:p>
    <w:p w14:paraId="2D5C602E" w14:textId="4BAF7123" w:rsidR="0037383B" w:rsidRPr="0037383B" w:rsidRDefault="005F6B8B" w:rsidP="005F6B8B">
      <w:pPr>
        <w:pStyle w:val="ListParagraph"/>
        <w:numPr>
          <w:ilvl w:val="0"/>
          <w:numId w:val="30"/>
        </w:numPr>
        <w:autoSpaceDE w:val="0"/>
        <w:autoSpaceDN w:val="0"/>
        <w:adjustRightInd w:val="0"/>
        <w:spacing w:after="0" w:line="240" w:lineRule="auto"/>
        <w:rPr>
          <w:b/>
          <w:bCs/>
        </w:rPr>
      </w:pPr>
      <w:r w:rsidRPr="0037383B">
        <w:rPr>
          <w:b/>
          <w:bCs/>
        </w:rPr>
        <w:t xml:space="preserve">Addressing the </w:t>
      </w:r>
      <w:r w:rsidR="0037383B" w:rsidRPr="0037383B">
        <w:rPr>
          <w:b/>
          <w:bCs/>
        </w:rPr>
        <w:t>individuals’</w:t>
      </w:r>
      <w:r w:rsidR="00C410D7" w:rsidRPr="0037383B">
        <w:rPr>
          <w:b/>
          <w:bCs/>
        </w:rPr>
        <w:t xml:space="preserve"> challenges</w:t>
      </w:r>
    </w:p>
    <w:p w14:paraId="33D325CE" w14:textId="6237F1FD" w:rsidR="005F6B8B" w:rsidRDefault="00C410D7" w:rsidP="0037383B">
      <w:pPr>
        <w:pStyle w:val="ListParagraph"/>
        <w:autoSpaceDE w:val="0"/>
        <w:autoSpaceDN w:val="0"/>
        <w:adjustRightInd w:val="0"/>
        <w:spacing w:after="0" w:line="240" w:lineRule="auto"/>
      </w:pPr>
      <w:r>
        <w:t xml:space="preserve">This </w:t>
      </w:r>
      <w:r w:rsidR="00982F99">
        <w:t>is</w:t>
      </w:r>
      <w:r>
        <w:t xml:space="preserve"> looking at any health </w:t>
      </w:r>
      <w:r w:rsidR="00685769">
        <w:t>issues that may impact the individuals</w:t>
      </w:r>
      <w:r w:rsidR="0037383B">
        <w:t>’</w:t>
      </w:r>
      <w:r w:rsidR="00685769">
        <w:t xml:space="preserve"> ability to work</w:t>
      </w:r>
      <w:r w:rsidR="00982F99">
        <w:t xml:space="preserve"> along with </w:t>
      </w:r>
      <w:r w:rsidR="00FF5B26">
        <w:t xml:space="preserve">adjustments that may be needed to work in the identified field, such as workplace modifications, </w:t>
      </w:r>
      <w:r w:rsidR="0037383B">
        <w:t>travel needs, etc.</w:t>
      </w:r>
    </w:p>
    <w:p w14:paraId="3F853BBA" w14:textId="5E4F4939" w:rsidR="000D2A2F" w:rsidRPr="0028140E" w:rsidRDefault="001F2FB9" w:rsidP="003A1214">
      <w:pPr>
        <w:pStyle w:val="ListParagraph"/>
        <w:numPr>
          <w:ilvl w:val="0"/>
          <w:numId w:val="30"/>
        </w:numPr>
        <w:autoSpaceDE w:val="0"/>
        <w:autoSpaceDN w:val="0"/>
        <w:adjustRightInd w:val="0"/>
        <w:spacing w:after="0" w:line="240" w:lineRule="auto"/>
        <w:rPr>
          <w:b/>
          <w:bCs/>
        </w:rPr>
      </w:pPr>
      <w:r w:rsidRPr="0028140E">
        <w:rPr>
          <w:b/>
          <w:bCs/>
        </w:rPr>
        <w:t>Identifying</w:t>
      </w:r>
      <w:r w:rsidR="003A1214" w:rsidRPr="0028140E">
        <w:rPr>
          <w:b/>
          <w:bCs/>
        </w:rPr>
        <w:t xml:space="preserve"> and assisting the individual gain the skills </w:t>
      </w:r>
      <w:r w:rsidR="00A52189" w:rsidRPr="0028140E">
        <w:rPr>
          <w:b/>
          <w:bCs/>
        </w:rPr>
        <w:t>needed</w:t>
      </w:r>
    </w:p>
    <w:p w14:paraId="0E2F5F18" w14:textId="3554794C" w:rsidR="00A52189" w:rsidRDefault="001F2FB9" w:rsidP="00A52189">
      <w:pPr>
        <w:pStyle w:val="ListParagraph"/>
        <w:autoSpaceDE w:val="0"/>
        <w:autoSpaceDN w:val="0"/>
        <w:adjustRightInd w:val="0"/>
        <w:spacing w:after="0" w:line="240" w:lineRule="auto"/>
      </w:pPr>
      <w:r>
        <w:t xml:space="preserve">This stage looks at </w:t>
      </w:r>
      <w:r w:rsidR="007077C8">
        <w:t>any skills or qualifications needed to secure employment</w:t>
      </w:r>
      <w:r w:rsidR="00360F60">
        <w:t xml:space="preserve">, </w:t>
      </w:r>
      <w:r w:rsidR="00DC1408">
        <w:t>the discussion with the participant focuses on what must they have and what may enhance their chances</w:t>
      </w:r>
      <w:r w:rsidR="00B434FF">
        <w:t xml:space="preserve"> of securing employment. The must have options are addressed as a priority</w:t>
      </w:r>
      <w:r w:rsidR="0028140E">
        <w:t>.</w:t>
      </w:r>
    </w:p>
    <w:p w14:paraId="45825613" w14:textId="4EF4F095" w:rsidR="000D2A2F" w:rsidRPr="00BF7451" w:rsidRDefault="0028140E" w:rsidP="0028140E">
      <w:pPr>
        <w:pStyle w:val="ListParagraph"/>
        <w:numPr>
          <w:ilvl w:val="0"/>
          <w:numId w:val="30"/>
        </w:numPr>
        <w:autoSpaceDE w:val="0"/>
        <w:autoSpaceDN w:val="0"/>
        <w:adjustRightInd w:val="0"/>
        <w:spacing w:after="0" w:line="240" w:lineRule="auto"/>
        <w:rPr>
          <w:b/>
          <w:bCs/>
        </w:rPr>
      </w:pPr>
      <w:r w:rsidRPr="00BF7451">
        <w:rPr>
          <w:b/>
          <w:bCs/>
        </w:rPr>
        <w:t>Securing Employment</w:t>
      </w:r>
    </w:p>
    <w:p w14:paraId="14ABD34F" w14:textId="6E3EA367" w:rsidR="0028140E" w:rsidRDefault="0028140E" w:rsidP="0028140E">
      <w:pPr>
        <w:pStyle w:val="ListParagraph"/>
        <w:autoSpaceDE w:val="0"/>
        <w:autoSpaceDN w:val="0"/>
        <w:adjustRightInd w:val="0"/>
        <w:spacing w:after="0" w:line="240" w:lineRule="auto"/>
      </w:pPr>
      <w:r>
        <w:t xml:space="preserve">This is where we </w:t>
      </w:r>
      <w:r w:rsidR="00A5596F">
        <w:t>utilise any employer networks we have</w:t>
      </w:r>
      <w:r w:rsidR="007E5197">
        <w:t>,</w:t>
      </w:r>
      <w:r w:rsidR="00A5596F">
        <w:t xml:space="preserve"> along with any employers identified by the participant</w:t>
      </w:r>
      <w:r w:rsidR="007E5197">
        <w:t>.</w:t>
      </w:r>
      <w:r w:rsidR="00BA08F4">
        <w:t xml:space="preserve"> </w:t>
      </w:r>
      <w:r w:rsidR="007E5197">
        <w:t>W</w:t>
      </w:r>
      <w:r w:rsidR="00BA08F4">
        <w:t xml:space="preserve">e assist in the application and preparation </w:t>
      </w:r>
      <w:r w:rsidR="003D17BC">
        <w:t>process. It is important that we allay any concerns the employer may have</w:t>
      </w:r>
      <w:r w:rsidR="007D5963">
        <w:t>, generally stage 2 has identified these so we are well prepared in addressing them.</w:t>
      </w:r>
    </w:p>
    <w:p w14:paraId="409AAC39" w14:textId="6D607822" w:rsidR="007D5963" w:rsidRPr="00BF7451" w:rsidRDefault="007D5963" w:rsidP="007D5963">
      <w:pPr>
        <w:pStyle w:val="ListParagraph"/>
        <w:numPr>
          <w:ilvl w:val="0"/>
          <w:numId w:val="30"/>
        </w:numPr>
        <w:autoSpaceDE w:val="0"/>
        <w:autoSpaceDN w:val="0"/>
        <w:adjustRightInd w:val="0"/>
        <w:spacing w:after="0" w:line="240" w:lineRule="auto"/>
        <w:rPr>
          <w:b/>
          <w:bCs/>
        </w:rPr>
      </w:pPr>
      <w:r w:rsidRPr="00BF7451">
        <w:rPr>
          <w:b/>
          <w:bCs/>
        </w:rPr>
        <w:t xml:space="preserve">Supporting </w:t>
      </w:r>
      <w:r w:rsidR="00BF7451" w:rsidRPr="00BF7451">
        <w:rPr>
          <w:b/>
          <w:bCs/>
        </w:rPr>
        <w:t>the individual in their employment</w:t>
      </w:r>
    </w:p>
    <w:p w14:paraId="278362A9" w14:textId="1ADF723A" w:rsidR="00C50E75" w:rsidRDefault="007C7DA0" w:rsidP="00C50E75">
      <w:pPr>
        <w:pStyle w:val="ListParagraph"/>
        <w:autoSpaceDE w:val="0"/>
        <w:autoSpaceDN w:val="0"/>
        <w:adjustRightInd w:val="0"/>
        <w:spacing w:after="0" w:line="240" w:lineRule="auto"/>
      </w:pPr>
      <w:r>
        <w:t xml:space="preserve">The amount and frequency of support is going to vary for </w:t>
      </w:r>
      <w:proofErr w:type="gramStart"/>
      <w:r>
        <w:t>each individual</w:t>
      </w:r>
      <w:proofErr w:type="gramEnd"/>
      <w:r w:rsidR="00466989">
        <w:t>, that is why the existing Ongoing Support model needs to have greater flexibility</w:t>
      </w:r>
      <w:r w:rsidR="004D3AB7">
        <w:t xml:space="preserve">. A person with a </w:t>
      </w:r>
      <w:r w:rsidR="00C50E75">
        <w:t xml:space="preserve">Moderate Intellectual Disability may need intense on the job support </w:t>
      </w:r>
      <w:r w:rsidR="00BF07EC">
        <w:t xml:space="preserve">when they begin a job, that support may reduce until the employer introduces a new task where the support will quickly ramp up again until the participant </w:t>
      </w:r>
      <w:r w:rsidR="00C37A7B">
        <w:t xml:space="preserve">is able to complete the tasks on their own. Another example is </w:t>
      </w:r>
      <w:r w:rsidR="0050484B">
        <w:t>where a participant has an episodic event, this may mean intense support for the individual</w:t>
      </w:r>
      <w:r w:rsidR="003D6FC7">
        <w:t xml:space="preserve">, their </w:t>
      </w:r>
      <w:proofErr w:type="gramStart"/>
      <w:r w:rsidR="003D6FC7">
        <w:t>colleagues</w:t>
      </w:r>
      <w:proofErr w:type="gramEnd"/>
      <w:r w:rsidR="0050484B">
        <w:t xml:space="preserve"> and </w:t>
      </w:r>
      <w:r w:rsidR="003D6FC7">
        <w:t xml:space="preserve">the </w:t>
      </w:r>
      <w:r w:rsidR="0050484B">
        <w:t>employer</w:t>
      </w:r>
      <w:r w:rsidR="003D6FC7">
        <w:t>.</w:t>
      </w:r>
    </w:p>
    <w:p w14:paraId="3C476D3F" w14:textId="77777777" w:rsidR="000D2A2F" w:rsidRPr="000D2A2F" w:rsidRDefault="000D2A2F" w:rsidP="00266074">
      <w:pPr>
        <w:autoSpaceDE w:val="0"/>
        <w:autoSpaceDN w:val="0"/>
        <w:adjustRightInd w:val="0"/>
        <w:spacing w:after="0" w:line="240" w:lineRule="auto"/>
      </w:pPr>
    </w:p>
    <w:p w14:paraId="1662B971" w14:textId="77777777" w:rsidR="003301A5" w:rsidRPr="00C93A2D" w:rsidRDefault="003301A5" w:rsidP="003301A5">
      <w:pPr>
        <w:autoSpaceDE w:val="0"/>
        <w:autoSpaceDN w:val="0"/>
        <w:adjustRightInd w:val="0"/>
        <w:spacing w:after="0" w:line="240" w:lineRule="auto"/>
      </w:pPr>
    </w:p>
    <w:p w14:paraId="418AC543" w14:textId="194EC645" w:rsidR="002777F1" w:rsidRPr="00A61047" w:rsidRDefault="00EA22E6" w:rsidP="00E2419B">
      <w:pPr>
        <w:pStyle w:val="Heading1"/>
        <w:numPr>
          <w:ilvl w:val="0"/>
          <w:numId w:val="3"/>
        </w:numPr>
        <w:ind w:left="426" w:hanging="426"/>
        <w:rPr>
          <w:b/>
          <w:bCs/>
        </w:rPr>
      </w:pPr>
      <w:bookmarkStart w:id="4" w:name="_Toc94614835"/>
      <w:r w:rsidRPr="00A61047">
        <w:rPr>
          <w:b/>
          <w:bCs/>
        </w:rPr>
        <w:t xml:space="preserve">What employment services and supports </w:t>
      </w:r>
      <w:r w:rsidR="00CC363C" w:rsidRPr="00A61047">
        <w:rPr>
          <w:b/>
          <w:bCs/>
        </w:rPr>
        <w:t>would most help young people</w:t>
      </w:r>
      <w:r w:rsidR="00D81FBF" w:rsidRPr="00A61047">
        <w:rPr>
          <w:b/>
          <w:bCs/>
        </w:rPr>
        <w:t>?</w:t>
      </w:r>
      <w:bookmarkEnd w:id="4"/>
    </w:p>
    <w:p w14:paraId="67F0867B" w14:textId="3AAD62B1" w:rsidR="00AC5F23" w:rsidRDefault="00C12569" w:rsidP="00AC5F23">
      <w:pPr>
        <w:autoSpaceDE w:val="0"/>
        <w:autoSpaceDN w:val="0"/>
        <w:adjustRightInd w:val="0"/>
        <w:spacing w:after="0" w:line="240" w:lineRule="auto"/>
      </w:pPr>
      <w:r>
        <w:t>Many young people have little or no experience of the labour market</w:t>
      </w:r>
      <w:r w:rsidR="00EF7F5E">
        <w:t xml:space="preserve">. </w:t>
      </w:r>
      <w:r w:rsidR="00557160">
        <w:t>They have also recently left or about to leave the education system</w:t>
      </w:r>
      <w:r w:rsidR="00CE50F8">
        <w:t xml:space="preserve">. There is a need to take </w:t>
      </w:r>
      <w:r w:rsidR="00251C55">
        <w:t xml:space="preserve">a young person on a journey, where they feel in control, to assist them to understand </w:t>
      </w:r>
      <w:r w:rsidR="00117E8C">
        <w:t xml:space="preserve">what generic skills (often known as soft skills) are required to work and what </w:t>
      </w:r>
      <w:r w:rsidR="001750C2">
        <w:t xml:space="preserve">specific skills, training or accreditation is required to work in an industry they </w:t>
      </w:r>
      <w:r w:rsidR="00985920">
        <w:t>have identified.</w:t>
      </w:r>
    </w:p>
    <w:p w14:paraId="32588F97" w14:textId="77777777" w:rsidR="000D2A2F" w:rsidRDefault="000D2A2F" w:rsidP="00AC5F23">
      <w:pPr>
        <w:autoSpaceDE w:val="0"/>
        <w:autoSpaceDN w:val="0"/>
        <w:adjustRightInd w:val="0"/>
        <w:spacing w:after="0" w:line="240" w:lineRule="auto"/>
      </w:pPr>
    </w:p>
    <w:p w14:paraId="514E44DC" w14:textId="61E9DDBD" w:rsidR="000D2A2F" w:rsidRDefault="0081503B" w:rsidP="00AC5F23">
      <w:pPr>
        <w:autoSpaceDE w:val="0"/>
        <w:autoSpaceDN w:val="0"/>
        <w:adjustRightInd w:val="0"/>
        <w:spacing w:after="0" w:line="240" w:lineRule="auto"/>
      </w:pPr>
      <w:r>
        <w:t xml:space="preserve">Where a student with </w:t>
      </w:r>
      <w:r w:rsidR="00074250">
        <w:t xml:space="preserve">a disability is in their last year of education </w:t>
      </w:r>
      <w:r w:rsidR="00C96EDB">
        <w:t xml:space="preserve">they should have access to </w:t>
      </w:r>
      <w:r w:rsidR="00D7218B">
        <w:t xml:space="preserve">the full </w:t>
      </w:r>
      <w:r w:rsidR="008B6068">
        <w:t>DES</w:t>
      </w:r>
      <w:r w:rsidR="00D7218B">
        <w:t xml:space="preserve"> service</w:t>
      </w:r>
      <w:r w:rsidR="00EB483C">
        <w:t>, providing the best opportunity to transition from school to work</w:t>
      </w:r>
      <w:r w:rsidR="00437A87">
        <w:t xml:space="preserve">. </w:t>
      </w:r>
      <w:r w:rsidR="00A673B7">
        <w:t xml:space="preserve">Consultation with </w:t>
      </w:r>
      <w:r w:rsidR="000175D9">
        <w:t xml:space="preserve">stakeholders should occur to </w:t>
      </w:r>
      <w:r w:rsidR="009F1826">
        <w:t>identify the best model, this may include a specialist DES service designed for school leavers.</w:t>
      </w:r>
    </w:p>
    <w:p w14:paraId="215728B5" w14:textId="77777777" w:rsidR="000D2A2F" w:rsidRPr="000D2A2F" w:rsidRDefault="000D2A2F" w:rsidP="00AC5F23">
      <w:pPr>
        <w:autoSpaceDE w:val="0"/>
        <w:autoSpaceDN w:val="0"/>
        <w:adjustRightInd w:val="0"/>
        <w:spacing w:after="0" w:line="240" w:lineRule="auto"/>
      </w:pPr>
    </w:p>
    <w:p w14:paraId="20EA59D8" w14:textId="77777777" w:rsidR="00721DA4" w:rsidRDefault="00721DA4" w:rsidP="00721DA4">
      <w:pPr>
        <w:autoSpaceDE w:val="0"/>
        <w:autoSpaceDN w:val="0"/>
        <w:adjustRightInd w:val="0"/>
        <w:spacing w:after="0" w:line="240" w:lineRule="auto"/>
        <w:rPr>
          <w:rFonts w:ascii="Arial" w:hAnsi="Arial" w:cs="Arial"/>
        </w:rPr>
      </w:pPr>
    </w:p>
    <w:p w14:paraId="76CCAF7A" w14:textId="2173821B" w:rsidR="002777F1" w:rsidRPr="00A61047" w:rsidRDefault="00FB2D95" w:rsidP="00E2419B">
      <w:pPr>
        <w:pStyle w:val="Heading1"/>
        <w:numPr>
          <w:ilvl w:val="0"/>
          <w:numId w:val="3"/>
        </w:numPr>
        <w:ind w:left="426" w:hanging="426"/>
        <w:rPr>
          <w:b/>
          <w:bCs/>
        </w:rPr>
      </w:pPr>
      <w:bookmarkStart w:id="5" w:name="_Toc94614836"/>
      <w:r w:rsidRPr="00A61047">
        <w:rPr>
          <w:b/>
          <w:bCs/>
        </w:rPr>
        <w:t>What support do employers need to attract, employ and retain people with disability?</w:t>
      </w:r>
      <w:bookmarkEnd w:id="5"/>
    </w:p>
    <w:p w14:paraId="0F55B296" w14:textId="7B3E9752" w:rsidR="002777F1" w:rsidRDefault="00574A06" w:rsidP="00D81FBF">
      <w:pPr>
        <w:autoSpaceDE w:val="0"/>
        <w:autoSpaceDN w:val="0"/>
        <w:adjustRightInd w:val="0"/>
        <w:spacing w:after="0" w:line="240" w:lineRule="auto"/>
      </w:pPr>
      <w:r>
        <w:t xml:space="preserve">There is already extensive research available to inform </w:t>
      </w:r>
      <w:r w:rsidR="0095524A">
        <w:t>employer needs</w:t>
      </w:r>
      <w:r w:rsidR="0071069F">
        <w:t xml:space="preserve">, </w:t>
      </w:r>
      <w:r w:rsidR="00F75A42">
        <w:t xml:space="preserve">two </w:t>
      </w:r>
      <w:r w:rsidR="00F17E69">
        <w:t xml:space="preserve">examples </w:t>
      </w:r>
      <w:r w:rsidR="00F75A42">
        <w:t>of these published in late</w:t>
      </w:r>
      <w:r w:rsidR="006205D0">
        <w:t xml:space="preserve"> 2018 were “Mobilising employers to employ people with a disability</w:t>
      </w:r>
      <w:r w:rsidR="002B5977">
        <w:t xml:space="preserve"> project”</w:t>
      </w:r>
      <w:r w:rsidR="00BB657C">
        <w:rPr>
          <w:rStyle w:val="FootnoteReference"/>
        </w:rPr>
        <w:footnoteReference w:id="5"/>
      </w:r>
      <w:r w:rsidR="0071069F">
        <w:t xml:space="preserve"> </w:t>
      </w:r>
      <w:r w:rsidR="009A79E5">
        <w:t xml:space="preserve">and “Making it easier for </w:t>
      </w:r>
      <w:r w:rsidR="00BB657C">
        <w:t>Small business to employ people with a disability”</w:t>
      </w:r>
      <w:r w:rsidR="00520433">
        <w:rPr>
          <w:rStyle w:val="FootnoteReference"/>
        </w:rPr>
        <w:footnoteReference w:id="6"/>
      </w:r>
      <w:r w:rsidR="00BB657C">
        <w:t xml:space="preserve">. </w:t>
      </w:r>
      <w:r w:rsidR="00714750">
        <w:t xml:space="preserve">Key messages in these and </w:t>
      </w:r>
      <w:r w:rsidR="004A2459">
        <w:t>many other reports from around the world are consistent, these are: -</w:t>
      </w:r>
    </w:p>
    <w:p w14:paraId="5542A854" w14:textId="2FF0A1DF" w:rsidR="004A2459" w:rsidRDefault="00213756" w:rsidP="00C84AE0">
      <w:pPr>
        <w:pStyle w:val="ListParagraph"/>
        <w:numPr>
          <w:ilvl w:val="0"/>
          <w:numId w:val="29"/>
        </w:numPr>
        <w:autoSpaceDE w:val="0"/>
        <w:autoSpaceDN w:val="0"/>
        <w:adjustRightInd w:val="0"/>
        <w:spacing w:after="0" w:line="240" w:lineRule="auto"/>
      </w:pPr>
      <w:r>
        <w:t>Employers’</w:t>
      </w:r>
      <w:r w:rsidR="00C84AE0">
        <w:t xml:space="preserve"> </w:t>
      </w:r>
      <w:r w:rsidR="00CD5178">
        <w:t xml:space="preserve">ability to support </w:t>
      </w:r>
      <w:r w:rsidR="00F2195D">
        <w:t>the person</w:t>
      </w:r>
      <w:r w:rsidR="00394D7A">
        <w:t xml:space="preserve"> (50% in the Comcare report)</w:t>
      </w:r>
    </w:p>
    <w:p w14:paraId="4096E4C9" w14:textId="59A16B56" w:rsidR="00394D7A" w:rsidRDefault="00394D7A" w:rsidP="00C84AE0">
      <w:pPr>
        <w:pStyle w:val="ListParagraph"/>
        <w:numPr>
          <w:ilvl w:val="0"/>
          <w:numId w:val="29"/>
        </w:numPr>
        <w:autoSpaceDE w:val="0"/>
        <w:autoSpaceDN w:val="0"/>
        <w:adjustRightInd w:val="0"/>
        <w:spacing w:after="0" w:line="240" w:lineRule="auto"/>
      </w:pPr>
      <w:r>
        <w:t>Workplace culture (53% in the Comcare report)</w:t>
      </w:r>
    </w:p>
    <w:p w14:paraId="50368700" w14:textId="6BF938D7" w:rsidR="007E5631" w:rsidRDefault="007E5631" w:rsidP="00C84AE0">
      <w:pPr>
        <w:pStyle w:val="ListParagraph"/>
        <w:numPr>
          <w:ilvl w:val="0"/>
          <w:numId w:val="29"/>
        </w:numPr>
        <w:autoSpaceDE w:val="0"/>
        <w:autoSpaceDN w:val="0"/>
        <w:adjustRightInd w:val="0"/>
        <w:spacing w:after="0" w:line="240" w:lineRule="auto"/>
      </w:pPr>
      <w:r>
        <w:t>No</w:t>
      </w:r>
      <w:r w:rsidR="0066479E">
        <w:t xml:space="preserve"> one with a disability has ever applied (67% in the </w:t>
      </w:r>
      <w:r w:rsidR="00213756">
        <w:t>CSBOA</w:t>
      </w:r>
      <w:r w:rsidR="0066479E">
        <w:t xml:space="preserve"> report)</w:t>
      </w:r>
    </w:p>
    <w:p w14:paraId="677D518F" w14:textId="25B61BA4" w:rsidR="008B625A" w:rsidRDefault="008B625A" w:rsidP="008B625A">
      <w:pPr>
        <w:autoSpaceDE w:val="0"/>
        <w:autoSpaceDN w:val="0"/>
        <w:adjustRightInd w:val="0"/>
        <w:spacing w:after="0" w:line="240" w:lineRule="auto"/>
      </w:pPr>
      <w:r>
        <w:t xml:space="preserve">Recommendations from these reports should be reviewed and </w:t>
      </w:r>
      <w:r w:rsidR="002D0CFA">
        <w:t>changes embedded into future iterations of DES, WCIG would be keen to engage</w:t>
      </w:r>
      <w:r w:rsidR="00201F42">
        <w:t xml:space="preserve"> with DSS and other DES providers</w:t>
      </w:r>
      <w:r w:rsidR="002D0CFA">
        <w:t xml:space="preserve"> </w:t>
      </w:r>
      <w:r w:rsidR="00D67FD9">
        <w:t>to</w:t>
      </w:r>
      <w:r w:rsidR="002D0CFA">
        <w:t xml:space="preserve"> pilot projects </w:t>
      </w:r>
      <w:r w:rsidR="00D67FD9">
        <w:t xml:space="preserve">designed to </w:t>
      </w:r>
      <w:r w:rsidR="00AF57C5">
        <w:t xml:space="preserve">inform, </w:t>
      </w:r>
      <w:proofErr w:type="gramStart"/>
      <w:r w:rsidR="00D67FD9">
        <w:t>streamline</w:t>
      </w:r>
      <w:proofErr w:type="gramEnd"/>
      <w:r w:rsidR="00AF57C5">
        <w:t xml:space="preserve"> and</w:t>
      </w:r>
      <w:r w:rsidR="00D67FD9">
        <w:t xml:space="preserve"> simplify the process for employers.</w:t>
      </w:r>
      <w:r w:rsidR="002D0CFA">
        <w:t xml:space="preserve"> </w:t>
      </w:r>
    </w:p>
    <w:p w14:paraId="519E4F09" w14:textId="665DDB33" w:rsidR="00FF0784" w:rsidRDefault="00784218" w:rsidP="008B625A">
      <w:pPr>
        <w:autoSpaceDE w:val="0"/>
        <w:autoSpaceDN w:val="0"/>
        <w:adjustRightInd w:val="0"/>
        <w:spacing w:after="0" w:line="240" w:lineRule="auto"/>
      </w:pPr>
      <w:r>
        <w:t xml:space="preserve">In the </w:t>
      </w:r>
      <w:r w:rsidR="006832FE">
        <w:t>Small Business report (</w:t>
      </w:r>
      <w:r w:rsidR="000646E3">
        <w:t>CSBOA</w:t>
      </w:r>
      <w:r w:rsidR="006832FE">
        <w:t>)</w:t>
      </w:r>
      <w:r w:rsidR="00CF0355">
        <w:t xml:space="preserve"> it is important to note that employers reported the</w:t>
      </w:r>
      <w:r w:rsidR="005E2CBF">
        <w:t>ir</w:t>
      </w:r>
      <w:r w:rsidR="00CF0355">
        <w:t xml:space="preserve"> greatest awareness </w:t>
      </w:r>
      <w:r w:rsidR="00E46351">
        <w:t xml:space="preserve">was of DES. DSS need to build on </w:t>
      </w:r>
      <w:r w:rsidR="00DE3B5E">
        <w:t>the fact that</w:t>
      </w:r>
      <w:r w:rsidR="003F2090">
        <w:t xml:space="preserve"> nearly 60% </w:t>
      </w:r>
      <w:r w:rsidR="002E0C5E">
        <w:t>of employers surveyed are aware of DES</w:t>
      </w:r>
      <w:r w:rsidR="00BB6885">
        <w:t>.</w:t>
      </w:r>
    </w:p>
    <w:p w14:paraId="1F24CBE1" w14:textId="4F84602D" w:rsidR="00662A1C" w:rsidRDefault="00784344" w:rsidP="008B625A">
      <w:pPr>
        <w:autoSpaceDE w:val="0"/>
        <w:autoSpaceDN w:val="0"/>
        <w:adjustRightInd w:val="0"/>
        <w:spacing w:after="0" w:line="240" w:lineRule="auto"/>
      </w:pPr>
      <w:r>
        <w:t>52% of SMEs</w:t>
      </w:r>
      <w:r w:rsidR="009E6A71">
        <w:t xml:space="preserve"> also </w:t>
      </w:r>
      <w:r w:rsidR="00234BD6">
        <w:t xml:space="preserve">reported </w:t>
      </w:r>
      <w:r>
        <w:t>a higher level of compliance</w:t>
      </w:r>
      <w:r w:rsidR="00C94102">
        <w:t xml:space="preserve"> when hiring a person with a disability</w:t>
      </w:r>
      <w:r w:rsidR="00356148">
        <w:t>, payslips and wage subsidy evidence featured highly</w:t>
      </w:r>
      <w:r w:rsidR="00EA18A0">
        <w:t>. DSS have the opportunity of reducing this burden with the sharing of data across Government agencies</w:t>
      </w:r>
      <w:r w:rsidR="00601519">
        <w:t xml:space="preserve"> such as payrol</w:t>
      </w:r>
      <w:r w:rsidR="006A00D4">
        <w:t xml:space="preserve">l and employment </w:t>
      </w:r>
      <w:r w:rsidR="00601519">
        <w:t>data from the ATO</w:t>
      </w:r>
      <w:r w:rsidR="006A00D4">
        <w:t xml:space="preserve">, </w:t>
      </w:r>
      <w:r w:rsidR="00075EF1">
        <w:t>which</w:t>
      </w:r>
      <w:r w:rsidR="006A00D4">
        <w:t xml:space="preserve"> could be used to reduce provider administration.</w:t>
      </w:r>
    </w:p>
    <w:p w14:paraId="4B3D8392" w14:textId="77777777" w:rsidR="002777F1" w:rsidRDefault="002777F1" w:rsidP="00D81FBF">
      <w:pPr>
        <w:autoSpaceDE w:val="0"/>
        <w:autoSpaceDN w:val="0"/>
        <w:adjustRightInd w:val="0"/>
        <w:spacing w:after="0" w:line="240" w:lineRule="auto"/>
      </w:pPr>
    </w:p>
    <w:p w14:paraId="0F974DF5" w14:textId="77777777" w:rsidR="00C5419F" w:rsidRDefault="00C5419F" w:rsidP="00C5419F">
      <w:pPr>
        <w:autoSpaceDE w:val="0"/>
        <w:autoSpaceDN w:val="0"/>
        <w:adjustRightInd w:val="0"/>
        <w:spacing w:after="0" w:line="240" w:lineRule="auto"/>
        <w:rPr>
          <w:rFonts w:ascii="Arial" w:hAnsi="Arial" w:cs="Arial"/>
        </w:rPr>
      </w:pPr>
    </w:p>
    <w:p w14:paraId="6D44EF8B" w14:textId="77777777" w:rsidR="00C5419F" w:rsidRDefault="00C5419F" w:rsidP="00C5419F">
      <w:pPr>
        <w:autoSpaceDE w:val="0"/>
        <w:autoSpaceDN w:val="0"/>
        <w:adjustRightInd w:val="0"/>
        <w:spacing w:after="0" w:line="240" w:lineRule="auto"/>
        <w:rPr>
          <w:rFonts w:ascii="Arial" w:hAnsi="Arial" w:cs="Arial"/>
        </w:rPr>
      </w:pPr>
    </w:p>
    <w:p w14:paraId="710A6D3B" w14:textId="791A8A2F" w:rsidR="002777F1" w:rsidRPr="00A61047" w:rsidRDefault="0094406F" w:rsidP="0094406F">
      <w:pPr>
        <w:pStyle w:val="ListParagraph"/>
        <w:numPr>
          <w:ilvl w:val="0"/>
          <w:numId w:val="3"/>
        </w:numPr>
        <w:autoSpaceDE w:val="0"/>
        <w:autoSpaceDN w:val="0"/>
        <w:adjustRightInd w:val="0"/>
        <w:spacing w:after="0" w:line="240" w:lineRule="auto"/>
        <w:ind w:left="426" w:hanging="426"/>
        <w:rPr>
          <w:rFonts w:asciiTheme="majorHAnsi" w:eastAsiaTheme="majorEastAsia" w:hAnsiTheme="majorHAnsi" w:cstheme="majorBidi"/>
          <w:b/>
          <w:bCs/>
          <w:color w:val="2F5496" w:themeColor="accent1" w:themeShade="BF"/>
          <w:sz w:val="32"/>
          <w:szCs w:val="32"/>
        </w:rPr>
      </w:pPr>
      <w:r w:rsidRPr="00A61047">
        <w:rPr>
          <w:rFonts w:asciiTheme="majorHAnsi" w:eastAsiaTheme="majorEastAsia" w:hAnsiTheme="majorHAnsi" w:cstheme="majorBidi"/>
          <w:b/>
          <w:bCs/>
          <w:color w:val="2F5496" w:themeColor="accent1" w:themeShade="BF"/>
          <w:sz w:val="32"/>
          <w:szCs w:val="32"/>
        </w:rPr>
        <w:t>How do we best tailor mutual obligation requirements to increase the likelihood of people with</w:t>
      </w:r>
      <w:r w:rsidRPr="00A61047">
        <w:rPr>
          <w:b/>
          <w:bCs/>
          <w:i/>
          <w:iCs/>
        </w:rPr>
        <w:t xml:space="preserve"> </w:t>
      </w:r>
      <w:r w:rsidRPr="00A61047">
        <w:rPr>
          <w:rFonts w:asciiTheme="majorHAnsi" w:eastAsiaTheme="majorEastAsia" w:hAnsiTheme="majorHAnsi" w:cstheme="majorBidi"/>
          <w:b/>
          <w:bCs/>
          <w:color w:val="2F5496" w:themeColor="accent1" w:themeShade="BF"/>
          <w:sz w:val="32"/>
          <w:szCs w:val="32"/>
        </w:rPr>
        <w:t>disability finding work in the future?</w:t>
      </w:r>
    </w:p>
    <w:p w14:paraId="74A745FB" w14:textId="76C54C1C" w:rsidR="002777F1" w:rsidRDefault="00AB1B5A" w:rsidP="00D81FBF">
      <w:r>
        <w:t xml:space="preserve">As stated in our introduction WCIG believes the TCF and </w:t>
      </w:r>
      <w:r w:rsidR="009453C0">
        <w:t xml:space="preserve">mutual obligation requirements should be moved to Services Australia. </w:t>
      </w:r>
      <w:r w:rsidR="00DD026E">
        <w:t xml:space="preserve">When DES providers apply </w:t>
      </w:r>
      <w:r w:rsidR="00BE4B86">
        <w:t>sanctions</w:t>
      </w:r>
      <w:r w:rsidR="000F1F89">
        <w:t>,</w:t>
      </w:r>
      <w:r w:rsidR="00BE4B86">
        <w:t xml:space="preserve"> it dramatically impacts the relationship they are building with the participant</w:t>
      </w:r>
      <w:r w:rsidR="001A3BBC">
        <w:t xml:space="preserve">, this activity should move back to Services Australia, allowing the DES provider to focus on </w:t>
      </w:r>
      <w:r w:rsidR="007C535C">
        <w:t xml:space="preserve">addressing </w:t>
      </w:r>
      <w:r w:rsidR="003103DB">
        <w:t>any he</w:t>
      </w:r>
      <w:r w:rsidR="00B662DF">
        <w:t>alth issues</w:t>
      </w:r>
      <w:r w:rsidR="00712FF8">
        <w:t xml:space="preserve"> impacting</w:t>
      </w:r>
      <w:r w:rsidR="00660138">
        <w:t xml:space="preserve"> securing employment</w:t>
      </w:r>
      <w:r w:rsidR="00362D8F">
        <w:t xml:space="preserve"> and </w:t>
      </w:r>
      <w:r w:rsidR="00A048C4">
        <w:t xml:space="preserve">engaging the participant in </w:t>
      </w:r>
      <w:r w:rsidR="001A3BBC">
        <w:t xml:space="preserve">employment </w:t>
      </w:r>
      <w:r w:rsidR="00A048C4">
        <w:t xml:space="preserve">focused </w:t>
      </w:r>
      <w:r w:rsidR="001A3BBC">
        <w:t>activities rather than managing compliance.</w:t>
      </w:r>
    </w:p>
    <w:p w14:paraId="009EF23B" w14:textId="2BA0F468" w:rsidR="0094406F" w:rsidRDefault="0054549E" w:rsidP="00D81FBF">
      <w:r>
        <w:t>Volunteering</w:t>
      </w:r>
      <w:r w:rsidR="00F31482">
        <w:t xml:space="preserve"> </w:t>
      </w:r>
      <w:r>
        <w:t xml:space="preserve">and Community Work </w:t>
      </w:r>
      <w:r w:rsidR="00CA47F3">
        <w:t xml:space="preserve">present </w:t>
      </w:r>
      <w:r w:rsidR="00784B98">
        <w:t>genuine opportunities for participants to gain skills</w:t>
      </w:r>
      <w:r w:rsidR="00A353A0">
        <w:t xml:space="preserve"> in their chosen field of work</w:t>
      </w:r>
      <w:r w:rsidR="00C610C1">
        <w:t xml:space="preserve">. </w:t>
      </w:r>
      <w:r w:rsidR="003D044D">
        <w:t>It pr</w:t>
      </w:r>
      <w:r w:rsidR="001D0E71">
        <w:t>ovides work like experiences and networking opportunities which may lead to paid employment</w:t>
      </w:r>
      <w:r w:rsidR="001218EC">
        <w:t xml:space="preserve">. </w:t>
      </w:r>
    </w:p>
    <w:p w14:paraId="7DE7A79C" w14:textId="0C7528AB" w:rsidR="00BB1C3B" w:rsidRPr="00A61047" w:rsidRDefault="00803D52" w:rsidP="00E2419B">
      <w:pPr>
        <w:pStyle w:val="Heading1"/>
        <w:numPr>
          <w:ilvl w:val="0"/>
          <w:numId w:val="3"/>
        </w:numPr>
        <w:ind w:left="426" w:hanging="426"/>
        <w:rPr>
          <w:b/>
          <w:bCs/>
        </w:rPr>
      </w:pPr>
      <w:bookmarkStart w:id="6" w:name="_Toc94614837"/>
      <w:r w:rsidRPr="00A61047">
        <w:rPr>
          <w:b/>
          <w:bCs/>
        </w:rPr>
        <w:t>How can funding arrangements incentivise good work outcomes</w:t>
      </w:r>
      <w:bookmarkEnd w:id="6"/>
    </w:p>
    <w:p w14:paraId="00B8427C" w14:textId="79FEC64E" w:rsidR="00803D52" w:rsidRDefault="00600A6E" w:rsidP="00803D52">
      <w:r>
        <w:t xml:space="preserve">DES providers </w:t>
      </w:r>
      <w:r w:rsidR="005F4DDF">
        <w:t xml:space="preserve">have extensive experience </w:t>
      </w:r>
      <w:r w:rsidR="00440472">
        <w:t>in tailoring services to their participants</w:t>
      </w:r>
      <w:r w:rsidR="009E756B">
        <w:t xml:space="preserve">, we believe future programs should </w:t>
      </w:r>
      <w:r w:rsidR="008953D9">
        <w:t>focus on allowing providers to customise their service</w:t>
      </w:r>
      <w:r w:rsidR="00A0120D">
        <w:t>. A reduction in administration and compliance</w:t>
      </w:r>
      <w:r w:rsidR="000B2E8F">
        <w:t>, we b</w:t>
      </w:r>
      <w:r w:rsidR="00A06747">
        <w:t>elieve, would deliver</w:t>
      </w:r>
      <w:r w:rsidR="00823D84">
        <w:t xml:space="preserve"> more innovation and</w:t>
      </w:r>
      <w:r w:rsidR="00A06747">
        <w:t xml:space="preserve"> improved employment outcomes for participants.</w:t>
      </w:r>
    </w:p>
    <w:p w14:paraId="6DDDA47E" w14:textId="77777777" w:rsidR="0068491A" w:rsidRDefault="0068491A" w:rsidP="0068491A">
      <w:pPr>
        <w:autoSpaceDE w:val="0"/>
        <w:autoSpaceDN w:val="0"/>
        <w:adjustRightInd w:val="0"/>
        <w:spacing w:after="0" w:line="240" w:lineRule="auto"/>
        <w:rPr>
          <w:rFonts w:ascii="Arial" w:hAnsi="Arial" w:cs="Arial"/>
        </w:rPr>
      </w:pPr>
    </w:p>
    <w:p w14:paraId="7B855ED6" w14:textId="4625B6EB" w:rsidR="0068491A" w:rsidRPr="00A61047" w:rsidRDefault="00AE6FEC" w:rsidP="00E2419B">
      <w:pPr>
        <w:pStyle w:val="Heading1"/>
        <w:numPr>
          <w:ilvl w:val="0"/>
          <w:numId w:val="3"/>
        </w:numPr>
        <w:ind w:left="426" w:hanging="426"/>
        <w:rPr>
          <w:b/>
          <w:bCs/>
        </w:rPr>
      </w:pPr>
      <w:bookmarkStart w:id="7" w:name="_Toc94614838"/>
      <w:r w:rsidRPr="00A61047">
        <w:rPr>
          <w:b/>
          <w:bCs/>
        </w:rPr>
        <w:t>How do we drive high quality services and supports?</w:t>
      </w:r>
      <w:bookmarkEnd w:id="7"/>
    </w:p>
    <w:p w14:paraId="216C2136" w14:textId="735F982F" w:rsidR="00803D52" w:rsidRDefault="00D836CA" w:rsidP="00803D52">
      <w:r>
        <w:t xml:space="preserve">WCIG supports the existing model of user choice but </w:t>
      </w:r>
      <w:r w:rsidR="007666B3">
        <w:t>do not believe there is enough</w:t>
      </w:r>
      <w:r w:rsidR="00526EA4">
        <w:t xml:space="preserve"> up to date information for users to make that choice. </w:t>
      </w:r>
      <w:r w:rsidR="00BF6B55">
        <w:t>An e</w:t>
      </w:r>
      <w:r w:rsidR="00873167">
        <w:t xml:space="preserve">xamples of this </w:t>
      </w:r>
      <w:r w:rsidR="00BF6B55">
        <w:t>is</w:t>
      </w:r>
      <w:r w:rsidR="00873167">
        <w:t xml:space="preserve"> the inconsistent publication of Star Ratings</w:t>
      </w:r>
      <w:r w:rsidR="005C5936">
        <w:t xml:space="preserve">, in addition there is </w:t>
      </w:r>
      <w:r w:rsidR="00601346">
        <w:t xml:space="preserve">no other information published </w:t>
      </w:r>
      <w:r w:rsidR="00E308D4">
        <w:t xml:space="preserve">to </w:t>
      </w:r>
      <w:r w:rsidR="00354A7F">
        <w:t>in</w:t>
      </w:r>
      <w:r w:rsidR="00E308D4">
        <w:t xml:space="preserve">form participants. </w:t>
      </w:r>
    </w:p>
    <w:p w14:paraId="4AF4E653" w14:textId="6B6929F8" w:rsidR="002A0011" w:rsidRDefault="002A0011" w:rsidP="00803D52">
      <w:r>
        <w:t>The structure</w:t>
      </w:r>
      <w:r w:rsidR="00BD124D">
        <w:t xml:space="preserve"> of future DES programs should be based on extensive consultation</w:t>
      </w:r>
      <w:r w:rsidR="00806EAB">
        <w:t xml:space="preserve"> with stakeholders</w:t>
      </w:r>
      <w:r w:rsidR="00562126">
        <w:t xml:space="preserve">, as well as </w:t>
      </w:r>
      <w:r w:rsidR="000A628E">
        <w:t xml:space="preserve">evidence from </w:t>
      </w:r>
      <w:r w:rsidR="00354A7F">
        <w:t xml:space="preserve">existing </w:t>
      </w:r>
      <w:r w:rsidR="008A2160">
        <w:t xml:space="preserve">research studies, such as those referenced </w:t>
      </w:r>
      <w:r w:rsidR="00354A7F">
        <w:t xml:space="preserve">earlier </w:t>
      </w:r>
      <w:r w:rsidR="008A2160">
        <w:t>in this paper.</w:t>
      </w:r>
    </w:p>
    <w:p w14:paraId="56CE672E" w14:textId="73F6B332" w:rsidR="00E62667" w:rsidRPr="00606A25" w:rsidRDefault="004D4276" w:rsidP="00E62667">
      <w:pPr>
        <w:autoSpaceDE w:val="0"/>
        <w:autoSpaceDN w:val="0"/>
        <w:adjustRightInd w:val="0"/>
        <w:spacing w:after="0" w:line="240" w:lineRule="auto"/>
      </w:pPr>
      <w:r>
        <w:t>We believe a</w:t>
      </w:r>
      <w:r w:rsidR="00606A25" w:rsidRPr="00606A25">
        <w:t xml:space="preserve"> licensing model </w:t>
      </w:r>
      <w:r w:rsidR="0017301D">
        <w:t>is the best option for future iterations of DES</w:t>
      </w:r>
      <w:r w:rsidR="004A7D4F">
        <w:t>, it allows for user choice</w:t>
      </w:r>
      <w:r w:rsidR="003436C9">
        <w:t>. Consideration</w:t>
      </w:r>
      <w:r w:rsidR="00A17067">
        <w:t xml:space="preserve"> should be given to the </w:t>
      </w:r>
      <w:r w:rsidR="0010224A">
        <w:t>removal of restrictions related to Employment Service Areas</w:t>
      </w:r>
      <w:r w:rsidR="008E43AC">
        <w:t xml:space="preserve"> (ESAs) or Employment Regions (ERs)</w:t>
      </w:r>
      <w:r w:rsidR="00870884">
        <w:t xml:space="preserve">. </w:t>
      </w:r>
      <w:r w:rsidR="00B52482">
        <w:t xml:space="preserve">For </w:t>
      </w:r>
      <w:r w:rsidR="002619D2">
        <w:t>example,</w:t>
      </w:r>
      <w:r w:rsidR="00B52482">
        <w:t xml:space="preserve"> where a provider is achieving high </w:t>
      </w:r>
      <w:r w:rsidR="001D1919">
        <w:t>performance,</w:t>
      </w:r>
      <w:r w:rsidR="00B52482">
        <w:t xml:space="preserve"> they may be </w:t>
      </w:r>
      <w:r w:rsidR="006A61EA">
        <w:t xml:space="preserve">allowed to expand their service into other </w:t>
      </w:r>
      <w:r w:rsidR="006E1A2F">
        <w:t>regions</w:t>
      </w:r>
      <w:r w:rsidR="004A39B5">
        <w:t xml:space="preserve"> where there are poor perform</w:t>
      </w:r>
      <w:r w:rsidR="00CA2A2C">
        <w:t>ing providers.</w:t>
      </w:r>
    </w:p>
    <w:p w14:paraId="43485023" w14:textId="77777777" w:rsidR="00E62667" w:rsidRDefault="00E62667" w:rsidP="00E62667">
      <w:pPr>
        <w:autoSpaceDE w:val="0"/>
        <w:autoSpaceDN w:val="0"/>
        <w:adjustRightInd w:val="0"/>
        <w:spacing w:after="0" w:line="240" w:lineRule="auto"/>
        <w:rPr>
          <w:rFonts w:ascii="Arial" w:hAnsi="Arial" w:cs="Arial"/>
        </w:rPr>
      </w:pPr>
    </w:p>
    <w:p w14:paraId="047AFF86" w14:textId="20A003BA" w:rsidR="00E62667" w:rsidRPr="001320B3" w:rsidRDefault="001D1919" w:rsidP="00E62667">
      <w:pPr>
        <w:autoSpaceDE w:val="0"/>
        <w:autoSpaceDN w:val="0"/>
        <w:adjustRightInd w:val="0"/>
        <w:spacing w:after="0" w:line="240" w:lineRule="auto"/>
      </w:pPr>
      <w:r w:rsidRPr="001320B3">
        <w:t>Regarding</w:t>
      </w:r>
      <w:r w:rsidR="00C460F1" w:rsidRPr="001320B3">
        <w:t xml:space="preserve"> workforce </w:t>
      </w:r>
      <w:r w:rsidR="00E92701" w:rsidRPr="001320B3">
        <w:t>capability,</w:t>
      </w:r>
      <w:r w:rsidR="00C460F1" w:rsidRPr="001320B3">
        <w:t xml:space="preserve"> </w:t>
      </w:r>
      <w:r w:rsidR="00E33799" w:rsidRPr="001320B3">
        <w:t>we invest in a range of training for our staff</w:t>
      </w:r>
      <w:r w:rsidR="00466759" w:rsidRPr="001320B3">
        <w:t xml:space="preserve">, such as </w:t>
      </w:r>
      <w:r w:rsidR="0001023C" w:rsidRPr="001320B3">
        <w:t>conflict resolution</w:t>
      </w:r>
      <w:r w:rsidR="007C67A8" w:rsidRPr="001320B3">
        <w:t xml:space="preserve"> and</w:t>
      </w:r>
      <w:r w:rsidR="0001023C" w:rsidRPr="001320B3">
        <w:t xml:space="preserve"> </w:t>
      </w:r>
      <w:r w:rsidR="0034515D" w:rsidRPr="001320B3">
        <w:t>cultural awareness</w:t>
      </w:r>
      <w:r w:rsidR="005011C7" w:rsidRPr="001320B3">
        <w:t xml:space="preserve">. </w:t>
      </w:r>
      <w:r w:rsidR="003F0C49" w:rsidRPr="001320B3">
        <w:t xml:space="preserve">DSS should </w:t>
      </w:r>
      <w:r w:rsidRPr="001320B3">
        <w:t>consider providing</w:t>
      </w:r>
      <w:r w:rsidR="00CD6E1F" w:rsidRPr="001320B3">
        <w:t xml:space="preserve"> some funding to train staff, for example </w:t>
      </w:r>
      <w:r w:rsidR="00874215" w:rsidRPr="001320B3">
        <w:t xml:space="preserve">the DES essentials training </w:t>
      </w:r>
      <w:r w:rsidR="00E53F9D" w:rsidRPr="001320B3">
        <w:t xml:space="preserve">developed by DEA </w:t>
      </w:r>
      <w:r w:rsidR="008C426C" w:rsidRPr="001320B3">
        <w:t xml:space="preserve">may be a </w:t>
      </w:r>
      <w:r w:rsidR="009D7F16" w:rsidRPr="001320B3">
        <w:t xml:space="preserve">good option for new staff </w:t>
      </w:r>
      <w:r w:rsidR="001320B3" w:rsidRPr="001320B3">
        <w:t>to DES.</w:t>
      </w:r>
    </w:p>
    <w:p w14:paraId="10CD0FA7" w14:textId="77777777" w:rsidR="00E62667" w:rsidRPr="00EA7A8F" w:rsidRDefault="00E62667" w:rsidP="00E62667">
      <w:pPr>
        <w:autoSpaceDE w:val="0"/>
        <w:autoSpaceDN w:val="0"/>
        <w:adjustRightInd w:val="0"/>
        <w:spacing w:after="0" w:line="240" w:lineRule="auto"/>
      </w:pPr>
    </w:p>
    <w:p w14:paraId="208925AA" w14:textId="43BB07E2" w:rsidR="005D2449" w:rsidRPr="00EA7A8F" w:rsidRDefault="005D2449" w:rsidP="00E62667">
      <w:pPr>
        <w:autoSpaceDE w:val="0"/>
        <w:autoSpaceDN w:val="0"/>
        <w:adjustRightInd w:val="0"/>
        <w:spacing w:after="0" w:line="240" w:lineRule="auto"/>
      </w:pPr>
      <w:r w:rsidRPr="00EA7A8F">
        <w:t xml:space="preserve">We believe there is a place for specialist providers </w:t>
      </w:r>
      <w:r w:rsidR="00A218CB" w:rsidRPr="00EA7A8F">
        <w:t>as they exist in the current market</w:t>
      </w:r>
      <w:r w:rsidR="00B66F63" w:rsidRPr="00EA7A8F">
        <w:t xml:space="preserve">, as stated earlier there may </w:t>
      </w:r>
      <w:r w:rsidR="00440C1F" w:rsidRPr="00EA7A8F">
        <w:t xml:space="preserve">also </w:t>
      </w:r>
      <w:r w:rsidR="00B66F63" w:rsidRPr="00EA7A8F">
        <w:t xml:space="preserve">be a place for specialists </w:t>
      </w:r>
      <w:r w:rsidR="00EA7A8F" w:rsidRPr="00EA7A8F">
        <w:t>regarding</w:t>
      </w:r>
      <w:r w:rsidR="00B66F63" w:rsidRPr="00EA7A8F">
        <w:t xml:space="preserve"> assisting </w:t>
      </w:r>
      <w:r w:rsidR="00BB0753" w:rsidRPr="00EA7A8F">
        <w:t>youth who are approaching thei</w:t>
      </w:r>
      <w:r w:rsidR="00D100DF" w:rsidRPr="00EA7A8F">
        <w:t>r final year of education</w:t>
      </w:r>
      <w:r w:rsidR="006555C8" w:rsidRPr="00EA7A8F">
        <w:t xml:space="preserve">. </w:t>
      </w:r>
      <w:r w:rsidR="00D93A1F" w:rsidRPr="00EA7A8F">
        <w:t>Regarding industry specialists we believe the existing market already adapts to this need</w:t>
      </w:r>
      <w:r w:rsidR="004F06F2" w:rsidRPr="00EA7A8F">
        <w:t xml:space="preserve">, so </w:t>
      </w:r>
      <w:r w:rsidR="002A51A0" w:rsidRPr="00EA7A8F">
        <w:t xml:space="preserve">industry specialists should not be introduced </w:t>
      </w:r>
      <w:r w:rsidR="00431BC8" w:rsidRPr="00EA7A8F">
        <w:t xml:space="preserve">to </w:t>
      </w:r>
      <w:r w:rsidR="00DA542C" w:rsidRPr="00EA7A8F">
        <w:t>DES.</w:t>
      </w:r>
    </w:p>
    <w:p w14:paraId="4EAE4C06" w14:textId="77777777" w:rsidR="00E62667" w:rsidRPr="00E62667" w:rsidRDefault="00E62667" w:rsidP="00E62667">
      <w:pPr>
        <w:autoSpaceDE w:val="0"/>
        <w:autoSpaceDN w:val="0"/>
        <w:adjustRightInd w:val="0"/>
        <w:spacing w:after="0" w:line="240" w:lineRule="auto"/>
        <w:rPr>
          <w:rFonts w:ascii="Arial" w:hAnsi="Arial" w:cs="Arial"/>
        </w:rPr>
      </w:pPr>
    </w:p>
    <w:p w14:paraId="3A0DE4D9" w14:textId="77777777" w:rsidR="003B45BD" w:rsidRDefault="003B45BD">
      <w:pPr>
        <w:rPr>
          <w:rFonts w:asciiTheme="majorHAnsi" w:eastAsiaTheme="majorEastAsia" w:hAnsiTheme="majorHAnsi" w:cstheme="majorBidi"/>
          <w:b/>
          <w:bCs/>
          <w:color w:val="2F5496" w:themeColor="accent1" w:themeShade="BF"/>
          <w:sz w:val="32"/>
          <w:szCs w:val="32"/>
        </w:rPr>
      </w:pPr>
      <w:bookmarkStart w:id="8" w:name="_Toc94614839"/>
      <w:r>
        <w:rPr>
          <w:b/>
          <w:bCs/>
        </w:rPr>
        <w:br w:type="page"/>
      </w:r>
    </w:p>
    <w:p w14:paraId="5369B9FD" w14:textId="38268D77" w:rsidR="00E62667" w:rsidRPr="00A61047" w:rsidRDefault="00EA48FA" w:rsidP="00E2419B">
      <w:pPr>
        <w:pStyle w:val="Heading1"/>
        <w:numPr>
          <w:ilvl w:val="0"/>
          <w:numId w:val="3"/>
        </w:numPr>
        <w:ind w:left="426" w:hanging="426"/>
        <w:rPr>
          <w:b/>
          <w:bCs/>
        </w:rPr>
      </w:pPr>
      <w:r w:rsidRPr="00A61047">
        <w:rPr>
          <w:b/>
          <w:bCs/>
        </w:rPr>
        <w:t>How do we measure success?</w:t>
      </w:r>
      <w:bookmarkEnd w:id="8"/>
    </w:p>
    <w:p w14:paraId="79CE3BB3" w14:textId="77777777" w:rsidR="00DB6D18" w:rsidRDefault="00233FDF" w:rsidP="00D81FBF">
      <w:r>
        <w:t>Success in DES</w:t>
      </w:r>
      <w:r w:rsidR="00AE7311">
        <w:t xml:space="preserve">, in simple terms, is increasing workforce participation </w:t>
      </w:r>
      <w:r w:rsidR="00D4278F">
        <w:t>of people with a disability in the open labour market</w:t>
      </w:r>
      <w:r w:rsidR="000F67CA">
        <w:t xml:space="preserve">. </w:t>
      </w:r>
      <w:r w:rsidR="00B479AE">
        <w:t>DES providers and the Government have a joint role to play here</w:t>
      </w:r>
      <w:r w:rsidR="001465D1">
        <w:t xml:space="preserve">, </w:t>
      </w:r>
      <w:r w:rsidR="009A294A">
        <w:t>this includes</w:t>
      </w:r>
      <w:r w:rsidR="00DB6D18">
        <w:t>, but not limited to: -</w:t>
      </w:r>
    </w:p>
    <w:p w14:paraId="21B40ADF" w14:textId="3A8E1EDB" w:rsidR="000B325A" w:rsidRDefault="00A23D7D" w:rsidP="007A190E">
      <w:pPr>
        <w:pStyle w:val="ListParagraph"/>
        <w:numPr>
          <w:ilvl w:val="0"/>
          <w:numId w:val="31"/>
        </w:numPr>
      </w:pPr>
      <w:r>
        <w:t>M</w:t>
      </w:r>
      <w:r w:rsidR="001465D1">
        <w:t>ore education in the community</w:t>
      </w:r>
      <w:r w:rsidR="00E573FE">
        <w:t xml:space="preserve">, addressing perceived </w:t>
      </w:r>
      <w:r w:rsidR="00FB22AE">
        <w:t>concerns and barriers to employing a person with a disability</w:t>
      </w:r>
      <w:r w:rsidR="00215074">
        <w:t xml:space="preserve">. </w:t>
      </w:r>
    </w:p>
    <w:p w14:paraId="07AEA04D" w14:textId="77777777" w:rsidR="00B92CC1" w:rsidRDefault="00E361DC" w:rsidP="007A190E">
      <w:pPr>
        <w:pStyle w:val="ListParagraph"/>
        <w:numPr>
          <w:ilvl w:val="0"/>
          <w:numId w:val="31"/>
        </w:numPr>
      </w:pPr>
      <w:r>
        <w:t>Simplifying</w:t>
      </w:r>
      <w:r w:rsidR="00D768C9">
        <w:t xml:space="preserve"> the process of employing a person with a disability for employers</w:t>
      </w:r>
      <w:r w:rsidR="00E24987">
        <w:t>.</w:t>
      </w:r>
    </w:p>
    <w:p w14:paraId="55937BFC" w14:textId="7A8181A1" w:rsidR="00BB1C3B" w:rsidRDefault="007B422C" w:rsidP="007A190E">
      <w:pPr>
        <w:pStyle w:val="ListParagraph"/>
        <w:numPr>
          <w:ilvl w:val="0"/>
          <w:numId w:val="31"/>
        </w:numPr>
      </w:pPr>
      <w:r>
        <w:t xml:space="preserve">Consider recommendations </w:t>
      </w:r>
      <w:r w:rsidR="00FB6606">
        <w:t xml:space="preserve">made in the </w:t>
      </w:r>
      <w:r w:rsidR="00E15936">
        <w:t>COSBOA</w:t>
      </w:r>
      <w:r w:rsidR="00964108">
        <w:t xml:space="preserve"> report</w:t>
      </w:r>
      <w:r w:rsidR="00272EE4">
        <w:t xml:space="preserve"> referred to earlier, including </w:t>
      </w:r>
      <w:r w:rsidR="00B30FAE">
        <w:t xml:space="preserve">consultation with business to better understand the information and support they need to </w:t>
      </w:r>
      <w:r w:rsidR="001970EC">
        <w:t xml:space="preserve">be </w:t>
      </w:r>
      <w:r w:rsidR="006C79B8">
        <w:t>c</w:t>
      </w:r>
      <w:r w:rsidR="00212314">
        <w:t>onfident in employing people with a disability.</w:t>
      </w:r>
    </w:p>
    <w:p w14:paraId="02866120" w14:textId="13FE3BD9" w:rsidR="005114EB" w:rsidRDefault="00EB10CA" w:rsidP="007A190E">
      <w:pPr>
        <w:pStyle w:val="ListParagraph"/>
        <w:numPr>
          <w:ilvl w:val="0"/>
          <w:numId w:val="31"/>
        </w:numPr>
      </w:pPr>
      <w:r>
        <w:t xml:space="preserve">Provide the opportunity for employers to </w:t>
      </w:r>
      <w:r w:rsidR="00A629BE">
        <w:t>provide feedback on how their experience could be improved</w:t>
      </w:r>
      <w:r w:rsidR="00E345B3">
        <w:t>.</w:t>
      </w:r>
    </w:p>
    <w:sectPr w:rsidR="005114EB" w:rsidSect="0072108D">
      <w:footerReference w:type="default" r:id="rId11"/>
      <w:pgSz w:w="11906" w:h="16838"/>
      <w:pgMar w:top="1276" w:right="144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5ED1" w14:textId="77777777" w:rsidR="003075A0" w:rsidRDefault="003075A0" w:rsidP="00187E78">
      <w:pPr>
        <w:spacing w:after="0" w:line="240" w:lineRule="auto"/>
      </w:pPr>
      <w:r>
        <w:separator/>
      </w:r>
    </w:p>
  </w:endnote>
  <w:endnote w:type="continuationSeparator" w:id="0">
    <w:p w14:paraId="45B6D657" w14:textId="77777777" w:rsidR="003075A0" w:rsidRDefault="003075A0" w:rsidP="00187E78">
      <w:pPr>
        <w:spacing w:after="0" w:line="240" w:lineRule="auto"/>
      </w:pPr>
      <w:r>
        <w:continuationSeparator/>
      </w:r>
    </w:p>
  </w:endnote>
  <w:endnote w:type="continuationNotice" w:id="1">
    <w:p w14:paraId="2FC02D32" w14:textId="77777777" w:rsidR="003075A0" w:rsidRDefault="00307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2801" w14:textId="451BDB12" w:rsidR="004944FB" w:rsidRDefault="004944FB">
    <w:pPr>
      <w:pStyle w:val="Footer"/>
    </w:pPr>
    <w:r>
      <w:t xml:space="preserve">WCIG Response to DSS </w:t>
    </w:r>
    <w:r w:rsidR="00863D9A">
      <w:t>C</w:t>
    </w:r>
    <w:r>
      <w:t xml:space="preserve">onsultation </w:t>
    </w:r>
    <w:r w:rsidR="00863D9A">
      <w:t>Paper</w:t>
    </w:r>
    <w:r>
      <w:ptab w:relativeTo="margin" w:alignment="center" w:leader="none"/>
    </w:r>
    <w:r>
      <w:ptab w:relativeTo="margin" w:alignment="right" w:leader="none"/>
    </w:r>
    <w:r w:rsidR="00D87851">
      <w:t xml:space="preserve">Page </w:t>
    </w:r>
    <w:r w:rsidR="00D87851">
      <w:rPr>
        <w:b/>
        <w:bCs/>
      </w:rPr>
      <w:fldChar w:fldCharType="begin"/>
    </w:r>
    <w:r w:rsidR="00D87851">
      <w:rPr>
        <w:b/>
        <w:bCs/>
      </w:rPr>
      <w:instrText xml:space="preserve"> PAGE  \* Arabic  \* MERGEFORMAT </w:instrText>
    </w:r>
    <w:r w:rsidR="00D87851">
      <w:rPr>
        <w:b/>
        <w:bCs/>
      </w:rPr>
      <w:fldChar w:fldCharType="separate"/>
    </w:r>
    <w:r w:rsidR="00D87851">
      <w:rPr>
        <w:b/>
        <w:bCs/>
        <w:noProof/>
      </w:rPr>
      <w:t>1</w:t>
    </w:r>
    <w:r w:rsidR="00D87851">
      <w:rPr>
        <w:b/>
        <w:bCs/>
      </w:rPr>
      <w:fldChar w:fldCharType="end"/>
    </w:r>
    <w:r w:rsidR="00D87851">
      <w:t xml:space="preserve"> of </w:t>
    </w:r>
    <w:r w:rsidR="00D87851">
      <w:rPr>
        <w:b/>
        <w:bCs/>
      </w:rPr>
      <w:fldChar w:fldCharType="begin"/>
    </w:r>
    <w:r w:rsidR="00D87851">
      <w:rPr>
        <w:b/>
        <w:bCs/>
      </w:rPr>
      <w:instrText xml:space="preserve"> NUMPAGES  \* Arabic  \* MERGEFORMAT </w:instrText>
    </w:r>
    <w:r w:rsidR="00D87851">
      <w:rPr>
        <w:b/>
        <w:bCs/>
      </w:rPr>
      <w:fldChar w:fldCharType="separate"/>
    </w:r>
    <w:r w:rsidR="00D87851">
      <w:rPr>
        <w:b/>
        <w:bCs/>
        <w:noProof/>
      </w:rPr>
      <w:t>2</w:t>
    </w:r>
    <w:r w:rsidR="00D8785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9FE6" w14:textId="77777777" w:rsidR="003075A0" w:rsidRDefault="003075A0" w:rsidP="00187E78">
      <w:pPr>
        <w:spacing w:after="0" w:line="240" w:lineRule="auto"/>
      </w:pPr>
      <w:r>
        <w:separator/>
      </w:r>
    </w:p>
  </w:footnote>
  <w:footnote w:type="continuationSeparator" w:id="0">
    <w:p w14:paraId="0B6C1216" w14:textId="77777777" w:rsidR="003075A0" w:rsidRDefault="003075A0" w:rsidP="00187E78">
      <w:pPr>
        <w:spacing w:after="0" w:line="240" w:lineRule="auto"/>
      </w:pPr>
      <w:r>
        <w:continuationSeparator/>
      </w:r>
    </w:p>
  </w:footnote>
  <w:footnote w:type="continuationNotice" w:id="1">
    <w:p w14:paraId="00064599" w14:textId="77777777" w:rsidR="003075A0" w:rsidRDefault="003075A0">
      <w:pPr>
        <w:spacing w:after="0" w:line="240" w:lineRule="auto"/>
      </w:pPr>
    </w:p>
  </w:footnote>
  <w:footnote w:id="2">
    <w:p w14:paraId="7E3294D8" w14:textId="70E98499" w:rsidR="00BF6E3E" w:rsidRDefault="00BF6E3E">
      <w:pPr>
        <w:pStyle w:val="FootnoteText"/>
      </w:pPr>
      <w:r>
        <w:rPr>
          <w:rStyle w:val="FootnoteReference"/>
        </w:rPr>
        <w:footnoteRef/>
      </w:r>
      <w:r>
        <w:t xml:space="preserve"> </w:t>
      </w:r>
      <w:r w:rsidR="00EF07EC">
        <w:t>Jobactive caseload data</w:t>
      </w:r>
      <w:r w:rsidR="00754174">
        <w:t xml:space="preserve"> 30/09/2021</w:t>
      </w:r>
    </w:p>
  </w:footnote>
  <w:footnote w:id="3">
    <w:p w14:paraId="3290640B" w14:textId="4041EBD7" w:rsidR="00723501" w:rsidRDefault="00723501">
      <w:pPr>
        <w:pStyle w:val="FootnoteText"/>
      </w:pPr>
      <w:r>
        <w:rPr>
          <w:rStyle w:val="FootnoteReference"/>
        </w:rPr>
        <w:footnoteRef/>
      </w:r>
      <w:r>
        <w:t xml:space="preserve"> </w:t>
      </w:r>
      <w:hyperlink r:id="rId1" w:history="1">
        <w:r>
          <w:rPr>
            <w:rStyle w:val="Hyperlink"/>
          </w:rPr>
          <w:t>DES Mid-term Review (Draft Final Report) (dss.gov.au)</w:t>
        </w:r>
      </w:hyperlink>
    </w:p>
  </w:footnote>
  <w:footnote w:id="4">
    <w:p w14:paraId="46DC63F1" w14:textId="7F9E256C" w:rsidR="00423B9A" w:rsidRDefault="00423B9A">
      <w:pPr>
        <w:pStyle w:val="FootnoteText"/>
      </w:pPr>
      <w:r>
        <w:rPr>
          <w:rStyle w:val="FootnoteReference"/>
        </w:rPr>
        <w:footnoteRef/>
      </w:r>
      <w:r>
        <w:t xml:space="preserve"> </w:t>
      </w:r>
      <w:proofErr w:type="spellStart"/>
      <w:r w:rsidR="00F964E9">
        <w:t>JobAccess</w:t>
      </w:r>
      <w:proofErr w:type="spellEnd"/>
      <w:r w:rsidR="00F964E9">
        <w:t xml:space="preserve"> 2021, </w:t>
      </w:r>
      <w:r w:rsidR="00F964E9">
        <w:rPr>
          <w:i/>
          <w:iCs/>
        </w:rPr>
        <w:t xml:space="preserve">Eligibility, </w:t>
      </w:r>
      <w:r w:rsidR="00F964E9">
        <w:t>Australian Government, &lt;</w:t>
      </w:r>
      <w:r w:rsidR="00F964E9" w:rsidRPr="00A30F2E">
        <w:t>https://www.jobaccess.gov.au/people-with-disability/eligibility</w:t>
      </w:r>
      <w:r w:rsidR="00F964E9">
        <w:t>&gt;</w:t>
      </w:r>
    </w:p>
  </w:footnote>
  <w:footnote w:id="5">
    <w:p w14:paraId="43A2E389" w14:textId="09B6940E" w:rsidR="00BB657C" w:rsidRDefault="00BB657C">
      <w:pPr>
        <w:pStyle w:val="FootnoteText"/>
      </w:pPr>
      <w:r>
        <w:rPr>
          <w:rStyle w:val="FootnoteReference"/>
        </w:rPr>
        <w:footnoteRef/>
      </w:r>
      <w:r>
        <w:t xml:space="preserve"> </w:t>
      </w:r>
      <w:hyperlink r:id="rId2" w:history="1">
        <w:r w:rsidR="003C261E">
          <w:rPr>
            <w:rStyle w:val="Hyperlink"/>
          </w:rPr>
          <w:t>Mobilising employers to employ people with work disability project | Comcare</w:t>
        </w:r>
      </w:hyperlink>
    </w:p>
  </w:footnote>
  <w:footnote w:id="6">
    <w:p w14:paraId="7D99851B" w14:textId="25C61278" w:rsidR="00520433" w:rsidRDefault="00520433">
      <w:pPr>
        <w:pStyle w:val="FootnoteText"/>
      </w:pPr>
      <w:r>
        <w:rPr>
          <w:rStyle w:val="FootnoteReference"/>
        </w:rPr>
        <w:footnoteRef/>
      </w:r>
      <w:r>
        <w:t xml:space="preserve"> </w:t>
      </w:r>
      <w:hyperlink r:id="rId3" w:history="1">
        <w:r>
          <w:rPr>
            <w:rStyle w:val="Hyperlink"/>
          </w:rPr>
          <w:t xml:space="preserve">Employability Project | </w:t>
        </w:r>
        <w:proofErr w:type="spellStart"/>
        <w:r>
          <w:rPr>
            <w:rStyle w:val="Hyperlink"/>
          </w:rPr>
          <w:t>cosboa</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3B"/>
    <w:multiLevelType w:val="hybridMultilevel"/>
    <w:tmpl w:val="8D8481E8"/>
    <w:lvl w:ilvl="0" w:tplc="51C2F29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7D1A82"/>
    <w:multiLevelType w:val="hybridMultilevel"/>
    <w:tmpl w:val="225EF8E0"/>
    <w:lvl w:ilvl="0" w:tplc="8F289BF8">
      <w:start w:val="1"/>
      <w:numFmt w:val="decimal"/>
      <w:lvlText w:val="7.%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D7AE2"/>
    <w:multiLevelType w:val="hybridMultilevel"/>
    <w:tmpl w:val="FE989DDA"/>
    <w:lvl w:ilvl="0" w:tplc="87184A62">
      <w:start w:val="1"/>
      <w:numFmt w:val="lowerLetter"/>
      <w:lvlText w:val="9.%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393847"/>
    <w:multiLevelType w:val="hybridMultilevel"/>
    <w:tmpl w:val="89646198"/>
    <w:lvl w:ilvl="0" w:tplc="6E1830CA">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DD79F2"/>
    <w:multiLevelType w:val="hybridMultilevel"/>
    <w:tmpl w:val="F3A6E46E"/>
    <w:lvl w:ilvl="0" w:tplc="9F4CB046">
      <w:start w:val="1"/>
      <w:numFmt w:val="decimal"/>
      <w:lvlText w:val="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6A4EF5"/>
    <w:multiLevelType w:val="hybridMultilevel"/>
    <w:tmpl w:val="BDF0159C"/>
    <w:lvl w:ilvl="0" w:tplc="51C2F29A">
      <w:start w:val="1"/>
      <w:numFmt w:val="decimal"/>
      <w:lvlText w:val="4.%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92015"/>
    <w:multiLevelType w:val="multilevel"/>
    <w:tmpl w:val="0AFCDA5C"/>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644" w:hanging="360"/>
      </w:pPr>
      <w:rPr>
        <w:rFonts w:ascii="Arial" w:hAnsi="Arial" w:cs="Arial" w:hint="default"/>
        <w:b w:val="0"/>
        <w:i w:val="0"/>
      </w:rPr>
    </w:lvl>
    <w:lvl w:ilvl="2">
      <w:start w:val="1"/>
      <w:numFmt w:val="decimal"/>
      <w:lvlText w:val="%1.%2.%3"/>
      <w:lvlJc w:val="left"/>
      <w:pPr>
        <w:ind w:left="1288" w:hanging="720"/>
      </w:pPr>
      <w:rPr>
        <w:rFonts w:ascii="Arial" w:hAnsi="Arial" w:cs="Arial" w:hint="default"/>
        <w:b w:val="0"/>
        <w:i w:val="0"/>
      </w:rPr>
    </w:lvl>
    <w:lvl w:ilvl="3">
      <w:start w:val="1"/>
      <w:numFmt w:val="decimal"/>
      <w:lvlText w:val="%1.%2.%3.%4"/>
      <w:lvlJc w:val="left"/>
      <w:pPr>
        <w:ind w:left="1572" w:hanging="720"/>
      </w:pPr>
      <w:rPr>
        <w:rFonts w:ascii="Arial" w:hAnsi="Arial" w:cs="Arial" w:hint="default"/>
        <w:b w:val="0"/>
        <w:i w:val="0"/>
      </w:rPr>
    </w:lvl>
    <w:lvl w:ilvl="4">
      <w:start w:val="1"/>
      <w:numFmt w:val="decimal"/>
      <w:lvlText w:val="%1.%2.%3.%4.%5"/>
      <w:lvlJc w:val="left"/>
      <w:pPr>
        <w:ind w:left="2216" w:hanging="1080"/>
      </w:pPr>
      <w:rPr>
        <w:rFonts w:ascii="Arial" w:hAnsi="Arial" w:cs="Arial" w:hint="default"/>
        <w:b w:val="0"/>
        <w:i w:val="0"/>
      </w:rPr>
    </w:lvl>
    <w:lvl w:ilvl="5">
      <w:start w:val="1"/>
      <w:numFmt w:val="decimal"/>
      <w:lvlText w:val="%1.%2.%3.%4.%5.%6"/>
      <w:lvlJc w:val="left"/>
      <w:pPr>
        <w:ind w:left="2500" w:hanging="1080"/>
      </w:pPr>
      <w:rPr>
        <w:rFonts w:ascii="Arial" w:hAnsi="Arial" w:cs="Arial" w:hint="default"/>
        <w:b w:val="0"/>
        <w:i w:val="0"/>
      </w:rPr>
    </w:lvl>
    <w:lvl w:ilvl="6">
      <w:start w:val="1"/>
      <w:numFmt w:val="decimal"/>
      <w:lvlText w:val="%1.%2.%3.%4.%5.%6.%7"/>
      <w:lvlJc w:val="left"/>
      <w:pPr>
        <w:ind w:left="3144" w:hanging="1440"/>
      </w:pPr>
      <w:rPr>
        <w:rFonts w:ascii="Arial" w:hAnsi="Arial" w:cs="Arial" w:hint="default"/>
        <w:b w:val="0"/>
        <w:i w:val="0"/>
      </w:rPr>
    </w:lvl>
    <w:lvl w:ilvl="7">
      <w:start w:val="1"/>
      <w:numFmt w:val="decimal"/>
      <w:lvlText w:val="%1.%2.%3.%4.%5.%6.%7.%8"/>
      <w:lvlJc w:val="left"/>
      <w:pPr>
        <w:ind w:left="3428" w:hanging="1440"/>
      </w:pPr>
      <w:rPr>
        <w:rFonts w:ascii="Arial" w:hAnsi="Arial" w:cs="Arial" w:hint="default"/>
        <w:b w:val="0"/>
        <w:i w:val="0"/>
      </w:rPr>
    </w:lvl>
    <w:lvl w:ilvl="8">
      <w:start w:val="1"/>
      <w:numFmt w:val="decimal"/>
      <w:lvlText w:val="%1.%2.%3.%4.%5.%6.%7.%8.%9"/>
      <w:lvlJc w:val="left"/>
      <w:pPr>
        <w:ind w:left="4072" w:hanging="1800"/>
      </w:pPr>
      <w:rPr>
        <w:rFonts w:ascii="Arial" w:hAnsi="Arial" w:cs="Arial" w:hint="default"/>
        <w:b w:val="0"/>
        <w:i w:val="0"/>
      </w:rPr>
    </w:lvl>
  </w:abstractNum>
  <w:abstractNum w:abstractNumId="7" w15:restartNumberingAfterBreak="0">
    <w:nsid w:val="1ACC4AAC"/>
    <w:multiLevelType w:val="multilevel"/>
    <w:tmpl w:val="F62E0C6E"/>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CF9428C"/>
    <w:multiLevelType w:val="multilevel"/>
    <w:tmpl w:val="40A0984A"/>
    <w:lvl w:ilvl="0">
      <w:start w:val="1"/>
      <w:numFmt w:val="decimal"/>
      <w:lvlText w:val="%1"/>
      <w:lvlJc w:val="left"/>
      <w:pPr>
        <w:ind w:left="435" w:hanging="435"/>
      </w:pPr>
      <w:rPr>
        <w:rFonts w:hint="default"/>
      </w:rPr>
    </w:lvl>
    <w:lvl w:ilvl="1">
      <w:start w:val="1"/>
      <w:numFmt w:val="decimal"/>
      <w:lvlText w:val="2.%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D42290C"/>
    <w:multiLevelType w:val="multilevel"/>
    <w:tmpl w:val="F62E0C6E"/>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238723FA"/>
    <w:multiLevelType w:val="hybridMultilevel"/>
    <w:tmpl w:val="EF540940"/>
    <w:lvl w:ilvl="0" w:tplc="0024B996">
      <w:start w:val="1"/>
      <w:numFmt w:val="decimal"/>
      <w:lvlText w:val="3.%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9B48CC"/>
    <w:multiLevelType w:val="multilevel"/>
    <w:tmpl w:val="F7E0E684"/>
    <w:lvl w:ilvl="0">
      <w:start w:val="2"/>
      <w:numFmt w:val="decimal"/>
      <w:lvlText w:val="%1"/>
      <w:lvlJc w:val="left"/>
      <w:pPr>
        <w:ind w:left="360" w:hanging="360"/>
      </w:pPr>
      <w:rPr>
        <w:rFonts w:ascii="Arial" w:hAnsi="Arial" w:cs="Arial" w:hint="default"/>
        <w:b w:val="0"/>
        <w:i w:val="0"/>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Arial" w:hAnsi="Arial" w:cs="Arial" w:hint="default"/>
        <w:b w:val="0"/>
        <w:i w:val="0"/>
      </w:rPr>
    </w:lvl>
    <w:lvl w:ilvl="3">
      <w:start w:val="1"/>
      <w:numFmt w:val="decimal"/>
      <w:lvlText w:val="%1.%2.%3.%4"/>
      <w:lvlJc w:val="left"/>
      <w:pPr>
        <w:ind w:left="720" w:hanging="720"/>
      </w:pPr>
      <w:rPr>
        <w:rFonts w:ascii="Arial" w:hAnsi="Arial" w:cs="Arial" w:hint="default"/>
        <w:b w:val="0"/>
        <w:i w:val="0"/>
      </w:rPr>
    </w:lvl>
    <w:lvl w:ilvl="4">
      <w:start w:val="1"/>
      <w:numFmt w:val="decimal"/>
      <w:lvlText w:val="%1.%2.%3.%4.%5"/>
      <w:lvlJc w:val="left"/>
      <w:pPr>
        <w:ind w:left="1080" w:hanging="1080"/>
      </w:pPr>
      <w:rPr>
        <w:rFonts w:ascii="Arial" w:hAnsi="Arial" w:cs="Arial" w:hint="default"/>
        <w:b w:val="0"/>
        <w:i w:val="0"/>
      </w:rPr>
    </w:lvl>
    <w:lvl w:ilvl="5">
      <w:start w:val="1"/>
      <w:numFmt w:val="decimal"/>
      <w:lvlText w:val="%1.%2.%3.%4.%5.%6"/>
      <w:lvlJc w:val="left"/>
      <w:pPr>
        <w:ind w:left="1080" w:hanging="1080"/>
      </w:pPr>
      <w:rPr>
        <w:rFonts w:ascii="Arial" w:hAnsi="Arial" w:cs="Arial" w:hint="default"/>
        <w:b w:val="0"/>
        <w:i w:val="0"/>
      </w:rPr>
    </w:lvl>
    <w:lvl w:ilvl="6">
      <w:start w:val="1"/>
      <w:numFmt w:val="decimal"/>
      <w:lvlText w:val="%1.%2.%3.%4.%5.%6.%7"/>
      <w:lvlJc w:val="left"/>
      <w:pPr>
        <w:ind w:left="1440" w:hanging="1440"/>
      </w:pPr>
      <w:rPr>
        <w:rFonts w:ascii="Arial" w:hAnsi="Arial" w:cs="Arial" w:hint="default"/>
        <w:b w:val="0"/>
        <w:i w:val="0"/>
      </w:rPr>
    </w:lvl>
    <w:lvl w:ilvl="7">
      <w:start w:val="1"/>
      <w:numFmt w:val="decimal"/>
      <w:lvlText w:val="%1.%2.%3.%4.%5.%6.%7.%8"/>
      <w:lvlJc w:val="left"/>
      <w:pPr>
        <w:ind w:left="1440" w:hanging="1440"/>
      </w:pPr>
      <w:rPr>
        <w:rFonts w:ascii="Arial" w:hAnsi="Arial" w:cs="Arial" w:hint="default"/>
        <w:b w:val="0"/>
        <w:i w:val="0"/>
      </w:rPr>
    </w:lvl>
    <w:lvl w:ilvl="8">
      <w:start w:val="1"/>
      <w:numFmt w:val="decimal"/>
      <w:lvlText w:val="%1.%2.%3.%4.%5.%6.%7.%8.%9"/>
      <w:lvlJc w:val="left"/>
      <w:pPr>
        <w:ind w:left="1800" w:hanging="1800"/>
      </w:pPr>
      <w:rPr>
        <w:rFonts w:ascii="Arial" w:hAnsi="Arial" w:cs="Arial" w:hint="default"/>
        <w:b w:val="0"/>
        <w:i w:val="0"/>
      </w:rPr>
    </w:lvl>
  </w:abstractNum>
  <w:abstractNum w:abstractNumId="12" w15:restartNumberingAfterBreak="0">
    <w:nsid w:val="2A082E77"/>
    <w:multiLevelType w:val="hybridMultilevel"/>
    <w:tmpl w:val="5EC8B226"/>
    <w:lvl w:ilvl="0" w:tplc="0C09000B">
      <w:start w:val="1"/>
      <w:numFmt w:val="bullet"/>
      <w:lvlText w:val=""/>
      <w:lvlJc w:val="left"/>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22AD6"/>
    <w:multiLevelType w:val="multilevel"/>
    <w:tmpl w:val="204C8946"/>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4" w15:restartNumberingAfterBreak="0">
    <w:nsid w:val="350A0EC9"/>
    <w:multiLevelType w:val="hybridMultilevel"/>
    <w:tmpl w:val="F0D01DD8"/>
    <w:lvl w:ilvl="0" w:tplc="6A26C740">
      <w:start w:val="1"/>
      <w:numFmt w:val="decimal"/>
      <w:lvlText w:val="9.%1"/>
      <w:lvlJc w:val="left"/>
      <w:pPr>
        <w:ind w:left="92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CF557C"/>
    <w:multiLevelType w:val="hybridMultilevel"/>
    <w:tmpl w:val="9C8C5134"/>
    <w:lvl w:ilvl="0" w:tplc="0EECD1DC">
      <w:start w:val="1"/>
      <w:numFmt w:val="decimal"/>
      <w:lvlText w:val="3.%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634E74"/>
    <w:multiLevelType w:val="hybridMultilevel"/>
    <w:tmpl w:val="F216C6EE"/>
    <w:lvl w:ilvl="0" w:tplc="8F289BF8">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F76A4D"/>
    <w:multiLevelType w:val="hybridMultilevel"/>
    <w:tmpl w:val="B8E84E5E"/>
    <w:lvl w:ilvl="0" w:tplc="35683FF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7354F"/>
    <w:multiLevelType w:val="hybridMultilevel"/>
    <w:tmpl w:val="C96E1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262E6D"/>
    <w:multiLevelType w:val="hybridMultilevel"/>
    <w:tmpl w:val="89AE42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54EBC"/>
    <w:multiLevelType w:val="hybridMultilevel"/>
    <w:tmpl w:val="F21256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5F5D51"/>
    <w:multiLevelType w:val="hybridMultilevel"/>
    <w:tmpl w:val="5060E8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461A"/>
    <w:multiLevelType w:val="hybridMultilevel"/>
    <w:tmpl w:val="49C44844"/>
    <w:lvl w:ilvl="0" w:tplc="6B7CF432">
      <w:start w:val="1"/>
      <w:numFmt w:val="decimal"/>
      <w:lvlText w:val="6.%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C843AA"/>
    <w:multiLevelType w:val="multilevel"/>
    <w:tmpl w:val="F62E0C6E"/>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643D544E"/>
    <w:multiLevelType w:val="hybridMultilevel"/>
    <w:tmpl w:val="13D4F4CE"/>
    <w:lvl w:ilvl="0" w:tplc="35683FF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DA3165"/>
    <w:multiLevelType w:val="hybridMultilevel"/>
    <w:tmpl w:val="4D0E76BE"/>
    <w:lvl w:ilvl="0" w:tplc="6B7CF43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95130"/>
    <w:multiLevelType w:val="hybridMultilevel"/>
    <w:tmpl w:val="EE2EEFA4"/>
    <w:lvl w:ilvl="0" w:tplc="8494B76A">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8369D7"/>
    <w:multiLevelType w:val="hybridMultilevel"/>
    <w:tmpl w:val="119AB7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303674"/>
    <w:multiLevelType w:val="hybridMultilevel"/>
    <w:tmpl w:val="578037EA"/>
    <w:lvl w:ilvl="0" w:tplc="71681B20">
      <w:start w:val="1"/>
      <w:numFmt w:val="decimal"/>
      <w:lvlText w:val="5.%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A9470D"/>
    <w:multiLevelType w:val="hybridMultilevel"/>
    <w:tmpl w:val="E2BCE7FA"/>
    <w:lvl w:ilvl="0" w:tplc="6A26C740">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FF0110"/>
    <w:multiLevelType w:val="hybridMultilevel"/>
    <w:tmpl w:val="09009602"/>
    <w:lvl w:ilvl="0" w:tplc="8494B76A">
      <w:start w:val="1"/>
      <w:numFmt w:val="decimal"/>
      <w:lvlText w:val="8.%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9"/>
  </w:num>
  <w:num w:numId="5">
    <w:abstractNumId w:val="7"/>
  </w:num>
  <w:num w:numId="6">
    <w:abstractNumId w:val="13"/>
  </w:num>
  <w:num w:numId="7">
    <w:abstractNumId w:val="6"/>
  </w:num>
  <w:num w:numId="8">
    <w:abstractNumId w:val="11"/>
  </w:num>
  <w:num w:numId="9">
    <w:abstractNumId w:val="23"/>
  </w:num>
  <w:num w:numId="10">
    <w:abstractNumId w:val="8"/>
  </w:num>
  <w:num w:numId="11">
    <w:abstractNumId w:val="15"/>
  </w:num>
  <w:num w:numId="12">
    <w:abstractNumId w:val="0"/>
  </w:num>
  <w:num w:numId="13">
    <w:abstractNumId w:val="28"/>
  </w:num>
  <w:num w:numId="14">
    <w:abstractNumId w:val="22"/>
  </w:num>
  <w:num w:numId="15">
    <w:abstractNumId w:val="1"/>
  </w:num>
  <w:num w:numId="16">
    <w:abstractNumId w:val="30"/>
  </w:num>
  <w:num w:numId="17">
    <w:abstractNumId w:val="14"/>
  </w:num>
  <w:num w:numId="18">
    <w:abstractNumId w:val="4"/>
  </w:num>
  <w:num w:numId="19">
    <w:abstractNumId w:val="3"/>
  </w:num>
  <w:num w:numId="20">
    <w:abstractNumId w:val="10"/>
  </w:num>
  <w:num w:numId="21">
    <w:abstractNumId w:val="5"/>
  </w:num>
  <w:num w:numId="22">
    <w:abstractNumId w:val="17"/>
  </w:num>
  <w:num w:numId="23">
    <w:abstractNumId w:val="24"/>
  </w:num>
  <w:num w:numId="24">
    <w:abstractNumId w:val="25"/>
  </w:num>
  <w:num w:numId="25">
    <w:abstractNumId w:val="16"/>
  </w:num>
  <w:num w:numId="26">
    <w:abstractNumId w:val="26"/>
  </w:num>
  <w:num w:numId="27">
    <w:abstractNumId w:val="29"/>
  </w:num>
  <w:num w:numId="28">
    <w:abstractNumId w:val="2"/>
  </w:num>
  <w:num w:numId="29">
    <w:abstractNumId w:val="12"/>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65"/>
    <w:rsid w:val="00000727"/>
    <w:rsid w:val="00005891"/>
    <w:rsid w:val="0001023C"/>
    <w:rsid w:val="00015D80"/>
    <w:rsid w:val="000175D9"/>
    <w:rsid w:val="000209FC"/>
    <w:rsid w:val="00020ABD"/>
    <w:rsid w:val="0002107D"/>
    <w:rsid w:val="0002530C"/>
    <w:rsid w:val="00032CAE"/>
    <w:rsid w:val="00034535"/>
    <w:rsid w:val="00035DAC"/>
    <w:rsid w:val="00047180"/>
    <w:rsid w:val="0005090B"/>
    <w:rsid w:val="00060E78"/>
    <w:rsid w:val="000646E3"/>
    <w:rsid w:val="000710AE"/>
    <w:rsid w:val="00072EBC"/>
    <w:rsid w:val="0007319C"/>
    <w:rsid w:val="00074082"/>
    <w:rsid w:val="00074250"/>
    <w:rsid w:val="00075EF1"/>
    <w:rsid w:val="00094376"/>
    <w:rsid w:val="0009680D"/>
    <w:rsid w:val="000A628E"/>
    <w:rsid w:val="000B2E8F"/>
    <w:rsid w:val="000B325A"/>
    <w:rsid w:val="000C19F1"/>
    <w:rsid w:val="000C7E10"/>
    <w:rsid w:val="000D2A2F"/>
    <w:rsid w:val="000D3798"/>
    <w:rsid w:val="000E7B27"/>
    <w:rsid w:val="000F1F89"/>
    <w:rsid w:val="000F44EA"/>
    <w:rsid w:val="000F4AC1"/>
    <w:rsid w:val="000F67CA"/>
    <w:rsid w:val="0010224A"/>
    <w:rsid w:val="00117E8C"/>
    <w:rsid w:val="001218EC"/>
    <w:rsid w:val="0013099A"/>
    <w:rsid w:val="001320B3"/>
    <w:rsid w:val="00133A08"/>
    <w:rsid w:val="001465D1"/>
    <w:rsid w:val="00154B57"/>
    <w:rsid w:val="001639AE"/>
    <w:rsid w:val="00166011"/>
    <w:rsid w:val="0016650A"/>
    <w:rsid w:val="0017301D"/>
    <w:rsid w:val="001750C2"/>
    <w:rsid w:val="00176B20"/>
    <w:rsid w:val="00176C8E"/>
    <w:rsid w:val="00181A24"/>
    <w:rsid w:val="0018404D"/>
    <w:rsid w:val="00187E78"/>
    <w:rsid w:val="00196DC3"/>
    <w:rsid w:val="001970EC"/>
    <w:rsid w:val="001A312E"/>
    <w:rsid w:val="001A3BBC"/>
    <w:rsid w:val="001A525B"/>
    <w:rsid w:val="001A52E0"/>
    <w:rsid w:val="001A70F7"/>
    <w:rsid w:val="001B2A4F"/>
    <w:rsid w:val="001C1ADA"/>
    <w:rsid w:val="001D0C3C"/>
    <w:rsid w:val="001D0E71"/>
    <w:rsid w:val="001D1919"/>
    <w:rsid w:val="001D6736"/>
    <w:rsid w:val="001E4A92"/>
    <w:rsid w:val="001E6C94"/>
    <w:rsid w:val="001E7DF1"/>
    <w:rsid w:val="001F06C0"/>
    <w:rsid w:val="001F2FB9"/>
    <w:rsid w:val="00201F42"/>
    <w:rsid w:val="00204EDF"/>
    <w:rsid w:val="00212314"/>
    <w:rsid w:val="00213756"/>
    <w:rsid w:val="00215074"/>
    <w:rsid w:val="00223293"/>
    <w:rsid w:val="00231C1C"/>
    <w:rsid w:val="00233FDF"/>
    <w:rsid w:val="00234BD6"/>
    <w:rsid w:val="002407DE"/>
    <w:rsid w:val="00242599"/>
    <w:rsid w:val="00251C55"/>
    <w:rsid w:val="00257385"/>
    <w:rsid w:val="002619D2"/>
    <w:rsid w:val="0026418E"/>
    <w:rsid w:val="00266074"/>
    <w:rsid w:val="00272EE4"/>
    <w:rsid w:val="002777F1"/>
    <w:rsid w:val="0028140E"/>
    <w:rsid w:val="00283501"/>
    <w:rsid w:val="002836CC"/>
    <w:rsid w:val="002846C0"/>
    <w:rsid w:val="00284DEE"/>
    <w:rsid w:val="002916A0"/>
    <w:rsid w:val="0029402A"/>
    <w:rsid w:val="002A0011"/>
    <w:rsid w:val="002A1854"/>
    <w:rsid w:val="002A2212"/>
    <w:rsid w:val="002A51A0"/>
    <w:rsid w:val="002B5977"/>
    <w:rsid w:val="002B7B12"/>
    <w:rsid w:val="002D04CB"/>
    <w:rsid w:val="002D0CFA"/>
    <w:rsid w:val="002D5DE8"/>
    <w:rsid w:val="002E016E"/>
    <w:rsid w:val="002E0C5E"/>
    <w:rsid w:val="002F5C84"/>
    <w:rsid w:val="00302586"/>
    <w:rsid w:val="00303C02"/>
    <w:rsid w:val="00305AA1"/>
    <w:rsid w:val="00306C0B"/>
    <w:rsid w:val="003075A0"/>
    <w:rsid w:val="003103DB"/>
    <w:rsid w:val="0031718F"/>
    <w:rsid w:val="003301A5"/>
    <w:rsid w:val="00331DB1"/>
    <w:rsid w:val="003322EC"/>
    <w:rsid w:val="0033629E"/>
    <w:rsid w:val="00336AC7"/>
    <w:rsid w:val="003420CB"/>
    <w:rsid w:val="003436C9"/>
    <w:rsid w:val="0034515D"/>
    <w:rsid w:val="00347483"/>
    <w:rsid w:val="00354A7F"/>
    <w:rsid w:val="00356148"/>
    <w:rsid w:val="00360F60"/>
    <w:rsid w:val="0036281B"/>
    <w:rsid w:val="00362A16"/>
    <w:rsid w:val="00362D8F"/>
    <w:rsid w:val="00363610"/>
    <w:rsid w:val="00370F3C"/>
    <w:rsid w:val="0037383B"/>
    <w:rsid w:val="00374E83"/>
    <w:rsid w:val="0038013C"/>
    <w:rsid w:val="003815DA"/>
    <w:rsid w:val="0038197A"/>
    <w:rsid w:val="003827C0"/>
    <w:rsid w:val="00391772"/>
    <w:rsid w:val="00392B87"/>
    <w:rsid w:val="00394D7A"/>
    <w:rsid w:val="00396E18"/>
    <w:rsid w:val="003A1214"/>
    <w:rsid w:val="003A4034"/>
    <w:rsid w:val="003A7C72"/>
    <w:rsid w:val="003B32CF"/>
    <w:rsid w:val="003B45BD"/>
    <w:rsid w:val="003B4A90"/>
    <w:rsid w:val="003B4BD6"/>
    <w:rsid w:val="003C0ED7"/>
    <w:rsid w:val="003C261E"/>
    <w:rsid w:val="003C267E"/>
    <w:rsid w:val="003C2DB2"/>
    <w:rsid w:val="003D044D"/>
    <w:rsid w:val="003D17BC"/>
    <w:rsid w:val="003D6FC7"/>
    <w:rsid w:val="003E1DC6"/>
    <w:rsid w:val="003F0C49"/>
    <w:rsid w:val="003F2090"/>
    <w:rsid w:val="004021FA"/>
    <w:rsid w:val="004034B2"/>
    <w:rsid w:val="004140F9"/>
    <w:rsid w:val="00415D7D"/>
    <w:rsid w:val="00423B9A"/>
    <w:rsid w:val="00424574"/>
    <w:rsid w:val="00431BC8"/>
    <w:rsid w:val="00433075"/>
    <w:rsid w:val="00436B14"/>
    <w:rsid w:val="00437A87"/>
    <w:rsid w:val="00437F20"/>
    <w:rsid w:val="004403B6"/>
    <w:rsid w:val="00440472"/>
    <w:rsid w:val="00440C1F"/>
    <w:rsid w:val="0044121C"/>
    <w:rsid w:val="004500E0"/>
    <w:rsid w:val="00453B62"/>
    <w:rsid w:val="004552D1"/>
    <w:rsid w:val="004552E6"/>
    <w:rsid w:val="00466759"/>
    <w:rsid w:val="00466989"/>
    <w:rsid w:val="00474822"/>
    <w:rsid w:val="004813C5"/>
    <w:rsid w:val="0048173F"/>
    <w:rsid w:val="00482012"/>
    <w:rsid w:val="00491EB8"/>
    <w:rsid w:val="004944FB"/>
    <w:rsid w:val="004A2459"/>
    <w:rsid w:val="004A39B5"/>
    <w:rsid w:val="004A63F1"/>
    <w:rsid w:val="004A7D4F"/>
    <w:rsid w:val="004B186F"/>
    <w:rsid w:val="004B7716"/>
    <w:rsid w:val="004B77E8"/>
    <w:rsid w:val="004B7A65"/>
    <w:rsid w:val="004C196C"/>
    <w:rsid w:val="004C35A6"/>
    <w:rsid w:val="004D3AB7"/>
    <w:rsid w:val="004D4276"/>
    <w:rsid w:val="004D50A9"/>
    <w:rsid w:val="004D6016"/>
    <w:rsid w:val="004E30E1"/>
    <w:rsid w:val="004F06F2"/>
    <w:rsid w:val="004F57A4"/>
    <w:rsid w:val="005011C7"/>
    <w:rsid w:val="005012D5"/>
    <w:rsid w:val="00503978"/>
    <w:rsid w:val="005041C8"/>
    <w:rsid w:val="0050484B"/>
    <w:rsid w:val="00507BD3"/>
    <w:rsid w:val="005114EB"/>
    <w:rsid w:val="00511D94"/>
    <w:rsid w:val="005163F0"/>
    <w:rsid w:val="00520433"/>
    <w:rsid w:val="00526EA4"/>
    <w:rsid w:val="00530775"/>
    <w:rsid w:val="00530DCF"/>
    <w:rsid w:val="00536291"/>
    <w:rsid w:val="0054549E"/>
    <w:rsid w:val="00547BF4"/>
    <w:rsid w:val="00552F29"/>
    <w:rsid w:val="00554B51"/>
    <w:rsid w:val="00557160"/>
    <w:rsid w:val="0055745D"/>
    <w:rsid w:val="00560AFC"/>
    <w:rsid w:val="00561589"/>
    <w:rsid w:val="00562126"/>
    <w:rsid w:val="00571237"/>
    <w:rsid w:val="005721A8"/>
    <w:rsid w:val="00574A06"/>
    <w:rsid w:val="005762F7"/>
    <w:rsid w:val="00586400"/>
    <w:rsid w:val="005901AE"/>
    <w:rsid w:val="005A4745"/>
    <w:rsid w:val="005A65AD"/>
    <w:rsid w:val="005B41AC"/>
    <w:rsid w:val="005C5936"/>
    <w:rsid w:val="005D2449"/>
    <w:rsid w:val="005D3AFF"/>
    <w:rsid w:val="005D50F6"/>
    <w:rsid w:val="005D6183"/>
    <w:rsid w:val="005D660C"/>
    <w:rsid w:val="005D7E51"/>
    <w:rsid w:val="005E2CBF"/>
    <w:rsid w:val="005E72C6"/>
    <w:rsid w:val="005F4DDF"/>
    <w:rsid w:val="005F6B8B"/>
    <w:rsid w:val="005F719B"/>
    <w:rsid w:val="00600A6E"/>
    <w:rsid w:val="00601346"/>
    <w:rsid w:val="00601519"/>
    <w:rsid w:val="00602534"/>
    <w:rsid w:val="00606A25"/>
    <w:rsid w:val="00613EBA"/>
    <w:rsid w:val="00614937"/>
    <w:rsid w:val="006205D0"/>
    <w:rsid w:val="00633BBE"/>
    <w:rsid w:val="00637798"/>
    <w:rsid w:val="006409CC"/>
    <w:rsid w:val="00641430"/>
    <w:rsid w:val="006417AB"/>
    <w:rsid w:val="00645C4F"/>
    <w:rsid w:val="00646A16"/>
    <w:rsid w:val="00647865"/>
    <w:rsid w:val="006555C8"/>
    <w:rsid w:val="00656D64"/>
    <w:rsid w:val="00660138"/>
    <w:rsid w:val="00660DAC"/>
    <w:rsid w:val="00662A1C"/>
    <w:rsid w:val="00663CE4"/>
    <w:rsid w:val="006646B9"/>
    <w:rsid w:val="0066479E"/>
    <w:rsid w:val="00676C34"/>
    <w:rsid w:val="00677ED7"/>
    <w:rsid w:val="006804A3"/>
    <w:rsid w:val="0068162E"/>
    <w:rsid w:val="006821FB"/>
    <w:rsid w:val="006832FE"/>
    <w:rsid w:val="0068491A"/>
    <w:rsid w:val="00685769"/>
    <w:rsid w:val="00685A88"/>
    <w:rsid w:val="00687CF2"/>
    <w:rsid w:val="0069136B"/>
    <w:rsid w:val="00691CA1"/>
    <w:rsid w:val="006A00D4"/>
    <w:rsid w:val="006A61EA"/>
    <w:rsid w:val="006B5D78"/>
    <w:rsid w:val="006C2078"/>
    <w:rsid w:val="006C2A81"/>
    <w:rsid w:val="006C3331"/>
    <w:rsid w:val="006C79B8"/>
    <w:rsid w:val="006D29E0"/>
    <w:rsid w:val="006D53D7"/>
    <w:rsid w:val="006D5722"/>
    <w:rsid w:val="006E1A2F"/>
    <w:rsid w:val="006E2045"/>
    <w:rsid w:val="006E5B51"/>
    <w:rsid w:val="006F39C8"/>
    <w:rsid w:val="006F459B"/>
    <w:rsid w:val="00702402"/>
    <w:rsid w:val="00703083"/>
    <w:rsid w:val="00703DBB"/>
    <w:rsid w:val="007077C8"/>
    <w:rsid w:val="007105B3"/>
    <w:rsid w:val="0071069F"/>
    <w:rsid w:val="00712FF8"/>
    <w:rsid w:val="00714750"/>
    <w:rsid w:val="0072108D"/>
    <w:rsid w:val="00721DA4"/>
    <w:rsid w:val="00723501"/>
    <w:rsid w:val="00724374"/>
    <w:rsid w:val="007244E6"/>
    <w:rsid w:val="007301F0"/>
    <w:rsid w:val="00732DF9"/>
    <w:rsid w:val="007330BB"/>
    <w:rsid w:val="007331F5"/>
    <w:rsid w:val="00733723"/>
    <w:rsid w:val="0073412F"/>
    <w:rsid w:val="007370B3"/>
    <w:rsid w:val="00751B08"/>
    <w:rsid w:val="00754174"/>
    <w:rsid w:val="007666B3"/>
    <w:rsid w:val="007737EE"/>
    <w:rsid w:val="0077499F"/>
    <w:rsid w:val="00784218"/>
    <w:rsid w:val="00784344"/>
    <w:rsid w:val="00784B98"/>
    <w:rsid w:val="00784CAA"/>
    <w:rsid w:val="00791E47"/>
    <w:rsid w:val="007A190E"/>
    <w:rsid w:val="007A33CA"/>
    <w:rsid w:val="007A4B19"/>
    <w:rsid w:val="007B0597"/>
    <w:rsid w:val="007B0EC8"/>
    <w:rsid w:val="007B343E"/>
    <w:rsid w:val="007B422C"/>
    <w:rsid w:val="007B488B"/>
    <w:rsid w:val="007C23C4"/>
    <w:rsid w:val="007C535C"/>
    <w:rsid w:val="007C5B54"/>
    <w:rsid w:val="007C67A8"/>
    <w:rsid w:val="007C7DA0"/>
    <w:rsid w:val="007D0437"/>
    <w:rsid w:val="007D5963"/>
    <w:rsid w:val="007E5197"/>
    <w:rsid w:val="007E5631"/>
    <w:rsid w:val="007E5C57"/>
    <w:rsid w:val="007E73DD"/>
    <w:rsid w:val="007E7669"/>
    <w:rsid w:val="007F1D3F"/>
    <w:rsid w:val="008026EB"/>
    <w:rsid w:val="00803D52"/>
    <w:rsid w:val="00806EAB"/>
    <w:rsid w:val="00807A2A"/>
    <w:rsid w:val="0081068C"/>
    <w:rsid w:val="0081503B"/>
    <w:rsid w:val="0081797F"/>
    <w:rsid w:val="00823D84"/>
    <w:rsid w:val="0082467E"/>
    <w:rsid w:val="00824D5A"/>
    <w:rsid w:val="00825288"/>
    <w:rsid w:val="008362B1"/>
    <w:rsid w:val="0084543E"/>
    <w:rsid w:val="00852A41"/>
    <w:rsid w:val="00853299"/>
    <w:rsid w:val="008547F1"/>
    <w:rsid w:val="00863D9A"/>
    <w:rsid w:val="00870884"/>
    <w:rsid w:val="00873167"/>
    <w:rsid w:val="00874215"/>
    <w:rsid w:val="008810CB"/>
    <w:rsid w:val="00882188"/>
    <w:rsid w:val="008953D9"/>
    <w:rsid w:val="00895678"/>
    <w:rsid w:val="008961D8"/>
    <w:rsid w:val="008A2160"/>
    <w:rsid w:val="008B6068"/>
    <w:rsid w:val="008B625A"/>
    <w:rsid w:val="008B7537"/>
    <w:rsid w:val="008C426C"/>
    <w:rsid w:val="008D1040"/>
    <w:rsid w:val="008D1776"/>
    <w:rsid w:val="008D1F06"/>
    <w:rsid w:val="008D2A1F"/>
    <w:rsid w:val="008D5AA9"/>
    <w:rsid w:val="008E40AE"/>
    <w:rsid w:val="008E43AC"/>
    <w:rsid w:val="008F0170"/>
    <w:rsid w:val="008F1C2E"/>
    <w:rsid w:val="008F56BD"/>
    <w:rsid w:val="009044FC"/>
    <w:rsid w:val="00905C38"/>
    <w:rsid w:val="00912040"/>
    <w:rsid w:val="0092127C"/>
    <w:rsid w:val="009216A5"/>
    <w:rsid w:val="00921C6E"/>
    <w:rsid w:val="0092442F"/>
    <w:rsid w:val="009274A3"/>
    <w:rsid w:val="00930A8D"/>
    <w:rsid w:val="00930D85"/>
    <w:rsid w:val="00932F86"/>
    <w:rsid w:val="00943403"/>
    <w:rsid w:val="0094406F"/>
    <w:rsid w:val="009453C0"/>
    <w:rsid w:val="00951A8F"/>
    <w:rsid w:val="0095524A"/>
    <w:rsid w:val="009616C3"/>
    <w:rsid w:val="0096321A"/>
    <w:rsid w:val="00964108"/>
    <w:rsid w:val="009723FD"/>
    <w:rsid w:val="00974CF2"/>
    <w:rsid w:val="00974D18"/>
    <w:rsid w:val="00975A4A"/>
    <w:rsid w:val="00975D69"/>
    <w:rsid w:val="00980BAD"/>
    <w:rsid w:val="00982F99"/>
    <w:rsid w:val="0098417D"/>
    <w:rsid w:val="00985920"/>
    <w:rsid w:val="00997AE3"/>
    <w:rsid w:val="009A294A"/>
    <w:rsid w:val="009A79E5"/>
    <w:rsid w:val="009B029A"/>
    <w:rsid w:val="009B379F"/>
    <w:rsid w:val="009B3B56"/>
    <w:rsid w:val="009B3BFF"/>
    <w:rsid w:val="009C0742"/>
    <w:rsid w:val="009C0B03"/>
    <w:rsid w:val="009C172B"/>
    <w:rsid w:val="009D0326"/>
    <w:rsid w:val="009D6646"/>
    <w:rsid w:val="009D7808"/>
    <w:rsid w:val="009D7F16"/>
    <w:rsid w:val="009E0197"/>
    <w:rsid w:val="009E613D"/>
    <w:rsid w:val="009E6A71"/>
    <w:rsid w:val="009E74FA"/>
    <w:rsid w:val="009E756B"/>
    <w:rsid w:val="009F1826"/>
    <w:rsid w:val="009F395A"/>
    <w:rsid w:val="009F59A4"/>
    <w:rsid w:val="00A0120D"/>
    <w:rsid w:val="00A048C4"/>
    <w:rsid w:val="00A06747"/>
    <w:rsid w:val="00A06B88"/>
    <w:rsid w:val="00A17067"/>
    <w:rsid w:val="00A218CB"/>
    <w:rsid w:val="00A23D7D"/>
    <w:rsid w:val="00A25A34"/>
    <w:rsid w:val="00A260E0"/>
    <w:rsid w:val="00A32964"/>
    <w:rsid w:val="00A33A93"/>
    <w:rsid w:val="00A353A0"/>
    <w:rsid w:val="00A4270F"/>
    <w:rsid w:val="00A52189"/>
    <w:rsid w:val="00A5596F"/>
    <w:rsid w:val="00A61047"/>
    <w:rsid w:val="00A629BE"/>
    <w:rsid w:val="00A6349B"/>
    <w:rsid w:val="00A64A59"/>
    <w:rsid w:val="00A673B7"/>
    <w:rsid w:val="00A74DD4"/>
    <w:rsid w:val="00A77C0A"/>
    <w:rsid w:val="00A8015C"/>
    <w:rsid w:val="00A9442A"/>
    <w:rsid w:val="00AA7E65"/>
    <w:rsid w:val="00AB1B5A"/>
    <w:rsid w:val="00AB2593"/>
    <w:rsid w:val="00AB2F51"/>
    <w:rsid w:val="00AB4643"/>
    <w:rsid w:val="00AC5F23"/>
    <w:rsid w:val="00AE5286"/>
    <w:rsid w:val="00AE63E0"/>
    <w:rsid w:val="00AE6FEC"/>
    <w:rsid w:val="00AE7311"/>
    <w:rsid w:val="00AE7BF3"/>
    <w:rsid w:val="00AF0B27"/>
    <w:rsid w:val="00AF2550"/>
    <w:rsid w:val="00AF3299"/>
    <w:rsid w:val="00AF57C5"/>
    <w:rsid w:val="00B0486D"/>
    <w:rsid w:val="00B04F56"/>
    <w:rsid w:val="00B138D8"/>
    <w:rsid w:val="00B14A92"/>
    <w:rsid w:val="00B17792"/>
    <w:rsid w:val="00B231C7"/>
    <w:rsid w:val="00B30FAE"/>
    <w:rsid w:val="00B33491"/>
    <w:rsid w:val="00B348F6"/>
    <w:rsid w:val="00B35E0D"/>
    <w:rsid w:val="00B36DA8"/>
    <w:rsid w:val="00B434FF"/>
    <w:rsid w:val="00B479AE"/>
    <w:rsid w:val="00B5197F"/>
    <w:rsid w:val="00B52482"/>
    <w:rsid w:val="00B53A4D"/>
    <w:rsid w:val="00B5635F"/>
    <w:rsid w:val="00B60D3E"/>
    <w:rsid w:val="00B6102B"/>
    <w:rsid w:val="00B65D4B"/>
    <w:rsid w:val="00B662DF"/>
    <w:rsid w:val="00B66F63"/>
    <w:rsid w:val="00B72EF6"/>
    <w:rsid w:val="00B7730E"/>
    <w:rsid w:val="00B91D4F"/>
    <w:rsid w:val="00B92CC1"/>
    <w:rsid w:val="00B936EB"/>
    <w:rsid w:val="00B94273"/>
    <w:rsid w:val="00B96A14"/>
    <w:rsid w:val="00BA08F4"/>
    <w:rsid w:val="00BA1DE7"/>
    <w:rsid w:val="00BA3907"/>
    <w:rsid w:val="00BA4858"/>
    <w:rsid w:val="00BA5619"/>
    <w:rsid w:val="00BB0753"/>
    <w:rsid w:val="00BB1936"/>
    <w:rsid w:val="00BB1C3B"/>
    <w:rsid w:val="00BB4F44"/>
    <w:rsid w:val="00BB657C"/>
    <w:rsid w:val="00BB6885"/>
    <w:rsid w:val="00BC0F9F"/>
    <w:rsid w:val="00BC714C"/>
    <w:rsid w:val="00BD050E"/>
    <w:rsid w:val="00BD124D"/>
    <w:rsid w:val="00BD7F2D"/>
    <w:rsid w:val="00BE4B86"/>
    <w:rsid w:val="00BF07EC"/>
    <w:rsid w:val="00BF6B55"/>
    <w:rsid w:val="00BF6E3E"/>
    <w:rsid w:val="00BF7451"/>
    <w:rsid w:val="00C01B6E"/>
    <w:rsid w:val="00C12569"/>
    <w:rsid w:val="00C32D14"/>
    <w:rsid w:val="00C3711F"/>
    <w:rsid w:val="00C37A7B"/>
    <w:rsid w:val="00C40040"/>
    <w:rsid w:val="00C410D7"/>
    <w:rsid w:val="00C4194A"/>
    <w:rsid w:val="00C460F1"/>
    <w:rsid w:val="00C470AC"/>
    <w:rsid w:val="00C50E75"/>
    <w:rsid w:val="00C51C95"/>
    <w:rsid w:val="00C520AE"/>
    <w:rsid w:val="00C52B0F"/>
    <w:rsid w:val="00C5419F"/>
    <w:rsid w:val="00C5703B"/>
    <w:rsid w:val="00C610C1"/>
    <w:rsid w:val="00C81E49"/>
    <w:rsid w:val="00C84AE0"/>
    <w:rsid w:val="00C91FC9"/>
    <w:rsid w:val="00C93A2D"/>
    <w:rsid w:val="00C94102"/>
    <w:rsid w:val="00C96EDB"/>
    <w:rsid w:val="00CA0AFA"/>
    <w:rsid w:val="00CA2A2C"/>
    <w:rsid w:val="00CA40E2"/>
    <w:rsid w:val="00CA47F3"/>
    <w:rsid w:val="00CB2CC4"/>
    <w:rsid w:val="00CB4078"/>
    <w:rsid w:val="00CC363C"/>
    <w:rsid w:val="00CD5178"/>
    <w:rsid w:val="00CD6E1F"/>
    <w:rsid w:val="00CE1239"/>
    <w:rsid w:val="00CE2864"/>
    <w:rsid w:val="00CE50F8"/>
    <w:rsid w:val="00CF0355"/>
    <w:rsid w:val="00D03F11"/>
    <w:rsid w:val="00D06239"/>
    <w:rsid w:val="00D100DF"/>
    <w:rsid w:val="00D12115"/>
    <w:rsid w:val="00D150D5"/>
    <w:rsid w:val="00D23416"/>
    <w:rsid w:val="00D26A4E"/>
    <w:rsid w:val="00D37C02"/>
    <w:rsid w:val="00D4278F"/>
    <w:rsid w:val="00D461D2"/>
    <w:rsid w:val="00D46A15"/>
    <w:rsid w:val="00D503EF"/>
    <w:rsid w:val="00D513E8"/>
    <w:rsid w:val="00D517D5"/>
    <w:rsid w:val="00D526AD"/>
    <w:rsid w:val="00D5274F"/>
    <w:rsid w:val="00D53C2D"/>
    <w:rsid w:val="00D54B17"/>
    <w:rsid w:val="00D5700C"/>
    <w:rsid w:val="00D67FD9"/>
    <w:rsid w:val="00D7218B"/>
    <w:rsid w:val="00D7532C"/>
    <w:rsid w:val="00D76616"/>
    <w:rsid w:val="00D768C9"/>
    <w:rsid w:val="00D81FBF"/>
    <w:rsid w:val="00D836CA"/>
    <w:rsid w:val="00D84E35"/>
    <w:rsid w:val="00D8766D"/>
    <w:rsid w:val="00D87851"/>
    <w:rsid w:val="00D90AA1"/>
    <w:rsid w:val="00D93A1F"/>
    <w:rsid w:val="00DA17B7"/>
    <w:rsid w:val="00DA542C"/>
    <w:rsid w:val="00DA6B59"/>
    <w:rsid w:val="00DA7B6B"/>
    <w:rsid w:val="00DB4E94"/>
    <w:rsid w:val="00DB6D18"/>
    <w:rsid w:val="00DC1408"/>
    <w:rsid w:val="00DC20BA"/>
    <w:rsid w:val="00DC3FEA"/>
    <w:rsid w:val="00DD026E"/>
    <w:rsid w:val="00DD2562"/>
    <w:rsid w:val="00DD5A26"/>
    <w:rsid w:val="00DE3B5E"/>
    <w:rsid w:val="00DE6197"/>
    <w:rsid w:val="00DE7D59"/>
    <w:rsid w:val="00DF5BC7"/>
    <w:rsid w:val="00DF7347"/>
    <w:rsid w:val="00E00222"/>
    <w:rsid w:val="00E030FD"/>
    <w:rsid w:val="00E05EFA"/>
    <w:rsid w:val="00E10236"/>
    <w:rsid w:val="00E13F5D"/>
    <w:rsid w:val="00E14B9D"/>
    <w:rsid w:val="00E15936"/>
    <w:rsid w:val="00E15C5F"/>
    <w:rsid w:val="00E2419B"/>
    <w:rsid w:val="00E24987"/>
    <w:rsid w:val="00E308D4"/>
    <w:rsid w:val="00E33799"/>
    <w:rsid w:val="00E345B3"/>
    <w:rsid w:val="00E361DC"/>
    <w:rsid w:val="00E458F4"/>
    <w:rsid w:val="00E46351"/>
    <w:rsid w:val="00E479E0"/>
    <w:rsid w:val="00E50862"/>
    <w:rsid w:val="00E53F9D"/>
    <w:rsid w:val="00E552BF"/>
    <w:rsid w:val="00E573FE"/>
    <w:rsid w:val="00E62667"/>
    <w:rsid w:val="00E67751"/>
    <w:rsid w:val="00E81FBF"/>
    <w:rsid w:val="00E841FA"/>
    <w:rsid w:val="00E925F2"/>
    <w:rsid w:val="00E92701"/>
    <w:rsid w:val="00E92CF9"/>
    <w:rsid w:val="00EA0791"/>
    <w:rsid w:val="00EA18A0"/>
    <w:rsid w:val="00EA22E6"/>
    <w:rsid w:val="00EA48FA"/>
    <w:rsid w:val="00EA5534"/>
    <w:rsid w:val="00EA553A"/>
    <w:rsid w:val="00EA7A8F"/>
    <w:rsid w:val="00EB10CA"/>
    <w:rsid w:val="00EB483C"/>
    <w:rsid w:val="00EB53F4"/>
    <w:rsid w:val="00EB74F1"/>
    <w:rsid w:val="00EB7B84"/>
    <w:rsid w:val="00EC1792"/>
    <w:rsid w:val="00ED1123"/>
    <w:rsid w:val="00ED1D6B"/>
    <w:rsid w:val="00EE62B3"/>
    <w:rsid w:val="00EF07EC"/>
    <w:rsid w:val="00EF13CE"/>
    <w:rsid w:val="00EF45BD"/>
    <w:rsid w:val="00EF7F5E"/>
    <w:rsid w:val="00F04D08"/>
    <w:rsid w:val="00F07FC0"/>
    <w:rsid w:val="00F162DF"/>
    <w:rsid w:val="00F17E69"/>
    <w:rsid w:val="00F210C2"/>
    <w:rsid w:val="00F2195D"/>
    <w:rsid w:val="00F261C2"/>
    <w:rsid w:val="00F2713F"/>
    <w:rsid w:val="00F27D33"/>
    <w:rsid w:val="00F31265"/>
    <w:rsid w:val="00F31482"/>
    <w:rsid w:val="00F33F86"/>
    <w:rsid w:val="00F40115"/>
    <w:rsid w:val="00F45AA4"/>
    <w:rsid w:val="00F45FE2"/>
    <w:rsid w:val="00F62A1C"/>
    <w:rsid w:val="00F64907"/>
    <w:rsid w:val="00F75A42"/>
    <w:rsid w:val="00F76C12"/>
    <w:rsid w:val="00F80401"/>
    <w:rsid w:val="00F81692"/>
    <w:rsid w:val="00F92AC9"/>
    <w:rsid w:val="00F964E9"/>
    <w:rsid w:val="00F975AC"/>
    <w:rsid w:val="00FB22AE"/>
    <w:rsid w:val="00FB2D95"/>
    <w:rsid w:val="00FB506F"/>
    <w:rsid w:val="00FB64B3"/>
    <w:rsid w:val="00FB6606"/>
    <w:rsid w:val="00FC129E"/>
    <w:rsid w:val="00FC39D7"/>
    <w:rsid w:val="00FC4B5D"/>
    <w:rsid w:val="00FC6AE7"/>
    <w:rsid w:val="00FD496C"/>
    <w:rsid w:val="00FF0784"/>
    <w:rsid w:val="00FF2F9B"/>
    <w:rsid w:val="00FF5B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7982"/>
  <w15:chartTrackingRefBased/>
  <w15:docId w15:val="{594C8F80-7F07-45E3-8124-9CF3864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0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4B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83"/>
    <w:pPr>
      <w:ind w:left="720"/>
      <w:contextualSpacing/>
    </w:pPr>
  </w:style>
  <w:style w:type="paragraph" w:styleId="FootnoteText">
    <w:name w:val="footnote text"/>
    <w:basedOn w:val="Normal"/>
    <w:link w:val="FootnoteTextChar"/>
    <w:uiPriority w:val="99"/>
    <w:semiHidden/>
    <w:unhideWhenUsed/>
    <w:rsid w:val="00187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78"/>
    <w:rPr>
      <w:sz w:val="20"/>
      <w:szCs w:val="20"/>
    </w:rPr>
  </w:style>
  <w:style w:type="character" w:styleId="FootnoteReference">
    <w:name w:val="footnote reference"/>
    <w:basedOn w:val="DefaultParagraphFont"/>
    <w:uiPriority w:val="99"/>
    <w:semiHidden/>
    <w:unhideWhenUsed/>
    <w:rsid w:val="00187E78"/>
    <w:rPr>
      <w:vertAlign w:val="superscript"/>
    </w:rPr>
  </w:style>
  <w:style w:type="character" w:customStyle="1" w:styleId="Heading1Char">
    <w:name w:val="Heading 1 Char"/>
    <w:basedOn w:val="DefaultParagraphFont"/>
    <w:link w:val="Heading1"/>
    <w:uiPriority w:val="9"/>
    <w:rsid w:val="001A70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1C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4B5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E1239"/>
    <w:pPr>
      <w:spacing w:after="0" w:line="240" w:lineRule="auto"/>
    </w:pPr>
  </w:style>
  <w:style w:type="character" w:styleId="Hyperlink">
    <w:name w:val="Hyperlink"/>
    <w:basedOn w:val="DefaultParagraphFont"/>
    <w:uiPriority w:val="99"/>
    <w:unhideWhenUsed/>
    <w:rsid w:val="00723501"/>
    <w:rPr>
      <w:color w:val="0000FF"/>
      <w:u w:val="single"/>
    </w:rPr>
  </w:style>
  <w:style w:type="paragraph" w:styleId="TOCHeading">
    <w:name w:val="TOC Heading"/>
    <w:basedOn w:val="Heading1"/>
    <w:next w:val="Normal"/>
    <w:uiPriority w:val="39"/>
    <w:unhideWhenUsed/>
    <w:qFormat/>
    <w:rsid w:val="00A33A93"/>
    <w:pPr>
      <w:outlineLvl w:val="9"/>
    </w:pPr>
    <w:rPr>
      <w:lang w:val="en-US"/>
    </w:rPr>
  </w:style>
  <w:style w:type="paragraph" w:styleId="TOC1">
    <w:name w:val="toc 1"/>
    <w:basedOn w:val="Normal"/>
    <w:next w:val="Normal"/>
    <w:autoRedefine/>
    <w:uiPriority w:val="39"/>
    <w:unhideWhenUsed/>
    <w:rsid w:val="00A33A93"/>
    <w:pPr>
      <w:spacing w:after="100"/>
    </w:pPr>
  </w:style>
  <w:style w:type="paragraph" w:styleId="TOC2">
    <w:name w:val="toc 2"/>
    <w:basedOn w:val="Normal"/>
    <w:next w:val="Normal"/>
    <w:autoRedefine/>
    <w:uiPriority w:val="39"/>
    <w:unhideWhenUsed/>
    <w:rsid w:val="00A33A93"/>
    <w:pPr>
      <w:spacing w:after="100"/>
      <w:ind w:left="220"/>
    </w:pPr>
  </w:style>
  <w:style w:type="paragraph" w:styleId="TOC3">
    <w:name w:val="toc 3"/>
    <w:basedOn w:val="Normal"/>
    <w:next w:val="Normal"/>
    <w:autoRedefine/>
    <w:uiPriority w:val="39"/>
    <w:unhideWhenUsed/>
    <w:rsid w:val="00A33A93"/>
    <w:pPr>
      <w:spacing w:after="100"/>
      <w:ind w:left="440"/>
    </w:pPr>
  </w:style>
  <w:style w:type="paragraph" w:styleId="Header">
    <w:name w:val="header"/>
    <w:basedOn w:val="Normal"/>
    <w:link w:val="HeaderChar"/>
    <w:uiPriority w:val="99"/>
    <w:unhideWhenUsed/>
    <w:rsid w:val="00494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4FB"/>
  </w:style>
  <w:style w:type="paragraph" w:styleId="Footer">
    <w:name w:val="footer"/>
    <w:basedOn w:val="Normal"/>
    <w:link w:val="FooterChar"/>
    <w:uiPriority w:val="99"/>
    <w:unhideWhenUsed/>
    <w:rsid w:val="00494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4FB"/>
  </w:style>
  <w:style w:type="character" w:styleId="CommentReference">
    <w:name w:val="annotation reference"/>
    <w:basedOn w:val="DefaultParagraphFont"/>
    <w:uiPriority w:val="99"/>
    <w:semiHidden/>
    <w:unhideWhenUsed/>
    <w:rsid w:val="00166011"/>
    <w:rPr>
      <w:sz w:val="16"/>
      <w:szCs w:val="16"/>
    </w:rPr>
  </w:style>
  <w:style w:type="paragraph" w:styleId="CommentText">
    <w:name w:val="annotation text"/>
    <w:basedOn w:val="Normal"/>
    <w:link w:val="CommentTextChar"/>
    <w:uiPriority w:val="99"/>
    <w:semiHidden/>
    <w:unhideWhenUsed/>
    <w:rsid w:val="00166011"/>
    <w:pPr>
      <w:spacing w:line="240" w:lineRule="auto"/>
    </w:pPr>
    <w:rPr>
      <w:sz w:val="20"/>
      <w:szCs w:val="20"/>
    </w:rPr>
  </w:style>
  <w:style w:type="character" w:customStyle="1" w:styleId="CommentTextChar">
    <w:name w:val="Comment Text Char"/>
    <w:basedOn w:val="DefaultParagraphFont"/>
    <w:link w:val="CommentText"/>
    <w:uiPriority w:val="99"/>
    <w:semiHidden/>
    <w:rsid w:val="00166011"/>
    <w:rPr>
      <w:sz w:val="20"/>
      <w:szCs w:val="20"/>
    </w:rPr>
  </w:style>
  <w:style w:type="paragraph" w:styleId="CommentSubject">
    <w:name w:val="annotation subject"/>
    <w:basedOn w:val="CommentText"/>
    <w:next w:val="CommentText"/>
    <w:link w:val="CommentSubjectChar"/>
    <w:uiPriority w:val="99"/>
    <w:semiHidden/>
    <w:unhideWhenUsed/>
    <w:rsid w:val="00166011"/>
    <w:rPr>
      <w:b/>
      <w:bCs/>
    </w:rPr>
  </w:style>
  <w:style w:type="character" w:customStyle="1" w:styleId="CommentSubjectChar">
    <w:name w:val="Comment Subject Char"/>
    <w:basedOn w:val="CommentTextChar"/>
    <w:link w:val="CommentSubject"/>
    <w:uiPriority w:val="99"/>
    <w:semiHidden/>
    <w:rsid w:val="00166011"/>
    <w:rPr>
      <w:b/>
      <w:bCs/>
      <w:sz w:val="20"/>
      <w:szCs w:val="20"/>
    </w:rPr>
  </w:style>
  <w:style w:type="character" w:styleId="UnresolvedMention">
    <w:name w:val="Unresolved Mention"/>
    <w:basedOn w:val="DefaultParagraphFont"/>
    <w:uiPriority w:val="99"/>
    <w:unhideWhenUsed/>
    <w:rsid w:val="00980BAD"/>
    <w:rPr>
      <w:color w:val="605E5C"/>
      <w:shd w:val="clear" w:color="auto" w:fill="E1DFDD"/>
    </w:rPr>
  </w:style>
  <w:style w:type="character" w:styleId="Mention">
    <w:name w:val="Mention"/>
    <w:basedOn w:val="DefaultParagraphFont"/>
    <w:uiPriority w:val="99"/>
    <w:unhideWhenUsed/>
    <w:rsid w:val="00980BAD"/>
    <w:rPr>
      <w:color w:val="2B579A"/>
      <w:shd w:val="clear" w:color="auto" w:fill="E1DFDD"/>
    </w:rPr>
  </w:style>
  <w:style w:type="character" w:styleId="FollowedHyperlink">
    <w:name w:val="FollowedHyperlink"/>
    <w:basedOn w:val="DefaultParagraphFont"/>
    <w:uiPriority w:val="99"/>
    <w:semiHidden/>
    <w:unhideWhenUsed/>
    <w:rsid w:val="00980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osboa.org.au/employability-project" TargetMode="External"/><Relationship Id="rId2" Type="http://schemas.openxmlformats.org/officeDocument/2006/relationships/hyperlink" Target="https://www.comcare.gov.au/safe-healthy-work/research-evidence/research-projects/mobilising-employers-disability-research-project" TargetMode="External"/><Relationship Id="rId1" Type="http://schemas.openxmlformats.org/officeDocument/2006/relationships/hyperlink" Target="https://www.dss.gov.au/sites/default/files/documents/05_2021/des-mid-term-review-august-20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014745-7aea-4992-a0a8-a9cfca7d8be3" xsi:nil="true"/>
    <Month xmlns="be014745-7aea-4992-a0a8-a9cfca7d8be3" xsi:nil="true"/>
    <SharedWithUsers xmlns="0c77e14d-950f-46bd-88f6-3723adf79c6b">
      <UserInfo>
        <DisplayName>Ron Miers</DisplayName>
        <AccountId>54</AccountId>
        <AccountType/>
      </UserInfo>
      <UserInfo>
        <DisplayName>Mary Jankulovski (nee: Stojanovska)</DisplayName>
        <AccountId>53</AccountId>
        <AccountType/>
      </UserInfo>
      <UserInfo>
        <DisplayName>Andrew Hills</DisplayName>
        <AccountId>7</AccountId>
        <AccountType/>
      </UserInfo>
      <UserInfo>
        <DisplayName>Peter Collins</DisplayName>
        <AccountId>52</AccountId>
        <AccountType/>
      </UserInfo>
      <UserInfo>
        <DisplayName>George Dimopoulos</DisplayName>
        <AccountId>28</AccountId>
        <AccountType/>
      </UserInfo>
      <UserInfo>
        <DisplayName>Tristan Ellery</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37248F0742DC489D51D689CE221371" ma:contentTypeVersion="15" ma:contentTypeDescription="Create a new document." ma:contentTypeScope="" ma:versionID="605018cc481a862b0a84c0411755aaa5">
  <xsd:schema xmlns:xsd="http://www.w3.org/2001/XMLSchema" xmlns:xs="http://www.w3.org/2001/XMLSchema" xmlns:p="http://schemas.microsoft.com/office/2006/metadata/properties" xmlns:ns2="be014745-7aea-4992-a0a8-a9cfca7d8be3" xmlns:ns3="0c77e14d-950f-46bd-88f6-3723adf79c6b" targetNamespace="http://schemas.microsoft.com/office/2006/metadata/properties" ma:root="true" ma:fieldsID="2f3093a3f3f9ba6903f5b2ac364a5b4a" ns2:_="" ns3:_="">
    <xsd:import namespace="be014745-7aea-4992-a0a8-a9cfca7d8be3"/>
    <xsd:import namespace="0c77e14d-950f-46bd-88f6-3723adf79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ocument_x0020_type"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14745-7aea-4992-a0a8-a9cfca7d8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_x0020_type" ma:index="20" nillable="true" ma:displayName="Document type" ma:format="Dropdown" ma:internalName="Document_x0020_type">
      <xsd:simpleType>
        <xsd:restriction base="dms:Choice">
          <xsd:enumeration value="Agenda"/>
          <xsd:enumeration value="Minutes"/>
          <xsd:enumeration value="Report"/>
        </xsd:restriction>
      </xsd:simpleType>
    </xsd:element>
    <xsd:element name="Month" ma:index="21"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77e14d-950f-46bd-88f6-3723adf79c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4EFBF-40B4-44CF-B0E2-7DC55AEBBDB6}">
  <ds:schemaRefs>
    <ds:schemaRef ds:uri="http://schemas.microsoft.com/office/2006/metadata/properties"/>
    <ds:schemaRef ds:uri="http://schemas.microsoft.com/office/infopath/2007/PartnerControls"/>
    <ds:schemaRef ds:uri="be014745-7aea-4992-a0a8-a9cfca7d8be3"/>
    <ds:schemaRef ds:uri="0c77e14d-950f-46bd-88f6-3723adf79c6b"/>
  </ds:schemaRefs>
</ds:datastoreItem>
</file>

<file path=customXml/itemProps2.xml><?xml version="1.0" encoding="utf-8"?>
<ds:datastoreItem xmlns:ds="http://schemas.openxmlformats.org/officeDocument/2006/customXml" ds:itemID="{0A6728CA-D2F5-435B-923A-BB7F01DF20DB}">
  <ds:schemaRefs>
    <ds:schemaRef ds:uri="http://schemas.microsoft.com/sharepoint/v3/contenttype/forms"/>
  </ds:schemaRefs>
</ds:datastoreItem>
</file>

<file path=customXml/itemProps3.xml><?xml version="1.0" encoding="utf-8"?>
<ds:datastoreItem xmlns:ds="http://schemas.openxmlformats.org/officeDocument/2006/customXml" ds:itemID="{321F1DCE-B70F-4766-91AE-6D43568AC60C}">
  <ds:schemaRefs>
    <ds:schemaRef ds:uri="http://schemas.openxmlformats.org/officeDocument/2006/bibliography"/>
  </ds:schemaRefs>
</ds:datastoreItem>
</file>

<file path=customXml/itemProps4.xml><?xml version="1.0" encoding="utf-8"?>
<ds:datastoreItem xmlns:ds="http://schemas.openxmlformats.org/officeDocument/2006/customXml" ds:itemID="{B1F1E8F1-4F7A-41B2-B092-6B557BF3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14745-7aea-4992-a0a8-a9cfca7d8be3"/>
    <ds:schemaRef ds:uri="0c77e14d-950f-46bd-88f6-3723adf79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7172</TotalTime>
  <Pages>1</Pages>
  <Words>2746</Words>
  <Characters>15655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Links>
    <vt:vector size="72" baseType="variant">
      <vt:variant>
        <vt:i4>1245240</vt:i4>
      </vt:variant>
      <vt:variant>
        <vt:i4>50</vt:i4>
      </vt:variant>
      <vt:variant>
        <vt:i4>0</vt:i4>
      </vt:variant>
      <vt:variant>
        <vt:i4>5</vt:i4>
      </vt:variant>
      <vt:variant>
        <vt:lpwstr/>
      </vt:variant>
      <vt:variant>
        <vt:lpwstr>_Toc94614839</vt:lpwstr>
      </vt:variant>
      <vt:variant>
        <vt:i4>1179704</vt:i4>
      </vt:variant>
      <vt:variant>
        <vt:i4>44</vt:i4>
      </vt:variant>
      <vt:variant>
        <vt:i4>0</vt:i4>
      </vt:variant>
      <vt:variant>
        <vt:i4>5</vt:i4>
      </vt:variant>
      <vt:variant>
        <vt:lpwstr/>
      </vt:variant>
      <vt:variant>
        <vt:lpwstr>_Toc94614838</vt:lpwstr>
      </vt:variant>
      <vt:variant>
        <vt:i4>1900600</vt:i4>
      </vt:variant>
      <vt:variant>
        <vt:i4>38</vt:i4>
      </vt:variant>
      <vt:variant>
        <vt:i4>0</vt:i4>
      </vt:variant>
      <vt:variant>
        <vt:i4>5</vt:i4>
      </vt:variant>
      <vt:variant>
        <vt:lpwstr/>
      </vt:variant>
      <vt:variant>
        <vt:lpwstr>_Toc94614837</vt:lpwstr>
      </vt:variant>
      <vt:variant>
        <vt:i4>1835064</vt:i4>
      </vt:variant>
      <vt:variant>
        <vt:i4>32</vt:i4>
      </vt:variant>
      <vt:variant>
        <vt:i4>0</vt:i4>
      </vt:variant>
      <vt:variant>
        <vt:i4>5</vt:i4>
      </vt:variant>
      <vt:variant>
        <vt:lpwstr/>
      </vt:variant>
      <vt:variant>
        <vt:lpwstr>_Toc94614836</vt:lpwstr>
      </vt:variant>
      <vt:variant>
        <vt:i4>2031672</vt:i4>
      </vt:variant>
      <vt:variant>
        <vt:i4>26</vt:i4>
      </vt:variant>
      <vt:variant>
        <vt:i4>0</vt:i4>
      </vt:variant>
      <vt:variant>
        <vt:i4>5</vt:i4>
      </vt:variant>
      <vt:variant>
        <vt:lpwstr/>
      </vt:variant>
      <vt:variant>
        <vt:lpwstr>_Toc94614835</vt:lpwstr>
      </vt:variant>
      <vt:variant>
        <vt:i4>1966136</vt:i4>
      </vt:variant>
      <vt:variant>
        <vt:i4>20</vt:i4>
      </vt:variant>
      <vt:variant>
        <vt:i4>0</vt:i4>
      </vt:variant>
      <vt:variant>
        <vt:i4>5</vt:i4>
      </vt:variant>
      <vt:variant>
        <vt:lpwstr/>
      </vt:variant>
      <vt:variant>
        <vt:lpwstr>_Toc94614834</vt:lpwstr>
      </vt:variant>
      <vt:variant>
        <vt:i4>1638456</vt:i4>
      </vt:variant>
      <vt:variant>
        <vt:i4>14</vt:i4>
      </vt:variant>
      <vt:variant>
        <vt:i4>0</vt:i4>
      </vt:variant>
      <vt:variant>
        <vt:i4>5</vt:i4>
      </vt:variant>
      <vt:variant>
        <vt:lpwstr/>
      </vt:variant>
      <vt:variant>
        <vt:lpwstr>_Toc94614833</vt:lpwstr>
      </vt:variant>
      <vt:variant>
        <vt:i4>1572920</vt:i4>
      </vt:variant>
      <vt:variant>
        <vt:i4>8</vt:i4>
      </vt:variant>
      <vt:variant>
        <vt:i4>0</vt:i4>
      </vt:variant>
      <vt:variant>
        <vt:i4>5</vt:i4>
      </vt:variant>
      <vt:variant>
        <vt:lpwstr/>
      </vt:variant>
      <vt:variant>
        <vt:lpwstr>_Toc94614832</vt:lpwstr>
      </vt:variant>
      <vt:variant>
        <vt:i4>1769528</vt:i4>
      </vt:variant>
      <vt:variant>
        <vt:i4>2</vt:i4>
      </vt:variant>
      <vt:variant>
        <vt:i4>0</vt:i4>
      </vt:variant>
      <vt:variant>
        <vt:i4>5</vt:i4>
      </vt:variant>
      <vt:variant>
        <vt:lpwstr/>
      </vt:variant>
      <vt:variant>
        <vt:lpwstr>_Toc94614831</vt:lpwstr>
      </vt:variant>
      <vt:variant>
        <vt:i4>3538976</vt:i4>
      </vt:variant>
      <vt:variant>
        <vt:i4>6</vt:i4>
      </vt:variant>
      <vt:variant>
        <vt:i4>0</vt:i4>
      </vt:variant>
      <vt:variant>
        <vt:i4>5</vt:i4>
      </vt:variant>
      <vt:variant>
        <vt:lpwstr>https://www.cosboa.org.au/employability-project</vt:lpwstr>
      </vt:variant>
      <vt:variant>
        <vt:lpwstr/>
      </vt:variant>
      <vt:variant>
        <vt:i4>1900566</vt:i4>
      </vt:variant>
      <vt:variant>
        <vt:i4>3</vt:i4>
      </vt:variant>
      <vt:variant>
        <vt:i4>0</vt:i4>
      </vt:variant>
      <vt:variant>
        <vt:i4>5</vt:i4>
      </vt:variant>
      <vt:variant>
        <vt:lpwstr>https://www.comcare.gov.au/safe-healthy-work/research-evidence/research-projects/mobilising-employers-disability-research-project</vt:lpwstr>
      </vt:variant>
      <vt:variant>
        <vt:lpwstr/>
      </vt:variant>
      <vt:variant>
        <vt:i4>1835042</vt:i4>
      </vt:variant>
      <vt:variant>
        <vt:i4>0</vt:i4>
      </vt:variant>
      <vt:variant>
        <vt:i4>0</vt:i4>
      </vt:variant>
      <vt:variant>
        <vt:i4>5</vt:i4>
      </vt:variant>
      <vt:variant>
        <vt:lpwstr>https://www.dss.gov.au/sites/default/files/documents/05_2021/des-mid-term-review-august-2020-v2.pdf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Hills</dc:creator>
  <cp:keywords/>
  <dc:description/>
  <cp:lastModifiedBy>Andrew Hills</cp:lastModifiedBy>
  <cp:revision>644</cp:revision>
  <dcterms:created xsi:type="dcterms:W3CDTF">2021-11-08T00:14:00Z</dcterms:created>
  <dcterms:modified xsi:type="dcterms:W3CDTF">2022-02-01T22:01:00Z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0x010100EC37248F0742DC489D51D689CE221371</vt:lpwstr>
  </property>
</Properties>
</file>