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9E10" w14:textId="4529E840" w:rsidR="00C57001" w:rsidRPr="0012585B" w:rsidRDefault="00B019C5" w:rsidP="0012585B">
      <w:pPr>
        <w:pStyle w:val="Title"/>
        <w:tabs>
          <w:tab w:val="left" w:pos="2552"/>
        </w:tabs>
        <w:spacing w:before="1440" w:after="180"/>
        <w:ind w:left="-709"/>
        <w:rPr>
          <w:rFonts w:ascii="Georgia" w:hAnsi="Georgia"/>
          <w:color w:val="24596E"/>
          <w:spacing w:val="5"/>
          <w:sz w:val="72"/>
          <w:szCs w:val="52"/>
          <w:lang w:eastAsia="en-AU"/>
        </w:rPr>
      </w:pPr>
      <w:r>
        <w:rPr>
          <w:rFonts w:ascii="Georgia" w:hAnsi="Georgia"/>
          <w:color w:val="24596E"/>
          <w:spacing w:val="5"/>
          <w:sz w:val="72"/>
          <w:szCs w:val="52"/>
          <w:lang w:eastAsia="en-AU"/>
        </w:rPr>
        <w:t xml:space="preserve">Financial Counselling </w:t>
      </w:r>
      <w:r w:rsidR="005350B1" w:rsidRPr="0012585B">
        <w:rPr>
          <w:rFonts w:ascii="Georgia" w:hAnsi="Georgia"/>
          <w:color w:val="24596E"/>
          <w:spacing w:val="5"/>
          <w:sz w:val="72"/>
          <w:szCs w:val="52"/>
          <w:lang w:eastAsia="en-AU"/>
        </w:rPr>
        <w:t xml:space="preserve">Industry </w:t>
      </w:r>
      <w:r w:rsidR="00FD4B26" w:rsidRPr="0012585B">
        <w:rPr>
          <w:rFonts w:ascii="Georgia" w:hAnsi="Georgia"/>
          <w:color w:val="24596E"/>
          <w:spacing w:val="5"/>
          <w:sz w:val="72"/>
          <w:szCs w:val="52"/>
          <w:lang w:eastAsia="en-AU"/>
        </w:rPr>
        <w:t xml:space="preserve">Funding Model </w:t>
      </w:r>
    </w:p>
    <w:p w14:paraId="08AF75B3" w14:textId="4D00EE75" w:rsidR="0054713E" w:rsidRPr="00CC7F0A" w:rsidRDefault="00FD4B26" w:rsidP="00CC7F0A">
      <w:pPr>
        <w:pStyle w:val="Subtitle"/>
        <w:spacing w:before="360"/>
        <w:ind w:hanging="709"/>
        <w:rPr>
          <w:sz w:val="36"/>
          <w:szCs w:val="36"/>
        </w:rPr>
      </w:pPr>
      <w:r w:rsidRPr="00CC7F0A">
        <w:rPr>
          <w:sz w:val="36"/>
          <w:szCs w:val="36"/>
        </w:rPr>
        <w:t xml:space="preserve">Discussion Paper </w:t>
      </w:r>
    </w:p>
    <w:p w14:paraId="4E431C1C" w14:textId="7FA0F54E" w:rsidR="0094563F" w:rsidRPr="00CC7F0A" w:rsidRDefault="00E70C12" w:rsidP="00CC7F0A">
      <w:pPr>
        <w:pStyle w:val="Subtitle"/>
        <w:spacing w:before="240"/>
        <w:ind w:hanging="709"/>
        <w:rPr>
          <w:sz w:val="28"/>
          <w:szCs w:val="28"/>
        </w:rPr>
      </w:pPr>
      <w:r>
        <w:rPr>
          <w:sz w:val="28"/>
          <w:szCs w:val="28"/>
        </w:rPr>
        <w:t>November</w:t>
      </w:r>
      <w:r w:rsidR="006E23E3" w:rsidRPr="00CC7F0A">
        <w:rPr>
          <w:sz w:val="28"/>
          <w:szCs w:val="28"/>
        </w:rPr>
        <w:t xml:space="preserve"> </w:t>
      </w:r>
      <w:r w:rsidR="0012585B" w:rsidRPr="00CC7F0A">
        <w:rPr>
          <w:sz w:val="28"/>
          <w:szCs w:val="28"/>
        </w:rPr>
        <w:t>2022</w:t>
      </w:r>
    </w:p>
    <w:p w14:paraId="7F9A2DF8" w14:textId="77777777" w:rsidR="0094563F" w:rsidRDefault="0094563F" w:rsidP="004F77F4">
      <w:pPr>
        <w:spacing w:before="800"/>
        <w:ind w:left="-709"/>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sdt>
      <w:sdtPr>
        <w:rPr>
          <w:rFonts w:ascii="Arial" w:eastAsia="Times New Roman" w:hAnsi="Arial" w:cs="Times New Roman"/>
          <w:b w:val="0"/>
          <w:bCs w:val="0"/>
          <w:smallCaps w:val="0"/>
          <w:color w:val="auto"/>
          <w:sz w:val="24"/>
          <w:szCs w:val="24"/>
        </w:rPr>
        <w:id w:val="-1006055866"/>
        <w:docPartObj>
          <w:docPartGallery w:val="Table of Contents"/>
          <w:docPartUnique/>
        </w:docPartObj>
      </w:sdtPr>
      <w:sdtEndPr>
        <w:rPr>
          <w:rFonts w:asciiTheme="minorHAnsi" w:eastAsiaTheme="minorEastAsia" w:hAnsiTheme="minorHAnsi" w:cstheme="minorBidi"/>
          <w:noProof/>
          <w:sz w:val="22"/>
          <w:szCs w:val="22"/>
        </w:rPr>
      </w:sdtEndPr>
      <w:sdtContent>
        <w:p w14:paraId="7B12FDF8" w14:textId="77777777" w:rsidR="00A05791" w:rsidRPr="00172041" w:rsidRDefault="00A05791" w:rsidP="00A9053D">
          <w:pPr>
            <w:pStyle w:val="TOCHeading"/>
            <w:numPr>
              <w:ilvl w:val="0"/>
              <w:numId w:val="0"/>
            </w:numPr>
            <w:ind w:left="432" w:hanging="432"/>
            <w:rPr>
              <w:u w:val="single"/>
            </w:rPr>
          </w:pPr>
          <w:r w:rsidRPr="00172041">
            <w:rPr>
              <w:u w:val="single"/>
            </w:rPr>
            <w:t>Contents</w:t>
          </w:r>
        </w:p>
        <w:p w14:paraId="72728A39" w14:textId="645E902E" w:rsidR="00BB16B9" w:rsidRDefault="00A05791">
          <w:pPr>
            <w:pStyle w:val="TOC1"/>
            <w:rPr>
              <w:noProof/>
              <w:lang w:eastAsia="en-AU"/>
            </w:rPr>
          </w:pPr>
          <w:r w:rsidRPr="00541574">
            <w:rPr>
              <w:rFonts w:cstheme="minorHAnsi"/>
              <w:u w:val="single"/>
            </w:rPr>
            <w:fldChar w:fldCharType="begin"/>
          </w:r>
          <w:r w:rsidRPr="00541574">
            <w:rPr>
              <w:rFonts w:cstheme="minorHAnsi"/>
              <w:u w:val="single"/>
            </w:rPr>
            <w:instrText xml:space="preserve"> TOC \o "1-3" \h \z \u </w:instrText>
          </w:r>
          <w:r w:rsidRPr="00541574">
            <w:rPr>
              <w:rFonts w:cstheme="minorHAnsi"/>
              <w:u w:val="single"/>
            </w:rPr>
            <w:fldChar w:fldCharType="separate"/>
          </w:r>
          <w:hyperlink w:anchor="_Toc118288268" w:history="1">
            <w:r w:rsidR="00BB16B9" w:rsidRPr="00A21450">
              <w:rPr>
                <w:rStyle w:val="Hyperlink"/>
                <w:noProof/>
              </w:rPr>
              <w:t>1</w:t>
            </w:r>
            <w:r w:rsidR="00BB16B9">
              <w:rPr>
                <w:noProof/>
                <w:lang w:eastAsia="en-AU"/>
              </w:rPr>
              <w:tab/>
            </w:r>
            <w:r w:rsidR="00BB16B9" w:rsidRPr="00A21450">
              <w:rPr>
                <w:rStyle w:val="Hyperlink"/>
                <w:noProof/>
              </w:rPr>
              <w:t>Acknowledgement of Country</w:t>
            </w:r>
            <w:r w:rsidR="00BB16B9">
              <w:rPr>
                <w:noProof/>
                <w:webHidden/>
              </w:rPr>
              <w:tab/>
            </w:r>
            <w:r w:rsidR="00BB16B9">
              <w:rPr>
                <w:noProof/>
                <w:webHidden/>
              </w:rPr>
              <w:fldChar w:fldCharType="begin"/>
            </w:r>
            <w:r w:rsidR="00BB16B9">
              <w:rPr>
                <w:noProof/>
                <w:webHidden/>
              </w:rPr>
              <w:instrText xml:space="preserve"> PAGEREF _Toc118288268 \h </w:instrText>
            </w:r>
            <w:r w:rsidR="00BB16B9">
              <w:rPr>
                <w:noProof/>
                <w:webHidden/>
              </w:rPr>
            </w:r>
            <w:r w:rsidR="00BB16B9">
              <w:rPr>
                <w:noProof/>
                <w:webHidden/>
              </w:rPr>
              <w:fldChar w:fldCharType="separate"/>
            </w:r>
            <w:r w:rsidR="008527C2">
              <w:rPr>
                <w:noProof/>
                <w:webHidden/>
              </w:rPr>
              <w:t>1</w:t>
            </w:r>
            <w:r w:rsidR="00BB16B9">
              <w:rPr>
                <w:noProof/>
                <w:webHidden/>
              </w:rPr>
              <w:fldChar w:fldCharType="end"/>
            </w:r>
          </w:hyperlink>
        </w:p>
        <w:p w14:paraId="2F2DA7BE" w14:textId="2ACCAAC7" w:rsidR="00BB16B9" w:rsidRDefault="0099129E">
          <w:pPr>
            <w:pStyle w:val="TOC1"/>
            <w:rPr>
              <w:noProof/>
              <w:lang w:eastAsia="en-AU"/>
            </w:rPr>
          </w:pPr>
          <w:hyperlink w:anchor="_Toc118288269" w:history="1">
            <w:r w:rsidR="00BB16B9" w:rsidRPr="00A21450">
              <w:rPr>
                <w:rStyle w:val="Hyperlink"/>
                <w:noProof/>
              </w:rPr>
              <w:t>2</w:t>
            </w:r>
            <w:r w:rsidR="00BB16B9">
              <w:rPr>
                <w:noProof/>
                <w:lang w:eastAsia="en-AU"/>
              </w:rPr>
              <w:tab/>
            </w:r>
            <w:r w:rsidR="00BB16B9" w:rsidRPr="00A21450">
              <w:rPr>
                <w:rStyle w:val="Hyperlink"/>
                <w:noProof/>
              </w:rPr>
              <w:t>Introduction</w:t>
            </w:r>
            <w:r w:rsidR="00BB16B9">
              <w:rPr>
                <w:noProof/>
                <w:webHidden/>
              </w:rPr>
              <w:tab/>
            </w:r>
            <w:r w:rsidR="00BB16B9">
              <w:rPr>
                <w:noProof/>
                <w:webHidden/>
              </w:rPr>
              <w:fldChar w:fldCharType="begin"/>
            </w:r>
            <w:r w:rsidR="00BB16B9">
              <w:rPr>
                <w:noProof/>
                <w:webHidden/>
              </w:rPr>
              <w:instrText xml:space="preserve"> PAGEREF _Toc118288269 \h </w:instrText>
            </w:r>
            <w:r w:rsidR="00BB16B9">
              <w:rPr>
                <w:noProof/>
                <w:webHidden/>
              </w:rPr>
            </w:r>
            <w:r w:rsidR="00BB16B9">
              <w:rPr>
                <w:noProof/>
                <w:webHidden/>
              </w:rPr>
              <w:fldChar w:fldCharType="separate"/>
            </w:r>
            <w:r w:rsidR="008527C2">
              <w:rPr>
                <w:noProof/>
                <w:webHidden/>
              </w:rPr>
              <w:t>1</w:t>
            </w:r>
            <w:r w:rsidR="00BB16B9">
              <w:rPr>
                <w:noProof/>
                <w:webHidden/>
              </w:rPr>
              <w:fldChar w:fldCharType="end"/>
            </w:r>
          </w:hyperlink>
        </w:p>
        <w:p w14:paraId="0588E165" w14:textId="54E9F297" w:rsidR="00BB16B9" w:rsidRDefault="0099129E">
          <w:pPr>
            <w:pStyle w:val="TOC1"/>
            <w:rPr>
              <w:noProof/>
              <w:lang w:eastAsia="en-AU"/>
            </w:rPr>
          </w:pPr>
          <w:hyperlink w:anchor="_Toc118288270" w:history="1">
            <w:r w:rsidR="00BB16B9" w:rsidRPr="00A21450">
              <w:rPr>
                <w:rStyle w:val="Hyperlink"/>
                <w:noProof/>
              </w:rPr>
              <w:t>3</w:t>
            </w:r>
            <w:r w:rsidR="00BB16B9">
              <w:rPr>
                <w:noProof/>
                <w:lang w:eastAsia="en-AU"/>
              </w:rPr>
              <w:tab/>
            </w:r>
            <w:r w:rsidR="00BB16B9" w:rsidRPr="00A21450">
              <w:rPr>
                <w:rStyle w:val="Hyperlink"/>
                <w:noProof/>
              </w:rPr>
              <w:t>Overview of the proposed model</w:t>
            </w:r>
            <w:r w:rsidR="00BB16B9">
              <w:rPr>
                <w:noProof/>
                <w:webHidden/>
              </w:rPr>
              <w:tab/>
            </w:r>
            <w:r w:rsidR="00BB16B9">
              <w:rPr>
                <w:noProof/>
                <w:webHidden/>
              </w:rPr>
              <w:fldChar w:fldCharType="begin"/>
            </w:r>
            <w:r w:rsidR="00BB16B9">
              <w:rPr>
                <w:noProof/>
                <w:webHidden/>
              </w:rPr>
              <w:instrText xml:space="preserve"> PAGEREF _Toc118288270 \h </w:instrText>
            </w:r>
            <w:r w:rsidR="00BB16B9">
              <w:rPr>
                <w:noProof/>
                <w:webHidden/>
              </w:rPr>
            </w:r>
            <w:r w:rsidR="00BB16B9">
              <w:rPr>
                <w:noProof/>
                <w:webHidden/>
              </w:rPr>
              <w:fldChar w:fldCharType="separate"/>
            </w:r>
            <w:r w:rsidR="008527C2">
              <w:rPr>
                <w:noProof/>
                <w:webHidden/>
              </w:rPr>
              <w:t>6</w:t>
            </w:r>
            <w:r w:rsidR="00BB16B9">
              <w:rPr>
                <w:noProof/>
                <w:webHidden/>
              </w:rPr>
              <w:fldChar w:fldCharType="end"/>
            </w:r>
          </w:hyperlink>
        </w:p>
        <w:p w14:paraId="6F3B8A19" w14:textId="2C7172FC" w:rsidR="00BB16B9" w:rsidRDefault="0099129E">
          <w:pPr>
            <w:pStyle w:val="TOC1"/>
            <w:rPr>
              <w:noProof/>
              <w:lang w:eastAsia="en-AU"/>
            </w:rPr>
          </w:pPr>
          <w:hyperlink w:anchor="_Toc118288271" w:history="1">
            <w:r w:rsidR="00BB16B9" w:rsidRPr="00A21450">
              <w:rPr>
                <w:rStyle w:val="Hyperlink"/>
                <w:noProof/>
              </w:rPr>
              <w:t>4</w:t>
            </w:r>
            <w:r w:rsidR="00BB16B9">
              <w:rPr>
                <w:noProof/>
                <w:lang w:eastAsia="en-AU"/>
              </w:rPr>
              <w:tab/>
            </w:r>
            <w:r w:rsidR="00BB16B9" w:rsidRPr="00A21450">
              <w:rPr>
                <w:rStyle w:val="Hyperlink"/>
                <w:noProof/>
              </w:rPr>
              <w:t>Quantum of funding required to address unmet demand</w:t>
            </w:r>
            <w:r w:rsidR="00BB16B9">
              <w:rPr>
                <w:noProof/>
                <w:webHidden/>
              </w:rPr>
              <w:tab/>
            </w:r>
            <w:r w:rsidR="00BB16B9">
              <w:rPr>
                <w:noProof/>
                <w:webHidden/>
              </w:rPr>
              <w:fldChar w:fldCharType="begin"/>
            </w:r>
            <w:r w:rsidR="00BB16B9">
              <w:rPr>
                <w:noProof/>
                <w:webHidden/>
              </w:rPr>
              <w:instrText xml:space="preserve"> PAGEREF _Toc118288271 \h </w:instrText>
            </w:r>
            <w:r w:rsidR="00BB16B9">
              <w:rPr>
                <w:noProof/>
                <w:webHidden/>
              </w:rPr>
            </w:r>
            <w:r w:rsidR="00BB16B9">
              <w:rPr>
                <w:noProof/>
                <w:webHidden/>
              </w:rPr>
              <w:fldChar w:fldCharType="separate"/>
            </w:r>
            <w:r w:rsidR="008527C2">
              <w:rPr>
                <w:noProof/>
                <w:webHidden/>
              </w:rPr>
              <w:t>10</w:t>
            </w:r>
            <w:r w:rsidR="00BB16B9">
              <w:rPr>
                <w:noProof/>
                <w:webHidden/>
              </w:rPr>
              <w:fldChar w:fldCharType="end"/>
            </w:r>
          </w:hyperlink>
        </w:p>
        <w:p w14:paraId="5A2DD9F1" w14:textId="314EB210" w:rsidR="00BB16B9" w:rsidRDefault="0099129E">
          <w:pPr>
            <w:pStyle w:val="TOC1"/>
            <w:rPr>
              <w:noProof/>
              <w:lang w:eastAsia="en-AU"/>
            </w:rPr>
          </w:pPr>
          <w:hyperlink w:anchor="_Toc118288272" w:history="1">
            <w:r w:rsidR="00BB16B9" w:rsidRPr="00A21450">
              <w:rPr>
                <w:rStyle w:val="Hyperlink"/>
                <w:noProof/>
              </w:rPr>
              <w:t>5</w:t>
            </w:r>
            <w:r w:rsidR="00BB16B9">
              <w:rPr>
                <w:noProof/>
                <w:lang w:eastAsia="en-AU"/>
              </w:rPr>
              <w:tab/>
            </w:r>
            <w:r w:rsidR="00BB16B9" w:rsidRPr="00A21450">
              <w:rPr>
                <w:rStyle w:val="Hyperlink"/>
                <w:noProof/>
              </w:rPr>
              <w:t>Suggested contributions from sectors and subsectors</w:t>
            </w:r>
            <w:r w:rsidR="00BB16B9">
              <w:rPr>
                <w:noProof/>
                <w:webHidden/>
              </w:rPr>
              <w:tab/>
            </w:r>
            <w:r w:rsidR="00BB16B9">
              <w:rPr>
                <w:noProof/>
                <w:webHidden/>
              </w:rPr>
              <w:fldChar w:fldCharType="begin"/>
            </w:r>
            <w:r w:rsidR="00BB16B9">
              <w:rPr>
                <w:noProof/>
                <w:webHidden/>
              </w:rPr>
              <w:instrText xml:space="preserve"> PAGEREF _Toc118288272 \h </w:instrText>
            </w:r>
            <w:r w:rsidR="00BB16B9">
              <w:rPr>
                <w:noProof/>
                <w:webHidden/>
              </w:rPr>
            </w:r>
            <w:r w:rsidR="00BB16B9">
              <w:rPr>
                <w:noProof/>
                <w:webHidden/>
              </w:rPr>
              <w:fldChar w:fldCharType="separate"/>
            </w:r>
            <w:r w:rsidR="008527C2">
              <w:rPr>
                <w:noProof/>
                <w:webHidden/>
              </w:rPr>
              <w:t>13</w:t>
            </w:r>
            <w:r w:rsidR="00BB16B9">
              <w:rPr>
                <w:noProof/>
                <w:webHidden/>
              </w:rPr>
              <w:fldChar w:fldCharType="end"/>
            </w:r>
          </w:hyperlink>
        </w:p>
        <w:p w14:paraId="2C0ECBF1" w14:textId="51C49743" w:rsidR="00BB16B9" w:rsidRDefault="0099129E">
          <w:pPr>
            <w:pStyle w:val="TOC2"/>
            <w:tabs>
              <w:tab w:val="left" w:pos="880"/>
              <w:tab w:val="right" w:leader="dot" w:pos="9344"/>
            </w:tabs>
            <w:rPr>
              <w:noProof/>
              <w:lang w:eastAsia="en-AU"/>
            </w:rPr>
          </w:pPr>
          <w:hyperlink w:anchor="_Toc118288273" w:history="1">
            <w:r w:rsidR="00BB16B9" w:rsidRPr="00A21450">
              <w:rPr>
                <w:rStyle w:val="Hyperlink"/>
                <w:noProof/>
              </w:rPr>
              <w:t>5.1</w:t>
            </w:r>
            <w:r w:rsidR="00BB16B9">
              <w:rPr>
                <w:noProof/>
                <w:lang w:eastAsia="en-AU"/>
              </w:rPr>
              <w:tab/>
            </w:r>
            <w:r w:rsidR="00BB16B9" w:rsidRPr="00A21450">
              <w:rPr>
                <w:rStyle w:val="Hyperlink"/>
                <w:noProof/>
              </w:rPr>
              <w:t>Calculating suggested contributions within subsectors</w:t>
            </w:r>
            <w:r w:rsidR="00BB16B9">
              <w:rPr>
                <w:noProof/>
                <w:webHidden/>
              </w:rPr>
              <w:tab/>
            </w:r>
            <w:r w:rsidR="00BB16B9">
              <w:rPr>
                <w:noProof/>
                <w:webHidden/>
              </w:rPr>
              <w:fldChar w:fldCharType="begin"/>
            </w:r>
            <w:r w:rsidR="00BB16B9">
              <w:rPr>
                <w:noProof/>
                <w:webHidden/>
              </w:rPr>
              <w:instrText xml:space="preserve"> PAGEREF _Toc118288273 \h </w:instrText>
            </w:r>
            <w:r w:rsidR="00BB16B9">
              <w:rPr>
                <w:noProof/>
                <w:webHidden/>
              </w:rPr>
            </w:r>
            <w:r w:rsidR="00BB16B9">
              <w:rPr>
                <w:noProof/>
                <w:webHidden/>
              </w:rPr>
              <w:fldChar w:fldCharType="separate"/>
            </w:r>
            <w:r w:rsidR="008527C2">
              <w:rPr>
                <w:noProof/>
                <w:webHidden/>
              </w:rPr>
              <w:t>18</w:t>
            </w:r>
            <w:r w:rsidR="00BB16B9">
              <w:rPr>
                <w:noProof/>
                <w:webHidden/>
              </w:rPr>
              <w:fldChar w:fldCharType="end"/>
            </w:r>
          </w:hyperlink>
        </w:p>
        <w:p w14:paraId="4EB2AAC6" w14:textId="57B8FD64" w:rsidR="00BB16B9" w:rsidRDefault="0099129E">
          <w:pPr>
            <w:pStyle w:val="TOC2"/>
            <w:tabs>
              <w:tab w:val="left" w:pos="880"/>
              <w:tab w:val="right" w:leader="dot" w:pos="9344"/>
            </w:tabs>
            <w:rPr>
              <w:noProof/>
              <w:lang w:eastAsia="en-AU"/>
            </w:rPr>
          </w:pPr>
          <w:hyperlink w:anchor="_Toc118288274" w:history="1">
            <w:r w:rsidR="00BB16B9" w:rsidRPr="00A21450">
              <w:rPr>
                <w:rStyle w:val="Hyperlink"/>
                <w:noProof/>
              </w:rPr>
              <w:t>5.2</w:t>
            </w:r>
            <w:r w:rsidR="00BB16B9">
              <w:rPr>
                <w:noProof/>
                <w:lang w:eastAsia="en-AU"/>
              </w:rPr>
              <w:tab/>
            </w:r>
            <w:r w:rsidR="00BB16B9" w:rsidRPr="00A21450">
              <w:rPr>
                <w:rStyle w:val="Hyperlink"/>
                <w:noProof/>
              </w:rPr>
              <w:t>Securing commitments from sectors and subsectors</w:t>
            </w:r>
            <w:r w:rsidR="00BB16B9">
              <w:rPr>
                <w:noProof/>
                <w:webHidden/>
              </w:rPr>
              <w:tab/>
            </w:r>
            <w:r w:rsidR="00BB16B9">
              <w:rPr>
                <w:noProof/>
                <w:webHidden/>
              </w:rPr>
              <w:fldChar w:fldCharType="begin"/>
            </w:r>
            <w:r w:rsidR="00BB16B9">
              <w:rPr>
                <w:noProof/>
                <w:webHidden/>
              </w:rPr>
              <w:instrText xml:space="preserve"> PAGEREF _Toc118288274 \h </w:instrText>
            </w:r>
            <w:r w:rsidR="00BB16B9">
              <w:rPr>
                <w:noProof/>
                <w:webHidden/>
              </w:rPr>
            </w:r>
            <w:r w:rsidR="00BB16B9">
              <w:rPr>
                <w:noProof/>
                <w:webHidden/>
              </w:rPr>
              <w:fldChar w:fldCharType="separate"/>
            </w:r>
            <w:r w:rsidR="008527C2">
              <w:rPr>
                <w:noProof/>
                <w:webHidden/>
              </w:rPr>
              <w:t>20</w:t>
            </w:r>
            <w:r w:rsidR="00BB16B9">
              <w:rPr>
                <w:noProof/>
                <w:webHidden/>
              </w:rPr>
              <w:fldChar w:fldCharType="end"/>
            </w:r>
          </w:hyperlink>
        </w:p>
        <w:p w14:paraId="374E600C" w14:textId="4DD31115" w:rsidR="00BB16B9" w:rsidRDefault="0099129E">
          <w:pPr>
            <w:pStyle w:val="TOC1"/>
            <w:rPr>
              <w:noProof/>
              <w:lang w:eastAsia="en-AU"/>
            </w:rPr>
          </w:pPr>
          <w:hyperlink w:anchor="_Toc118288275" w:history="1">
            <w:r w:rsidR="00BB16B9" w:rsidRPr="00A21450">
              <w:rPr>
                <w:rStyle w:val="Hyperlink"/>
                <w:noProof/>
              </w:rPr>
              <w:t>6</w:t>
            </w:r>
            <w:r w:rsidR="00BB16B9">
              <w:rPr>
                <w:noProof/>
                <w:lang w:eastAsia="en-AU"/>
              </w:rPr>
              <w:tab/>
            </w:r>
            <w:r w:rsidR="00BB16B9" w:rsidRPr="00A21450">
              <w:rPr>
                <w:rStyle w:val="Hyperlink"/>
                <w:noProof/>
              </w:rPr>
              <w:t>Design of the independent body</w:t>
            </w:r>
            <w:r w:rsidR="00BB16B9">
              <w:rPr>
                <w:noProof/>
                <w:webHidden/>
              </w:rPr>
              <w:tab/>
            </w:r>
            <w:r w:rsidR="00BB16B9">
              <w:rPr>
                <w:noProof/>
                <w:webHidden/>
              </w:rPr>
              <w:fldChar w:fldCharType="begin"/>
            </w:r>
            <w:r w:rsidR="00BB16B9">
              <w:rPr>
                <w:noProof/>
                <w:webHidden/>
              </w:rPr>
              <w:instrText xml:space="preserve"> PAGEREF _Toc118288275 \h </w:instrText>
            </w:r>
            <w:r w:rsidR="00BB16B9">
              <w:rPr>
                <w:noProof/>
                <w:webHidden/>
              </w:rPr>
            </w:r>
            <w:r w:rsidR="00BB16B9">
              <w:rPr>
                <w:noProof/>
                <w:webHidden/>
              </w:rPr>
              <w:fldChar w:fldCharType="separate"/>
            </w:r>
            <w:r w:rsidR="008527C2">
              <w:rPr>
                <w:noProof/>
                <w:webHidden/>
              </w:rPr>
              <w:t>23</w:t>
            </w:r>
            <w:r w:rsidR="00BB16B9">
              <w:rPr>
                <w:noProof/>
                <w:webHidden/>
              </w:rPr>
              <w:fldChar w:fldCharType="end"/>
            </w:r>
          </w:hyperlink>
        </w:p>
        <w:p w14:paraId="54C77856" w14:textId="6F35B06F" w:rsidR="00BB16B9" w:rsidRDefault="0099129E">
          <w:pPr>
            <w:pStyle w:val="TOC1"/>
            <w:rPr>
              <w:noProof/>
              <w:lang w:eastAsia="en-AU"/>
            </w:rPr>
          </w:pPr>
          <w:hyperlink w:anchor="_Toc118288276" w:history="1">
            <w:r w:rsidR="00BB16B9" w:rsidRPr="00A21450">
              <w:rPr>
                <w:rStyle w:val="Hyperlink"/>
                <w:noProof/>
              </w:rPr>
              <w:t>7</w:t>
            </w:r>
            <w:r w:rsidR="00BB16B9">
              <w:rPr>
                <w:noProof/>
                <w:lang w:eastAsia="en-AU"/>
              </w:rPr>
              <w:tab/>
            </w:r>
            <w:r w:rsidR="00BB16B9" w:rsidRPr="00A21450">
              <w:rPr>
                <w:rStyle w:val="Hyperlink"/>
                <w:noProof/>
              </w:rPr>
              <w:t>Evaluation</w:t>
            </w:r>
            <w:r w:rsidR="00BB16B9">
              <w:rPr>
                <w:noProof/>
                <w:webHidden/>
              </w:rPr>
              <w:tab/>
            </w:r>
            <w:r w:rsidR="00BB16B9">
              <w:rPr>
                <w:noProof/>
                <w:webHidden/>
              </w:rPr>
              <w:fldChar w:fldCharType="begin"/>
            </w:r>
            <w:r w:rsidR="00BB16B9">
              <w:rPr>
                <w:noProof/>
                <w:webHidden/>
              </w:rPr>
              <w:instrText xml:space="preserve"> PAGEREF _Toc118288276 \h </w:instrText>
            </w:r>
            <w:r w:rsidR="00BB16B9">
              <w:rPr>
                <w:noProof/>
                <w:webHidden/>
              </w:rPr>
            </w:r>
            <w:r w:rsidR="00BB16B9">
              <w:rPr>
                <w:noProof/>
                <w:webHidden/>
              </w:rPr>
              <w:fldChar w:fldCharType="separate"/>
            </w:r>
            <w:r w:rsidR="008527C2">
              <w:rPr>
                <w:noProof/>
                <w:webHidden/>
              </w:rPr>
              <w:t>29</w:t>
            </w:r>
            <w:r w:rsidR="00BB16B9">
              <w:rPr>
                <w:noProof/>
                <w:webHidden/>
              </w:rPr>
              <w:fldChar w:fldCharType="end"/>
            </w:r>
          </w:hyperlink>
        </w:p>
        <w:p w14:paraId="03605C21" w14:textId="1B5F00F4" w:rsidR="00BB16B9" w:rsidRDefault="0099129E">
          <w:pPr>
            <w:pStyle w:val="TOC1"/>
            <w:rPr>
              <w:noProof/>
              <w:lang w:eastAsia="en-AU"/>
            </w:rPr>
          </w:pPr>
          <w:hyperlink w:anchor="_Toc118288277" w:history="1">
            <w:r w:rsidR="00BB16B9" w:rsidRPr="00A21450">
              <w:rPr>
                <w:rStyle w:val="Hyperlink"/>
                <w:noProof/>
              </w:rPr>
              <w:t>8</w:t>
            </w:r>
            <w:r w:rsidR="00BB16B9">
              <w:rPr>
                <w:noProof/>
                <w:lang w:eastAsia="en-AU"/>
              </w:rPr>
              <w:tab/>
            </w:r>
            <w:r w:rsidR="00BB16B9" w:rsidRPr="00A21450">
              <w:rPr>
                <w:rStyle w:val="Hyperlink"/>
                <w:noProof/>
              </w:rPr>
              <w:t>Data improvements</w:t>
            </w:r>
            <w:r w:rsidR="00BB16B9">
              <w:rPr>
                <w:noProof/>
                <w:webHidden/>
              </w:rPr>
              <w:tab/>
            </w:r>
            <w:r w:rsidR="00BB16B9">
              <w:rPr>
                <w:noProof/>
                <w:webHidden/>
              </w:rPr>
              <w:fldChar w:fldCharType="begin"/>
            </w:r>
            <w:r w:rsidR="00BB16B9">
              <w:rPr>
                <w:noProof/>
                <w:webHidden/>
              </w:rPr>
              <w:instrText xml:space="preserve"> PAGEREF _Toc118288277 \h </w:instrText>
            </w:r>
            <w:r w:rsidR="00BB16B9">
              <w:rPr>
                <w:noProof/>
                <w:webHidden/>
              </w:rPr>
            </w:r>
            <w:r w:rsidR="00BB16B9">
              <w:rPr>
                <w:noProof/>
                <w:webHidden/>
              </w:rPr>
              <w:fldChar w:fldCharType="separate"/>
            </w:r>
            <w:r w:rsidR="008527C2">
              <w:rPr>
                <w:noProof/>
                <w:webHidden/>
              </w:rPr>
              <w:t>30</w:t>
            </w:r>
            <w:r w:rsidR="00BB16B9">
              <w:rPr>
                <w:noProof/>
                <w:webHidden/>
              </w:rPr>
              <w:fldChar w:fldCharType="end"/>
            </w:r>
          </w:hyperlink>
        </w:p>
        <w:p w14:paraId="22BB0C25" w14:textId="6DBFB7E5" w:rsidR="00BB16B9" w:rsidRDefault="0099129E">
          <w:pPr>
            <w:pStyle w:val="TOC1"/>
            <w:rPr>
              <w:noProof/>
              <w:lang w:eastAsia="en-AU"/>
            </w:rPr>
          </w:pPr>
          <w:hyperlink w:anchor="_Toc118288278" w:history="1">
            <w:r w:rsidR="00BB16B9" w:rsidRPr="00A21450">
              <w:rPr>
                <w:rStyle w:val="Hyperlink"/>
                <w:noProof/>
              </w:rPr>
              <w:t>9</w:t>
            </w:r>
            <w:r w:rsidR="00BB16B9">
              <w:rPr>
                <w:noProof/>
                <w:lang w:eastAsia="en-AU"/>
              </w:rPr>
              <w:tab/>
            </w:r>
            <w:r w:rsidR="00BB16B9" w:rsidRPr="00A21450">
              <w:rPr>
                <w:rStyle w:val="Hyperlink"/>
                <w:noProof/>
              </w:rPr>
              <w:t>Next steps</w:t>
            </w:r>
            <w:r w:rsidR="00BB16B9">
              <w:rPr>
                <w:noProof/>
                <w:webHidden/>
              </w:rPr>
              <w:tab/>
            </w:r>
            <w:r w:rsidR="00BB16B9">
              <w:rPr>
                <w:noProof/>
                <w:webHidden/>
              </w:rPr>
              <w:fldChar w:fldCharType="begin"/>
            </w:r>
            <w:r w:rsidR="00BB16B9">
              <w:rPr>
                <w:noProof/>
                <w:webHidden/>
              </w:rPr>
              <w:instrText xml:space="preserve"> PAGEREF _Toc118288278 \h </w:instrText>
            </w:r>
            <w:r w:rsidR="00BB16B9">
              <w:rPr>
                <w:noProof/>
                <w:webHidden/>
              </w:rPr>
            </w:r>
            <w:r w:rsidR="00BB16B9">
              <w:rPr>
                <w:noProof/>
                <w:webHidden/>
              </w:rPr>
              <w:fldChar w:fldCharType="separate"/>
            </w:r>
            <w:r w:rsidR="008527C2">
              <w:rPr>
                <w:noProof/>
                <w:webHidden/>
              </w:rPr>
              <w:t>31</w:t>
            </w:r>
            <w:r w:rsidR="00BB16B9">
              <w:rPr>
                <w:noProof/>
                <w:webHidden/>
              </w:rPr>
              <w:fldChar w:fldCharType="end"/>
            </w:r>
          </w:hyperlink>
        </w:p>
        <w:p w14:paraId="7CCDBD15" w14:textId="3CDAB422" w:rsidR="00BB16B9" w:rsidRDefault="0099129E">
          <w:pPr>
            <w:pStyle w:val="TOC1"/>
            <w:rPr>
              <w:noProof/>
              <w:lang w:eastAsia="en-AU"/>
            </w:rPr>
          </w:pPr>
          <w:hyperlink w:anchor="_Toc118288279" w:history="1">
            <w:r w:rsidR="00BB16B9" w:rsidRPr="00A21450">
              <w:rPr>
                <w:rStyle w:val="Hyperlink"/>
                <w:noProof/>
              </w:rPr>
              <w:t>Glossary of key terms</w:t>
            </w:r>
            <w:r w:rsidR="00BB16B9">
              <w:rPr>
                <w:noProof/>
                <w:webHidden/>
              </w:rPr>
              <w:tab/>
            </w:r>
            <w:r w:rsidR="00BB16B9">
              <w:rPr>
                <w:noProof/>
                <w:webHidden/>
              </w:rPr>
              <w:fldChar w:fldCharType="begin"/>
            </w:r>
            <w:r w:rsidR="00BB16B9">
              <w:rPr>
                <w:noProof/>
                <w:webHidden/>
              </w:rPr>
              <w:instrText xml:space="preserve"> PAGEREF _Toc118288279 \h </w:instrText>
            </w:r>
            <w:r w:rsidR="00BB16B9">
              <w:rPr>
                <w:noProof/>
                <w:webHidden/>
              </w:rPr>
            </w:r>
            <w:r w:rsidR="00BB16B9">
              <w:rPr>
                <w:noProof/>
                <w:webHidden/>
              </w:rPr>
              <w:fldChar w:fldCharType="separate"/>
            </w:r>
            <w:r w:rsidR="008527C2">
              <w:rPr>
                <w:noProof/>
                <w:webHidden/>
              </w:rPr>
              <w:t>32</w:t>
            </w:r>
            <w:r w:rsidR="00BB16B9">
              <w:rPr>
                <w:noProof/>
                <w:webHidden/>
              </w:rPr>
              <w:fldChar w:fldCharType="end"/>
            </w:r>
          </w:hyperlink>
        </w:p>
        <w:p w14:paraId="7BDBC011" w14:textId="2417F35F" w:rsidR="00BB16B9" w:rsidRDefault="0099129E">
          <w:pPr>
            <w:pStyle w:val="TOC1"/>
            <w:rPr>
              <w:noProof/>
              <w:lang w:eastAsia="en-AU"/>
            </w:rPr>
          </w:pPr>
          <w:hyperlink w:anchor="_Toc118288280" w:history="1">
            <w:r w:rsidR="00BB16B9" w:rsidRPr="00A21450">
              <w:rPr>
                <w:rStyle w:val="Hyperlink"/>
                <w:noProof/>
              </w:rPr>
              <w:t>Appendix A – Background on the review of financial counselling</w:t>
            </w:r>
            <w:r w:rsidR="00BB16B9">
              <w:rPr>
                <w:noProof/>
                <w:webHidden/>
              </w:rPr>
              <w:tab/>
            </w:r>
            <w:r w:rsidR="00BB16B9">
              <w:rPr>
                <w:noProof/>
                <w:webHidden/>
              </w:rPr>
              <w:fldChar w:fldCharType="begin"/>
            </w:r>
            <w:r w:rsidR="00BB16B9">
              <w:rPr>
                <w:noProof/>
                <w:webHidden/>
              </w:rPr>
              <w:instrText xml:space="preserve"> PAGEREF _Toc118288280 \h </w:instrText>
            </w:r>
            <w:r w:rsidR="00BB16B9">
              <w:rPr>
                <w:noProof/>
                <w:webHidden/>
              </w:rPr>
            </w:r>
            <w:r w:rsidR="00BB16B9">
              <w:rPr>
                <w:noProof/>
                <w:webHidden/>
              </w:rPr>
              <w:fldChar w:fldCharType="separate"/>
            </w:r>
            <w:r w:rsidR="008527C2">
              <w:rPr>
                <w:noProof/>
                <w:webHidden/>
              </w:rPr>
              <w:t>33</w:t>
            </w:r>
            <w:r w:rsidR="00BB16B9">
              <w:rPr>
                <w:noProof/>
                <w:webHidden/>
              </w:rPr>
              <w:fldChar w:fldCharType="end"/>
            </w:r>
          </w:hyperlink>
        </w:p>
        <w:p w14:paraId="38644CAE" w14:textId="4AAC5FE7" w:rsidR="00BB16B9" w:rsidRDefault="0099129E">
          <w:pPr>
            <w:pStyle w:val="TOC1"/>
            <w:rPr>
              <w:noProof/>
              <w:lang w:eastAsia="en-AU"/>
            </w:rPr>
          </w:pPr>
          <w:hyperlink w:anchor="_Toc118288281" w:history="1">
            <w:r w:rsidR="00BB16B9" w:rsidRPr="00A21450">
              <w:rPr>
                <w:rStyle w:val="Hyperlink"/>
                <w:noProof/>
              </w:rPr>
              <w:t>Appendix B – Sectors and subsectors</w:t>
            </w:r>
            <w:r w:rsidR="00BB16B9">
              <w:rPr>
                <w:noProof/>
                <w:webHidden/>
              </w:rPr>
              <w:tab/>
            </w:r>
            <w:r w:rsidR="00BB16B9">
              <w:rPr>
                <w:noProof/>
                <w:webHidden/>
              </w:rPr>
              <w:fldChar w:fldCharType="begin"/>
            </w:r>
            <w:r w:rsidR="00BB16B9">
              <w:rPr>
                <w:noProof/>
                <w:webHidden/>
              </w:rPr>
              <w:instrText xml:space="preserve"> PAGEREF _Toc118288281 \h </w:instrText>
            </w:r>
            <w:r w:rsidR="00BB16B9">
              <w:rPr>
                <w:noProof/>
                <w:webHidden/>
              </w:rPr>
            </w:r>
            <w:r w:rsidR="00BB16B9">
              <w:rPr>
                <w:noProof/>
                <w:webHidden/>
              </w:rPr>
              <w:fldChar w:fldCharType="separate"/>
            </w:r>
            <w:r w:rsidR="008527C2">
              <w:rPr>
                <w:noProof/>
                <w:webHidden/>
              </w:rPr>
              <w:t>34</w:t>
            </w:r>
            <w:r w:rsidR="00BB16B9">
              <w:rPr>
                <w:noProof/>
                <w:webHidden/>
              </w:rPr>
              <w:fldChar w:fldCharType="end"/>
            </w:r>
          </w:hyperlink>
        </w:p>
        <w:p w14:paraId="7ADE7677" w14:textId="4BFEB0FA" w:rsidR="00BB16B9" w:rsidRDefault="0099129E">
          <w:pPr>
            <w:pStyle w:val="TOC1"/>
            <w:rPr>
              <w:noProof/>
              <w:lang w:eastAsia="en-AU"/>
            </w:rPr>
          </w:pPr>
          <w:hyperlink w:anchor="_Toc118288282" w:history="1">
            <w:r w:rsidR="00BB16B9" w:rsidRPr="00A21450">
              <w:rPr>
                <w:rStyle w:val="Hyperlink"/>
                <w:noProof/>
              </w:rPr>
              <w:t>Appendix C – Summary of results of the 2021 survey of financial counsellor time</w:t>
            </w:r>
            <w:r w:rsidR="00BB16B9">
              <w:rPr>
                <w:noProof/>
                <w:webHidden/>
              </w:rPr>
              <w:tab/>
            </w:r>
            <w:r w:rsidR="00BB16B9">
              <w:rPr>
                <w:noProof/>
                <w:webHidden/>
              </w:rPr>
              <w:fldChar w:fldCharType="begin"/>
            </w:r>
            <w:r w:rsidR="00BB16B9">
              <w:rPr>
                <w:noProof/>
                <w:webHidden/>
              </w:rPr>
              <w:instrText xml:space="preserve"> PAGEREF _Toc118288282 \h </w:instrText>
            </w:r>
            <w:r w:rsidR="00BB16B9">
              <w:rPr>
                <w:noProof/>
                <w:webHidden/>
              </w:rPr>
            </w:r>
            <w:r w:rsidR="00BB16B9">
              <w:rPr>
                <w:noProof/>
                <w:webHidden/>
              </w:rPr>
              <w:fldChar w:fldCharType="separate"/>
            </w:r>
            <w:r w:rsidR="008527C2">
              <w:rPr>
                <w:noProof/>
                <w:webHidden/>
              </w:rPr>
              <w:t>37</w:t>
            </w:r>
            <w:r w:rsidR="00BB16B9">
              <w:rPr>
                <w:noProof/>
                <w:webHidden/>
              </w:rPr>
              <w:fldChar w:fldCharType="end"/>
            </w:r>
          </w:hyperlink>
        </w:p>
        <w:p w14:paraId="4373A978" w14:textId="756F397F" w:rsidR="00BB16B9" w:rsidRDefault="0099129E">
          <w:pPr>
            <w:pStyle w:val="TOC1"/>
            <w:rPr>
              <w:noProof/>
              <w:lang w:eastAsia="en-AU"/>
            </w:rPr>
          </w:pPr>
          <w:hyperlink w:anchor="_Toc118288283" w:history="1">
            <w:r w:rsidR="00BB16B9" w:rsidRPr="00A21450">
              <w:rPr>
                <w:rStyle w:val="Hyperlink"/>
                <w:noProof/>
              </w:rPr>
              <w:t>Appendix D – Application of minimum threshold to survey results</w:t>
            </w:r>
            <w:r w:rsidR="00BB16B9">
              <w:rPr>
                <w:noProof/>
                <w:webHidden/>
              </w:rPr>
              <w:tab/>
            </w:r>
            <w:r w:rsidR="00BB16B9">
              <w:rPr>
                <w:noProof/>
                <w:webHidden/>
              </w:rPr>
              <w:fldChar w:fldCharType="begin"/>
            </w:r>
            <w:r w:rsidR="00BB16B9">
              <w:rPr>
                <w:noProof/>
                <w:webHidden/>
              </w:rPr>
              <w:instrText xml:space="preserve"> PAGEREF _Toc118288283 \h </w:instrText>
            </w:r>
            <w:r w:rsidR="00BB16B9">
              <w:rPr>
                <w:noProof/>
                <w:webHidden/>
              </w:rPr>
            </w:r>
            <w:r w:rsidR="00BB16B9">
              <w:rPr>
                <w:noProof/>
                <w:webHidden/>
              </w:rPr>
              <w:fldChar w:fldCharType="separate"/>
            </w:r>
            <w:r w:rsidR="008527C2">
              <w:rPr>
                <w:noProof/>
                <w:webHidden/>
              </w:rPr>
              <w:t>40</w:t>
            </w:r>
            <w:r w:rsidR="00BB16B9">
              <w:rPr>
                <w:noProof/>
                <w:webHidden/>
              </w:rPr>
              <w:fldChar w:fldCharType="end"/>
            </w:r>
          </w:hyperlink>
        </w:p>
        <w:p w14:paraId="47392C59" w14:textId="0F1C06F1" w:rsidR="00BB16B9" w:rsidRDefault="0099129E">
          <w:pPr>
            <w:pStyle w:val="TOC1"/>
            <w:rPr>
              <w:noProof/>
              <w:lang w:eastAsia="en-AU"/>
            </w:rPr>
          </w:pPr>
          <w:hyperlink w:anchor="_Toc118288284" w:history="1">
            <w:r w:rsidR="00BB16B9" w:rsidRPr="00A21450">
              <w:rPr>
                <w:rStyle w:val="Hyperlink"/>
                <w:noProof/>
              </w:rPr>
              <w:t>Appendix E – Associated Peak Bodies</w:t>
            </w:r>
            <w:r w:rsidR="00BB16B9">
              <w:rPr>
                <w:noProof/>
                <w:webHidden/>
              </w:rPr>
              <w:tab/>
            </w:r>
            <w:r w:rsidR="00BB16B9">
              <w:rPr>
                <w:noProof/>
                <w:webHidden/>
              </w:rPr>
              <w:fldChar w:fldCharType="begin"/>
            </w:r>
            <w:r w:rsidR="00BB16B9">
              <w:rPr>
                <w:noProof/>
                <w:webHidden/>
              </w:rPr>
              <w:instrText xml:space="preserve"> PAGEREF _Toc118288284 \h </w:instrText>
            </w:r>
            <w:r w:rsidR="00BB16B9">
              <w:rPr>
                <w:noProof/>
                <w:webHidden/>
              </w:rPr>
            </w:r>
            <w:r w:rsidR="00BB16B9">
              <w:rPr>
                <w:noProof/>
                <w:webHidden/>
              </w:rPr>
              <w:fldChar w:fldCharType="separate"/>
            </w:r>
            <w:r w:rsidR="008527C2">
              <w:rPr>
                <w:noProof/>
                <w:webHidden/>
              </w:rPr>
              <w:t>41</w:t>
            </w:r>
            <w:r w:rsidR="00BB16B9">
              <w:rPr>
                <w:noProof/>
                <w:webHidden/>
              </w:rPr>
              <w:fldChar w:fldCharType="end"/>
            </w:r>
          </w:hyperlink>
        </w:p>
        <w:p w14:paraId="62D58BBB" w14:textId="0C27EB17" w:rsidR="00A05791" w:rsidRPr="00A266D7" w:rsidRDefault="00A05791" w:rsidP="00DA3FA0">
          <w:pPr>
            <w:pStyle w:val="TOC1"/>
            <w:rPr>
              <w:noProof/>
            </w:rPr>
          </w:pPr>
          <w:r w:rsidRPr="00541574">
            <w:rPr>
              <w:rFonts w:cstheme="minorHAnsi"/>
              <w:b/>
              <w:bCs/>
              <w:noProof/>
              <w:u w:val="single"/>
            </w:rPr>
            <w:fldChar w:fldCharType="end"/>
          </w:r>
        </w:p>
      </w:sdtContent>
    </w:sdt>
    <w:p w14:paraId="355E7879" w14:textId="77777777" w:rsidR="00FD4B26" w:rsidRDefault="00FD4B26" w:rsidP="00D90D3C"/>
    <w:p w14:paraId="0440973F" w14:textId="77777777" w:rsidR="00877018" w:rsidRPr="00D90D3C" w:rsidRDefault="00877018" w:rsidP="00D90D3C"/>
    <w:p w14:paraId="3CF704D5" w14:textId="77777777" w:rsidR="00F85669" w:rsidRDefault="00F85669">
      <w:pPr>
        <w:spacing w:after="200" w:line="276" w:lineRule="auto"/>
        <w:rPr>
          <w:i/>
          <w:iCs/>
          <w:smallCaps/>
        </w:rPr>
        <w:sectPr w:rsidR="00F85669" w:rsidSect="0087600D">
          <w:headerReference w:type="even" r:id="rId11"/>
          <w:headerReference w:type="default" r:id="rId12"/>
          <w:headerReference w:type="first" r:id="rId13"/>
          <w:footerReference w:type="first" r:id="rId14"/>
          <w:pgSz w:w="11906" w:h="16838"/>
          <w:pgMar w:top="1134" w:right="1418" w:bottom="1418" w:left="1134" w:header="284" w:footer="459" w:gutter="0"/>
          <w:pgNumType w:fmt="lowerRoman" w:start="1"/>
          <w:cols w:space="708"/>
          <w:titlePg/>
          <w:docGrid w:linePitch="360"/>
        </w:sectPr>
      </w:pPr>
    </w:p>
    <w:p w14:paraId="57742F50" w14:textId="14D49078" w:rsidR="00DF1CA3" w:rsidRDefault="00DF1CA3" w:rsidP="004E1899">
      <w:pPr>
        <w:pStyle w:val="Heading1"/>
        <w:spacing w:before="0"/>
      </w:pPr>
      <w:bookmarkStart w:id="0" w:name="_Toc118288268"/>
      <w:r>
        <w:lastRenderedPageBreak/>
        <w:t>Acknowledgement of Country</w:t>
      </w:r>
      <w:bookmarkEnd w:id="0"/>
    </w:p>
    <w:p w14:paraId="58775D3C" w14:textId="540CA2CE" w:rsidR="00DF1CA3" w:rsidRPr="00DF1CA3" w:rsidRDefault="00DF1CA3" w:rsidP="00CD49B2">
      <w:r>
        <w:t>The Department of</w:t>
      </w:r>
      <w:r w:rsidR="00CD49B2">
        <w:t xml:space="preserve"> Social Services </w:t>
      </w:r>
      <w:r>
        <w:t>acknowledge</w:t>
      </w:r>
      <w:r w:rsidR="00CD49B2">
        <w:t>s the traditional owners of Country throughout Australia on which we gather, live, work and stand. We acknowledge all traditional custodians, their Elders past, present and emerging and we pay our respects to their continuing connection to their culture, community, land, sea and water.</w:t>
      </w:r>
    </w:p>
    <w:p w14:paraId="6B813B04" w14:textId="4B3AF0B2" w:rsidR="0084227C" w:rsidRPr="00F93794" w:rsidRDefault="0084227C" w:rsidP="001721B0">
      <w:pPr>
        <w:pStyle w:val="Heading1"/>
      </w:pPr>
      <w:bookmarkStart w:id="1" w:name="_Toc118288269"/>
      <w:r w:rsidRPr="00F93794">
        <w:t>Introduction</w:t>
      </w:r>
      <w:bookmarkEnd w:id="1"/>
    </w:p>
    <w:p w14:paraId="06515276" w14:textId="0841B357" w:rsidR="00867406" w:rsidRDefault="00055196" w:rsidP="00F914A4">
      <w:pPr>
        <w:pStyle w:val="Style1"/>
        <w:spacing w:before="0" w:after="160"/>
      </w:pPr>
      <w:r>
        <w:t xml:space="preserve">Background </w:t>
      </w:r>
      <w:r w:rsidR="00867406">
        <w:t xml:space="preserve"> </w:t>
      </w:r>
    </w:p>
    <w:p w14:paraId="22FD2BA4" w14:textId="4542AA07" w:rsidR="009E79ED" w:rsidRDefault="009E79ED" w:rsidP="00F914A4">
      <w:pPr>
        <w:rPr>
          <w:rFonts w:cs="Arial"/>
          <w:lang w:bidi="en-US"/>
        </w:rPr>
      </w:pPr>
      <w:r>
        <w:rPr>
          <w:rFonts w:cs="Arial"/>
          <w:lang w:bidi="en-US"/>
        </w:rPr>
        <w:t>The Australian Government</w:t>
      </w:r>
      <w:r w:rsidR="003204EA">
        <w:rPr>
          <w:rFonts w:cs="Arial"/>
          <w:lang w:bidi="en-US"/>
        </w:rPr>
        <w:t xml:space="preserve"> (the Government)</w:t>
      </w:r>
      <w:r w:rsidRPr="00AB6D17">
        <w:rPr>
          <w:rFonts w:cs="Arial"/>
          <w:lang w:bidi="en-US"/>
        </w:rPr>
        <w:t xml:space="preserve"> is </w:t>
      </w:r>
      <w:r w:rsidR="001D4F95">
        <w:rPr>
          <w:rFonts w:cs="Arial"/>
          <w:lang w:bidi="en-US"/>
        </w:rPr>
        <w:t>working</w:t>
      </w:r>
      <w:r w:rsidRPr="00AB6D17">
        <w:rPr>
          <w:rFonts w:cs="Arial"/>
          <w:lang w:bidi="en-US"/>
        </w:rPr>
        <w:t xml:space="preserve"> with industry</w:t>
      </w:r>
      <w:r w:rsidR="00217C68">
        <w:rPr>
          <w:rFonts w:cs="Arial"/>
          <w:lang w:bidi="en-US"/>
        </w:rPr>
        <w:t xml:space="preserve"> representatives</w:t>
      </w:r>
      <w:r w:rsidR="00F7248F">
        <w:rPr>
          <w:rFonts w:cs="Arial"/>
          <w:lang w:bidi="en-US"/>
        </w:rPr>
        <w:t>, including</w:t>
      </w:r>
      <w:r w:rsidR="00217C68">
        <w:rPr>
          <w:rFonts w:cs="Arial"/>
          <w:lang w:bidi="en-US"/>
        </w:rPr>
        <w:t xml:space="preserve"> from banking and finance</w:t>
      </w:r>
      <w:r w:rsidR="00D70B88">
        <w:rPr>
          <w:rFonts w:cs="Arial"/>
          <w:lang w:bidi="en-US"/>
        </w:rPr>
        <w:t>,</w:t>
      </w:r>
      <w:r w:rsidR="00217C68">
        <w:rPr>
          <w:rFonts w:cs="Arial"/>
          <w:lang w:bidi="en-US"/>
        </w:rPr>
        <w:t xml:space="preserve"> telecommunications</w:t>
      </w:r>
      <w:r w:rsidR="00D70B88">
        <w:rPr>
          <w:rFonts w:cs="Arial"/>
          <w:lang w:bidi="en-US"/>
        </w:rPr>
        <w:t>,</w:t>
      </w:r>
      <w:r w:rsidR="00217C68">
        <w:rPr>
          <w:rFonts w:cs="Arial"/>
          <w:lang w:bidi="en-US"/>
        </w:rPr>
        <w:t xml:space="preserve"> energy</w:t>
      </w:r>
      <w:r w:rsidR="00D70B88">
        <w:rPr>
          <w:rFonts w:cs="Arial"/>
          <w:lang w:bidi="en-US"/>
        </w:rPr>
        <w:t>,</w:t>
      </w:r>
      <w:r w:rsidR="00217C68">
        <w:rPr>
          <w:rFonts w:cs="Arial"/>
          <w:lang w:bidi="en-US"/>
        </w:rPr>
        <w:t xml:space="preserve"> insurance</w:t>
      </w:r>
      <w:r w:rsidR="00D70B88">
        <w:rPr>
          <w:rFonts w:cs="Arial"/>
          <w:lang w:bidi="en-US"/>
        </w:rPr>
        <w:t>,</w:t>
      </w:r>
      <w:r w:rsidR="00217C68">
        <w:rPr>
          <w:rFonts w:cs="Arial"/>
          <w:lang w:bidi="en-US"/>
        </w:rPr>
        <w:t xml:space="preserve"> online gambling</w:t>
      </w:r>
      <w:r w:rsidR="00D70B88">
        <w:rPr>
          <w:rFonts w:cs="Arial"/>
          <w:lang w:bidi="en-US"/>
        </w:rPr>
        <w:t>,</w:t>
      </w:r>
      <w:r w:rsidRPr="00AB6D17">
        <w:rPr>
          <w:rFonts w:cs="Arial"/>
          <w:lang w:bidi="en-US"/>
        </w:rPr>
        <w:t xml:space="preserve"> and </w:t>
      </w:r>
      <w:r w:rsidR="00C456A1">
        <w:rPr>
          <w:rFonts w:cs="Arial"/>
          <w:lang w:bidi="en-US"/>
        </w:rPr>
        <w:t xml:space="preserve">the </w:t>
      </w:r>
      <w:r w:rsidRPr="00AB6D17">
        <w:rPr>
          <w:rFonts w:cs="Arial"/>
          <w:lang w:bidi="en-US"/>
        </w:rPr>
        <w:t>financial counselling sector</w:t>
      </w:r>
      <w:r w:rsidRPr="00E7612E">
        <w:rPr>
          <w:rFonts w:cs="Arial"/>
          <w:lang w:bidi="en-US"/>
        </w:rPr>
        <w:t xml:space="preserve"> </w:t>
      </w:r>
      <w:r>
        <w:rPr>
          <w:rFonts w:cs="Arial"/>
          <w:lang w:bidi="en-US"/>
        </w:rPr>
        <w:t xml:space="preserve">to establish a </w:t>
      </w:r>
      <w:r w:rsidR="00B217D0">
        <w:rPr>
          <w:rFonts w:cs="Arial"/>
          <w:lang w:bidi="en-US"/>
        </w:rPr>
        <w:t xml:space="preserve">funding </w:t>
      </w:r>
      <w:r w:rsidRPr="009C694B">
        <w:rPr>
          <w:rFonts w:cs="Arial"/>
          <w:lang w:bidi="en-US"/>
        </w:rPr>
        <w:t xml:space="preserve">model </w:t>
      </w:r>
      <w:r>
        <w:rPr>
          <w:rFonts w:cs="Arial"/>
          <w:lang w:bidi="en-US"/>
        </w:rPr>
        <w:t>for financial counselling</w:t>
      </w:r>
      <w:r w:rsidR="00F3478E" w:rsidRPr="008A65F1">
        <w:rPr>
          <w:rFonts w:cs="Arial"/>
          <w:lang w:bidi="en-US"/>
        </w:rPr>
        <w:t xml:space="preserve"> </w:t>
      </w:r>
      <w:r w:rsidR="003204EA" w:rsidRPr="009C694B">
        <w:rPr>
          <w:rFonts w:cs="Arial"/>
          <w:lang w:bidi="en-US"/>
        </w:rPr>
        <w:t>(</w:t>
      </w:r>
      <w:r w:rsidR="003204EA" w:rsidRPr="00AB6D17">
        <w:rPr>
          <w:rFonts w:cs="Arial"/>
          <w:lang w:bidi="en-US"/>
        </w:rPr>
        <w:t xml:space="preserve">industry funding model; the </w:t>
      </w:r>
      <w:r w:rsidR="003204EA" w:rsidRPr="002B3946">
        <w:rPr>
          <w:rFonts w:cs="Arial"/>
          <w:lang w:bidi="en-US"/>
        </w:rPr>
        <w:t>model)</w:t>
      </w:r>
      <w:r w:rsidR="005D62E9">
        <w:rPr>
          <w:rFonts w:cs="Arial"/>
          <w:lang w:bidi="en-US"/>
        </w:rPr>
        <w:t xml:space="preserve">. The industry funding model would allow direct </w:t>
      </w:r>
      <w:r w:rsidR="00351578">
        <w:rPr>
          <w:rFonts w:cs="Arial"/>
          <w:lang w:bidi="en-US"/>
        </w:rPr>
        <w:t>industry contributions</w:t>
      </w:r>
      <w:r w:rsidR="005D62E9">
        <w:rPr>
          <w:rFonts w:cs="Arial"/>
          <w:lang w:bidi="en-US"/>
        </w:rPr>
        <w:t xml:space="preserve"> to</w:t>
      </w:r>
      <w:r w:rsidRPr="002B3946">
        <w:rPr>
          <w:rFonts w:cs="Arial"/>
          <w:lang w:bidi="en-US"/>
        </w:rPr>
        <w:t xml:space="preserve"> boost supports for Australians who are experiencing financial difficulty. </w:t>
      </w:r>
      <w:r w:rsidR="00F3478E">
        <w:rPr>
          <w:rFonts w:cs="Arial"/>
          <w:lang w:bidi="en-US"/>
        </w:rPr>
        <w:t xml:space="preserve">This is in addition to the current funding </w:t>
      </w:r>
      <w:r w:rsidR="008A65F1">
        <w:rPr>
          <w:rFonts w:cs="Arial"/>
          <w:lang w:bidi="en-US"/>
        </w:rPr>
        <w:t>provided for financial counselling services</w:t>
      </w:r>
      <w:r w:rsidR="00F3478E">
        <w:rPr>
          <w:rFonts w:cs="Arial"/>
          <w:lang w:bidi="en-US"/>
        </w:rPr>
        <w:t xml:space="preserve"> by </w:t>
      </w:r>
      <w:r w:rsidR="00C456A1">
        <w:rPr>
          <w:rFonts w:cs="Arial"/>
          <w:lang w:bidi="en-US"/>
        </w:rPr>
        <w:t xml:space="preserve">the </w:t>
      </w:r>
      <w:r w:rsidR="005D62E9">
        <w:rPr>
          <w:rFonts w:cs="Arial"/>
          <w:lang w:bidi="en-US"/>
        </w:rPr>
        <w:t>Government</w:t>
      </w:r>
      <w:r w:rsidR="00C456A1">
        <w:rPr>
          <w:rFonts w:cs="Arial"/>
          <w:lang w:bidi="en-US"/>
        </w:rPr>
        <w:t>,</w:t>
      </w:r>
      <w:r w:rsidR="00351578">
        <w:rPr>
          <w:rFonts w:cs="Arial"/>
          <w:lang w:bidi="en-US"/>
        </w:rPr>
        <w:t xml:space="preserve"> and state and territory </w:t>
      </w:r>
      <w:r w:rsidR="008A65F1">
        <w:rPr>
          <w:rFonts w:cs="Arial"/>
          <w:lang w:bidi="en-US"/>
        </w:rPr>
        <w:t>governments</w:t>
      </w:r>
      <w:r w:rsidR="00351578">
        <w:rPr>
          <w:rFonts w:cs="Arial"/>
          <w:lang w:bidi="en-US"/>
        </w:rPr>
        <w:t>.</w:t>
      </w:r>
      <w:r w:rsidR="00351578" w:rsidDel="00351578">
        <w:rPr>
          <w:rFonts w:cs="Arial"/>
          <w:lang w:bidi="en-US"/>
        </w:rPr>
        <w:t xml:space="preserve"> </w:t>
      </w:r>
    </w:p>
    <w:p w14:paraId="45096A60" w14:textId="37FF1610" w:rsidR="00C407FF" w:rsidRPr="000E72A9" w:rsidRDefault="00C407FF" w:rsidP="00F914A4">
      <w:pPr>
        <w:rPr>
          <w:rFonts w:cs="Arial"/>
          <w:lang w:bidi="en-US"/>
        </w:rPr>
      </w:pPr>
      <w:r>
        <w:rPr>
          <w:rFonts w:cstheme="minorHAnsi"/>
        </w:rPr>
        <w:t xml:space="preserve">The Government is committed to ensuring a strong future for Australian charities, including financial counselling agencies, to ensure they can continue to be the first line of support for the most vulnerable in the community. </w:t>
      </w:r>
      <w:r w:rsidR="009E79ED" w:rsidRPr="008B7818">
        <w:rPr>
          <w:rFonts w:cs="Arial"/>
          <w:lang w:bidi="en-US"/>
        </w:rPr>
        <w:t>Financial counselling plays a vital role in supporting people to address their financial problems, manage debt and make info</w:t>
      </w:r>
      <w:r w:rsidR="009E79ED">
        <w:rPr>
          <w:rFonts w:cs="Arial"/>
          <w:lang w:bidi="en-US"/>
        </w:rPr>
        <w:t>rmed choices about their money,</w:t>
      </w:r>
      <w:r w:rsidR="009E79ED">
        <w:rPr>
          <w:rFonts w:cstheme="minorHAnsi"/>
        </w:rPr>
        <w:t xml:space="preserve"> providing a lifeline for vulnerable individuals </w:t>
      </w:r>
      <w:r w:rsidR="00956817">
        <w:rPr>
          <w:rFonts w:cstheme="minorHAnsi"/>
        </w:rPr>
        <w:t xml:space="preserve">experiencing </w:t>
      </w:r>
      <w:r w:rsidR="009E79ED">
        <w:rPr>
          <w:rFonts w:cstheme="minorHAnsi"/>
        </w:rPr>
        <w:t xml:space="preserve">financial </w:t>
      </w:r>
      <w:r w:rsidR="00956817">
        <w:rPr>
          <w:rFonts w:cstheme="minorHAnsi"/>
        </w:rPr>
        <w:t>stress</w:t>
      </w:r>
      <w:r w:rsidR="009E79ED">
        <w:rPr>
          <w:rFonts w:cstheme="minorHAnsi"/>
        </w:rPr>
        <w:t>. Having a strong and viable financial counselling sector is essential for supporting some of the most vulnerable in our community</w:t>
      </w:r>
      <w:r w:rsidR="001D4F95">
        <w:rPr>
          <w:rFonts w:cstheme="minorHAnsi"/>
        </w:rPr>
        <w:t>, ensuring no one is left behind</w:t>
      </w:r>
      <w:r w:rsidR="009E79ED">
        <w:rPr>
          <w:rFonts w:cstheme="minorHAnsi"/>
        </w:rPr>
        <w:t xml:space="preserve">. </w:t>
      </w:r>
    </w:p>
    <w:p w14:paraId="2DF938C2" w14:textId="549D8F12" w:rsidR="00867406" w:rsidRDefault="00867406" w:rsidP="00F914A4">
      <w:pPr>
        <w:rPr>
          <w:rFonts w:cs="Arial"/>
          <w:lang w:bidi="en-US"/>
        </w:rPr>
      </w:pPr>
      <w:r>
        <w:rPr>
          <w:rFonts w:cs="Arial"/>
          <w:lang w:bidi="en-US"/>
        </w:rPr>
        <w:t>A review into the coordination and funding of financial counselling services undertaken by Ms</w:t>
      </w:r>
      <w:r w:rsidR="006B36E4">
        <w:rPr>
          <w:rFonts w:cs="Arial"/>
          <w:lang w:bidi="en-US"/>
        </w:rPr>
        <w:t> </w:t>
      </w:r>
      <w:r>
        <w:rPr>
          <w:rFonts w:cs="Arial"/>
          <w:lang w:bidi="en-US"/>
        </w:rPr>
        <w:t xml:space="preserve">Louise Sylvan AM in March 2019, </w:t>
      </w:r>
      <w:r>
        <w:rPr>
          <w:rFonts w:cs="Arial"/>
          <w:i/>
          <w:lang w:bidi="en-US"/>
        </w:rPr>
        <w:t>T</w:t>
      </w:r>
      <w:r w:rsidRPr="008B7818">
        <w:rPr>
          <w:rFonts w:cs="Arial"/>
          <w:i/>
          <w:lang w:bidi="en-US"/>
        </w:rPr>
        <w:t>he Countervailing Power: Review of the coordination and funding for financial counselling services across Australia</w:t>
      </w:r>
      <w:r w:rsidRPr="00F9461B">
        <w:rPr>
          <w:rFonts w:eastAsiaTheme="majorEastAsia" w:cs="Arial"/>
          <w:i/>
          <w:sz w:val="20"/>
          <w:szCs w:val="20"/>
          <w:vertAlign w:val="superscript"/>
          <w:lang w:bidi="en-US"/>
        </w:rPr>
        <w:footnoteReference w:id="1"/>
      </w:r>
      <w:r>
        <w:rPr>
          <w:rFonts w:cs="Arial"/>
          <w:i/>
          <w:lang w:bidi="en-US"/>
        </w:rPr>
        <w:t xml:space="preserve"> </w:t>
      </w:r>
      <w:r w:rsidRPr="00F93B38">
        <w:rPr>
          <w:rFonts w:cs="Arial"/>
          <w:lang w:bidi="en-US"/>
        </w:rPr>
        <w:t>(the</w:t>
      </w:r>
      <w:r>
        <w:rPr>
          <w:rFonts w:cs="Arial"/>
          <w:lang w:bidi="en-US"/>
        </w:rPr>
        <w:t xml:space="preserve"> Sylvan</w:t>
      </w:r>
      <w:r w:rsidRPr="00F93B38">
        <w:rPr>
          <w:rFonts w:cs="Arial"/>
          <w:lang w:bidi="en-US"/>
        </w:rPr>
        <w:t xml:space="preserve"> Review)</w:t>
      </w:r>
      <w:r>
        <w:rPr>
          <w:rFonts w:cs="Arial"/>
          <w:lang w:bidi="en-US"/>
        </w:rPr>
        <w:t>,</w:t>
      </w:r>
      <w:r w:rsidRPr="008B7818">
        <w:rPr>
          <w:rFonts w:cs="Arial"/>
          <w:lang w:bidi="en-US"/>
        </w:rPr>
        <w:t xml:space="preserve"> identified that funding is the largest impediment to more Australians</w:t>
      </w:r>
      <w:r w:rsidR="00014423">
        <w:rPr>
          <w:rFonts w:cs="Arial"/>
          <w:lang w:bidi="en-US"/>
        </w:rPr>
        <w:t xml:space="preserve"> in financial </w:t>
      </w:r>
      <w:r w:rsidR="00956817">
        <w:rPr>
          <w:rFonts w:cs="Arial"/>
          <w:lang w:bidi="en-US"/>
        </w:rPr>
        <w:t>hardship</w:t>
      </w:r>
      <w:r w:rsidR="00956817" w:rsidRPr="008B7818">
        <w:rPr>
          <w:rFonts w:cs="Arial"/>
          <w:lang w:bidi="en-US"/>
        </w:rPr>
        <w:t xml:space="preserve"> </w:t>
      </w:r>
      <w:r w:rsidRPr="008B7818">
        <w:rPr>
          <w:rFonts w:cs="Arial"/>
          <w:lang w:bidi="en-US"/>
        </w:rPr>
        <w:t>being able to access financial counselling</w:t>
      </w:r>
      <w:r>
        <w:rPr>
          <w:rFonts w:cs="Arial"/>
          <w:lang w:bidi="en-US"/>
        </w:rPr>
        <w:t>. The Sylvan Review recommended industry should contribute funding to address unmet demand</w:t>
      </w:r>
      <w:r w:rsidR="00930EFE">
        <w:rPr>
          <w:rFonts w:cs="Arial"/>
          <w:lang w:bidi="en-US"/>
        </w:rPr>
        <w:t xml:space="preserve"> for services</w:t>
      </w:r>
      <w:r>
        <w:rPr>
          <w:rFonts w:cs="Arial"/>
          <w:lang w:bidi="en-US"/>
        </w:rPr>
        <w:t>, as they contribute to demand for services</w:t>
      </w:r>
      <w:r w:rsidR="00DB5B7F">
        <w:rPr>
          <w:rFonts w:cs="Arial"/>
          <w:lang w:bidi="en-US"/>
        </w:rPr>
        <w:t xml:space="preserve"> and benefit from</w:t>
      </w:r>
      <w:r w:rsidR="005B2943">
        <w:rPr>
          <w:rFonts w:cs="Arial"/>
          <w:lang w:bidi="en-US"/>
        </w:rPr>
        <w:t xml:space="preserve"> their customers accessing </w:t>
      </w:r>
      <w:r w:rsidR="00DB5B7F">
        <w:rPr>
          <w:rFonts w:cs="Arial"/>
          <w:lang w:bidi="en-US"/>
        </w:rPr>
        <w:t>financial counselling services</w:t>
      </w:r>
      <w:r>
        <w:rPr>
          <w:rFonts w:cs="Arial"/>
          <w:lang w:bidi="en-US"/>
        </w:rPr>
        <w:t>.</w:t>
      </w:r>
      <w:r w:rsidR="00E0734B">
        <w:rPr>
          <w:rFonts w:cs="Arial"/>
          <w:lang w:bidi="en-US"/>
        </w:rPr>
        <w:t xml:space="preserve"> Further background on the Sylvan Review is at </w:t>
      </w:r>
      <w:r w:rsidR="00E0734B" w:rsidRPr="009C65E2">
        <w:rPr>
          <w:rFonts w:cs="Arial"/>
          <w:b/>
          <w:lang w:bidi="en-US"/>
        </w:rPr>
        <w:t>Appendix A</w:t>
      </w:r>
      <w:r w:rsidR="00E0734B">
        <w:rPr>
          <w:rFonts w:cs="Arial"/>
          <w:lang w:bidi="en-US"/>
        </w:rPr>
        <w:t xml:space="preserve">.  </w:t>
      </w:r>
    </w:p>
    <w:p w14:paraId="31AD14B6" w14:textId="382740F1" w:rsidR="00196ACF" w:rsidRDefault="00867406" w:rsidP="00F914A4">
      <w:pPr>
        <w:rPr>
          <w:rFonts w:cs="Arial"/>
          <w:lang w:bidi="en-US"/>
        </w:rPr>
      </w:pPr>
      <w:r w:rsidRPr="008B7818">
        <w:rPr>
          <w:rFonts w:cs="Arial"/>
          <w:lang w:bidi="en-US"/>
        </w:rPr>
        <w:t xml:space="preserve">Since the </w:t>
      </w:r>
      <w:r w:rsidR="00BC631F">
        <w:rPr>
          <w:rFonts w:cs="Arial"/>
          <w:lang w:bidi="en-US"/>
        </w:rPr>
        <w:t xml:space="preserve">release of the </w:t>
      </w:r>
      <w:r w:rsidRPr="008B7818">
        <w:rPr>
          <w:rFonts w:cs="Arial"/>
          <w:lang w:bidi="en-US"/>
        </w:rPr>
        <w:t>Sylvan Review,</w:t>
      </w:r>
      <w:r w:rsidR="00014423">
        <w:rPr>
          <w:rFonts w:cs="Arial"/>
          <w:lang w:bidi="en-US"/>
        </w:rPr>
        <w:t xml:space="preserve"> extensive </w:t>
      </w:r>
      <w:r>
        <w:rPr>
          <w:rFonts w:cs="Arial"/>
          <w:lang w:bidi="en-US"/>
        </w:rPr>
        <w:t>work has been undertaken</w:t>
      </w:r>
      <w:r w:rsidRPr="008B7818">
        <w:rPr>
          <w:rFonts w:cs="Arial"/>
          <w:lang w:bidi="en-US"/>
        </w:rPr>
        <w:t xml:space="preserve"> </w:t>
      </w:r>
      <w:r w:rsidR="002A4521">
        <w:rPr>
          <w:rFonts w:cs="Arial"/>
          <w:lang w:bidi="en-US"/>
        </w:rPr>
        <w:t>with industry representatives</w:t>
      </w:r>
      <w:r w:rsidRPr="008B7818">
        <w:rPr>
          <w:rFonts w:cs="Arial"/>
          <w:lang w:bidi="en-US"/>
        </w:rPr>
        <w:t xml:space="preserve"> </w:t>
      </w:r>
      <w:r w:rsidR="00930EFE">
        <w:rPr>
          <w:rFonts w:cs="Arial"/>
          <w:lang w:bidi="en-US"/>
        </w:rPr>
        <w:t>and</w:t>
      </w:r>
      <w:r w:rsidRPr="008B7818">
        <w:rPr>
          <w:rFonts w:cs="Arial"/>
          <w:lang w:bidi="en-US"/>
        </w:rPr>
        <w:t xml:space="preserve"> the financial counselling sector on the design of an indust</w:t>
      </w:r>
      <w:r w:rsidR="00623392">
        <w:rPr>
          <w:rFonts w:cs="Arial"/>
          <w:lang w:bidi="en-US"/>
        </w:rPr>
        <w:t>ry funding model</w:t>
      </w:r>
      <w:r w:rsidR="00014423">
        <w:rPr>
          <w:rFonts w:cs="Arial"/>
          <w:lang w:bidi="en-US"/>
        </w:rPr>
        <w:t xml:space="preserve">. This </w:t>
      </w:r>
      <w:r w:rsidR="00DB5B7F">
        <w:rPr>
          <w:rFonts w:cs="Arial"/>
          <w:lang w:bidi="en-US"/>
        </w:rPr>
        <w:t>includes</w:t>
      </w:r>
      <w:r w:rsidR="00623392">
        <w:rPr>
          <w:rFonts w:cs="Arial"/>
          <w:lang w:bidi="en-US"/>
        </w:rPr>
        <w:t xml:space="preserve"> </w:t>
      </w:r>
      <w:r w:rsidR="0098215C">
        <w:rPr>
          <w:rFonts w:cs="Arial"/>
          <w:lang w:bidi="en-US"/>
        </w:rPr>
        <w:t xml:space="preserve">various </w:t>
      </w:r>
      <w:r w:rsidR="00623392">
        <w:rPr>
          <w:rFonts w:cs="Arial"/>
          <w:lang w:bidi="en-US"/>
        </w:rPr>
        <w:t>workshops</w:t>
      </w:r>
      <w:r w:rsidR="00196ACF">
        <w:rPr>
          <w:rFonts w:cs="Arial"/>
          <w:lang w:bidi="en-US"/>
        </w:rPr>
        <w:t>, survey</w:t>
      </w:r>
      <w:r w:rsidR="002B2A71">
        <w:rPr>
          <w:rFonts w:cs="Arial"/>
          <w:lang w:bidi="en-US"/>
        </w:rPr>
        <w:t>ing financial counsellors</w:t>
      </w:r>
      <w:r w:rsidR="002A3CC1">
        <w:rPr>
          <w:rFonts w:cs="Arial"/>
          <w:lang w:bidi="en-US"/>
        </w:rPr>
        <w:t xml:space="preserve"> on</w:t>
      </w:r>
      <w:r w:rsidR="002B2A71">
        <w:rPr>
          <w:rFonts w:cs="Arial"/>
          <w:lang w:bidi="en-US"/>
        </w:rPr>
        <w:t xml:space="preserve"> the</w:t>
      </w:r>
      <w:r w:rsidR="002A3CC1">
        <w:rPr>
          <w:rFonts w:cs="Arial"/>
          <w:lang w:bidi="en-US"/>
        </w:rPr>
        <w:t xml:space="preserve"> industries</w:t>
      </w:r>
      <w:r w:rsidR="002B2A71">
        <w:rPr>
          <w:rFonts w:cs="Arial"/>
          <w:lang w:bidi="en-US"/>
        </w:rPr>
        <w:t xml:space="preserve"> that</w:t>
      </w:r>
      <w:r w:rsidR="002A3CC1">
        <w:rPr>
          <w:rFonts w:cs="Arial"/>
          <w:lang w:bidi="en-US"/>
        </w:rPr>
        <w:t xml:space="preserve"> </w:t>
      </w:r>
      <w:r w:rsidR="002B2A71">
        <w:rPr>
          <w:rFonts w:cs="Arial"/>
          <w:lang w:bidi="en-US"/>
        </w:rPr>
        <w:t>they</w:t>
      </w:r>
      <w:r w:rsidR="002A3CC1">
        <w:rPr>
          <w:rFonts w:cs="Arial"/>
          <w:lang w:bidi="en-US"/>
        </w:rPr>
        <w:t xml:space="preserve"> interact with in their work and </w:t>
      </w:r>
      <w:r w:rsidR="002B2A71">
        <w:rPr>
          <w:rFonts w:cs="Arial"/>
          <w:lang w:bidi="en-US"/>
        </w:rPr>
        <w:t xml:space="preserve">the </w:t>
      </w:r>
      <w:r w:rsidR="002A3CC1">
        <w:rPr>
          <w:rFonts w:cs="Arial"/>
          <w:lang w:bidi="en-US"/>
        </w:rPr>
        <w:t>unmet demand</w:t>
      </w:r>
      <w:r w:rsidR="007C26A8">
        <w:rPr>
          <w:rFonts w:cs="Arial"/>
          <w:lang w:bidi="en-US"/>
        </w:rPr>
        <w:t xml:space="preserve"> for</w:t>
      </w:r>
      <w:r w:rsidR="002B2A71">
        <w:rPr>
          <w:rFonts w:cs="Arial"/>
          <w:lang w:bidi="en-US"/>
        </w:rPr>
        <w:t xml:space="preserve"> their</w:t>
      </w:r>
      <w:r w:rsidR="007C26A8">
        <w:rPr>
          <w:rFonts w:cs="Arial"/>
          <w:lang w:bidi="en-US"/>
        </w:rPr>
        <w:t xml:space="preserve"> services</w:t>
      </w:r>
      <w:r w:rsidR="00196ACF">
        <w:rPr>
          <w:rFonts w:cs="Arial"/>
          <w:lang w:bidi="en-US"/>
        </w:rPr>
        <w:t>,</w:t>
      </w:r>
      <w:r w:rsidR="002A3CC1">
        <w:rPr>
          <w:rFonts w:cs="Arial"/>
          <w:lang w:bidi="en-US"/>
        </w:rPr>
        <w:t xml:space="preserve"> </w:t>
      </w:r>
      <w:r w:rsidR="00196ACF">
        <w:rPr>
          <w:rFonts w:cs="Arial"/>
          <w:lang w:bidi="en-US"/>
        </w:rPr>
        <w:t>modelling</w:t>
      </w:r>
      <w:r w:rsidR="006A369A">
        <w:rPr>
          <w:rFonts w:cs="Arial"/>
          <w:lang w:bidi="en-US"/>
        </w:rPr>
        <w:t xml:space="preserve"> to forecast demand</w:t>
      </w:r>
      <w:r w:rsidR="00196ACF">
        <w:rPr>
          <w:rFonts w:cs="Arial"/>
          <w:lang w:bidi="en-US"/>
        </w:rPr>
        <w:t>,</w:t>
      </w:r>
      <w:r w:rsidR="00623392">
        <w:rPr>
          <w:rFonts w:cs="Arial"/>
          <w:lang w:bidi="en-US"/>
        </w:rPr>
        <w:t xml:space="preserve"> </w:t>
      </w:r>
      <w:r w:rsidR="00DF29D9">
        <w:rPr>
          <w:rFonts w:cs="Arial"/>
          <w:lang w:bidi="en-US"/>
        </w:rPr>
        <w:t xml:space="preserve">and </w:t>
      </w:r>
      <w:r w:rsidR="004D3A97">
        <w:rPr>
          <w:rFonts w:cs="Arial"/>
          <w:lang w:bidi="en-US"/>
        </w:rPr>
        <w:t xml:space="preserve">a </w:t>
      </w:r>
      <w:r w:rsidR="00623392">
        <w:rPr>
          <w:rFonts w:cs="Arial"/>
          <w:lang w:bidi="en-US"/>
        </w:rPr>
        <w:t xml:space="preserve">Financial Counselling Industry Funding Advisory Group. </w:t>
      </w:r>
    </w:p>
    <w:p w14:paraId="6B68AB6A" w14:textId="55DBF890" w:rsidR="004F715E" w:rsidRDefault="0098215C" w:rsidP="00F914A4">
      <w:r>
        <w:rPr>
          <w:rFonts w:cs="Arial"/>
          <w:lang w:bidi="en-US"/>
        </w:rPr>
        <w:t>Informed by this work, t</w:t>
      </w:r>
      <w:r w:rsidR="00BC631F">
        <w:rPr>
          <w:rFonts w:cs="Arial"/>
          <w:lang w:bidi="en-US"/>
        </w:rPr>
        <w:t>his</w:t>
      </w:r>
      <w:r w:rsidR="00BC631F" w:rsidRPr="008B7818">
        <w:rPr>
          <w:rFonts w:cs="Arial"/>
          <w:lang w:bidi="en-US"/>
        </w:rPr>
        <w:t xml:space="preserve"> paper </w:t>
      </w:r>
      <w:r w:rsidR="00BC631F">
        <w:rPr>
          <w:rFonts w:cs="Arial"/>
          <w:lang w:bidi="en-US"/>
        </w:rPr>
        <w:t>out</w:t>
      </w:r>
      <w:r w:rsidR="0024796B">
        <w:rPr>
          <w:rFonts w:cs="Arial"/>
          <w:lang w:bidi="en-US"/>
        </w:rPr>
        <w:t>lines the proposed design of a</w:t>
      </w:r>
      <w:r w:rsidR="00BC631F">
        <w:rPr>
          <w:rFonts w:cs="Arial"/>
          <w:lang w:bidi="en-US"/>
        </w:rPr>
        <w:t xml:space="preserve"> model</w:t>
      </w:r>
      <w:r w:rsidR="0024796B" w:rsidRPr="0024796B">
        <w:t xml:space="preserve"> </w:t>
      </w:r>
      <w:r w:rsidR="0024796B">
        <w:t xml:space="preserve">to </w:t>
      </w:r>
      <w:r w:rsidR="007C26A8">
        <w:t xml:space="preserve">raise and </w:t>
      </w:r>
      <w:r w:rsidR="0024796B">
        <w:t xml:space="preserve">distribute voluntary industry </w:t>
      </w:r>
      <w:r w:rsidR="006C51CF">
        <w:t xml:space="preserve">funding </w:t>
      </w:r>
      <w:r w:rsidR="0024796B">
        <w:t xml:space="preserve">contributions </w:t>
      </w:r>
      <w:r w:rsidR="006C51CF">
        <w:t>needed to</w:t>
      </w:r>
      <w:r w:rsidR="0024796B">
        <w:t xml:space="preserve"> </w:t>
      </w:r>
      <w:r w:rsidR="00661D7E">
        <w:t xml:space="preserve">help </w:t>
      </w:r>
      <w:r w:rsidR="003E4FAD">
        <w:t>more Australians in financial distress access</w:t>
      </w:r>
      <w:r w:rsidR="0024796B">
        <w:t xml:space="preserve"> financial counselling services, and seeks feedback from interested parties. </w:t>
      </w:r>
    </w:p>
    <w:p w14:paraId="23F60C22" w14:textId="23FA98A3" w:rsidR="00867406" w:rsidRDefault="00E75448" w:rsidP="00F914A4">
      <w:pPr>
        <w:rPr>
          <w:rFonts w:cs="Arial"/>
          <w:b/>
          <w:lang w:bidi="en-US"/>
        </w:rPr>
      </w:pPr>
      <w:r>
        <w:t xml:space="preserve">The model is anticipated to commence from 1 July 2023. </w:t>
      </w:r>
    </w:p>
    <w:p w14:paraId="7699A118" w14:textId="59E790F6" w:rsidR="00E1333D" w:rsidRPr="00E1333D" w:rsidRDefault="00152CF7" w:rsidP="00F914A4">
      <w:pPr>
        <w:pStyle w:val="Style1"/>
        <w:spacing w:before="0" w:after="160"/>
      </w:pPr>
      <w:r>
        <w:lastRenderedPageBreak/>
        <w:t xml:space="preserve">What is </w:t>
      </w:r>
      <w:r w:rsidR="00E1333D" w:rsidRPr="00E1333D">
        <w:t>Financial Counselling</w:t>
      </w:r>
      <w:r>
        <w:t>?</w:t>
      </w:r>
    </w:p>
    <w:p w14:paraId="7101135E" w14:textId="2FA0A8C6" w:rsidR="00E0734B" w:rsidRDefault="00E0734B" w:rsidP="00F914A4">
      <w:pPr>
        <w:rPr>
          <w:rFonts w:ascii="Times New Roman" w:hAnsi="Times New Roman" w:cs="Times New Roman"/>
          <w:sz w:val="24"/>
          <w:szCs w:val="24"/>
          <w:lang w:eastAsia="en-AU"/>
        </w:rPr>
      </w:pPr>
      <w:r>
        <w:rPr>
          <w:rFonts w:cs="Arial"/>
          <w:lang w:bidi="en-US"/>
        </w:rPr>
        <w:t>Financial counselling s</w:t>
      </w:r>
      <w:r w:rsidRPr="008B7818">
        <w:rPr>
          <w:rFonts w:cs="Arial"/>
          <w:lang w:bidi="en-US"/>
        </w:rPr>
        <w:t>ervices are delivered by community and local government organisations and are voluntary, free, and confidential. They are provided through face-to-face</w:t>
      </w:r>
      <w:r w:rsidR="0051538D">
        <w:rPr>
          <w:rFonts w:cs="Arial"/>
          <w:lang w:bidi="en-US"/>
        </w:rPr>
        <w:t xml:space="preserve"> (or virtual)</w:t>
      </w:r>
      <w:r w:rsidRPr="008B7818">
        <w:rPr>
          <w:rFonts w:cs="Arial"/>
          <w:lang w:bidi="en-US"/>
        </w:rPr>
        <w:t>, telephone and online supports.</w:t>
      </w:r>
      <w:r>
        <w:rPr>
          <w:rFonts w:cs="Arial"/>
          <w:lang w:bidi="en-US"/>
        </w:rPr>
        <w:t xml:space="preserve"> </w:t>
      </w:r>
      <w:r w:rsidRPr="00F105B5">
        <w:rPr>
          <w:rFonts w:cs="Arial"/>
          <w:lang w:bidi="en-US"/>
        </w:rPr>
        <w:t xml:space="preserve">Approximately </w:t>
      </w:r>
      <w:r>
        <w:rPr>
          <w:rFonts w:cs="Arial"/>
          <w:lang w:bidi="en-US"/>
        </w:rPr>
        <w:t xml:space="preserve">125,000 face-to-face clients are </w:t>
      </w:r>
      <w:r w:rsidRPr="00F105B5">
        <w:rPr>
          <w:rFonts w:cs="Arial"/>
          <w:lang w:bidi="en-US"/>
        </w:rPr>
        <w:t>helped each year by financial counsellors</w:t>
      </w:r>
      <w:r>
        <w:rPr>
          <w:rFonts w:cs="Arial"/>
          <w:lang w:bidi="en-US"/>
        </w:rPr>
        <w:t xml:space="preserve"> and 1</w:t>
      </w:r>
      <w:r w:rsidR="00956817">
        <w:rPr>
          <w:rFonts w:cs="Arial"/>
          <w:lang w:bidi="en-US"/>
        </w:rPr>
        <w:t>3</w:t>
      </w:r>
      <w:r>
        <w:rPr>
          <w:rFonts w:cs="Arial"/>
          <w:lang w:bidi="en-US"/>
        </w:rPr>
        <w:t xml:space="preserve">0,000 calls </w:t>
      </w:r>
      <w:r w:rsidR="006136F1">
        <w:rPr>
          <w:rFonts w:cs="Arial"/>
          <w:lang w:bidi="en-US"/>
        </w:rPr>
        <w:t xml:space="preserve">are made </w:t>
      </w:r>
      <w:r>
        <w:rPr>
          <w:rFonts w:cs="Arial"/>
          <w:lang w:bidi="en-US"/>
        </w:rPr>
        <w:t>to the National Debt Helpline.</w:t>
      </w:r>
      <w:r w:rsidRPr="00B24ADC">
        <w:rPr>
          <w:rStyle w:val="FootnoteReference"/>
          <w:rFonts w:cs="Arial"/>
          <w:lang w:bidi="en-US"/>
        </w:rPr>
        <w:footnoteReference w:id="2"/>
      </w:r>
      <w:r>
        <w:rPr>
          <w:rFonts w:ascii="Times New Roman" w:hAnsi="Times New Roman" w:cs="Times New Roman"/>
          <w:sz w:val="24"/>
          <w:szCs w:val="24"/>
          <w:lang w:eastAsia="en-AU"/>
        </w:rPr>
        <w:t xml:space="preserve"> </w:t>
      </w:r>
    </w:p>
    <w:p w14:paraId="5150EAC5" w14:textId="53A982AC" w:rsidR="00E0734B" w:rsidRPr="00277D5B" w:rsidRDefault="00E0734B" w:rsidP="00F914A4">
      <w:pPr>
        <w:pStyle w:val="Quote"/>
        <w:spacing w:before="0"/>
        <w:rPr>
          <w:rFonts w:cstheme="majorBidi"/>
          <w:bCs/>
          <w:iCs w:val="0"/>
        </w:rPr>
      </w:pPr>
      <w:r w:rsidRPr="00102C1D">
        <w:rPr>
          <w:rStyle w:val="SubtleEmphasis"/>
          <w:rFonts w:eastAsiaTheme="majorEastAsia" w:cstheme="majorBidi"/>
          <w:bCs/>
          <w:i/>
          <w:color w:val="00838A" w:themeColor="accent5" w:themeShade="BF"/>
        </w:rPr>
        <w:t xml:space="preserve">Financial Counselling Australia estimates there </w:t>
      </w:r>
      <w:r>
        <w:rPr>
          <w:rStyle w:val="SubtleEmphasis"/>
          <w:rFonts w:eastAsiaTheme="majorEastAsia" w:cstheme="majorBidi"/>
          <w:bCs/>
          <w:i/>
          <w:color w:val="00838A" w:themeColor="accent5" w:themeShade="BF"/>
        </w:rPr>
        <w:t>are</w:t>
      </w:r>
      <w:r w:rsidRPr="00102C1D">
        <w:rPr>
          <w:rStyle w:val="SubtleEmphasis"/>
          <w:rFonts w:eastAsiaTheme="majorEastAsia" w:cstheme="majorBidi"/>
          <w:bCs/>
          <w:i/>
          <w:color w:val="00838A" w:themeColor="accent5" w:themeShade="BF"/>
        </w:rPr>
        <w:t xml:space="preserve"> </w:t>
      </w:r>
      <w:r w:rsidR="00D93B0A">
        <w:rPr>
          <w:rStyle w:val="SubtleEmphasis"/>
          <w:rFonts w:eastAsiaTheme="majorEastAsia" w:cstheme="majorBidi"/>
          <w:bCs/>
          <w:i/>
          <w:color w:val="00838A" w:themeColor="accent5" w:themeShade="BF"/>
        </w:rPr>
        <w:t>1,100</w:t>
      </w:r>
      <w:r w:rsidR="00956817">
        <w:rPr>
          <w:rStyle w:val="SubtleEmphasis"/>
          <w:rFonts w:eastAsiaTheme="majorEastAsia" w:cstheme="majorBidi"/>
          <w:bCs/>
          <w:i/>
          <w:color w:val="00838A" w:themeColor="accent5" w:themeShade="BF"/>
        </w:rPr>
        <w:t xml:space="preserve"> </w:t>
      </w:r>
      <w:r>
        <w:rPr>
          <w:rStyle w:val="SubtleEmphasis"/>
          <w:rFonts w:eastAsiaTheme="majorEastAsia" w:cstheme="majorBidi"/>
          <w:bCs/>
          <w:i/>
          <w:color w:val="00838A" w:themeColor="accent5" w:themeShade="BF"/>
        </w:rPr>
        <w:t>(full time equivalent)</w:t>
      </w:r>
      <w:r w:rsidRPr="00102C1D">
        <w:rPr>
          <w:rStyle w:val="SubtleEmphasis"/>
          <w:rFonts w:eastAsiaTheme="majorEastAsia" w:cstheme="majorBidi"/>
          <w:bCs/>
          <w:i/>
          <w:color w:val="00838A" w:themeColor="accent5" w:themeShade="BF"/>
        </w:rPr>
        <w:t xml:space="preserve"> financial counsellors in Australia who provide</w:t>
      </w:r>
      <w:r>
        <w:rPr>
          <w:rStyle w:val="SubtleEmphasis"/>
          <w:rFonts w:eastAsiaTheme="majorEastAsia" w:cstheme="majorBidi"/>
          <w:bCs/>
          <w:i/>
          <w:color w:val="00838A" w:themeColor="accent5" w:themeShade="BF"/>
        </w:rPr>
        <w:t xml:space="preserve"> financial counselling services in 192 agencies across 674 sites.</w:t>
      </w:r>
    </w:p>
    <w:p w14:paraId="0F465319" w14:textId="137041DD" w:rsidR="0035082A" w:rsidRDefault="0035082A" w:rsidP="00F914A4">
      <w:pPr>
        <w:rPr>
          <w:rFonts w:cs="Arial"/>
          <w:lang w:bidi="en-US"/>
        </w:rPr>
      </w:pPr>
      <w:r>
        <w:rPr>
          <w:rFonts w:cs="Arial"/>
          <w:lang w:bidi="en-US"/>
        </w:rPr>
        <w:t xml:space="preserve">Financial counsellors </w:t>
      </w:r>
      <w:r w:rsidR="005A4C3E">
        <w:rPr>
          <w:rFonts w:cs="Arial"/>
          <w:lang w:bidi="en-US"/>
        </w:rPr>
        <w:t xml:space="preserve">provide </w:t>
      </w:r>
      <w:r w:rsidR="00AB56F5">
        <w:rPr>
          <w:rFonts w:cs="Arial"/>
          <w:lang w:bidi="en-US"/>
        </w:rPr>
        <w:t xml:space="preserve">free, </w:t>
      </w:r>
      <w:r w:rsidR="005A4C3E">
        <w:rPr>
          <w:rFonts w:cs="Arial"/>
          <w:lang w:bidi="en-US"/>
        </w:rPr>
        <w:t>independent expert advice and support to individual</w:t>
      </w:r>
      <w:r w:rsidR="0051538D">
        <w:rPr>
          <w:rFonts w:cs="Arial"/>
          <w:lang w:bidi="en-US"/>
        </w:rPr>
        <w:t>s</w:t>
      </w:r>
      <w:r w:rsidR="00403B53">
        <w:rPr>
          <w:rFonts w:cs="Arial"/>
          <w:lang w:bidi="en-US"/>
        </w:rPr>
        <w:t xml:space="preserve"> in financial hardship</w:t>
      </w:r>
      <w:r w:rsidR="005A4C3E">
        <w:rPr>
          <w:rFonts w:cs="Arial"/>
          <w:lang w:bidi="en-US"/>
        </w:rPr>
        <w:t xml:space="preserve">, including through helping clients: </w:t>
      </w:r>
      <w:r>
        <w:rPr>
          <w:rFonts w:cs="Arial"/>
          <w:lang w:bidi="en-US"/>
        </w:rPr>
        <w:t xml:space="preserve"> </w:t>
      </w:r>
    </w:p>
    <w:p w14:paraId="17EEA579" w14:textId="48DA8345" w:rsidR="0035082A" w:rsidRDefault="0035082A" w:rsidP="00F914A4">
      <w:pPr>
        <w:pStyle w:val="ListParagraph"/>
        <w:numPr>
          <w:ilvl w:val="0"/>
          <w:numId w:val="15"/>
        </w:numPr>
        <w:ind w:left="714" w:hanging="357"/>
        <w:contextualSpacing w:val="0"/>
        <w:rPr>
          <w:rFonts w:cs="Arial"/>
          <w:lang w:bidi="en-US"/>
        </w:rPr>
      </w:pPr>
      <w:r>
        <w:rPr>
          <w:rFonts w:cs="Arial"/>
          <w:lang w:bidi="en-US"/>
        </w:rPr>
        <w:t>understand which debts are priorities</w:t>
      </w:r>
      <w:r w:rsidR="006B36E4">
        <w:rPr>
          <w:rFonts w:cs="Arial"/>
          <w:lang w:bidi="en-US"/>
        </w:rPr>
        <w:t>;</w:t>
      </w:r>
    </w:p>
    <w:p w14:paraId="394EE00F" w14:textId="6D2EBB63" w:rsidR="0035082A" w:rsidRDefault="0035082A" w:rsidP="00F914A4">
      <w:pPr>
        <w:pStyle w:val="ListParagraph"/>
        <w:numPr>
          <w:ilvl w:val="0"/>
          <w:numId w:val="15"/>
        </w:numPr>
        <w:ind w:left="714" w:hanging="357"/>
        <w:contextualSpacing w:val="0"/>
        <w:rPr>
          <w:rFonts w:cs="Arial"/>
          <w:lang w:bidi="en-US"/>
        </w:rPr>
      </w:pPr>
      <w:r>
        <w:rPr>
          <w:rFonts w:cs="Arial"/>
          <w:lang w:bidi="en-US"/>
        </w:rPr>
        <w:t>develop budgets and plans</w:t>
      </w:r>
      <w:r w:rsidR="006B36E4">
        <w:rPr>
          <w:rFonts w:cs="Arial"/>
          <w:lang w:bidi="en-US"/>
        </w:rPr>
        <w:t>;</w:t>
      </w:r>
    </w:p>
    <w:p w14:paraId="21F675C5" w14:textId="1F957697" w:rsidR="0035082A" w:rsidRDefault="0035082A" w:rsidP="00F914A4">
      <w:pPr>
        <w:pStyle w:val="ListParagraph"/>
        <w:numPr>
          <w:ilvl w:val="0"/>
          <w:numId w:val="15"/>
        </w:numPr>
        <w:ind w:left="714" w:hanging="357"/>
        <w:contextualSpacing w:val="0"/>
        <w:rPr>
          <w:rFonts w:cs="Arial"/>
          <w:lang w:bidi="en-US"/>
        </w:rPr>
      </w:pPr>
      <w:r>
        <w:rPr>
          <w:rFonts w:cs="Arial"/>
          <w:lang w:bidi="en-US"/>
        </w:rPr>
        <w:t>understand the pros and cons of different options to manage financial issues</w:t>
      </w:r>
      <w:r w:rsidR="004D3A97">
        <w:rPr>
          <w:rFonts w:cs="Arial"/>
          <w:lang w:bidi="en-US"/>
        </w:rPr>
        <w:t>;</w:t>
      </w:r>
    </w:p>
    <w:p w14:paraId="0710C3A3" w14:textId="24D35A2C" w:rsidR="0035082A" w:rsidRDefault="0035082A" w:rsidP="00F914A4">
      <w:pPr>
        <w:pStyle w:val="ListParagraph"/>
        <w:numPr>
          <w:ilvl w:val="0"/>
          <w:numId w:val="15"/>
        </w:numPr>
        <w:ind w:left="714" w:hanging="357"/>
        <w:contextualSpacing w:val="0"/>
        <w:rPr>
          <w:rFonts w:cs="Arial"/>
          <w:lang w:bidi="en-US"/>
        </w:rPr>
      </w:pPr>
      <w:r>
        <w:rPr>
          <w:rFonts w:cs="Arial"/>
          <w:lang w:bidi="en-US"/>
        </w:rPr>
        <w:t>access grants or concessions</w:t>
      </w:r>
      <w:r w:rsidR="006B36E4">
        <w:rPr>
          <w:rFonts w:cs="Arial"/>
          <w:lang w:bidi="en-US"/>
        </w:rPr>
        <w:t>;</w:t>
      </w:r>
    </w:p>
    <w:p w14:paraId="292DF91E" w14:textId="0D6DBDE8" w:rsidR="0035082A" w:rsidRDefault="0035082A" w:rsidP="00F914A4">
      <w:pPr>
        <w:pStyle w:val="ListParagraph"/>
        <w:numPr>
          <w:ilvl w:val="0"/>
          <w:numId w:val="15"/>
        </w:numPr>
        <w:ind w:left="714" w:hanging="357"/>
        <w:contextualSpacing w:val="0"/>
        <w:rPr>
          <w:rFonts w:cs="Arial"/>
          <w:lang w:bidi="en-US"/>
        </w:rPr>
      </w:pPr>
      <w:r>
        <w:rPr>
          <w:rFonts w:cs="Arial"/>
          <w:lang w:bidi="en-US"/>
        </w:rPr>
        <w:t>negotiate with creditors</w:t>
      </w:r>
      <w:r w:rsidR="005A4C3E">
        <w:rPr>
          <w:rFonts w:cs="Arial"/>
          <w:lang w:bidi="en-US"/>
        </w:rPr>
        <w:t>, including debt waivers</w:t>
      </w:r>
      <w:r w:rsidR="006B36E4">
        <w:rPr>
          <w:rFonts w:cs="Arial"/>
          <w:lang w:bidi="en-US"/>
        </w:rPr>
        <w:t>; and</w:t>
      </w:r>
    </w:p>
    <w:p w14:paraId="63BAB083" w14:textId="34D7AC97" w:rsidR="0035082A" w:rsidRDefault="0035082A" w:rsidP="00F914A4">
      <w:pPr>
        <w:pStyle w:val="ListParagraph"/>
        <w:numPr>
          <w:ilvl w:val="0"/>
          <w:numId w:val="15"/>
        </w:numPr>
        <w:ind w:left="714" w:hanging="357"/>
        <w:contextualSpacing w:val="0"/>
        <w:rPr>
          <w:rFonts w:cs="Arial"/>
          <w:lang w:bidi="en-US"/>
        </w:rPr>
      </w:pPr>
      <w:r>
        <w:rPr>
          <w:rFonts w:cs="Arial"/>
          <w:lang w:bidi="en-US"/>
        </w:rPr>
        <w:t>understand</w:t>
      </w:r>
      <w:r w:rsidR="00C721F9">
        <w:rPr>
          <w:rFonts w:cs="Arial"/>
          <w:lang w:bidi="en-US"/>
        </w:rPr>
        <w:t xml:space="preserve"> </w:t>
      </w:r>
      <w:r>
        <w:rPr>
          <w:rFonts w:cs="Arial"/>
          <w:lang w:bidi="en-US"/>
        </w:rPr>
        <w:t xml:space="preserve">their rights and access legal help. </w:t>
      </w:r>
    </w:p>
    <w:p w14:paraId="0C128FC6" w14:textId="0A33024C" w:rsidR="0035082A" w:rsidRPr="00E1333D" w:rsidRDefault="0035082A" w:rsidP="00F914A4">
      <w:pPr>
        <w:rPr>
          <w:rFonts w:cs="Arial"/>
          <w:lang w:bidi="en-US"/>
        </w:rPr>
      </w:pPr>
      <w:r>
        <w:rPr>
          <w:rFonts w:cs="Arial"/>
          <w:lang w:bidi="en-US"/>
        </w:rPr>
        <w:t>Financial counsellors</w:t>
      </w:r>
      <w:r w:rsidR="00956817">
        <w:rPr>
          <w:rFonts w:cs="Arial"/>
          <w:lang w:bidi="en-US"/>
        </w:rPr>
        <w:t xml:space="preserve"> require</w:t>
      </w:r>
      <w:r>
        <w:rPr>
          <w:rFonts w:cs="Arial"/>
          <w:lang w:bidi="en-US"/>
        </w:rPr>
        <w:t xml:space="preserve"> </w:t>
      </w:r>
      <w:r w:rsidR="00956817">
        <w:rPr>
          <w:rFonts w:cs="Arial"/>
          <w:lang w:bidi="en-US"/>
        </w:rPr>
        <w:t xml:space="preserve">a Diploma of Financial Counselling </w:t>
      </w:r>
      <w:r>
        <w:rPr>
          <w:rFonts w:cs="Arial"/>
          <w:lang w:bidi="en-US"/>
        </w:rPr>
        <w:t>and have specific knowledge about credit, bankruptcy and debt collect</w:t>
      </w:r>
      <w:r w:rsidR="0052719C">
        <w:rPr>
          <w:rFonts w:cs="Arial"/>
          <w:lang w:bidi="en-US"/>
        </w:rPr>
        <w:t>ion</w:t>
      </w:r>
      <w:r>
        <w:rPr>
          <w:rFonts w:cs="Arial"/>
          <w:lang w:bidi="en-US"/>
        </w:rPr>
        <w:t xml:space="preserve"> laws, concession frameworks and industry hardship practices. They</w:t>
      </w:r>
      <w:r w:rsidR="00C1470B">
        <w:rPr>
          <w:rFonts w:cs="Arial"/>
          <w:lang w:bidi="en-US"/>
        </w:rPr>
        <w:t> </w:t>
      </w:r>
      <w:r>
        <w:rPr>
          <w:rFonts w:cs="Arial"/>
          <w:lang w:bidi="en-US"/>
        </w:rPr>
        <w:t xml:space="preserve">are also trained in negotiation and counselling, and offer emotional support. </w:t>
      </w:r>
      <w:r w:rsidR="006E6800">
        <w:rPr>
          <w:rFonts w:cs="Arial"/>
          <w:lang w:bidi="en-US"/>
        </w:rPr>
        <w:t xml:space="preserve">Financial counsellors do not provide services such as financial planning advice, or endorse specific financial products or services. </w:t>
      </w:r>
    </w:p>
    <w:p w14:paraId="5A71E7E0" w14:textId="5104FEC9" w:rsidR="0024796B" w:rsidRDefault="00797CEB" w:rsidP="00F914A4">
      <w:pPr>
        <w:rPr>
          <w:rFonts w:cs="Arial"/>
          <w:lang w:bidi="en-US"/>
        </w:rPr>
      </w:pPr>
      <w:r>
        <w:rPr>
          <w:rFonts w:cs="Arial"/>
          <w:lang w:bidi="en-US"/>
        </w:rPr>
        <w:t>Businesses</w:t>
      </w:r>
      <w:r w:rsidR="0024796B" w:rsidRPr="00FE094E">
        <w:rPr>
          <w:rFonts w:cs="Arial"/>
          <w:lang w:bidi="en-US"/>
        </w:rPr>
        <w:t xml:space="preserve"> that contribute to the industry funding model are likely to receive a number of broad benefits from increased financial counselling services and reduced appointment waiting times for </w:t>
      </w:r>
      <w:r w:rsidR="00E857FA">
        <w:rPr>
          <w:rFonts w:cs="Arial"/>
          <w:lang w:bidi="en-US"/>
        </w:rPr>
        <w:t xml:space="preserve">their </w:t>
      </w:r>
      <w:r w:rsidR="0024796B" w:rsidRPr="00FE094E">
        <w:rPr>
          <w:rFonts w:cs="Arial"/>
          <w:lang w:bidi="en-US"/>
        </w:rPr>
        <w:t>customers seeking these services.</w:t>
      </w:r>
      <w:r w:rsidR="0024796B">
        <w:rPr>
          <w:rFonts w:cs="Arial"/>
          <w:lang w:bidi="en-US"/>
        </w:rPr>
        <w:t xml:space="preserve"> </w:t>
      </w:r>
      <w:r w:rsidR="0024796B" w:rsidRPr="00FE094E">
        <w:rPr>
          <w:rFonts w:cs="Arial"/>
          <w:lang w:bidi="en-US"/>
        </w:rPr>
        <w:t>These benefits may include</w:t>
      </w:r>
      <w:r w:rsidR="0024796B">
        <w:rPr>
          <w:rFonts w:cs="Arial"/>
          <w:lang w:bidi="en-US"/>
        </w:rPr>
        <w:t>:</w:t>
      </w:r>
    </w:p>
    <w:p w14:paraId="5D67238D" w14:textId="3E5AEA69" w:rsidR="0024796B" w:rsidRDefault="0024796B" w:rsidP="00F914A4">
      <w:pPr>
        <w:pStyle w:val="ListParagraph"/>
        <w:numPr>
          <w:ilvl w:val="0"/>
          <w:numId w:val="19"/>
        </w:numPr>
        <w:ind w:left="714" w:hanging="357"/>
        <w:contextualSpacing w:val="0"/>
        <w:rPr>
          <w:rFonts w:cs="Arial"/>
          <w:lang w:bidi="en-US"/>
        </w:rPr>
      </w:pPr>
      <w:r w:rsidRPr="002F3296">
        <w:rPr>
          <w:rFonts w:cs="Arial"/>
          <w:lang w:bidi="en-US"/>
        </w:rPr>
        <w:t>improved customer outcomes</w:t>
      </w:r>
      <w:r w:rsidR="0035082A">
        <w:rPr>
          <w:rFonts w:cs="Arial"/>
          <w:lang w:bidi="en-US"/>
        </w:rPr>
        <w:t>,</w:t>
      </w:r>
      <w:r w:rsidRPr="002F3296">
        <w:rPr>
          <w:rFonts w:cs="Arial"/>
          <w:lang w:bidi="en-US"/>
        </w:rPr>
        <w:t xml:space="preserve"> including the ability to manage and meet financial commitments</w:t>
      </w:r>
      <w:r w:rsidR="0035082A">
        <w:rPr>
          <w:rFonts w:cs="Arial"/>
          <w:lang w:bidi="en-US"/>
        </w:rPr>
        <w:t>, and receive proac</w:t>
      </w:r>
      <w:r w:rsidR="00403B53">
        <w:rPr>
          <w:rFonts w:cs="Arial"/>
          <w:lang w:bidi="en-US"/>
        </w:rPr>
        <w:t>tive or preventative assistance;</w:t>
      </w:r>
      <w:r w:rsidR="0035082A">
        <w:rPr>
          <w:rFonts w:cs="Arial"/>
          <w:lang w:bidi="en-US"/>
        </w:rPr>
        <w:t xml:space="preserve"> </w:t>
      </w:r>
    </w:p>
    <w:p w14:paraId="3B211E3C" w14:textId="1A377EFA" w:rsidR="0024796B" w:rsidRDefault="0024796B" w:rsidP="00F914A4">
      <w:pPr>
        <w:pStyle w:val="ListParagraph"/>
        <w:numPr>
          <w:ilvl w:val="0"/>
          <w:numId w:val="19"/>
        </w:numPr>
        <w:ind w:left="714" w:hanging="357"/>
        <w:contextualSpacing w:val="0"/>
        <w:rPr>
          <w:rFonts w:cs="Arial"/>
          <w:lang w:bidi="en-US"/>
        </w:rPr>
      </w:pPr>
      <w:r w:rsidRPr="00FE094E">
        <w:rPr>
          <w:rFonts w:cs="Arial"/>
          <w:lang w:bidi="en-US"/>
        </w:rPr>
        <w:t>improved financial literacy and capability of their customers</w:t>
      </w:r>
      <w:r w:rsidR="006B36E4">
        <w:rPr>
          <w:rFonts w:cs="Arial"/>
          <w:lang w:bidi="en-US"/>
        </w:rPr>
        <w:t>;</w:t>
      </w:r>
      <w:r w:rsidRPr="00FE094E">
        <w:rPr>
          <w:rFonts w:cs="Arial"/>
          <w:lang w:bidi="en-US"/>
        </w:rPr>
        <w:t xml:space="preserve"> </w:t>
      </w:r>
    </w:p>
    <w:p w14:paraId="36C0CF1B" w14:textId="5E0F0AD2" w:rsidR="0024796B" w:rsidRDefault="0024796B" w:rsidP="00F914A4">
      <w:pPr>
        <w:pStyle w:val="ListParagraph"/>
        <w:numPr>
          <w:ilvl w:val="0"/>
          <w:numId w:val="19"/>
        </w:numPr>
        <w:ind w:left="714" w:hanging="357"/>
        <w:contextualSpacing w:val="0"/>
        <w:rPr>
          <w:rFonts w:cs="Arial"/>
          <w:lang w:bidi="en-US"/>
        </w:rPr>
      </w:pPr>
      <w:r>
        <w:rPr>
          <w:rFonts w:cs="Arial"/>
          <w:lang w:bidi="en-US"/>
        </w:rPr>
        <w:t>reduced customer turnover</w:t>
      </w:r>
      <w:r w:rsidR="006B36E4">
        <w:rPr>
          <w:rFonts w:cs="Arial"/>
          <w:lang w:bidi="en-US"/>
        </w:rPr>
        <w:t>;</w:t>
      </w:r>
      <w:r>
        <w:rPr>
          <w:rFonts w:cs="Arial"/>
          <w:lang w:bidi="en-US"/>
        </w:rPr>
        <w:t xml:space="preserve"> </w:t>
      </w:r>
    </w:p>
    <w:p w14:paraId="28E820A6" w14:textId="5CE8F2F9" w:rsidR="0024796B" w:rsidRDefault="0024796B" w:rsidP="00F914A4">
      <w:pPr>
        <w:pStyle w:val="ListParagraph"/>
        <w:numPr>
          <w:ilvl w:val="0"/>
          <w:numId w:val="19"/>
        </w:numPr>
        <w:ind w:left="714" w:hanging="357"/>
        <w:contextualSpacing w:val="0"/>
        <w:rPr>
          <w:rFonts w:cs="Arial"/>
          <w:lang w:bidi="en-US"/>
        </w:rPr>
      </w:pPr>
      <w:r w:rsidRPr="00FE094E">
        <w:rPr>
          <w:rFonts w:cs="Arial"/>
          <w:lang w:bidi="en-US"/>
        </w:rPr>
        <w:t xml:space="preserve">reputational benefits in supporting services provided </w:t>
      </w:r>
      <w:r w:rsidR="00435F0E">
        <w:rPr>
          <w:rFonts w:cs="Arial"/>
          <w:lang w:bidi="en-US"/>
        </w:rPr>
        <w:t xml:space="preserve">to assist individuals </w:t>
      </w:r>
      <w:r w:rsidRPr="00FE094E">
        <w:rPr>
          <w:rFonts w:cs="Arial"/>
          <w:lang w:bidi="en-US"/>
        </w:rPr>
        <w:t>experien</w:t>
      </w:r>
      <w:r w:rsidR="00403B53" w:rsidRPr="00B81515">
        <w:rPr>
          <w:rFonts w:cs="Arial"/>
          <w:lang w:bidi="en-US"/>
        </w:rPr>
        <w:t xml:space="preserve">cing </w:t>
      </w:r>
      <w:r w:rsidR="006E0F1D">
        <w:rPr>
          <w:rFonts w:cs="Arial"/>
          <w:lang w:bidi="en-US"/>
        </w:rPr>
        <w:t>financial</w:t>
      </w:r>
      <w:r w:rsidR="00403B53" w:rsidRPr="00B81515">
        <w:rPr>
          <w:rFonts w:cs="Arial"/>
          <w:lang w:bidi="en-US"/>
        </w:rPr>
        <w:t xml:space="preserve"> hardship</w:t>
      </w:r>
      <w:r w:rsidR="00403B53">
        <w:rPr>
          <w:rFonts w:cs="Arial"/>
          <w:lang w:bidi="en-US"/>
        </w:rPr>
        <w:t>; and</w:t>
      </w:r>
    </w:p>
    <w:p w14:paraId="1DEE8A68" w14:textId="61638797" w:rsidR="0035082A" w:rsidRPr="00F914A4" w:rsidRDefault="00403B53" w:rsidP="00F914A4">
      <w:pPr>
        <w:pStyle w:val="ListParagraph"/>
        <w:numPr>
          <w:ilvl w:val="0"/>
          <w:numId w:val="19"/>
        </w:numPr>
        <w:ind w:left="714" w:hanging="357"/>
        <w:contextualSpacing w:val="0"/>
        <w:rPr>
          <w:rFonts w:cs="Arial"/>
          <w:lang w:bidi="en-US"/>
        </w:rPr>
      </w:pPr>
      <w:r w:rsidRPr="00877ADE">
        <w:rPr>
          <w:rFonts w:cs="Arial"/>
          <w:lang w:bidi="en-US"/>
        </w:rPr>
        <w:t>d</w:t>
      </w:r>
      <w:r w:rsidR="0035082A" w:rsidRPr="00877ADE">
        <w:rPr>
          <w:rFonts w:cs="Arial"/>
          <w:lang w:bidi="en-US"/>
        </w:rPr>
        <w:t>ata and learnings fed back to industry that may help inform improved industry practices and policies, including emerging issues.</w:t>
      </w:r>
    </w:p>
    <w:p w14:paraId="5BCD5A6B" w14:textId="155A335B" w:rsidR="00217C68" w:rsidRPr="0037447C" w:rsidRDefault="00217C68" w:rsidP="00877ADE">
      <w:pPr>
        <w:rPr>
          <w:b/>
        </w:rPr>
      </w:pPr>
      <w:r w:rsidRPr="0037447C">
        <w:rPr>
          <w:b/>
        </w:rPr>
        <w:t>How do</w:t>
      </w:r>
      <w:r w:rsidR="00B45148" w:rsidRPr="0037447C">
        <w:rPr>
          <w:b/>
        </w:rPr>
        <w:t xml:space="preserve">es financial </w:t>
      </w:r>
      <w:r w:rsidR="00184254" w:rsidRPr="0037447C">
        <w:rPr>
          <w:b/>
        </w:rPr>
        <w:t>counselling</w:t>
      </w:r>
      <w:r w:rsidR="00B45148" w:rsidRPr="0037447C">
        <w:rPr>
          <w:b/>
        </w:rPr>
        <w:t xml:space="preserve"> </w:t>
      </w:r>
      <w:r w:rsidR="00F7248F" w:rsidRPr="0037447C">
        <w:rPr>
          <w:b/>
        </w:rPr>
        <w:t xml:space="preserve">support </w:t>
      </w:r>
      <w:r w:rsidR="00B45148" w:rsidRPr="0037447C">
        <w:rPr>
          <w:b/>
        </w:rPr>
        <w:t>an individual</w:t>
      </w:r>
      <w:r w:rsidR="001811A7" w:rsidRPr="0037447C">
        <w:rPr>
          <w:b/>
        </w:rPr>
        <w:t xml:space="preserve"> in financial </w:t>
      </w:r>
      <w:r w:rsidR="002763A5">
        <w:rPr>
          <w:b/>
        </w:rPr>
        <w:t>hardship</w:t>
      </w:r>
      <w:r w:rsidRPr="0037447C">
        <w:rPr>
          <w:b/>
        </w:rPr>
        <w:t>?</w:t>
      </w:r>
    </w:p>
    <w:p w14:paraId="6AD95B65" w14:textId="6EF95927" w:rsidR="009E15EB" w:rsidRPr="0037447C" w:rsidRDefault="009E15EB" w:rsidP="00F914A4">
      <w:r w:rsidRPr="0037447C">
        <w:t>Individuals and families seek financial counselling at some</w:t>
      </w:r>
      <w:r w:rsidR="00460C9C" w:rsidRPr="0037447C">
        <w:t xml:space="preserve"> of</w:t>
      </w:r>
      <w:r w:rsidRPr="0037447C">
        <w:t xml:space="preserve"> the most vulnerable and difficult parts of their lives. This includes when experiencing economic coercion or abuse as well as </w:t>
      </w:r>
      <w:r w:rsidRPr="0037447C">
        <w:lastRenderedPageBreak/>
        <w:t>unexpected financial shocks from major life events, such as a loss of their job, failure in business, a relationship breakdown or</w:t>
      </w:r>
      <w:r w:rsidR="002B2A71">
        <w:t xml:space="preserve"> a</w:t>
      </w:r>
      <w:r w:rsidRPr="0037447C">
        <w:t xml:space="preserve"> major health issue. </w:t>
      </w:r>
    </w:p>
    <w:p w14:paraId="5825B101" w14:textId="6149868D" w:rsidR="009E15EB" w:rsidRPr="0037447C" w:rsidRDefault="009E15EB">
      <w:r w:rsidRPr="0037447C">
        <w:t xml:space="preserve">Financial counsellors </w:t>
      </w:r>
      <w:r w:rsidR="004233B3" w:rsidRPr="0037447C">
        <w:t>provide independent expert advice at no cost and help advocate for their clients. The majority of clients accessing financial counselling find their financial situation improved (68</w:t>
      </w:r>
      <w:r w:rsidR="000D188E">
        <w:t xml:space="preserve"> per cent</w:t>
      </w:r>
      <w:r w:rsidR="004233B3" w:rsidRPr="0037447C">
        <w:t>) and their financial difficulties resolved (66</w:t>
      </w:r>
      <w:r w:rsidR="000D188E">
        <w:t xml:space="preserve"> per cent</w:t>
      </w:r>
      <w:r w:rsidR="004233B3" w:rsidRPr="0037447C">
        <w:t>).</w:t>
      </w:r>
      <w:r w:rsidR="004233B3" w:rsidRPr="0037447C">
        <w:rPr>
          <w:rStyle w:val="FootnoteReference"/>
        </w:rPr>
        <w:footnoteReference w:id="3"/>
      </w:r>
      <w:r w:rsidR="004233B3" w:rsidRPr="0037447C">
        <w:t xml:space="preserve"> Importantly, for both individuals and the businesses they support, financial counsellors can support their clients to avoid bankruptcy (53</w:t>
      </w:r>
      <w:r w:rsidR="000D188E">
        <w:t xml:space="preserve"> per cent</w:t>
      </w:r>
      <w:r w:rsidR="004233B3" w:rsidRPr="0037447C">
        <w:t>) and avoid or curtail legal actions (22</w:t>
      </w:r>
      <w:r w:rsidR="000D188E">
        <w:t xml:space="preserve"> per cent</w:t>
      </w:r>
      <w:r w:rsidR="004233B3" w:rsidRPr="0037447C">
        <w:t>).</w:t>
      </w:r>
      <w:r w:rsidR="004233B3" w:rsidRPr="0037447C">
        <w:rPr>
          <w:rStyle w:val="FootnoteReference"/>
        </w:rPr>
        <w:footnoteReference w:id="4"/>
      </w:r>
    </w:p>
    <w:p w14:paraId="58EA67B6" w14:textId="4AAA6BD5" w:rsidR="00460C9C" w:rsidRPr="0037447C" w:rsidRDefault="004233B3">
      <w:r w:rsidRPr="0037447C">
        <w:t>There are also significant flow-on and direct effects of financial counselling on a client</w:t>
      </w:r>
      <w:r w:rsidR="00685FBA" w:rsidRPr="0037447C">
        <w:t>’</w:t>
      </w:r>
      <w:r w:rsidRPr="0037447C">
        <w:t xml:space="preserve">s health and general wellbeing. </w:t>
      </w:r>
      <w:r w:rsidR="00685FBA" w:rsidRPr="0037447C">
        <w:t xml:space="preserve">The private nature of financial counselling sessions, the formal counselling training of financial counsellors and their ability to listen and provide emotional support have </w:t>
      </w:r>
      <w:r w:rsidR="00F7248F" w:rsidRPr="0037447C">
        <w:t xml:space="preserve">positive </w:t>
      </w:r>
      <w:r w:rsidR="00685FBA" w:rsidRPr="0037447C">
        <w:t xml:space="preserve">effects on the mental health of clients. </w:t>
      </w:r>
    </w:p>
    <w:p w14:paraId="171BCF13" w14:textId="1C3D43FD" w:rsidR="00F339BC" w:rsidRDefault="002B792B">
      <w:r w:rsidRPr="0037447C">
        <w:t xml:space="preserve">The strong link between financial wellbeing and mental health was recently examined in </w:t>
      </w:r>
      <w:r w:rsidR="00217C68" w:rsidRPr="0037447C">
        <w:rPr>
          <w:i/>
        </w:rPr>
        <w:t>The Money and Mental Health Social Research Report</w:t>
      </w:r>
      <w:r w:rsidR="009D3B0E">
        <w:rPr>
          <w:i/>
        </w:rPr>
        <w:t>,</w:t>
      </w:r>
      <w:r w:rsidR="002B2A71" w:rsidRPr="002B2A71">
        <w:t xml:space="preserve"> </w:t>
      </w:r>
      <w:r w:rsidR="002B2A71" w:rsidRPr="0037447C">
        <w:t>commissioned by the Australian Securit</w:t>
      </w:r>
      <w:r w:rsidR="002B2A71">
        <w:t>ies and Investments Commission</w:t>
      </w:r>
      <w:r w:rsidR="002B2A71" w:rsidRPr="0037447C">
        <w:t xml:space="preserve"> </w:t>
      </w:r>
      <w:r w:rsidR="002B2A71">
        <w:t xml:space="preserve">(ASIC) </w:t>
      </w:r>
      <w:r w:rsidR="002B2A71" w:rsidRPr="0037447C">
        <w:t>in collaboration with Beyond Blue.</w:t>
      </w:r>
      <w:r w:rsidR="00217C68" w:rsidRPr="0037447C">
        <w:rPr>
          <w:rStyle w:val="FootnoteReference"/>
        </w:rPr>
        <w:footnoteReference w:id="5"/>
      </w:r>
      <w:r w:rsidR="00217C68" w:rsidRPr="0037447C">
        <w:t xml:space="preserve"> </w:t>
      </w:r>
      <w:r w:rsidRPr="0037447C">
        <w:t xml:space="preserve">The report </w:t>
      </w:r>
      <w:r w:rsidR="00217C68" w:rsidRPr="0037447C">
        <w:t xml:space="preserve">found that financial challenges and mental health challenges are frequently experienced alongside each other, with 14 per cent of Australian adults experiencing both at any time over five years from 2014 to 2019. In </w:t>
      </w:r>
      <w:r w:rsidR="00D66DAE">
        <w:t>fact</w:t>
      </w:r>
      <w:r w:rsidR="00217C68" w:rsidRPr="0037447C">
        <w:t xml:space="preserve">, </w:t>
      </w:r>
      <w:r w:rsidR="008D5CD3" w:rsidRPr="0037447C">
        <w:t>the report found</w:t>
      </w:r>
      <w:r w:rsidR="000D188E">
        <w:t xml:space="preserve"> that</w:t>
      </w:r>
      <w:r w:rsidR="00D66DAE">
        <w:t xml:space="preserve"> people become twice as likely to face mental health challenges when experiencing financial challenges.</w:t>
      </w:r>
    </w:p>
    <w:p w14:paraId="174CD35D" w14:textId="017C42D0" w:rsidR="002A4521" w:rsidRPr="00FE094E" w:rsidRDefault="008C0BF4" w:rsidP="00F914A4">
      <w:pPr>
        <w:pStyle w:val="Style1"/>
        <w:spacing w:before="0" w:after="160"/>
      </w:pPr>
      <w:r>
        <w:t xml:space="preserve">How </w:t>
      </w:r>
      <w:r w:rsidR="009508DD">
        <w:t>are</w:t>
      </w:r>
      <w:r>
        <w:t xml:space="preserve"> financial counselling </w:t>
      </w:r>
      <w:r w:rsidR="009B1771">
        <w:t xml:space="preserve">services </w:t>
      </w:r>
      <w:r>
        <w:t>funded</w:t>
      </w:r>
      <w:r w:rsidR="002E302A">
        <w:t xml:space="preserve">? </w:t>
      </w:r>
    </w:p>
    <w:p w14:paraId="3AE05562" w14:textId="6594022B" w:rsidR="001E2428" w:rsidRDefault="00067FBE" w:rsidP="00877ADE">
      <w:pPr>
        <w:rPr>
          <w:rFonts w:cstheme="minorHAnsi"/>
        </w:rPr>
      </w:pPr>
      <w:r>
        <w:rPr>
          <w:rFonts w:cstheme="minorHAnsi"/>
        </w:rPr>
        <w:t>Funding for financial counselling services is</w:t>
      </w:r>
      <w:r w:rsidR="00581B1F">
        <w:rPr>
          <w:rFonts w:cstheme="minorHAnsi"/>
        </w:rPr>
        <w:t xml:space="preserve"> </w:t>
      </w:r>
      <w:r>
        <w:rPr>
          <w:rFonts w:cstheme="minorHAnsi"/>
        </w:rPr>
        <w:t xml:space="preserve">primarily </w:t>
      </w:r>
      <w:r w:rsidR="009B1771">
        <w:rPr>
          <w:rFonts w:cstheme="minorHAnsi"/>
        </w:rPr>
        <w:t xml:space="preserve">provided </w:t>
      </w:r>
      <w:r w:rsidR="00D66DAE">
        <w:rPr>
          <w:rFonts w:cstheme="minorHAnsi"/>
        </w:rPr>
        <w:t xml:space="preserve">by the Government alongside </w:t>
      </w:r>
      <w:r>
        <w:rPr>
          <w:rFonts w:cstheme="minorHAnsi"/>
        </w:rPr>
        <w:t>state and territory government</w:t>
      </w:r>
      <w:r w:rsidR="001D6406">
        <w:rPr>
          <w:rFonts w:cstheme="minorHAnsi"/>
        </w:rPr>
        <w:t>s</w:t>
      </w:r>
      <w:r>
        <w:rPr>
          <w:rFonts w:cstheme="minorHAnsi"/>
        </w:rPr>
        <w:t xml:space="preserve">. </w:t>
      </w:r>
      <w:r w:rsidR="001E2428">
        <w:rPr>
          <w:rFonts w:cstheme="minorHAnsi"/>
        </w:rPr>
        <w:t>Funding is also provided from philanthropic organisations</w:t>
      </w:r>
      <w:r w:rsidR="00D66DAE" w:rsidRPr="00D66DAE">
        <w:rPr>
          <w:rFonts w:cstheme="minorHAnsi"/>
        </w:rPr>
        <w:t xml:space="preserve"> </w:t>
      </w:r>
      <w:r w:rsidR="00D66DAE">
        <w:rPr>
          <w:rFonts w:cstheme="minorHAnsi"/>
        </w:rPr>
        <w:t>and individual businesses.</w:t>
      </w:r>
      <w:r w:rsidR="001E2428" w:rsidRPr="00F9461B">
        <w:rPr>
          <w:rFonts w:eastAsiaTheme="majorEastAsia" w:cs="Arial"/>
          <w:i/>
          <w:sz w:val="20"/>
          <w:szCs w:val="20"/>
          <w:vertAlign w:val="superscript"/>
          <w:lang w:bidi="en-US"/>
        </w:rPr>
        <w:footnoteReference w:id="6"/>
      </w:r>
      <w:r w:rsidR="001E2428">
        <w:rPr>
          <w:rFonts w:cstheme="minorHAnsi"/>
        </w:rPr>
        <w:t xml:space="preserve"> </w:t>
      </w:r>
    </w:p>
    <w:p w14:paraId="77211701" w14:textId="050BD373" w:rsidR="00343E71" w:rsidRDefault="008B7818" w:rsidP="00F914A4">
      <w:pPr>
        <w:rPr>
          <w:rFonts w:cstheme="minorHAnsi"/>
        </w:rPr>
      </w:pPr>
      <w:r w:rsidRPr="008B7818">
        <w:rPr>
          <w:rFonts w:cstheme="minorHAnsi"/>
        </w:rPr>
        <w:t xml:space="preserve">Current Government funding provided through the Department of Social Services (DSS; the </w:t>
      </w:r>
      <w:r w:rsidR="00796E93">
        <w:rPr>
          <w:rFonts w:cstheme="minorHAnsi"/>
        </w:rPr>
        <w:t>D</w:t>
      </w:r>
      <w:r w:rsidRPr="008B7818">
        <w:rPr>
          <w:rFonts w:cstheme="minorHAnsi"/>
        </w:rPr>
        <w:t xml:space="preserve">epartment) includes an ongoing commitment of </w:t>
      </w:r>
      <w:r w:rsidR="00B50FC7">
        <w:rPr>
          <w:rFonts w:cstheme="minorHAnsi"/>
        </w:rPr>
        <w:t>almost</w:t>
      </w:r>
      <w:r w:rsidR="00B50FC7" w:rsidRPr="008B7818">
        <w:rPr>
          <w:rFonts w:cstheme="minorHAnsi"/>
        </w:rPr>
        <w:t xml:space="preserve"> </w:t>
      </w:r>
      <w:r w:rsidRPr="008B7818">
        <w:rPr>
          <w:rFonts w:cstheme="minorHAnsi"/>
        </w:rPr>
        <w:t>$</w:t>
      </w:r>
      <w:r w:rsidR="000C4401">
        <w:rPr>
          <w:rFonts w:cstheme="minorHAnsi"/>
        </w:rPr>
        <w:t>4</w:t>
      </w:r>
      <w:r w:rsidR="006E7B99">
        <w:rPr>
          <w:rFonts w:cstheme="minorHAnsi"/>
        </w:rPr>
        <w:t>4</w:t>
      </w:r>
      <w:r w:rsidR="00C22FC1" w:rsidRPr="008B7818">
        <w:rPr>
          <w:rFonts w:cstheme="minorHAnsi"/>
        </w:rPr>
        <w:t> </w:t>
      </w:r>
      <w:r w:rsidRPr="008B7818">
        <w:rPr>
          <w:rFonts w:cstheme="minorHAnsi"/>
        </w:rPr>
        <w:t xml:space="preserve">million per annum for </w:t>
      </w:r>
      <w:r w:rsidR="000C4401">
        <w:rPr>
          <w:rFonts w:cstheme="minorHAnsi"/>
        </w:rPr>
        <w:t xml:space="preserve">financial counselling services, </w:t>
      </w:r>
      <w:r w:rsidR="008777B2">
        <w:rPr>
          <w:rFonts w:cstheme="minorHAnsi"/>
        </w:rPr>
        <w:t>including for</w:t>
      </w:r>
      <w:r w:rsidR="00D82DBE">
        <w:rPr>
          <w:rFonts w:cstheme="minorHAnsi"/>
        </w:rPr>
        <w:t xml:space="preserve"> </w:t>
      </w:r>
      <w:r w:rsidR="00A21F84">
        <w:rPr>
          <w:rFonts w:cstheme="minorHAnsi"/>
        </w:rPr>
        <w:t xml:space="preserve">generalist </w:t>
      </w:r>
      <w:r w:rsidRPr="008B7818">
        <w:rPr>
          <w:rFonts w:cstheme="minorHAnsi"/>
        </w:rPr>
        <w:t>financial counselling services</w:t>
      </w:r>
      <w:r w:rsidR="006E7B99">
        <w:rPr>
          <w:rFonts w:cstheme="minorHAnsi"/>
        </w:rPr>
        <w:t>.</w:t>
      </w:r>
      <w:r w:rsidR="000C4401" w:rsidRPr="00F9461B">
        <w:rPr>
          <w:rStyle w:val="FootnoteReference"/>
          <w:rFonts w:cstheme="minorHAnsi"/>
          <w:sz w:val="20"/>
          <w:szCs w:val="20"/>
        </w:rPr>
        <w:footnoteReference w:id="7"/>
      </w:r>
      <w:r w:rsidR="00CD49B2">
        <w:rPr>
          <w:rFonts w:cstheme="minorHAnsi"/>
        </w:rPr>
        <w:t xml:space="preserve"> </w:t>
      </w:r>
      <w:r w:rsidR="00B24ADC">
        <w:rPr>
          <w:rFonts w:cstheme="minorHAnsi"/>
        </w:rPr>
        <w:t>This funding is provided via grants</w:t>
      </w:r>
      <w:r w:rsidR="000D5F81">
        <w:rPr>
          <w:rFonts w:cstheme="minorHAnsi"/>
        </w:rPr>
        <w:t>,</w:t>
      </w:r>
      <w:r w:rsidR="00B24ADC">
        <w:rPr>
          <w:rFonts w:cstheme="minorHAnsi"/>
        </w:rPr>
        <w:t xml:space="preserve"> with the current arrangements in place from 1 January 2019 to 30 June 2023.</w:t>
      </w:r>
      <w:r w:rsidR="000D188E">
        <w:rPr>
          <w:rStyle w:val="FootnoteReference"/>
          <w:rFonts w:cstheme="minorHAnsi"/>
        </w:rPr>
        <w:footnoteReference w:id="8"/>
      </w:r>
      <w:r w:rsidR="00B24ADC">
        <w:rPr>
          <w:rFonts w:cstheme="minorHAnsi"/>
        </w:rPr>
        <w:t xml:space="preserve"> </w:t>
      </w:r>
    </w:p>
    <w:p w14:paraId="44D338CD" w14:textId="77777777" w:rsidR="006B1A1E" w:rsidRDefault="00B24ADC">
      <w:pPr>
        <w:rPr>
          <w:rFonts w:cstheme="minorHAnsi"/>
        </w:rPr>
      </w:pPr>
      <w:r>
        <w:rPr>
          <w:rFonts w:cstheme="minorHAnsi"/>
        </w:rPr>
        <w:t xml:space="preserve">To provide funding certainty to the financial counselling sector during the COVID-19 pandemic and the impact of natural disasters, </w:t>
      </w:r>
      <w:r w:rsidR="00067F67">
        <w:rPr>
          <w:rFonts w:cstheme="minorHAnsi"/>
        </w:rPr>
        <w:t>a two-</w:t>
      </w:r>
      <w:r w:rsidRPr="0037447C">
        <w:rPr>
          <w:rFonts w:cstheme="minorHAnsi"/>
        </w:rPr>
        <w:t xml:space="preserve">year extension </w:t>
      </w:r>
      <w:r w:rsidR="0052719C" w:rsidRPr="0037447C">
        <w:rPr>
          <w:rFonts w:cstheme="minorHAnsi"/>
        </w:rPr>
        <w:t>is being offered for the current financial counselling grants to</w:t>
      </w:r>
      <w:r w:rsidRPr="0037447C">
        <w:rPr>
          <w:rFonts w:cstheme="minorHAnsi"/>
        </w:rPr>
        <w:t xml:space="preserve"> 30</w:t>
      </w:r>
      <w:r w:rsidR="0052719C" w:rsidRPr="0037447C">
        <w:rPr>
          <w:rFonts w:cstheme="minorHAnsi"/>
        </w:rPr>
        <w:t> </w:t>
      </w:r>
      <w:r w:rsidRPr="0037447C">
        <w:rPr>
          <w:rFonts w:cstheme="minorHAnsi"/>
        </w:rPr>
        <w:t>June 2025.</w:t>
      </w:r>
      <w:r>
        <w:rPr>
          <w:rFonts w:cstheme="minorHAnsi"/>
        </w:rPr>
        <w:t xml:space="preserve"> The approach for the timing of future grant rounds is to be determined. </w:t>
      </w:r>
    </w:p>
    <w:p w14:paraId="3865EA25" w14:textId="189D6F38" w:rsidR="00351578" w:rsidRDefault="006B1A1E">
      <w:pPr>
        <w:rPr>
          <w:rFonts w:cstheme="minorHAnsi"/>
        </w:rPr>
      </w:pPr>
      <w:r>
        <w:rPr>
          <w:rFonts w:cstheme="minorHAnsi"/>
        </w:rPr>
        <w:t>As well as generalist services, DSS also funds specialist financial c</w:t>
      </w:r>
      <w:r w:rsidRPr="001D01F6">
        <w:rPr>
          <w:rFonts w:cstheme="minorHAnsi"/>
        </w:rPr>
        <w:t>ounselling supports</w:t>
      </w:r>
      <w:r>
        <w:rPr>
          <w:rFonts w:cstheme="minorHAnsi"/>
        </w:rPr>
        <w:t xml:space="preserve"> for</w:t>
      </w:r>
      <w:r w:rsidRPr="001D01F6">
        <w:rPr>
          <w:rFonts w:cstheme="minorHAnsi"/>
        </w:rPr>
        <w:t xml:space="preserve"> people affected by problem gambling, by helping to address their financial problems, manage debt and navigate out of financial crisis. </w:t>
      </w:r>
    </w:p>
    <w:p w14:paraId="51347282" w14:textId="65E1E7E8" w:rsidR="00211A67" w:rsidRDefault="00211A67">
      <w:pPr>
        <w:rPr>
          <w:rFonts w:cstheme="minorHAnsi"/>
        </w:rPr>
      </w:pPr>
      <w:r>
        <w:rPr>
          <w:rFonts w:cstheme="minorHAnsi"/>
        </w:rPr>
        <w:lastRenderedPageBreak/>
        <w:t xml:space="preserve">Around $30 million annually is contributed by state and territory governments to financial counselling services. </w:t>
      </w:r>
      <w:r w:rsidR="00956817">
        <w:rPr>
          <w:rFonts w:cstheme="minorHAnsi"/>
        </w:rPr>
        <w:t xml:space="preserve">State and territory governments also fund specialist financial counselling services, such as those targeting people affected by family violence or who have issues with gambling. </w:t>
      </w:r>
    </w:p>
    <w:p w14:paraId="554046C1" w14:textId="552B2EC2" w:rsidR="0085223E" w:rsidRPr="00DC133C" w:rsidRDefault="0085223E">
      <w:pPr>
        <w:rPr>
          <w:rFonts w:cstheme="minorHAnsi"/>
          <w:i/>
        </w:rPr>
      </w:pPr>
      <w:r>
        <w:rPr>
          <w:rFonts w:cstheme="minorHAnsi"/>
          <w:i/>
        </w:rPr>
        <w:t xml:space="preserve">Industry funding model </w:t>
      </w:r>
    </w:p>
    <w:p w14:paraId="6EB37A9D" w14:textId="7487AAD5" w:rsidR="00B036E5" w:rsidRPr="00AB0453" w:rsidRDefault="005D66CC">
      <w:pPr>
        <w:rPr>
          <w:rFonts w:cs="Arial"/>
          <w:lang w:bidi="en-US"/>
        </w:rPr>
      </w:pPr>
      <w:r>
        <w:rPr>
          <w:rFonts w:cs="Arial"/>
          <w:lang w:bidi="en-US"/>
        </w:rPr>
        <w:t xml:space="preserve">The Government </w:t>
      </w:r>
      <w:r w:rsidR="00014423">
        <w:rPr>
          <w:rFonts w:cs="Arial"/>
          <w:lang w:bidi="en-US"/>
        </w:rPr>
        <w:t xml:space="preserve">is </w:t>
      </w:r>
      <w:r>
        <w:rPr>
          <w:rFonts w:cs="Arial"/>
          <w:lang w:bidi="en-US"/>
        </w:rPr>
        <w:t xml:space="preserve">also </w:t>
      </w:r>
      <w:r w:rsidR="000C4401" w:rsidRPr="008B7818">
        <w:rPr>
          <w:rFonts w:cs="Arial"/>
          <w:lang w:bidi="en-US"/>
        </w:rPr>
        <w:t>investing $</w:t>
      </w:r>
      <w:r w:rsidR="00067F67">
        <w:rPr>
          <w:rFonts w:cs="Arial"/>
          <w:lang w:bidi="en-US"/>
        </w:rPr>
        <w:t xml:space="preserve">10.5 </w:t>
      </w:r>
      <w:r w:rsidR="000C4401" w:rsidRPr="008B7818">
        <w:rPr>
          <w:rFonts w:cs="Arial"/>
          <w:lang w:bidi="en-US"/>
        </w:rPr>
        <w:t>million over four years to 2024-25</w:t>
      </w:r>
      <w:r w:rsidR="00FB1793">
        <w:rPr>
          <w:rFonts w:cs="Arial"/>
          <w:lang w:bidi="en-US"/>
        </w:rPr>
        <w:t xml:space="preserve"> </w:t>
      </w:r>
      <w:r w:rsidR="003E34D5" w:rsidRPr="00935304">
        <w:rPr>
          <w:rFonts w:cs="Arial"/>
          <w:lang w:bidi="en-US"/>
        </w:rPr>
        <w:t xml:space="preserve">to </w:t>
      </w:r>
      <w:r w:rsidR="00AD1F75">
        <w:rPr>
          <w:rFonts w:cs="Arial"/>
          <w:lang w:bidi="en-US"/>
        </w:rPr>
        <w:t>support the design</w:t>
      </w:r>
      <w:r w:rsidR="003E34D5" w:rsidRPr="00935304">
        <w:rPr>
          <w:rFonts w:cs="Arial"/>
          <w:lang w:bidi="en-US"/>
        </w:rPr>
        <w:t xml:space="preserve"> and </w:t>
      </w:r>
      <w:r w:rsidR="00AD1F75" w:rsidRPr="00935304">
        <w:rPr>
          <w:rFonts w:cs="Arial"/>
          <w:lang w:bidi="en-US"/>
        </w:rPr>
        <w:t>evaluat</w:t>
      </w:r>
      <w:r w:rsidR="00AD1F75">
        <w:rPr>
          <w:rFonts w:cs="Arial"/>
          <w:lang w:bidi="en-US"/>
        </w:rPr>
        <w:t>ion</w:t>
      </w:r>
      <w:r w:rsidR="003E34D5" w:rsidRPr="00935304">
        <w:rPr>
          <w:rFonts w:cs="Arial"/>
          <w:lang w:bidi="en-US"/>
        </w:rPr>
        <w:t xml:space="preserve"> </w:t>
      </w:r>
      <w:r w:rsidR="00AD1F75">
        <w:rPr>
          <w:rFonts w:cs="Arial"/>
          <w:lang w:bidi="en-US"/>
        </w:rPr>
        <w:t xml:space="preserve">of </w:t>
      </w:r>
      <w:r w:rsidR="00736EA2">
        <w:rPr>
          <w:rFonts w:cs="Arial"/>
          <w:lang w:bidi="en-US"/>
        </w:rPr>
        <w:t xml:space="preserve">the </w:t>
      </w:r>
      <w:r w:rsidR="00AD1F75" w:rsidRPr="00935304">
        <w:rPr>
          <w:rFonts w:cs="Arial"/>
          <w:lang w:bidi="en-US"/>
        </w:rPr>
        <w:t>industry</w:t>
      </w:r>
      <w:r w:rsidR="00DF3C53">
        <w:rPr>
          <w:rFonts w:cs="Arial"/>
          <w:lang w:bidi="en-US"/>
        </w:rPr>
        <w:t xml:space="preserve"> </w:t>
      </w:r>
      <w:r w:rsidR="00AD1F75" w:rsidRPr="00935304">
        <w:rPr>
          <w:rFonts w:cs="Arial"/>
          <w:lang w:bidi="en-US"/>
        </w:rPr>
        <w:t>funding</w:t>
      </w:r>
      <w:r w:rsidR="003E34D5" w:rsidRPr="00935304">
        <w:rPr>
          <w:rFonts w:cs="Arial"/>
          <w:lang w:bidi="en-US"/>
        </w:rPr>
        <w:t xml:space="preserve"> model</w:t>
      </w:r>
      <w:r w:rsidR="00FB1793" w:rsidRPr="001D2B63">
        <w:rPr>
          <w:rFonts w:cs="Arial"/>
          <w:lang w:bidi="en-US"/>
        </w:rPr>
        <w:t xml:space="preserve"> and to </w:t>
      </w:r>
      <w:r>
        <w:rPr>
          <w:rFonts w:cs="Arial"/>
          <w:lang w:bidi="en-US"/>
        </w:rPr>
        <w:t xml:space="preserve">fund </w:t>
      </w:r>
      <w:r w:rsidR="00FB1793" w:rsidRPr="001D2B63">
        <w:rPr>
          <w:rFonts w:cs="Arial"/>
          <w:lang w:bidi="en-US"/>
        </w:rPr>
        <w:t>complementary initiatives</w:t>
      </w:r>
      <w:r w:rsidR="00014423">
        <w:rPr>
          <w:rFonts w:cs="Arial"/>
          <w:lang w:bidi="en-US"/>
        </w:rPr>
        <w:t xml:space="preserve"> to improve the capacity of the financial counselling sector</w:t>
      </w:r>
      <w:r w:rsidR="00FB1793">
        <w:rPr>
          <w:rFonts w:cs="Arial"/>
          <w:lang w:bidi="en-US"/>
        </w:rPr>
        <w:t xml:space="preserve">. </w:t>
      </w:r>
      <w:r w:rsidR="00035F7B">
        <w:rPr>
          <w:rFonts w:cs="Arial"/>
          <w:lang w:bidi="en-US"/>
        </w:rPr>
        <w:t xml:space="preserve">This includes $1.5 million in seed funding for the establishment of a </w:t>
      </w:r>
      <w:r w:rsidR="009356AF">
        <w:rPr>
          <w:rFonts w:cs="Arial"/>
          <w:lang w:bidi="en-US"/>
        </w:rPr>
        <w:t xml:space="preserve">new independent </w:t>
      </w:r>
      <w:r w:rsidR="00035F7B">
        <w:rPr>
          <w:rFonts w:cs="Arial"/>
          <w:lang w:bidi="en-US"/>
        </w:rPr>
        <w:t>not-for-profit body to collect and distribute industry funding</w:t>
      </w:r>
      <w:r w:rsidR="00416E83">
        <w:rPr>
          <w:rFonts w:cs="Arial"/>
          <w:lang w:bidi="en-US"/>
        </w:rPr>
        <w:t>, once the model is agreed.</w:t>
      </w:r>
    </w:p>
    <w:p w14:paraId="322AC981" w14:textId="5D3FABED" w:rsidR="00785143" w:rsidRPr="00FE094E" w:rsidRDefault="008E00C1" w:rsidP="00F914A4">
      <w:pPr>
        <w:pStyle w:val="Style1"/>
        <w:spacing w:before="0" w:after="160"/>
      </w:pPr>
      <w:r>
        <w:t xml:space="preserve">How is consultation on the </w:t>
      </w:r>
      <w:r w:rsidR="00E55BB9">
        <w:t xml:space="preserve">proposed </w:t>
      </w:r>
      <w:r>
        <w:t>model taking place</w:t>
      </w:r>
      <w:r w:rsidR="002E302A">
        <w:t>?</w:t>
      </w:r>
    </w:p>
    <w:p w14:paraId="7784FB89" w14:textId="734C9D57" w:rsidR="001E4EB9" w:rsidRDefault="00935304" w:rsidP="00F914A4">
      <w:r>
        <w:rPr>
          <w:rFonts w:cs="Arial"/>
          <w:lang w:bidi="en-US"/>
        </w:rPr>
        <w:t>This</w:t>
      </w:r>
      <w:r w:rsidRPr="008B7818">
        <w:rPr>
          <w:rFonts w:cs="Arial"/>
          <w:lang w:bidi="en-US"/>
        </w:rPr>
        <w:t xml:space="preserve"> paper </w:t>
      </w:r>
      <w:r w:rsidR="005D66CC">
        <w:rPr>
          <w:rFonts w:cs="Arial"/>
          <w:lang w:bidi="en-US"/>
        </w:rPr>
        <w:t xml:space="preserve">outlines the proposed design of the </w:t>
      </w:r>
      <w:r w:rsidR="002F214F">
        <w:rPr>
          <w:rFonts w:cs="Arial"/>
          <w:lang w:bidi="en-US"/>
        </w:rPr>
        <w:t>model</w:t>
      </w:r>
      <w:r w:rsidRPr="008B7818">
        <w:rPr>
          <w:rFonts w:cs="Arial"/>
          <w:lang w:bidi="en-US"/>
        </w:rPr>
        <w:t>,</w:t>
      </w:r>
      <w:r w:rsidRPr="008B7818">
        <w:t xml:space="preserve"> informed by previous consultations with stakeholders. </w:t>
      </w:r>
      <w:r w:rsidR="00C44DA6">
        <w:t xml:space="preserve">Feedback, through a series of discussion questions contained within this paper, </w:t>
      </w:r>
      <w:r w:rsidR="0013667D">
        <w:t>is being sought</w:t>
      </w:r>
      <w:r w:rsidR="00351578">
        <w:t>.</w:t>
      </w:r>
      <w:r w:rsidR="001E4EB9">
        <w:t xml:space="preserve"> </w:t>
      </w:r>
    </w:p>
    <w:p w14:paraId="40E6C276" w14:textId="5ACF1A0D" w:rsidR="0013667D" w:rsidRDefault="0013667D" w:rsidP="00F914A4">
      <w:r>
        <w:t>Some aspects of the industry funding model are out-of-scope of this consultation process</w:t>
      </w:r>
      <w:r w:rsidR="00BF0183">
        <w:t>,</w:t>
      </w:r>
      <w:r w:rsidR="00C44DA6">
        <w:t xml:space="preserve"> as they are part of the next phase of implementation</w:t>
      </w:r>
      <w:r>
        <w:t xml:space="preserve">, including </w:t>
      </w:r>
      <w:r w:rsidR="00C44DA6">
        <w:t xml:space="preserve">policies and procedures of the independent body, which will be developed by the body following its </w:t>
      </w:r>
      <w:r w:rsidR="00BF0183">
        <w:t>establishment</w:t>
      </w:r>
      <w:r w:rsidR="00C44DA6">
        <w:t>.</w:t>
      </w:r>
      <w:r w:rsidR="007D7A41">
        <w:t xml:space="preserve"> It is anticipated the body would undertake its own consultations to</w:t>
      </w:r>
      <w:r w:rsidR="0083050B">
        <w:t xml:space="preserve"> inform these decisions.</w:t>
      </w:r>
      <w:r w:rsidR="007D7A41">
        <w:t xml:space="preserve"> </w:t>
      </w:r>
    </w:p>
    <w:p w14:paraId="46499E08" w14:textId="2C3FD2AD" w:rsidR="004E2B97" w:rsidRDefault="00935304" w:rsidP="00F914A4">
      <w:pPr>
        <w:rPr>
          <w:rFonts w:cs="Arial"/>
          <w:lang w:bidi="en-US"/>
        </w:rPr>
      </w:pPr>
      <w:r w:rsidRPr="008B7818">
        <w:rPr>
          <w:rFonts w:cs="Arial"/>
          <w:lang w:bidi="en-US"/>
        </w:rPr>
        <w:t xml:space="preserve">To capture stakeholder views on </w:t>
      </w:r>
      <w:r w:rsidR="00B54C72">
        <w:rPr>
          <w:rFonts w:cs="Arial"/>
          <w:lang w:bidi="en-US"/>
        </w:rPr>
        <w:t xml:space="preserve">the </w:t>
      </w:r>
      <w:r w:rsidRPr="008B7818">
        <w:rPr>
          <w:rFonts w:cs="Arial"/>
          <w:lang w:bidi="en-US"/>
        </w:rPr>
        <w:t xml:space="preserve">design of the </w:t>
      </w:r>
      <w:r w:rsidR="002F214F">
        <w:rPr>
          <w:rFonts w:cs="Arial"/>
          <w:lang w:bidi="en-US"/>
        </w:rPr>
        <w:t>model</w:t>
      </w:r>
      <w:r w:rsidRPr="008B7818">
        <w:rPr>
          <w:rFonts w:cs="Arial"/>
          <w:lang w:bidi="en-US"/>
        </w:rPr>
        <w:t>, DSS invites written submissions in response to discussion questions.</w:t>
      </w:r>
      <w:r w:rsidR="00D72DB7">
        <w:rPr>
          <w:rFonts w:cs="Arial"/>
          <w:lang w:bidi="en-US"/>
        </w:rPr>
        <w:t xml:space="preserve"> </w:t>
      </w:r>
      <w:r w:rsidR="000C4401" w:rsidRPr="008B7818">
        <w:rPr>
          <w:rFonts w:cs="Arial"/>
          <w:lang w:bidi="en-US"/>
        </w:rPr>
        <w:t xml:space="preserve">The discussion paper process will be complemented by </w:t>
      </w:r>
      <w:r w:rsidR="00956817">
        <w:rPr>
          <w:rFonts w:cs="Arial"/>
          <w:lang w:bidi="en-US"/>
        </w:rPr>
        <w:t xml:space="preserve">a </w:t>
      </w:r>
      <w:r w:rsidR="00785143">
        <w:rPr>
          <w:rFonts w:cs="Arial"/>
          <w:lang w:bidi="en-US"/>
        </w:rPr>
        <w:t xml:space="preserve">series of </w:t>
      </w:r>
      <w:r w:rsidR="00C44DA6">
        <w:rPr>
          <w:rFonts w:cs="Arial"/>
          <w:lang w:bidi="en-US"/>
        </w:rPr>
        <w:t>targeted</w:t>
      </w:r>
      <w:r w:rsidR="00785143">
        <w:rPr>
          <w:rFonts w:cs="Arial"/>
          <w:lang w:bidi="en-US"/>
        </w:rPr>
        <w:t xml:space="preserve"> virtual</w:t>
      </w:r>
      <w:r w:rsidR="00C44DA6">
        <w:rPr>
          <w:rFonts w:cs="Arial"/>
          <w:lang w:bidi="en-US"/>
        </w:rPr>
        <w:t xml:space="preserve"> roundtables</w:t>
      </w:r>
      <w:r w:rsidR="00785143">
        <w:rPr>
          <w:rFonts w:cs="Arial"/>
          <w:lang w:bidi="en-US"/>
        </w:rPr>
        <w:t xml:space="preserve"> with </w:t>
      </w:r>
      <w:r w:rsidR="00B54C72">
        <w:rPr>
          <w:rFonts w:cs="Arial"/>
          <w:lang w:bidi="en-US"/>
        </w:rPr>
        <w:t>industries</w:t>
      </w:r>
      <w:r w:rsidR="00785143">
        <w:rPr>
          <w:rFonts w:cs="Arial"/>
          <w:lang w:bidi="en-US"/>
        </w:rPr>
        <w:t xml:space="preserve"> and the financial counselling sector. </w:t>
      </w:r>
    </w:p>
    <w:p w14:paraId="0948AFC8" w14:textId="5B19CFC3" w:rsidR="004E2B97" w:rsidRPr="00FE094E" w:rsidRDefault="004E2B97" w:rsidP="00877ADE">
      <w:pPr>
        <w:rPr>
          <w:rFonts w:eastAsiaTheme="majorEastAsia"/>
          <w:b/>
        </w:rPr>
      </w:pPr>
      <w:r>
        <w:rPr>
          <w:rFonts w:eastAsiaTheme="majorEastAsia"/>
        </w:rPr>
        <w:t>The consultation paper is open</w:t>
      </w:r>
      <w:r w:rsidR="0027166E">
        <w:rPr>
          <w:rFonts w:eastAsiaTheme="majorEastAsia"/>
        </w:rPr>
        <w:t xml:space="preserve"> for six weeks, </w:t>
      </w:r>
      <w:r>
        <w:rPr>
          <w:rFonts w:eastAsiaTheme="majorEastAsia"/>
        </w:rPr>
        <w:t>from</w:t>
      </w:r>
      <w:r w:rsidRPr="00FE094E">
        <w:rPr>
          <w:rFonts w:eastAsiaTheme="majorEastAsia"/>
          <w:b/>
        </w:rPr>
        <w:t xml:space="preserve"> </w:t>
      </w:r>
      <w:r w:rsidR="004E5A28">
        <w:rPr>
          <w:rFonts w:eastAsiaTheme="majorEastAsia"/>
          <w:b/>
        </w:rPr>
        <w:t>7</w:t>
      </w:r>
      <w:r w:rsidR="00E70C12" w:rsidRPr="00E70C12">
        <w:rPr>
          <w:rFonts w:eastAsiaTheme="majorEastAsia"/>
          <w:b/>
        </w:rPr>
        <w:t xml:space="preserve"> November</w:t>
      </w:r>
      <w:r w:rsidR="00F3392E" w:rsidRPr="00E70C12">
        <w:rPr>
          <w:rFonts w:eastAsiaTheme="majorEastAsia"/>
          <w:b/>
        </w:rPr>
        <w:t xml:space="preserve"> </w:t>
      </w:r>
      <w:r w:rsidRPr="00E70C12">
        <w:rPr>
          <w:rFonts w:eastAsiaTheme="majorEastAsia"/>
          <w:b/>
        </w:rPr>
        <w:t xml:space="preserve">2022 to </w:t>
      </w:r>
      <w:r w:rsidR="00E70C12" w:rsidRPr="00E70C12">
        <w:rPr>
          <w:rFonts w:eastAsiaTheme="majorEastAsia"/>
          <w:b/>
        </w:rPr>
        <w:t>16</w:t>
      </w:r>
      <w:r w:rsidR="0052719C" w:rsidRPr="00E70C12">
        <w:rPr>
          <w:rFonts w:eastAsiaTheme="majorEastAsia"/>
          <w:b/>
        </w:rPr>
        <w:t xml:space="preserve"> </w:t>
      </w:r>
      <w:r w:rsidR="0027166E" w:rsidRPr="00E70C12">
        <w:rPr>
          <w:rFonts w:eastAsiaTheme="majorEastAsia"/>
          <w:b/>
        </w:rPr>
        <w:t xml:space="preserve">December </w:t>
      </w:r>
      <w:r w:rsidRPr="00E70C12">
        <w:rPr>
          <w:rFonts w:eastAsiaTheme="majorEastAsia"/>
          <w:b/>
        </w:rPr>
        <w:t>2022.</w:t>
      </w:r>
    </w:p>
    <w:p w14:paraId="448C4E58" w14:textId="369C4C00" w:rsidR="004E2B97" w:rsidRPr="00343E71" w:rsidRDefault="004E2B97" w:rsidP="00F914A4">
      <w:pPr>
        <w:rPr>
          <w:rFonts w:eastAsiaTheme="majorEastAsia"/>
        </w:rPr>
      </w:pPr>
      <w:r w:rsidRPr="002224D2">
        <w:rPr>
          <w:rFonts w:eastAsiaTheme="majorEastAsia"/>
        </w:rPr>
        <w:t xml:space="preserve">Interested </w:t>
      </w:r>
      <w:r>
        <w:rPr>
          <w:rFonts w:eastAsiaTheme="majorEastAsia"/>
        </w:rPr>
        <w:t xml:space="preserve">individuals and organisations are invited to provide written submissions to the </w:t>
      </w:r>
      <w:r w:rsidR="006E23E3">
        <w:rPr>
          <w:rFonts w:eastAsiaTheme="majorEastAsia"/>
        </w:rPr>
        <w:t>D</w:t>
      </w:r>
      <w:r>
        <w:rPr>
          <w:rFonts w:eastAsiaTheme="majorEastAsia"/>
        </w:rPr>
        <w:t>epartment through engage.dss.gov.au by</w:t>
      </w:r>
      <w:r w:rsidR="00343E71">
        <w:rPr>
          <w:rFonts w:eastAsiaTheme="majorEastAsia"/>
        </w:rPr>
        <w:t xml:space="preserve"> the closing date </w:t>
      </w:r>
      <w:r w:rsidR="00F7248F">
        <w:rPr>
          <w:rFonts w:eastAsiaTheme="majorEastAsia"/>
          <w:b/>
        </w:rPr>
        <w:t xml:space="preserve">5.00pm </w:t>
      </w:r>
      <w:r w:rsidR="00E70C12" w:rsidRPr="00E70C12">
        <w:rPr>
          <w:rFonts w:eastAsiaTheme="majorEastAsia"/>
          <w:b/>
        </w:rPr>
        <w:t>16</w:t>
      </w:r>
      <w:r w:rsidR="00F3392E" w:rsidRPr="00E70C12">
        <w:rPr>
          <w:rFonts w:eastAsiaTheme="majorEastAsia"/>
          <w:b/>
        </w:rPr>
        <w:t xml:space="preserve"> </w:t>
      </w:r>
      <w:r w:rsidR="0027166E" w:rsidRPr="00E70C12">
        <w:rPr>
          <w:rFonts w:eastAsiaTheme="majorEastAsia"/>
          <w:b/>
        </w:rPr>
        <w:t xml:space="preserve">December </w:t>
      </w:r>
      <w:r w:rsidRPr="00E70C12">
        <w:rPr>
          <w:rFonts w:eastAsiaTheme="majorEastAsia"/>
          <w:b/>
        </w:rPr>
        <w:t>2022</w:t>
      </w:r>
      <w:r w:rsidR="00F7248F" w:rsidRPr="00E70C12">
        <w:rPr>
          <w:rFonts w:eastAsiaTheme="majorEastAsia"/>
          <w:b/>
        </w:rPr>
        <w:t xml:space="preserve"> (AEDT)</w:t>
      </w:r>
      <w:r w:rsidRPr="00E70C12">
        <w:rPr>
          <w:rFonts w:eastAsiaTheme="majorEastAsia"/>
          <w:b/>
        </w:rPr>
        <w:t>.</w:t>
      </w:r>
      <w:r w:rsidRPr="00FE094E">
        <w:rPr>
          <w:rFonts w:eastAsiaTheme="majorEastAsia"/>
          <w:b/>
        </w:rPr>
        <w:t xml:space="preserve"> </w:t>
      </w:r>
    </w:p>
    <w:p w14:paraId="183C97D9" w14:textId="28AE9F02" w:rsidR="004E2B97" w:rsidRPr="006B36E4" w:rsidRDefault="00351578" w:rsidP="00F914A4">
      <w:pPr>
        <w:rPr>
          <w:b/>
        </w:rPr>
      </w:pPr>
      <w:r>
        <w:rPr>
          <w:b/>
        </w:rPr>
        <w:t xml:space="preserve">What is the purpose of the </w:t>
      </w:r>
      <w:r w:rsidR="004E2B97" w:rsidRPr="006B36E4">
        <w:rPr>
          <w:b/>
        </w:rPr>
        <w:t>Financial Counselling Industry Funding Advisory Group</w:t>
      </w:r>
      <w:r>
        <w:rPr>
          <w:b/>
        </w:rPr>
        <w:t>?</w:t>
      </w:r>
    </w:p>
    <w:p w14:paraId="0DC293E2" w14:textId="541D43BC" w:rsidR="0091008F" w:rsidRDefault="000C4401" w:rsidP="00F914A4">
      <w:pPr>
        <w:rPr>
          <w:rFonts w:cs="Arial"/>
          <w:lang w:bidi="en-US"/>
        </w:rPr>
      </w:pPr>
      <w:r w:rsidRPr="002773B8">
        <w:rPr>
          <w:rFonts w:cs="Arial"/>
          <w:lang w:bidi="en-US"/>
        </w:rPr>
        <w:t xml:space="preserve">The design of the </w:t>
      </w:r>
      <w:r w:rsidR="002F214F">
        <w:rPr>
          <w:rFonts w:cs="Arial"/>
          <w:lang w:bidi="en-US"/>
        </w:rPr>
        <w:t>model</w:t>
      </w:r>
      <w:r w:rsidRPr="002773B8">
        <w:rPr>
          <w:rFonts w:cs="Arial"/>
          <w:lang w:bidi="en-US"/>
        </w:rPr>
        <w:t xml:space="preserve"> will also be informed by advice from </w:t>
      </w:r>
      <w:r w:rsidR="00AB1554">
        <w:rPr>
          <w:rFonts w:cs="Arial"/>
          <w:lang w:bidi="en-US"/>
        </w:rPr>
        <w:t xml:space="preserve">the </w:t>
      </w:r>
      <w:r w:rsidR="00785143">
        <w:rPr>
          <w:rFonts w:cs="Arial"/>
          <w:lang w:bidi="en-US"/>
        </w:rPr>
        <w:t xml:space="preserve">Financial </w:t>
      </w:r>
      <w:r w:rsidR="007308E6">
        <w:rPr>
          <w:rFonts w:cs="Arial"/>
          <w:lang w:bidi="en-US"/>
        </w:rPr>
        <w:t xml:space="preserve">Counselling </w:t>
      </w:r>
      <w:r w:rsidR="00785143">
        <w:rPr>
          <w:rFonts w:cs="Arial"/>
          <w:lang w:bidi="en-US"/>
        </w:rPr>
        <w:t>Industry Funding Advisory Group (Advisory Group).</w:t>
      </w:r>
      <w:r w:rsidR="00785143" w:rsidRPr="004A72CD">
        <w:rPr>
          <w:rFonts w:cs="Arial"/>
          <w:lang w:bidi="en-US"/>
        </w:rPr>
        <w:t xml:space="preserve"> </w:t>
      </w:r>
    </w:p>
    <w:p w14:paraId="1D9104DC" w14:textId="67B5E82D" w:rsidR="00AB1554" w:rsidRPr="00FE094E" w:rsidRDefault="00785143" w:rsidP="00F914A4">
      <w:pPr>
        <w:rPr>
          <w:rFonts w:cs="Arial"/>
          <w:lang w:bidi="en-US"/>
        </w:rPr>
      </w:pPr>
      <w:r w:rsidRPr="004A72CD">
        <w:rPr>
          <w:rFonts w:cs="Arial"/>
          <w:lang w:bidi="en-US"/>
        </w:rPr>
        <w:t xml:space="preserve">The Advisory Group was established in June 2022 to provide strategic and expert advice </w:t>
      </w:r>
      <w:r w:rsidR="00BB3AE6">
        <w:rPr>
          <w:rFonts w:cs="Arial"/>
          <w:lang w:bidi="en-US"/>
        </w:rPr>
        <w:t xml:space="preserve">to the Department </w:t>
      </w:r>
      <w:r w:rsidRPr="004A72CD">
        <w:rPr>
          <w:rFonts w:cs="Arial"/>
          <w:lang w:bidi="en-US"/>
        </w:rPr>
        <w:t>on the design of the model and comprises representatives from industry peak</w:t>
      </w:r>
      <w:r w:rsidR="004E2B97">
        <w:rPr>
          <w:rFonts w:cs="Arial"/>
          <w:lang w:bidi="en-US"/>
        </w:rPr>
        <w:t xml:space="preserve"> bodies</w:t>
      </w:r>
      <w:r w:rsidRPr="004A72CD">
        <w:rPr>
          <w:rFonts w:cs="Arial"/>
          <w:lang w:bidi="en-US"/>
        </w:rPr>
        <w:t xml:space="preserve">, Financial Counselling Australia, the financial counselling sector and the Department. </w:t>
      </w:r>
      <w:r w:rsidR="00AB1554" w:rsidRPr="00FE094E">
        <w:rPr>
          <w:rFonts w:eastAsiaTheme="majorEastAsia" w:cs="Arial"/>
          <w:bCs/>
          <w:lang w:bidi="en-US"/>
        </w:rPr>
        <w:t>Membership</w:t>
      </w:r>
      <w:r w:rsidR="004F58E8">
        <w:rPr>
          <w:rFonts w:eastAsiaTheme="majorEastAsia" w:cs="Arial"/>
          <w:bCs/>
          <w:lang w:bidi="en-US"/>
        </w:rPr>
        <w:t xml:space="preserve"> is provided below:</w:t>
      </w:r>
      <w:r w:rsidR="00AB1554" w:rsidRPr="00E5731E">
        <w:rPr>
          <w:rFonts w:eastAsiaTheme="majorEastAsia" w:cs="Arial"/>
          <w:bCs/>
          <w:lang w:bidi="en-US"/>
        </w:rPr>
        <w:t xml:space="preserve"> </w:t>
      </w:r>
    </w:p>
    <w:p w14:paraId="5F742B76" w14:textId="1DE88921" w:rsidR="00AB1554" w:rsidRPr="00082926" w:rsidRDefault="002C147D" w:rsidP="00F914A4">
      <w:pPr>
        <w:pStyle w:val="ListParagraph"/>
        <w:numPr>
          <w:ilvl w:val="0"/>
          <w:numId w:val="17"/>
        </w:numPr>
        <w:ind w:left="714" w:hanging="357"/>
        <w:contextualSpacing w:val="0"/>
        <w:rPr>
          <w:rFonts w:eastAsiaTheme="majorEastAsia" w:cs="Arial"/>
          <w:bCs/>
          <w:lang w:bidi="en-US"/>
        </w:rPr>
      </w:pPr>
      <w:r>
        <w:rPr>
          <w:rFonts w:eastAsiaTheme="majorEastAsia" w:cs="Arial"/>
          <w:bCs/>
          <w:lang w:bidi="en-US"/>
        </w:rPr>
        <w:t xml:space="preserve">Mr </w:t>
      </w:r>
      <w:r w:rsidR="00AB1554">
        <w:rPr>
          <w:rFonts w:eastAsiaTheme="majorEastAsia" w:cs="Arial"/>
          <w:bCs/>
          <w:lang w:bidi="en-US"/>
        </w:rPr>
        <w:t>Peter Kell</w:t>
      </w:r>
      <w:r w:rsidR="00AB1554" w:rsidRPr="00082926">
        <w:rPr>
          <w:rFonts w:eastAsiaTheme="majorEastAsia" w:cs="Arial"/>
          <w:bCs/>
          <w:lang w:bidi="en-US"/>
        </w:rPr>
        <w:t xml:space="preserve"> </w:t>
      </w:r>
      <w:r w:rsidR="00AB1554">
        <w:rPr>
          <w:rFonts w:eastAsiaTheme="majorEastAsia" w:cs="Arial"/>
          <w:bCs/>
          <w:lang w:bidi="en-US"/>
        </w:rPr>
        <w:t>(</w:t>
      </w:r>
      <w:r w:rsidR="00AB1554" w:rsidRPr="00082926">
        <w:rPr>
          <w:rFonts w:eastAsiaTheme="majorEastAsia" w:cs="Arial"/>
          <w:bCs/>
          <w:lang w:bidi="en-US"/>
        </w:rPr>
        <w:t xml:space="preserve">Independent </w:t>
      </w:r>
      <w:r w:rsidR="00AB1554">
        <w:rPr>
          <w:rFonts w:eastAsiaTheme="majorEastAsia" w:cs="Arial"/>
          <w:bCs/>
          <w:lang w:bidi="en-US"/>
        </w:rPr>
        <w:t>Chair)</w:t>
      </w:r>
    </w:p>
    <w:p w14:paraId="48921A5B" w14:textId="05C8D13B" w:rsidR="00AB1554" w:rsidRDefault="00AB1554" w:rsidP="00F914A4">
      <w:pPr>
        <w:pStyle w:val="ListParagraph"/>
        <w:numPr>
          <w:ilvl w:val="0"/>
          <w:numId w:val="17"/>
        </w:numPr>
        <w:ind w:left="714" w:hanging="357"/>
        <w:contextualSpacing w:val="0"/>
        <w:rPr>
          <w:rFonts w:eastAsiaTheme="majorEastAsia" w:cs="Arial"/>
          <w:bCs/>
          <w:lang w:bidi="en-US"/>
        </w:rPr>
      </w:pPr>
      <w:r w:rsidRPr="00082926">
        <w:rPr>
          <w:rFonts w:eastAsiaTheme="majorEastAsia" w:cs="Arial"/>
          <w:bCs/>
          <w:lang w:bidi="en-US"/>
        </w:rPr>
        <w:t xml:space="preserve">Australia Banking Association </w:t>
      </w:r>
    </w:p>
    <w:p w14:paraId="040F670F" w14:textId="48DA8716" w:rsidR="00D164D6" w:rsidRPr="00D164D6" w:rsidRDefault="00D164D6" w:rsidP="00F914A4">
      <w:pPr>
        <w:pStyle w:val="ListParagraph"/>
        <w:numPr>
          <w:ilvl w:val="0"/>
          <w:numId w:val="17"/>
        </w:numPr>
        <w:ind w:left="714" w:hanging="357"/>
        <w:contextualSpacing w:val="0"/>
        <w:rPr>
          <w:rFonts w:eastAsiaTheme="majorEastAsia" w:cs="Arial"/>
          <w:bCs/>
          <w:lang w:bidi="en-US"/>
        </w:rPr>
      </w:pPr>
      <w:r w:rsidRPr="00082926">
        <w:rPr>
          <w:rFonts w:eastAsiaTheme="majorEastAsia" w:cs="Arial"/>
          <w:bCs/>
          <w:lang w:bidi="en-US"/>
        </w:rPr>
        <w:t xml:space="preserve">Australian Energy Council </w:t>
      </w:r>
    </w:p>
    <w:p w14:paraId="2E7FB8E7" w14:textId="77777777" w:rsidR="000C3790" w:rsidRDefault="000C3790" w:rsidP="00F914A4">
      <w:pPr>
        <w:pStyle w:val="ListParagraph"/>
        <w:numPr>
          <w:ilvl w:val="0"/>
          <w:numId w:val="17"/>
        </w:numPr>
        <w:ind w:left="714" w:hanging="357"/>
        <w:contextualSpacing w:val="0"/>
        <w:rPr>
          <w:rFonts w:eastAsiaTheme="majorEastAsia" w:cs="Arial"/>
          <w:bCs/>
          <w:lang w:bidi="en-US"/>
        </w:rPr>
      </w:pPr>
      <w:r w:rsidRPr="00082926">
        <w:rPr>
          <w:rFonts w:eastAsiaTheme="majorEastAsia" w:cs="Arial"/>
          <w:bCs/>
          <w:lang w:bidi="en-US"/>
        </w:rPr>
        <w:t xml:space="preserve">Australian Finance Industry Association </w:t>
      </w:r>
    </w:p>
    <w:p w14:paraId="419E550D" w14:textId="31B9BFC4" w:rsidR="000C3790" w:rsidRPr="00082926" w:rsidRDefault="000C3790" w:rsidP="00F914A4">
      <w:pPr>
        <w:numPr>
          <w:ilvl w:val="0"/>
          <w:numId w:val="17"/>
        </w:numPr>
        <w:rPr>
          <w:rFonts w:eastAsiaTheme="majorEastAsia" w:cs="Arial"/>
          <w:bCs/>
          <w:lang w:bidi="en-US"/>
        </w:rPr>
      </w:pPr>
      <w:r w:rsidRPr="00082926">
        <w:rPr>
          <w:rFonts w:eastAsiaTheme="majorEastAsia" w:cs="Arial"/>
          <w:bCs/>
          <w:lang w:bidi="en-US"/>
        </w:rPr>
        <w:t>Care</w:t>
      </w:r>
      <w:r w:rsidR="00956817">
        <w:rPr>
          <w:rFonts w:eastAsiaTheme="majorEastAsia" w:cs="Arial"/>
          <w:bCs/>
          <w:lang w:bidi="en-US"/>
        </w:rPr>
        <w:t xml:space="preserve"> Inc</w:t>
      </w:r>
      <w:r w:rsidR="00E70C12">
        <w:rPr>
          <w:rFonts w:eastAsiaTheme="majorEastAsia" w:cs="Arial"/>
          <w:bCs/>
          <w:lang w:bidi="en-US"/>
        </w:rPr>
        <w:t>.</w:t>
      </w:r>
    </w:p>
    <w:p w14:paraId="451190A4" w14:textId="77777777" w:rsidR="000C3790" w:rsidRPr="00082926" w:rsidRDefault="000C3790" w:rsidP="00F914A4">
      <w:pPr>
        <w:pStyle w:val="ListParagraph"/>
        <w:numPr>
          <w:ilvl w:val="0"/>
          <w:numId w:val="17"/>
        </w:numPr>
        <w:ind w:left="714" w:hanging="357"/>
        <w:contextualSpacing w:val="0"/>
        <w:rPr>
          <w:rFonts w:eastAsiaTheme="majorEastAsia" w:cs="Arial"/>
          <w:bCs/>
          <w:lang w:bidi="en-US"/>
        </w:rPr>
      </w:pPr>
      <w:r w:rsidRPr="00082926">
        <w:rPr>
          <w:rFonts w:eastAsiaTheme="majorEastAsia" w:cs="Arial"/>
          <w:bCs/>
          <w:lang w:bidi="en-US"/>
        </w:rPr>
        <w:t xml:space="preserve">Communications Alliance </w:t>
      </w:r>
    </w:p>
    <w:p w14:paraId="323AD8AB" w14:textId="1F3C635B" w:rsidR="000C3790" w:rsidRDefault="000C3790" w:rsidP="00F914A4">
      <w:pPr>
        <w:pStyle w:val="ListParagraph"/>
        <w:numPr>
          <w:ilvl w:val="0"/>
          <w:numId w:val="17"/>
        </w:numPr>
        <w:ind w:left="714" w:hanging="357"/>
        <w:contextualSpacing w:val="0"/>
        <w:rPr>
          <w:rFonts w:eastAsiaTheme="majorEastAsia" w:cs="Arial"/>
          <w:bCs/>
          <w:lang w:bidi="en-US"/>
        </w:rPr>
      </w:pPr>
      <w:r>
        <w:rPr>
          <w:rFonts w:eastAsiaTheme="majorEastAsia" w:cs="Arial"/>
          <w:bCs/>
          <w:lang w:bidi="en-US"/>
        </w:rPr>
        <w:lastRenderedPageBreak/>
        <w:t xml:space="preserve">Department of Social Services </w:t>
      </w:r>
      <w:r w:rsidRPr="00082926">
        <w:rPr>
          <w:rFonts w:eastAsiaTheme="majorEastAsia" w:cs="Arial"/>
          <w:bCs/>
          <w:lang w:bidi="en-US"/>
        </w:rPr>
        <w:t xml:space="preserve"> </w:t>
      </w:r>
    </w:p>
    <w:p w14:paraId="6ABC6C54" w14:textId="4DD99278" w:rsidR="00D164D6" w:rsidRPr="00D164D6" w:rsidRDefault="00D164D6" w:rsidP="00F914A4">
      <w:pPr>
        <w:numPr>
          <w:ilvl w:val="0"/>
          <w:numId w:val="17"/>
        </w:numPr>
        <w:rPr>
          <w:rFonts w:eastAsiaTheme="majorEastAsia" w:cs="Arial"/>
          <w:bCs/>
          <w:lang w:bidi="en-US"/>
        </w:rPr>
      </w:pPr>
      <w:r w:rsidRPr="00082926">
        <w:rPr>
          <w:rFonts w:eastAsiaTheme="majorEastAsia" w:cs="Arial"/>
          <w:bCs/>
          <w:lang w:bidi="en-US"/>
        </w:rPr>
        <w:t>Financial Counselling Australia (two positions)</w:t>
      </w:r>
    </w:p>
    <w:p w14:paraId="35CC5A97" w14:textId="0D08E05C" w:rsidR="00D164D6" w:rsidRPr="00D164D6" w:rsidRDefault="00AB1554" w:rsidP="00F914A4">
      <w:pPr>
        <w:pStyle w:val="ListParagraph"/>
        <w:numPr>
          <w:ilvl w:val="0"/>
          <w:numId w:val="17"/>
        </w:numPr>
        <w:ind w:left="714" w:hanging="357"/>
        <w:contextualSpacing w:val="0"/>
        <w:rPr>
          <w:rFonts w:eastAsiaTheme="majorEastAsia" w:cs="Arial"/>
          <w:bCs/>
          <w:lang w:bidi="en-US"/>
        </w:rPr>
      </w:pPr>
      <w:r w:rsidRPr="00082926">
        <w:rPr>
          <w:rFonts w:eastAsiaTheme="majorEastAsia" w:cs="Arial"/>
          <w:bCs/>
          <w:lang w:bidi="en-US"/>
        </w:rPr>
        <w:t xml:space="preserve">Insurance Council of Australia </w:t>
      </w:r>
    </w:p>
    <w:p w14:paraId="57B7D213" w14:textId="77777777" w:rsidR="00AB1554" w:rsidRPr="00082926" w:rsidRDefault="00AB1554" w:rsidP="00F914A4">
      <w:pPr>
        <w:pStyle w:val="ListParagraph"/>
        <w:numPr>
          <w:ilvl w:val="0"/>
          <w:numId w:val="17"/>
        </w:numPr>
        <w:ind w:left="714" w:hanging="357"/>
        <w:contextualSpacing w:val="0"/>
        <w:rPr>
          <w:rFonts w:eastAsiaTheme="majorEastAsia" w:cs="Arial"/>
          <w:bCs/>
          <w:lang w:bidi="en-US"/>
        </w:rPr>
      </w:pPr>
      <w:r w:rsidRPr="00082926">
        <w:rPr>
          <w:rFonts w:eastAsiaTheme="majorEastAsia" w:cs="Arial"/>
          <w:bCs/>
          <w:lang w:bidi="en-US"/>
        </w:rPr>
        <w:t xml:space="preserve">Responsible Wagering Australia </w:t>
      </w:r>
    </w:p>
    <w:p w14:paraId="169D0A83" w14:textId="7BA680DE" w:rsidR="00B36263" w:rsidRPr="00B36263" w:rsidRDefault="00836648" w:rsidP="00F914A4">
      <w:pPr>
        <w:numPr>
          <w:ilvl w:val="0"/>
          <w:numId w:val="17"/>
        </w:numPr>
        <w:rPr>
          <w:rFonts w:eastAsiaTheme="majorEastAsia" w:cs="Arial"/>
          <w:bCs/>
          <w:lang w:bidi="en-US"/>
        </w:rPr>
      </w:pPr>
      <w:r>
        <w:rPr>
          <w:rFonts w:eastAsiaTheme="majorEastAsia" w:cs="Arial"/>
          <w:bCs/>
          <w:lang w:bidi="en-US"/>
        </w:rPr>
        <w:t xml:space="preserve">The </w:t>
      </w:r>
      <w:r w:rsidR="00AB1554" w:rsidRPr="00082926">
        <w:rPr>
          <w:rFonts w:eastAsiaTheme="majorEastAsia" w:cs="Arial"/>
          <w:bCs/>
          <w:lang w:bidi="en-US"/>
        </w:rPr>
        <w:t>Salvation Ar</w:t>
      </w:r>
      <w:r w:rsidR="00343E71">
        <w:rPr>
          <w:rFonts w:eastAsiaTheme="majorEastAsia" w:cs="Arial"/>
          <w:bCs/>
          <w:lang w:bidi="en-US"/>
        </w:rPr>
        <w:t>my.</w:t>
      </w:r>
    </w:p>
    <w:p w14:paraId="21A8FBA3" w14:textId="10A8F2D5" w:rsidR="00B36263" w:rsidRDefault="00B36263" w:rsidP="00877ADE">
      <w:pPr>
        <w:rPr>
          <w:rFonts w:eastAsiaTheme="majorEastAsia" w:cs="Arial"/>
          <w:bCs/>
          <w:lang w:bidi="en-US"/>
        </w:rPr>
      </w:pPr>
      <w:r>
        <w:rPr>
          <w:rFonts w:eastAsiaTheme="majorEastAsia" w:cs="Arial"/>
          <w:bCs/>
          <w:lang w:bidi="en-US"/>
        </w:rPr>
        <w:t>The Advisory Group’s terms of reference include providing strategic, expert and evidence-based advice to the Department on:</w:t>
      </w:r>
    </w:p>
    <w:p w14:paraId="6ACA70F5" w14:textId="065E34DF" w:rsidR="00B36263" w:rsidRPr="008C45FF" w:rsidRDefault="00B36263" w:rsidP="00F914A4">
      <w:pPr>
        <w:pStyle w:val="ListParagraph"/>
        <w:numPr>
          <w:ilvl w:val="0"/>
          <w:numId w:val="6"/>
        </w:numPr>
        <w:contextualSpacing w:val="0"/>
        <w:rPr>
          <w:rFonts w:eastAsiaTheme="majorEastAsia"/>
        </w:rPr>
      </w:pPr>
      <w:r w:rsidRPr="008C45FF">
        <w:rPr>
          <w:rFonts w:eastAsiaTheme="majorEastAsia"/>
        </w:rPr>
        <w:t xml:space="preserve">the design and </w:t>
      </w:r>
      <w:r>
        <w:rPr>
          <w:rFonts w:eastAsiaTheme="majorEastAsia"/>
        </w:rPr>
        <w:t>establishment</w:t>
      </w:r>
      <w:r w:rsidRPr="008C45FF">
        <w:rPr>
          <w:rFonts w:eastAsiaTheme="majorEastAsia"/>
        </w:rPr>
        <w:t xml:space="preserve"> of the</w:t>
      </w:r>
      <w:r>
        <w:rPr>
          <w:rFonts w:eastAsiaTheme="majorEastAsia"/>
        </w:rPr>
        <w:t xml:space="preserve"> mode</w:t>
      </w:r>
      <w:r w:rsidRPr="008C45FF">
        <w:rPr>
          <w:rFonts w:eastAsiaTheme="majorEastAsia"/>
        </w:rPr>
        <w:t>l, including ways to encourage industry funding contributions</w:t>
      </w:r>
      <w:r w:rsidR="006B36E4">
        <w:rPr>
          <w:rFonts w:eastAsiaTheme="majorEastAsia"/>
        </w:rPr>
        <w:t>;</w:t>
      </w:r>
    </w:p>
    <w:p w14:paraId="735C518D" w14:textId="671EF872" w:rsidR="00B36263" w:rsidRDefault="00B36263" w:rsidP="00877ADE">
      <w:pPr>
        <w:numPr>
          <w:ilvl w:val="0"/>
          <w:numId w:val="5"/>
        </w:numPr>
        <w:rPr>
          <w:rFonts w:eastAsiaTheme="majorEastAsia"/>
        </w:rPr>
      </w:pPr>
      <w:r w:rsidRPr="008C45FF">
        <w:rPr>
          <w:rFonts w:eastAsiaTheme="majorEastAsia"/>
        </w:rPr>
        <w:t>consultation with industry sectors, businesses and the financial counselling sector</w:t>
      </w:r>
      <w:r w:rsidR="006B36E4">
        <w:rPr>
          <w:rFonts w:eastAsiaTheme="majorEastAsia"/>
        </w:rPr>
        <w:t>;</w:t>
      </w:r>
    </w:p>
    <w:p w14:paraId="37B17374" w14:textId="6E6F956A" w:rsidR="00B36263" w:rsidRPr="008C45FF" w:rsidRDefault="00B36263" w:rsidP="00F914A4">
      <w:pPr>
        <w:numPr>
          <w:ilvl w:val="0"/>
          <w:numId w:val="5"/>
        </w:numPr>
        <w:rPr>
          <w:rFonts w:eastAsiaTheme="majorEastAsia"/>
        </w:rPr>
      </w:pPr>
      <w:r>
        <w:rPr>
          <w:rFonts w:eastAsiaTheme="majorEastAsia"/>
        </w:rPr>
        <w:t xml:space="preserve">consultation with states and territories on state-regulated bodies and ongoing funding </w:t>
      </w:r>
      <w:r w:rsidR="006136F1">
        <w:rPr>
          <w:rFonts w:eastAsiaTheme="majorEastAsia"/>
        </w:rPr>
        <w:t xml:space="preserve">for </w:t>
      </w:r>
      <w:r>
        <w:rPr>
          <w:rFonts w:eastAsiaTheme="majorEastAsia"/>
        </w:rPr>
        <w:t>financial counselling services</w:t>
      </w:r>
      <w:r w:rsidR="006B36E4">
        <w:rPr>
          <w:rFonts w:eastAsiaTheme="majorEastAsia"/>
        </w:rPr>
        <w:t>;</w:t>
      </w:r>
    </w:p>
    <w:p w14:paraId="2DA6EBE7" w14:textId="456B5CAB" w:rsidR="00B36263" w:rsidRPr="008C45FF" w:rsidRDefault="00B36263">
      <w:pPr>
        <w:numPr>
          <w:ilvl w:val="0"/>
          <w:numId w:val="5"/>
        </w:numPr>
        <w:rPr>
          <w:rFonts w:eastAsiaTheme="majorEastAsia"/>
        </w:rPr>
      </w:pPr>
      <w:r w:rsidRPr="008C45FF">
        <w:rPr>
          <w:rFonts w:eastAsiaTheme="majorEastAsia"/>
        </w:rPr>
        <w:t>data and evaluation methodology</w:t>
      </w:r>
      <w:r>
        <w:rPr>
          <w:rFonts w:eastAsiaTheme="majorEastAsia"/>
        </w:rPr>
        <w:t xml:space="preserve"> to support the model</w:t>
      </w:r>
      <w:r w:rsidR="006B36E4">
        <w:rPr>
          <w:rFonts w:eastAsiaTheme="majorEastAsia"/>
        </w:rPr>
        <w:t>;</w:t>
      </w:r>
    </w:p>
    <w:p w14:paraId="77B4D0AF" w14:textId="4BA1AADA" w:rsidR="00B36263" w:rsidRPr="008C45FF" w:rsidRDefault="00B36263">
      <w:pPr>
        <w:numPr>
          <w:ilvl w:val="0"/>
          <w:numId w:val="5"/>
        </w:numPr>
        <w:rPr>
          <w:rFonts w:eastAsiaTheme="majorEastAsia"/>
        </w:rPr>
      </w:pPr>
      <w:r w:rsidRPr="008C45FF">
        <w:rPr>
          <w:rFonts w:eastAsiaTheme="majorEastAsia"/>
        </w:rPr>
        <w:t>key steps and timing for</w:t>
      </w:r>
      <w:r>
        <w:rPr>
          <w:rFonts w:eastAsiaTheme="majorEastAsia"/>
        </w:rPr>
        <w:t xml:space="preserve"> </w:t>
      </w:r>
      <w:r w:rsidR="00352853">
        <w:rPr>
          <w:rFonts w:eastAsiaTheme="majorEastAsia"/>
        </w:rPr>
        <w:t xml:space="preserve">the </w:t>
      </w:r>
      <w:r>
        <w:rPr>
          <w:rFonts w:eastAsiaTheme="majorEastAsia"/>
        </w:rPr>
        <w:t>establishment of the model</w:t>
      </w:r>
      <w:r w:rsidR="006B36E4">
        <w:rPr>
          <w:rFonts w:eastAsiaTheme="majorEastAsia"/>
        </w:rPr>
        <w:t>; and</w:t>
      </w:r>
    </w:p>
    <w:p w14:paraId="6EB6CC9F" w14:textId="4DD42B9D" w:rsidR="00B36263" w:rsidRPr="008C45FF" w:rsidRDefault="00B36263">
      <w:pPr>
        <w:numPr>
          <w:ilvl w:val="0"/>
          <w:numId w:val="5"/>
        </w:numPr>
        <w:rPr>
          <w:rFonts w:eastAsiaTheme="majorEastAsia"/>
          <w:bCs/>
        </w:rPr>
      </w:pPr>
      <w:r w:rsidRPr="008C45FF">
        <w:rPr>
          <w:rFonts w:eastAsiaTheme="majorEastAsia"/>
        </w:rPr>
        <w:t>the sc</w:t>
      </w:r>
      <w:r>
        <w:rPr>
          <w:rFonts w:eastAsiaTheme="majorEastAsia"/>
        </w:rPr>
        <w:t xml:space="preserve">ope and role of the </w:t>
      </w:r>
      <w:r w:rsidR="00E70C12">
        <w:rPr>
          <w:rFonts w:eastAsiaTheme="majorEastAsia"/>
        </w:rPr>
        <w:t>independent</w:t>
      </w:r>
      <w:r>
        <w:rPr>
          <w:rFonts w:eastAsiaTheme="majorEastAsia"/>
        </w:rPr>
        <w:t xml:space="preserve"> </w:t>
      </w:r>
      <w:r w:rsidR="00E94CFE">
        <w:rPr>
          <w:rFonts w:eastAsiaTheme="majorEastAsia"/>
        </w:rPr>
        <w:t>b</w:t>
      </w:r>
      <w:r>
        <w:rPr>
          <w:rFonts w:eastAsiaTheme="majorEastAsia"/>
        </w:rPr>
        <w:t>ody</w:t>
      </w:r>
      <w:r w:rsidRPr="008C45FF">
        <w:rPr>
          <w:rFonts w:eastAsiaTheme="majorEastAsia"/>
        </w:rPr>
        <w:t xml:space="preserve"> for industry funding</w:t>
      </w:r>
      <w:r>
        <w:rPr>
          <w:rFonts w:eastAsiaTheme="majorEastAsia"/>
        </w:rPr>
        <w:t xml:space="preserve"> under the model</w:t>
      </w:r>
      <w:r w:rsidRPr="008C45FF">
        <w:rPr>
          <w:rFonts w:eastAsiaTheme="majorEastAsia"/>
        </w:rPr>
        <w:t>, including governance.</w:t>
      </w:r>
    </w:p>
    <w:p w14:paraId="75D4E41F" w14:textId="77777777" w:rsidR="00B36263" w:rsidRDefault="00B36263">
      <w:pPr>
        <w:rPr>
          <w:rFonts w:eastAsiaTheme="majorEastAsia"/>
        </w:rPr>
      </w:pPr>
      <w:r>
        <w:rPr>
          <w:rFonts w:eastAsiaTheme="majorEastAsia"/>
        </w:rPr>
        <w:t xml:space="preserve">Where relevant, the </w:t>
      </w:r>
      <w:r w:rsidRPr="006670B0">
        <w:rPr>
          <w:rFonts w:eastAsiaTheme="majorEastAsia"/>
        </w:rPr>
        <w:t xml:space="preserve">Advisory Group may </w:t>
      </w:r>
      <w:r>
        <w:rPr>
          <w:rFonts w:eastAsiaTheme="majorEastAsia"/>
        </w:rPr>
        <w:t>also:</w:t>
      </w:r>
    </w:p>
    <w:p w14:paraId="03407CEA" w14:textId="32798421" w:rsidR="00B36263" w:rsidRDefault="00B36263">
      <w:pPr>
        <w:numPr>
          <w:ilvl w:val="0"/>
          <w:numId w:val="5"/>
        </w:numPr>
        <w:rPr>
          <w:rFonts w:eastAsiaTheme="majorEastAsia"/>
        </w:rPr>
      </w:pPr>
      <w:r>
        <w:rPr>
          <w:rFonts w:eastAsiaTheme="majorEastAsia"/>
        </w:rPr>
        <w:t>advise on opportunities for national coordination, particularly in relation to data and service delivery</w:t>
      </w:r>
      <w:r w:rsidR="006B36E4">
        <w:rPr>
          <w:rFonts w:eastAsiaTheme="majorEastAsia"/>
        </w:rPr>
        <w:t>;</w:t>
      </w:r>
    </w:p>
    <w:p w14:paraId="5C04D607" w14:textId="7308B8D8" w:rsidR="00B36263" w:rsidRDefault="00B36263">
      <w:pPr>
        <w:numPr>
          <w:ilvl w:val="0"/>
          <w:numId w:val="5"/>
        </w:numPr>
        <w:rPr>
          <w:rFonts w:eastAsiaTheme="majorEastAsia"/>
        </w:rPr>
      </w:pPr>
      <w:r>
        <w:rPr>
          <w:rFonts w:eastAsiaTheme="majorEastAsia"/>
        </w:rPr>
        <w:t>undertake awareness raising and information sharing within respective sectors and the broader community sector on the model</w:t>
      </w:r>
      <w:r w:rsidR="006B36E4">
        <w:rPr>
          <w:rFonts w:eastAsiaTheme="majorEastAsia"/>
        </w:rPr>
        <w:t>; and</w:t>
      </w:r>
    </w:p>
    <w:p w14:paraId="4093AD27" w14:textId="77777777" w:rsidR="00B36263" w:rsidRPr="001A06FA" w:rsidRDefault="00B36263">
      <w:pPr>
        <w:numPr>
          <w:ilvl w:val="0"/>
          <w:numId w:val="5"/>
        </w:numPr>
        <w:rPr>
          <w:rFonts w:eastAsiaTheme="majorEastAsia"/>
        </w:rPr>
      </w:pPr>
      <w:r>
        <w:rPr>
          <w:rFonts w:eastAsiaTheme="majorEastAsia"/>
        </w:rPr>
        <w:t xml:space="preserve">facilitate expert advice, as needed </w:t>
      </w:r>
      <w:r w:rsidRPr="001A06FA">
        <w:rPr>
          <w:rFonts w:eastAsiaTheme="majorEastAsia"/>
        </w:rPr>
        <w:t>to inform Advisory Group discussions.</w:t>
      </w:r>
    </w:p>
    <w:p w14:paraId="3253A7AE" w14:textId="34167373" w:rsidR="000E1CE5" w:rsidRPr="00B036E5" w:rsidRDefault="00B36263">
      <w:r w:rsidRPr="00B036E5">
        <w:t xml:space="preserve">The initial term of the Advisory Group is 12 months to June 2023, with a possible extension of up to 12 months. </w:t>
      </w:r>
    </w:p>
    <w:p w14:paraId="7128EEC9" w14:textId="44D16787" w:rsidR="00351578" w:rsidRPr="00B036E5" w:rsidRDefault="00351578" w:rsidP="00F914A4">
      <w:pPr>
        <w:rPr>
          <w:b/>
        </w:rPr>
      </w:pPr>
      <w:r w:rsidRPr="00B036E5">
        <w:rPr>
          <w:b/>
        </w:rPr>
        <w:t xml:space="preserve">How are state and territory governments involved? </w:t>
      </w:r>
    </w:p>
    <w:p w14:paraId="1CE397EE" w14:textId="6AB96864" w:rsidR="00AB1554" w:rsidRPr="00B036E5" w:rsidRDefault="0004465F" w:rsidP="00F914A4">
      <w:r w:rsidRPr="00B036E5">
        <w:t xml:space="preserve">A forum has also been established between DSS and states and territories to ensure they are able to provide input into the development and implementation of </w:t>
      </w:r>
      <w:r w:rsidR="00067F67" w:rsidRPr="00B036E5">
        <w:t xml:space="preserve">the </w:t>
      </w:r>
      <w:r w:rsidRPr="00B036E5">
        <w:t xml:space="preserve">industry funding model, discuss funding commitments for financial counselling by all governments, and progress shared goals around national coordination of data. </w:t>
      </w:r>
    </w:p>
    <w:p w14:paraId="257CCC25" w14:textId="647E43DE" w:rsidR="00AB1554" w:rsidRDefault="00AB1554" w:rsidP="00FE094E">
      <w:pPr>
        <w:spacing w:before="60" w:after="120"/>
        <w:rPr>
          <w:rFonts w:cs="Arial"/>
          <w:lang w:bidi="en-US"/>
        </w:rPr>
      </w:pPr>
    </w:p>
    <w:p w14:paraId="5AFE7C01" w14:textId="77777777" w:rsidR="00AB1554" w:rsidRPr="00FE094E" w:rsidRDefault="00AB1554" w:rsidP="00FE094E">
      <w:pPr>
        <w:spacing w:before="60" w:after="120"/>
        <w:rPr>
          <w:rFonts w:cs="Arial"/>
          <w:lang w:bidi="en-US"/>
        </w:rPr>
      </w:pPr>
    </w:p>
    <w:p w14:paraId="5BCFE6E0" w14:textId="67711F85" w:rsidR="00733CA6" w:rsidRPr="002A3B93" w:rsidRDefault="00733CA6" w:rsidP="00FE094E">
      <w:pPr>
        <w:spacing w:before="60" w:after="120"/>
        <w:rPr>
          <w:rFonts w:eastAsiaTheme="majorEastAsia"/>
        </w:rPr>
      </w:pPr>
    </w:p>
    <w:p w14:paraId="4A78522B" w14:textId="0A2B591A" w:rsidR="00A266D7" w:rsidRDefault="00A266D7">
      <w:pPr>
        <w:spacing w:after="200" w:line="276" w:lineRule="auto"/>
        <w:rPr>
          <w:rFonts w:cs="Arial"/>
          <w:highlight w:val="yellow"/>
          <w:lang w:bidi="en-US"/>
        </w:rPr>
      </w:pPr>
      <w:r>
        <w:rPr>
          <w:rFonts w:cs="Arial"/>
          <w:highlight w:val="yellow"/>
          <w:lang w:bidi="en-US"/>
        </w:rPr>
        <w:br w:type="page"/>
      </w:r>
    </w:p>
    <w:p w14:paraId="5F1E5148" w14:textId="1CD6C614" w:rsidR="00D504CE" w:rsidRPr="004E1899" w:rsidRDefault="00075ABE" w:rsidP="004E1899">
      <w:pPr>
        <w:pStyle w:val="Heading1"/>
        <w:spacing w:before="0"/>
      </w:pPr>
      <w:bookmarkStart w:id="2" w:name="_Toc95144627"/>
      <w:bookmarkStart w:id="3" w:name="_Toc95144656"/>
      <w:bookmarkStart w:id="4" w:name="_Toc95144712"/>
      <w:bookmarkStart w:id="5" w:name="_Toc95144977"/>
      <w:bookmarkStart w:id="6" w:name="_Toc95145288"/>
      <w:bookmarkStart w:id="7" w:name="_Toc95207427"/>
      <w:bookmarkStart w:id="8" w:name="_Toc95207501"/>
      <w:bookmarkStart w:id="9" w:name="_Toc95209098"/>
      <w:bookmarkStart w:id="10" w:name="_Toc95209179"/>
      <w:bookmarkStart w:id="11" w:name="_Toc95210936"/>
      <w:bookmarkStart w:id="12" w:name="_Toc95213336"/>
      <w:bookmarkStart w:id="13" w:name="_Toc95213962"/>
      <w:bookmarkStart w:id="14" w:name="_Toc95215481"/>
      <w:bookmarkStart w:id="15" w:name="_Toc118288270"/>
      <w:bookmarkEnd w:id="2"/>
      <w:bookmarkEnd w:id="3"/>
      <w:bookmarkEnd w:id="4"/>
      <w:bookmarkEnd w:id="5"/>
      <w:bookmarkEnd w:id="6"/>
      <w:bookmarkEnd w:id="7"/>
      <w:bookmarkEnd w:id="8"/>
      <w:bookmarkEnd w:id="9"/>
      <w:bookmarkEnd w:id="10"/>
      <w:bookmarkEnd w:id="11"/>
      <w:bookmarkEnd w:id="12"/>
      <w:bookmarkEnd w:id="13"/>
      <w:bookmarkEnd w:id="14"/>
      <w:r w:rsidRPr="004E1899">
        <w:lastRenderedPageBreak/>
        <w:t>Overview of the proposed model</w:t>
      </w:r>
      <w:bookmarkEnd w:id="15"/>
      <w:r w:rsidR="00D504CE" w:rsidRPr="004E1899">
        <w:t xml:space="preserve"> </w:t>
      </w:r>
    </w:p>
    <w:p w14:paraId="214B1C49" w14:textId="3A049BCF" w:rsidR="00D87BB8" w:rsidRDefault="00D213E9" w:rsidP="00F914A4">
      <w:pPr>
        <w:tabs>
          <w:tab w:val="left" w:pos="720"/>
        </w:tabs>
      </w:pPr>
      <w:r>
        <w:t xml:space="preserve">The objective of the </w:t>
      </w:r>
      <w:r w:rsidR="00A41273">
        <w:t xml:space="preserve">proposed </w:t>
      </w:r>
      <w:r>
        <w:t xml:space="preserve">industry funding model </w:t>
      </w:r>
      <w:r w:rsidR="00937645">
        <w:t xml:space="preserve">is to </w:t>
      </w:r>
      <w:r w:rsidR="000F1E4E">
        <w:t xml:space="preserve">receive </w:t>
      </w:r>
      <w:r w:rsidR="00937645">
        <w:t xml:space="preserve">and distribute </w:t>
      </w:r>
      <w:r w:rsidR="00A41273">
        <w:t xml:space="preserve">voluntary </w:t>
      </w:r>
      <w:r w:rsidR="000F1E4E">
        <w:t xml:space="preserve">industry </w:t>
      </w:r>
      <w:r w:rsidR="00937645">
        <w:t xml:space="preserve">contributions to </w:t>
      </w:r>
      <w:r w:rsidR="00661D7E">
        <w:t xml:space="preserve">help </w:t>
      </w:r>
      <w:r w:rsidR="00937645">
        <w:t>address unmet demand for financial counselling services</w:t>
      </w:r>
      <w:r w:rsidR="000F1E4E">
        <w:t xml:space="preserve">, so more people in financial </w:t>
      </w:r>
      <w:r w:rsidR="00956817">
        <w:t xml:space="preserve">hardship </w:t>
      </w:r>
      <w:r w:rsidR="000F1E4E">
        <w:t>can access the support they need</w:t>
      </w:r>
      <w:r w:rsidR="00937645">
        <w:t>. Industry funding will help to increase free, independent financial counselling services for people in financial difficulty.</w:t>
      </w:r>
    </w:p>
    <w:p w14:paraId="73FF1C9F" w14:textId="19B2FD0B" w:rsidR="00D87BB8" w:rsidRDefault="00D87BB8" w:rsidP="00F914A4">
      <w:pPr>
        <w:tabs>
          <w:tab w:val="left" w:pos="720"/>
        </w:tabs>
      </w:pPr>
      <w:r>
        <w:t>The industry funding model is comprised of two key components:</w:t>
      </w:r>
    </w:p>
    <w:p w14:paraId="1E2DFC2E" w14:textId="329ADEF4" w:rsidR="00D87BB8" w:rsidRPr="007F40D4" w:rsidRDefault="00F12BDD" w:rsidP="00F914A4">
      <w:pPr>
        <w:pStyle w:val="ListParagraph"/>
        <w:numPr>
          <w:ilvl w:val="0"/>
          <w:numId w:val="13"/>
        </w:numPr>
        <w:ind w:left="714" w:hanging="357"/>
        <w:contextualSpacing w:val="0"/>
        <w:rPr>
          <w:rFonts w:eastAsia="Times New Roman" w:cstheme="minorHAnsi"/>
        </w:rPr>
      </w:pPr>
      <w:r>
        <w:rPr>
          <w:rFonts w:eastAsia="Times New Roman" w:cstheme="minorHAnsi"/>
        </w:rPr>
        <w:t>a specified</w:t>
      </w:r>
      <w:r w:rsidR="00D87BB8" w:rsidRPr="007F40D4">
        <w:rPr>
          <w:rFonts w:eastAsia="Times New Roman" w:cstheme="minorHAnsi"/>
        </w:rPr>
        <w:t xml:space="preserve"> quantum </w:t>
      </w:r>
      <w:r w:rsidR="00847552">
        <w:rPr>
          <w:rFonts w:eastAsia="Times New Roman" w:cstheme="minorHAnsi"/>
        </w:rPr>
        <w:t xml:space="preserve">of </w:t>
      </w:r>
      <w:r w:rsidR="000F1E4E">
        <w:rPr>
          <w:rFonts w:eastAsia="Times New Roman" w:cstheme="minorHAnsi"/>
        </w:rPr>
        <w:t xml:space="preserve">industry funding </w:t>
      </w:r>
      <w:r w:rsidR="00D53534">
        <w:rPr>
          <w:rFonts w:eastAsia="Times New Roman" w:cstheme="minorHAnsi"/>
        </w:rPr>
        <w:t xml:space="preserve">needed to help address unmet demand for services, </w:t>
      </w:r>
      <w:r w:rsidR="000F1E4E">
        <w:rPr>
          <w:rFonts w:eastAsia="Times New Roman" w:cstheme="minorHAnsi"/>
        </w:rPr>
        <w:t xml:space="preserve">and the split </w:t>
      </w:r>
      <w:r w:rsidR="00D53534">
        <w:rPr>
          <w:rFonts w:eastAsia="Times New Roman" w:cstheme="minorHAnsi"/>
        </w:rPr>
        <w:t xml:space="preserve">of the quantum </w:t>
      </w:r>
      <w:r w:rsidR="000F1E4E">
        <w:rPr>
          <w:rFonts w:eastAsia="Times New Roman" w:cstheme="minorHAnsi"/>
        </w:rPr>
        <w:t xml:space="preserve">among </w:t>
      </w:r>
      <w:r w:rsidR="00352853">
        <w:rPr>
          <w:rFonts w:eastAsia="Times New Roman" w:cstheme="minorHAnsi"/>
        </w:rPr>
        <w:t xml:space="preserve">industry </w:t>
      </w:r>
      <w:r w:rsidR="000F1E4E">
        <w:rPr>
          <w:rFonts w:eastAsia="Times New Roman" w:cstheme="minorHAnsi"/>
        </w:rPr>
        <w:t>subsectors</w:t>
      </w:r>
      <w:r w:rsidR="00D87BB8" w:rsidRPr="007F40D4">
        <w:rPr>
          <w:rFonts w:eastAsia="Times New Roman" w:cstheme="minorHAnsi"/>
        </w:rPr>
        <w:t>; and</w:t>
      </w:r>
    </w:p>
    <w:p w14:paraId="2CDB55F4" w14:textId="63C11F59" w:rsidR="00D87BB8" w:rsidRPr="007F40D4" w:rsidRDefault="00F12BDD" w:rsidP="00F914A4">
      <w:pPr>
        <w:pStyle w:val="ListParagraph"/>
        <w:numPr>
          <w:ilvl w:val="0"/>
          <w:numId w:val="13"/>
        </w:numPr>
        <w:ind w:left="714" w:hanging="357"/>
        <w:contextualSpacing w:val="0"/>
        <w:rPr>
          <w:rFonts w:eastAsia="Times New Roman" w:cstheme="minorHAnsi"/>
        </w:rPr>
      </w:pPr>
      <w:r>
        <w:rPr>
          <w:rFonts w:eastAsia="Times New Roman" w:cstheme="minorHAnsi"/>
        </w:rPr>
        <w:t>an</w:t>
      </w:r>
      <w:r w:rsidR="00D87BB8" w:rsidRPr="007F40D4">
        <w:rPr>
          <w:rFonts w:eastAsia="Times New Roman" w:cstheme="minorHAnsi"/>
        </w:rPr>
        <w:t xml:space="preserve"> independent body </w:t>
      </w:r>
      <w:r>
        <w:rPr>
          <w:rFonts w:eastAsia="Times New Roman" w:cstheme="minorHAnsi"/>
        </w:rPr>
        <w:t>to</w:t>
      </w:r>
      <w:r w:rsidR="00D87BB8" w:rsidRPr="007F40D4">
        <w:rPr>
          <w:rFonts w:eastAsia="Times New Roman" w:cstheme="minorHAnsi"/>
        </w:rPr>
        <w:t xml:space="preserve"> collect and distribute </w:t>
      </w:r>
      <w:r w:rsidR="00396ED0">
        <w:rPr>
          <w:rFonts w:eastAsia="Times New Roman" w:cstheme="minorHAnsi"/>
        </w:rPr>
        <w:t xml:space="preserve">industry </w:t>
      </w:r>
      <w:r w:rsidR="002633F0">
        <w:rPr>
          <w:rFonts w:eastAsia="Times New Roman" w:cstheme="minorHAnsi"/>
        </w:rPr>
        <w:t>contributions</w:t>
      </w:r>
      <w:r w:rsidR="00D87BB8" w:rsidRPr="007F40D4">
        <w:rPr>
          <w:rFonts w:eastAsia="Times New Roman" w:cstheme="minorHAnsi"/>
        </w:rPr>
        <w:t xml:space="preserve">. </w:t>
      </w:r>
    </w:p>
    <w:p w14:paraId="523ACB00" w14:textId="7FBF45A0" w:rsidR="00A127D1" w:rsidRPr="00E45624" w:rsidRDefault="00D04FA8" w:rsidP="00F914A4">
      <w:pPr>
        <w:rPr>
          <w:rFonts w:eastAsia="Calibri" w:cstheme="minorHAnsi"/>
        </w:rPr>
      </w:pPr>
      <w:r>
        <w:rPr>
          <w:rFonts w:eastAsia="Calibri" w:cstheme="minorHAnsi"/>
        </w:rPr>
        <w:t xml:space="preserve">Based on the findings of the Sylvan Review and informed by </w:t>
      </w:r>
      <w:r w:rsidR="00ED1E95">
        <w:rPr>
          <w:rFonts w:eastAsia="Calibri" w:cstheme="minorHAnsi"/>
        </w:rPr>
        <w:t xml:space="preserve">feedback </w:t>
      </w:r>
      <w:r w:rsidR="008154C5">
        <w:rPr>
          <w:rFonts w:eastAsia="Calibri" w:cstheme="minorHAnsi"/>
        </w:rPr>
        <w:t xml:space="preserve">from </w:t>
      </w:r>
      <w:r w:rsidR="00ED1E95">
        <w:rPr>
          <w:rFonts w:eastAsia="Calibri" w:cstheme="minorHAnsi"/>
        </w:rPr>
        <w:t>stakeholders during previous consultations,</w:t>
      </w:r>
      <w:r>
        <w:rPr>
          <w:rFonts w:eastAsia="Calibri" w:cstheme="minorHAnsi"/>
        </w:rPr>
        <w:t xml:space="preserve"> </w:t>
      </w:r>
      <w:r w:rsidR="00712067">
        <w:rPr>
          <w:rFonts w:eastAsia="Calibri" w:cstheme="minorHAnsi"/>
        </w:rPr>
        <w:t xml:space="preserve">the Department </w:t>
      </w:r>
      <w:r w:rsidR="003A1037">
        <w:rPr>
          <w:rFonts w:eastAsia="Calibri" w:cstheme="minorHAnsi"/>
        </w:rPr>
        <w:t xml:space="preserve">has devised </w:t>
      </w:r>
      <w:r w:rsidR="00712067">
        <w:rPr>
          <w:rFonts w:eastAsia="Calibri" w:cstheme="minorHAnsi"/>
        </w:rPr>
        <w:t>t</w:t>
      </w:r>
      <w:r w:rsidR="00A127D1" w:rsidRPr="00E45624">
        <w:rPr>
          <w:rFonts w:eastAsia="Calibri" w:cstheme="minorHAnsi"/>
        </w:rPr>
        <w:t xml:space="preserve">he following </w:t>
      </w:r>
      <w:r w:rsidR="00C362EA">
        <w:rPr>
          <w:rFonts w:eastAsia="Calibri" w:cstheme="minorHAnsi"/>
        </w:rPr>
        <w:t xml:space="preserve">six </w:t>
      </w:r>
      <w:r w:rsidR="00A127D1" w:rsidRPr="00E45624">
        <w:rPr>
          <w:rFonts w:eastAsia="Calibri" w:cstheme="minorHAnsi"/>
        </w:rPr>
        <w:t xml:space="preserve">principles </w:t>
      </w:r>
      <w:r w:rsidR="006136F1">
        <w:rPr>
          <w:rFonts w:eastAsia="Calibri" w:cstheme="minorHAnsi"/>
        </w:rPr>
        <w:t xml:space="preserve">to </w:t>
      </w:r>
      <w:r w:rsidR="00A127D1" w:rsidRPr="00E45624">
        <w:rPr>
          <w:rFonts w:eastAsia="Calibri" w:cstheme="minorHAnsi"/>
        </w:rPr>
        <w:t xml:space="preserve">guide the development of the </w:t>
      </w:r>
      <w:r w:rsidR="00F12BDD">
        <w:rPr>
          <w:rFonts w:eastAsia="Calibri" w:cstheme="minorHAnsi"/>
        </w:rPr>
        <w:t xml:space="preserve">two key components of the </w:t>
      </w:r>
      <w:r w:rsidR="00A127D1" w:rsidRPr="00E45624">
        <w:rPr>
          <w:rFonts w:eastAsia="Calibri" w:cstheme="minorHAnsi"/>
        </w:rPr>
        <w:t>industry funding model:</w:t>
      </w:r>
    </w:p>
    <w:p w14:paraId="348A97DE" w14:textId="7FDE210C" w:rsidR="00A127D1" w:rsidRPr="00E45624" w:rsidRDefault="00A127D1" w:rsidP="00F914A4">
      <w:pPr>
        <w:pStyle w:val="ListParagraph"/>
        <w:numPr>
          <w:ilvl w:val="0"/>
          <w:numId w:val="47"/>
        </w:numPr>
        <w:contextualSpacing w:val="0"/>
        <w:rPr>
          <w:rFonts w:eastAsia="Times New Roman" w:cstheme="minorHAnsi"/>
        </w:rPr>
      </w:pPr>
      <w:r w:rsidRPr="00E45624">
        <w:rPr>
          <w:rFonts w:eastAsia="Times New Roman" w:cstheme="minorHAnsi"/>
        </w:rPr>
        <w:t>Industry funding helps to address unmet demand and improves the predictability and stability of funding for financial counselling services</w:t>
      </w:r>
      <w:r w:rsidR="00847552">
        <w:rPr>
          <w:rFonts w:eastAsia="Times New Roman" w:cstheme="minorHAnsi"/>
        </w:rPr>
        <w:t>.</w:t>
      </w:r>
      <w:r w:rsidRPr="00E45624">
        <w:rPr>
          <w:rFonts w:eastAsia="Times New Roman" w:cstheme="minorHAnsi"/>
        </w:rPr>
        <w:t xml:space="preserve"> </w:t>
      </w:r>
    </w:p>
    <w:p w14:paraId="43F0E375" w14:textId="0E8752E7" w:rsidR="00A127D1" w:rsidRPr="00E45624" w:rsidRDefault="00A127D1" w:rsidP="00F914A4">
      <w:pPr>
        <w:pStyle w:val="ListParagraph"/>
        <w:numPr>
          <w:ilvl w:val="0"/>
          <w:numId w:val="47"/>
        </w:numPr>
        <w:ind w:left="714" w:hanging="357"/>
        <w:contextualSpacing w:val="0"/>
        <w:rPr>
          <w:rFonts w:eastAsia="Times New Roman" w:cstheme="minorHAnsi"/>
        </w:rPr>
      </w:pPr>
      <w:r w:rsidRPr="00E45624">
        <w:rPr>
          <w:rFonts w:eastAsia="Times New Roman" w:cstheme="minorHAnsi"/>
        </w:rPr>
        <w:t>Industries that contribute to the demand</w:t>
      </w:r>
      <w:r w:rsidR="00AF1B7B">
        <w:rPr>
          <w:rFonts w:eastAsia="Times New Roman" w:cstheme="minorHAnsi"/>
        </w:rPr>
        <w:t xml:space="preserve"> for</w:t>
      </w:r>
      <w:r w:rsidRPr="00E45624">
        <w:rPr>
          <w:rFonts w:eastAsia="Times New Roman" w:cstheme="minorHAnsi"/>
        </w:rPr>
        <w:t>, and benefit from, financial counselling, contribute to the funding of the services</w:t>
      </w:r>
      <w:r w:rsidR="00847552">
        <w:rPr>
          <w:rFonts w:eastAsia="Times New Roman" w:cstheme="minorHAnsi"/>
        </w:rPr>
        <w:t>.</w:t>
      </w:r>
    </w:p>
    <w:p w14:paraId="0B52E81B" w14:textId="558D3B54" w:rsidR="00A127D1" w:rsidRPr="00E45624" w:rsidRDefault="00D04FA8" w:rsidP="00F914A4">
      <w:pPr>
        <w:pStyle w:val="ListParagraph"/>
        <w:numPr>
          <w:ilvl w:val="0"/>
          <w:numId w:val="47"/>
        </w:numPr>
        <w:ind w:left="714" w:hanging="357"/>
        <w:contextualSpacing w:val="0"/>
        <w:rPr>
          <w:rFonts w:eastAsia="Times New Roman" w:cstheme="minorHAnsi"/>
        </w:rPr>
      </w:pPr>
      <w:r>
        <w:rPr>
          <w:rFonts w:eastAsia="Times New Roman" w:cstheme="minorHAnsi"/>
        </w:rPr>
        <w:t>Quantum and sp</w:t>
      </w:r>
      <w:r w:rsidR="00B54C72">
        <w:rPr>
          <w:rFonts w:eastAsia="Times New Roman" w:cstheme="minorHAnsi"/>
        </w:rPr>
        <w:t>lit</w:t>
      </w:r>
      <w:r>
        <w:rPr>
          <w:rFonts w:eastAsia="Times New Roman" w:cstheme="minorHAnsi"/>
        </w:rPr>
        <w:t xml:space="preserve"> of </w:t>
      </w:r>
      <w:r w:rsidR="00B77FBC">
        <w:rPr>
          <w:rFonts w:eastAsia="Times New Roman" w:cstheme="minorHAnsi"/>
        </w:rPr>
        <w:t>s</w:t>
      </w:r>
      <w:r w:rsidR="00A127D1" w:rsidRPr="00E45624">
        <w:rPr>
          <w:rFonts w:eastAsia="Times New Roman" w:cstheme="minorHAnsi"/>
        </w:rPr>
        <w:t xml:space="preserve">uggested </w:t>
      </w:r>
      <w:r>
        <w:rPr>
          <w:rFonts w:eastAsia="Times New Roman" w:cstheme="minorHAnsi"/>
        </w:rPr>
        <w:t xml:space="preserve">industry </w:t>
      </w:r>
      <w:r w:rsidR="00A127D1" w:rsidRPr="00E45624">
        <w:rPr>
          <w:rFonts w:eastAsia="Times New Roman" w:cstheme="minorHAnsi"/>
        </w:rPr>
        <w:t>contributions are determined on a fair and transparent basis</w:t>
      </w:r>
      <w:r w:rsidR="00847552">
        <w:rPr>
          <w:rFonts w:eastAsia="Times New Roman" w:cstheme="minorHAnsi"/>
        </w:rPr>
        <w:t>.</w:t>
      </w:r>
      <w:r w:rsidR="00A127D1" w:rsidRPr="00E45624">
        <w:rPr>
          <w:rFonts w:eastAsia="Times New Roman" w:cstheme="minorHAnsi"/>
        </w:rPr>
        <w:t xml:space="preserve">   </w:t>
      </w:r>
    </w:p>
    <w:p w14:paraId="069F1D2B" w14:textId="794C5C1B" w:rsidR="00A127D1" w:rsidRDefault="00A127D1" w:rsidP="00F914A4">
      <w:pPr>
        <w:pStyle w:val="ListParagraph"/>
        <w:numPr>
          <w:ilvl w:val="0"/>
          <w:numId w:val="47"/>
        </w:numPr>
        <w:ind w:left="714" w:hanging="357"/>
        <w:contextualSpacing w:val="0"/>
        <w:rPr>
          <w:rFonts w:eastAsia="Times New Roman" w:cstheme="minorHAnsi"/>
        </w:rPr>
      </w:pPr>
      <w:r w:rsidRPr="00E45624">
        <w:rPr>
          <w:rFonts w:eastAsia="Times New Roman" w:cstheme="minorHAnsi"/>
        </w:rPr>
        <w:t>Industry funding provides an additional funding stream to current funding sources</w:t>
      </w:r>
      <w:r w:rsidR="00847552">
        <w:rPr>
          <w:rFonts w:eastAsia="Times New Roman" w:cstheme="minorHAnsi"/>
        </w:rPr>
        <w:t>.</w:t>
      </w:r>
    </w:p>
    <w:p w14:paraId="212EA76E" w14:textId="608DE523" w:rsidR="00A127D1" w:rsidRDefault="00A127D1" w:rsidP="00F914A4">
      <w:pPr>
        <w:pStyle w:val="ListParagraph"/>
        <w:numPr>
          <w:ilvl w:val="0"/>
          <w:numId w:val="47"/>
        </w:numPr>
        <w:ind w:left="714" w:hanging="357"/>
        <w:contextualSpacing w:val="0"/>
        <w:rPr>
          <w:rFonts w:eastAsia="Times New Roman" w:cstheme="minorHAnsi"/>
        </w:rPr>
      </w:pPr>
      <w:r w:rsidRPr="00E45624">
        <w:rPr>
          <w:rFonts w:eastAsia="Times New Roman" w:cstheme="minorHAnsi"/>
        </w:rPr>
        <w:t>The operation and effectiveness of the model is supported by robust data and evidence collection and analysis</w:t>
      </w:r>
      <w:r w:rsidR="00847552">
        <w:rPr>
          <w:rFonts w:eastAsia="Times New Roman" w:cstheme="minorHAnsi"/>
        </w:rPr>
        <w:t>.</w:t>
      </w:r>
      <w:r w:rsidRPr="00E45624">
        <w:rPr>
          <w:rFonts w:eastAsia="Times New Roman" w:cstheme="minorHAnsi"/>
        </w:rPr>
        <w:t xml:space="preserve"> </w:t>
      </w:r>
    </w:p>
    <w:p w14:paraId="4BC6917F" w14:textId="72EFDFAA" w:rsidR="00877ADE" w:rsidRPr="00E9797A" w:rsidRDefault="00A127D1" w:rsidP="00F914A4">
      <w:pPr>
        <w:pStyle w:val="ListParagraph"/>
        <w:numPr>
          <w:ilvl w:val="0"/>
          <w:numId w:val="47"/>
        </w:numPr>
        <w:ind w:left="714" w:hanging="357"/>
        <w:contextualSpacing w:val="0"/>
        <w:rPr>
          <w:rFonts w:eastAsia="Times New Roman" w:cstheme="minorHAnsi"/>
        </w:rPr>
      </w:pPr>
      <w:r w:rsidRPr="00E45624">
        <w:rPr>
          <w:rFonts w:eastAsia="Times New Roman" w:cstheme="minorHAnsi"/>
        </w:rPr>
        <w:t>The model contributes to improved coordination, innovation</w:t>
      </w:r>
      <w:r w:rsidR="003F474F">
        <w:rPr>
          <w:rFonts w:eastAsia="Times New Roman" w:cstheme="minorHAnsi"/>
        </w:rPr>
        <w:t xml:space="preserve"> and capability building</w:t>
      </w:r>
      <w:r w:rsidRPr="00E45624">
        <w:rPr>
          <w:rFonts w:eastAsia="Times New Roman" w:cstheme="minorHAnsi"/>
        </w:rPr>
        <w:t xml:space="preserve"> and enhanced service delivery across the </w:t>
      </w:r>
      <w:r w:rsidR="00956817">
        <w:rPr>
          <w:rFonts w:eastAsia="Times New Roman" w:cstheme="minorHAnsi"/>
        </w:rPr>
        <w:t xml:space="preserve">financial counselling </w:t>
      </w:r>
      <w:r w:rsidRPr="00E45624">
        <w:rPr>
          <w:rFonts w:eastAsia="Times New Roman" w:cstheme="minorHAnsi"/>
        </w:rPr>
        <w:t xml:space="preserve">sector. </w:t>
      </w:r>
    </w:p>
    <w:p w14:paraId="35325C07" w14:textId="17D05D7D" w:rsidR="00CC5081" w:rsidRDefault="001934D4" w:rsidP="00211A67">
      <w:pPr>
        <w:spacing w:after="120" w:line="240" w:lineRule="auto"/>
        <w:rPr>
          <w:rFonts w:eastAsia="Times New Roman" w:cstheme="minorHAnsi"/>
        </w:rPr>
      </w:pPr>
      <w:r w:rsidRPr="00211A67">
        <w:rPr>
          <w:rFonts w:cstheme="minorHAnsi"/>
          <w:noProof/>
          <w:lang w:eastAsia="en-AU"/>
        </w:rPr>
        <mc:AlternateContent>
          <mc:Choice Requires="wps">
            <w:drawing>
              <wp:inline distT="0" distB="0" distL="0" distR="0" wp14:anchorId="41AF327D" wp14:editId="2F8FF639">
                <wp:extent cx="5782945" cy="856129"/>
                <wp:effectExtent l="0" t="0" r="27305" b="20320"/>
                <wp:docPr id="17" name="Rounded Rectangle 17"/>
                <wp:cNvGraphicFramePr/>
                <a:graphic xmlns:a="http://schemas.openxmlformats.org/drawingml/2006/main">
                  <a:graphicData uri="http://schemas.microsoft.com/office/word/2010/wordprocessingShape">
                    <wps:wsp>
                      <wps:cNvSpPr/>
                      <wps:spPr>
                        <a:xfrm>
                          <a:off x="0" y="0"/>
                          <a:ext cx="5782945" cy="856129"/>
                        </a:xfrm>
                        <a:prstGeom prst="roundRect">
                          <a:avLst/>
                        </a:prstGeom>
                        <a:solidFill>
                          <a:sysClr val="window" lastClr="FFFFFF">
                            <a:lumMod val="95000"/>
                          </a:sysClr>
                        </a:solidFill>
                        <a:ln w="26425" cap="flat" cmpd="sng" algn="ctr">
                          <a:solidFill>
                            <a:srgbClr val="B1E4E3">
                              <a:shade val="50000"/>
                            </a:srgbClr>
                          </a:solidFill>
                          <a:prstDash val="solid"/>
                        </a:ln>
                        <a:effectLst/>
                      </wps:spPr>
                      <wps:txbx>
                        <w:txbxContent>
                          <w:p w14:paraId="56C5E984" w14:textId="77777777" w:rsidR="00FF3618" w:rsidRPr="0001440C" w:rsidRDefault="00FF3618" w:rsidP="00CC5081">
                            <w:pPr>
                              <w:shd w:val="clear" w:color="auto" w:fill="F2F2F2" w:themeFill="background1" w:themeFillShade="F2"/>
                              <w:spacing w:after="60"/>
                              <w:rPr>
                                <w:color w:val="000000" w:themeColor="text2"/>
                              </w:rPr>
                            </w:pPr>
                            <w:r w:rsidRPr="0001440C">
                              <w:rPr>
                                <w:color w:val="000000" w:themeColor="text2"/>
                              </w:rPr>
                              <w:t>Discussion Question:</w:t>
                            </w:r>
                          </w:p>
                          <w:p w14:paraId="019C4E10" w14:textId="125FC2F0" w:rsidR="00FF3618" w:rsidRDefault="00FF3618" w:rsidP="00CC5081">
                            <w:pPr>
                              <w:pStyle w:val="ListParagraph"/>
                              <w:numPr>
                                <w:ilvl w:val="0"/>
                                <w:numId w:val="4"/>
                              </w:numPr>
                              <w:shd w:val="clear" w:color="auto" w:fill="F2F2F2" w:themeFill="background1" w:themeFillShade="F2"/>
                              <w:spacing w:after="120"/>
                              <w:ind w:left="357" w:hanging="357"/>
                              <w:contextualSpacing w:val="0"/>
                              <w:rPr>
                                <w:color w:val="000000" w:themeColor="text2"/>
                              </w:rPr>
                            </w:pPr>
                            <w:r>
                              <w:rPr>
                                <w:color w:val="000000" w:themeColor="text2"/>
                              </w:rPr>
                              <w:t>What are your views on the proposed principles for developing the industry funding model?</w:t>
                            </w:r>
                          </w:p>
                          <w:p w14:paraId="052BDE0F" w14:textId="77777777" w:rsidR="00FF3618" w:rsidRPr="0001440C" w:rsidRDefault="00FF3618" w:rsidP="00CC5081">
                            <w:pPr>
                              <w:pStyle w:val="ListParagraph"/>
                              <w:shd w:val="clear" w:color="auto" w:fill="F2F2F2" w:themeFill="background1" w:themeFillShade="F2"/>
                              <w:spacing w:after="120"/>
                              <w:ind w:left="717"/>
                              <w:contextualSpacing w:val="0"/>
                              <w:rPr>
                                <w:color w:val="000000"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AF327D" id="Rounded Rectangle 17" o:spid="_x0000_s1027" style="width:455.35pt;height:67.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" fillcolor="#f2f2f2" strokecolor="#81a7a7" strokeweight=".73403mm">
                <v:textbox>
                  <w:txbxContent>
                    <w:p w14:paraId="56C5E984" w14:textId="77777777" w:rsidR="00FF3618" w:rsidRPr="0001440C" w:rsidRDefault="00FF3618" w:rsidP="00CC5081">
                      <w:pPr>
                        <w:shd w:val="clear" w:color="auto" w:fill="F2F2F2" w:themeFill="background1" w:themeFillShade="F2"/>
                        <w:spacing w:after="60"/>
                        <w:rPr>
                          <w:color w:val="000000" w:themeColor="text2"/>
                        </w:rPr>
                      </w:pPr>
                      <w:r w:rsidRPr="0001440C">
                        <w:rPr>
                          <w:color w:val="000000" w:themeColor="text2"/>
                        </w:rPr>
                        <w:t>Discussion Question:</w:t>
                      </w:r>
                    </w:p>
                    <w:p w14:paraId="019C4E10" w14:textId="125FC2F0" w:rsidR="00FF3618" w:rsidRDefault="00FF3618" w:rsidP="00CC5081">
                      <w:pPr>
                        <w:pStyle w:val="ListParagraph"/>
                        <w:numPr>
                          <w:ilvl w:val="0"/>
                          <w:numId w:val="4"/>
                        </w:numPr>
                        <w:shd w:val="clear" w:color="auto" w:fill="F2F2F2" w:themeFill="background1" w:themeFillShade="F2"/>
                        <w:spacing w:after="120"/>
                        <w:ind w:left="357" w:hanging="357"/>
                        <w:contextualSpacing w:val="0"/>
                        <w:rPr>
                          <w:color w:val="000000" w:themeColor="text2"/>
                        </w:rPr>
                      </w:pPr>
                      <w:r>
                        <w:rPr>
                          <w:color w:val="000000" w:themeColor="text2"/>
                        </w:rPr>
                        <w:t>What are your views on the proposed principles for developing the industry funding model?</w:t>
                      </w:r>
                    </w:p>
                    <w:p w14:paraId="052BDE0F" w14:textId="77777777" w:rsidR="00FF3618" w:rsidRPr="0001440C" w:rsidRDefault="00FF3618" w:rsidP="00CC5081">
                      <w:pPr>
                        <w:pStyle w:val="ListParagraph"/>
                        <w:shd w:val="clear" w:color="auto" w:fill="F2F2F2" w:themeFill="background1" w:themeFillShade="F2"/>
                        <w:spacing w:after="120"/>
                        <w:ind w:left="717"/>
                        <w:contextualSpacing w:val="0"/>
                        <w:rPr>
                          <w:color w:val="000000" w:themeColor="text2"/>
                        </w:rPr>
                      </w:pPr>
                    </w:p>
                  </w:txbxContent>
                </v:textbox>
                <w10:anchorlock/>
              </v:roundrect>
            </w:pict>
          </mc:Fallback>
        </mc:AlternateContent>
      </w:r>
    </w:p>
    <w:p w14:paraId="7EF4F462" w14:textId="77777777" w:rsidR="00877ADE" w:rsidRDefault="00877ADE" w:rsidP="00F914A4">
      <w:pPr>
        <w:pStyle w:val="Style1"/>
        <w:spacing w:before="0" w:after="160"/>
      </w:pPr>
    </w:p>
    <w:p w14:paraId="79CC76DF" w14:textId="731B7218" w:rsidR="00BB48C8" w:rsidRPr="00BF601C" w:rsidRDefault="00BD560F" w:rsidP="00F914A4">
      <w:pPr>
        <w:pStyle w:val="Style1"/>
        <w:spacing w:before="0" w:after="160"/>
        <w:rPr>
          <w:rFonts w:eastAsiaTheme="majorEastAsia" w:cstheme="minorHAnsi"/>
          <w:bCs/>
        </w:rPr>
      </w:pPr>
      <w:r w:rsidRPr="00BF601C">
        <w:t>What is the quantum of industry funding to be collected</w:t>
      </w:r>
      <w:r w:rsidR="00BA1907" w:rsidRPr="00BF601C">
        <w:t xml:space="preserve"> under the model</w:t>
      </w:r>
      <w:r w:rsidRPr="00BF601C">
        <w:t>?</w:t>
      </w:r>
    </w:p>
    <w:p w14:paraId="3E7216BC" w14:textId="51F3B81C" w:rsidR="00683023" w:rsidRPr="00BF601C" w:rsidRDefault="00A44560" w:rsidP="00F914A4">
      <w:pPr>
        <w:tabs>
          <w:tab w:val="left" w:pos="720"/>
        </w:tabs>
      </w:pPr>
      <w:r w:rsidRPr="00BF601C">
        <w:t xml:space="preserve">Industry funding </w:t>
      </w:r>
      <w:r w:rsidR="00BA1907" w:rsidRPr="00BF601C">
        <w:t>over three years from 2023-24 to 2025-26</w:t>
      </w:r>
      <w:r w:rsidR="002E647F" w:rsidRPr="00BF601C">
        <w:t xml:space="preserve">, </w:t>
      </w:r>
      <w:r w:rsidR="00F12BDD" w:rsidRPr="00BF601C">
        <w:t xml:space="preserve">has been calculated </w:t>
      </w:r>
      <w:r w:rsidR="00AF2416" w:rsidRPr="00BF601C">
        <w:t>as</w:t>
      </w:r>
      <w:r w:rsidR="00683023" w:rsidRPr="00BF601C">
        <w:t>:</w:t>
      </w:r>
    </w:p>
    <w:p w14:paraId="3D76DA00" w14:textId="35A26162" w:rsidR="00683023" w:rsidRPr="00343E71" w:rsidRDefault="00683023" w:rsidP="00F914A4">
      <w:pPr>
        <w:pStyle w:val="ListParagraph"/>
        <w:numPr>
          <w:ilvl w:val="0"/>
          <w:numId w:val="54"/>
        </w:numPr>
        <w:tabs>
          <w:tab w:val="left" w:pos="720"/>
        </w:tabs>
        <w:contextualSpacing w:val="0"/>
      </w:pPr>
      <w:r w:rsidRPr="00343E71">
        <w:t>$</w:t>
      </w:r>
      <w:r w:rsidR="00705AEB" w:rsidRPr="00343E71">
        <w:t>1</w:t>
      </w:r>
      <w:r w:rsidR="00080725">
        <w:t>8</w:t>
      </w:r>
      <w:r w:rsidR="00365878" w:rsidRPr="00343E71">
        <w:t>.</w:t>
      </w:r>
      <w:r w:rsidR="00080725">
        <w:t>1</w:t>
      </w:r>
      <w:r w:rsidR="00352853">
        <w:t xml:space="preserve"> </w:t>
      </w:r>
      <w:r w:rsidR="00705AEB" w:rsidRPr="00343E71">
        <w:t>m</w:t>
      </w:r>
      <w:r w:rsidR="00352853">
        <w:t>illion</w:t>
      </w:r>
      <w:r w:rsidR="00705AEB" w:rsidRPr="00343E71">
        <w:t xml:space="preserve"> </w:t>
      </w:r>
      <w:r w:rsidRPr="00343E71">
        <w:t>for 2023-24</w:t>
      </w:r>
    </w:p>
    <w:p w14:paraId="6BD49FBA" w14:textId="651A2B0B" w:rsidR="00683023" w:rsidRPr="00343E71" w:rsidRDefault="00683023" w:rsidP="00F914A4">
      <w:pPr>
        <w:pStyle w:val="ListParagraph"/>
        <w:numPr>
          <w:ilvl w:val="0"/>
          <w:numId w:val="54"/>
        </w:numPr>
        <w:tabs>
          <w:tab w:val="left" w:pos="720"/>
        </w:tabs>
        <w:contextualSpacing w:val="0"/>
      </w:pPr>
      <w:r w:rsidRPr="00343E71">
        <w:t>$</w:t>
      </w:r>
      <w:r w:rsidR="00DD3CB6" w:rsidRPr="00343E71">
        <w:t>1</w:t>
      </w:r>
      <w:r w:rsidR="00080725">
        <w:t>8</w:t>
      </w:r>
      <w:r w:rsidR="00365878" w:rsidRPr="00343E71">
        <w:t>.</w:t>
      </w:r>
      <w:r w:rsidR="00080725">
        <w:t>7</w:t>
      </w:r>
      <w:r w:rsidR="00352853">
        <w:t xml:space="preserve"> </w:t>
      </w:r>
      <w:r w:rsidR="00705AEB" w:rsidRPr="00343E71">
        <w:t>m</w:t>
      </w:r>
      <w:r w:rsidR="00352853">
        <w:t>illion</w:t>
      </w:r>
      <w:r w:rsidR="00705AEB" w:rsidRPr="00343E71">
        <w:t xml:space="preserve"> </w:t>
      </w:r>
      <w:r w:rsidRPr="00343E71">
        <w:t>for 2024-25</w:t>
      </w:r>
    </w:p>
    <w:p w14:paraId="0BD2BFD2" w14:textId="6BC76B1B" w:rsidR="00AF2416" w:rsidRPr="00343E71" w:rsidRDefault="00683023" w:rsidP="00F914A4">
      <w:pPr>
        <w:pStyle w:val="ListParagraph"/>
        <w:numPr>
          <w:ilvl w:val="0"/>
          <w:numId w:val="54"/>
        </w:numPr>
        <w:tabs>
          <w:tab w:val="left" w:pos="720"/>
        </w:tabs>
        <w:contextualSpacing w:val="0"/>
      </w:pPr>
      <w:r w:rsidRPr="00343E71">
        <w:t>$</w:t>
      </w:r>
      <w:r w:rsidR="00705AEB" w:rsidRPr="00343E71">
        <w:t>1</w:t>
      </w:r>
      <w:r w:rsidR="00080725">
        <w:t>9</w:t>
      </w:r>
      <w:r w:rsidR="00365878" w:rsidRPr="00343E71">
        <w:t>.</w:t>
      </w:r>
      <w:r w:rsidR="00080725">
        <w:t>4</w:t>
      </w:r>
      <w:r w:rsidR="00352853">
        <w:t xml:space="preserve"> </w:t>
      </w:r>
      <w:r w:rsidR="00705AEB" w:rsidRPr="00343E71">
        <w:t>m</w:t>
      </w:r>
      <w:r w:rsidR="00352853">
        <w:t>illion</w:t>
      </w:r>
      <w:r w:rsidR="00705AEB" w:rsidRPr="00343E71">
        <w:t xml:space="preserve"> </w:t>
      </w:r>
      <w:r w:rsidRPr="00343E71">
        <w:t>for 2025-26</w:t>
      </w:r>
      <w:r w:rsidR="00352853">
        <w:t>.</w:t>
      </w:r>
    </w:p>
    <w:p w14:paraId="094C0692" w14:textId="7CA5522B" w:rsidR="00BA1907" w:rsidRDefault="00A064A1" w:rsidP="00F914A4">
      <w:pPr>
        <w:tabs>
          <w:tab w:val="left" w:pos="720"/>
        </w:tabs>
      </w:pPr>
      <w:r w:rsidRPr="00BF601C">
        <w:t>Based on</w:t>
      </w:r>
      <w:r w:rsidR="00C54C8A" w:rsidRPr="00BF601C">
        <w:t xml:space="preserve"> modelling to forecast demand for services over this period, </w:t>
      </w:r>
      <w:r w:rsidR="00ED1708" w:rsidRPr="00BF601C">
        <w:t>the above figures represent</w:t>
      </w:r>
      <w:r w:rsidR="00272734" w:rsidRPr="00BF601C">
        <w:t xml:space="preserve"> the</w:t>
      </w:r>
      <w:r w:rsidR="00BA1907" w:rsidRPr="00BF601C">
        <w:t xml:space="preserve"> </w:t>
      </w:r>
      <w:r w:rsidR="00C54C8A" w:rsidRPr="00BF601C">
        <w:t xml:space="preserve">funding gap </w:t>
      </w:r>
      <w:r w:rsidR="00ED1708" w:rsidRPr="00BF601C">
        <w:t xml:space="preserve">that exists </w:t>
      </w:r>
      <w:r w:rsidR="00C54C8A" w:rsidRPr="00BF601C">
        <w:t>between funding from governments</w:t>
      </w:r>
      <w:r w:rsidR="00FF14F5">
        <w:t>,</w:t>
      </w:r>
      <w:r w:rsidR="00C54C8A" w:rsidRPr="00BF601C">
        <w:t xml:space="preserve"> </w:t>
      </w:r>
      <w:r w:rsidR="00FF14F5">
        <w:t xml:space="preserve">maintained at current levels, </w:t>
      </w:r>
      <w:r w:rsidR="00C54C8A" w:rsidRPr="00BF601C">
        <w:t>and funding needed to meet demand for services. It also includes the</w:t>
      </w:r>
      <w:r w:rsidR="009C3168" w:rsidRPr="00BF601C">
        <w:t xml:space="preserve"> operating costs for </w:t>
      </w:r>
      <w:r w:rsidR="009C3168" w:rsidRPr="00BF601C">
        <w:lastRenderedPageBreak/>
        <w:t>the independent body</w:t>
      </w:r>
      <w:r w:rsidR="00ED1708" w:rsidRPr="00BF601C">
        <w:t xml:space="preserve"> and funds for innovation</w:t>
      </w:r>
      <w:r w:rsidR="003F474F">
        <w:t xml:space="preserve"> and capability building</w:t>
      </w:r>
      <w:r w:rsidR="00E0462F">
        <w:t xml:space="preserve"> in the financial counselling sector</w:t>
      </w:r>
      <w:r w:rsidR="00BA1907" w:rsidRPr="00BF601C">
        <w:t>.</w:t>
      </w:r>
      <w:r w:rsidR="00BA1907">
        <w:t xml:space="preserve"> </w:t>
      </w:r>
      <w:r w:rsidR="00956817">
        <w:t>The figures in</w:t>
      </w:r>
      <w:r w:rsidR="00C35349">
        <w:t xml:space="preserve"> the</w:t>
      </w:r>
      <w:r w:rsidR="00956817">
        <w:t xml:space="preserve"> </w:t>
      </w:r>
      <w:r w:rsidR="00247672">
        <w:t xml:space="preserve">model </w:t>
      </w:r>
      <w:r w:rsidR="00C35349">
        <w:t xml:space="preserve">reflect </w:t>
      </w:r>
      <w:r w:rsidR="00247672">
        <w:t>the w</w:t>
      </w:r>
      <w:r w:rsidR="00247672" w:rsidRPr="00F74348">
        <w:t xml:space="preserve">age inflation forecast </w:t>
      </w:r>
      <w:r w:rsidR="00C35349">
        <w:t>set</w:t>
      </w:r>
      <w:r w:rsidR="00247672" w:rsidRPr="00F74348">
        <w:t xml:space="preserve"> by the Department of Treasury</w:t>
      </w:r>
      <w:r w:rsidR="00247672">
        <w:t>.</w:t>
      </w:r>
      <w:r w:rsidR="00956817">
        <w:t xml:space="preserve"> </w:t>
      </w:r>
    </w:p>
    <w:p w14:paraId="7ED4B7A8" w14:textId="69D6148B" w:rsidR="001F3A40" w:rsidRPr="00BB48C8" w:rsidRDefault="006B7C32" w:rsidP="00F914A4">
      <w:pPr>
        <w:pStyle w:val="Style1"/>
        <w:spacing w:before="0" w:after="160"/>
      </w:pPr>
      <w:r w:rsidRPr="00BB48C8">
        <w:t xml:space="preserve">Who </w:t>
      </w:r>
      <w:r w:rsidR="00F12BDD">
        <w:t>is expected</w:t>
      </w:r>
      <w:r w:rsidR="00075ABE" w:rsidRPr="00BB48C8">
        <w:t xml:space="preserve"> to contribute and</w:t>
      </w:r>
      <w:r w:rsidR="009957E3" w:rsidRPr="00BB48C8">
        <w:t xml:space="preserve"> </w:t>
      </w:r>
      <w:r w:rsidRPr="00BB48C8">
        <w:t>how much?</w:t>
      </w:r>
    </w:p>
    <w:p w14:paraId="7993F263" w14:textId="01EF5C72" w:rsidR="00E66906" w:rsidRDefault="00F12BDD" w:rsidP="00F914A4">
      <w:pPr>
        <w:rPr>
          <w:rFonts w:cs="Arial"/>
          <w:lang w:bidi="en-US"/>
        </w:rPr>
      </w:pPr>
      <w:r w:rsidRPr="008E7C9D">
        <w:rPr>
          <w:rFonts w:cs="Arial"/>
          <w:lang w:bidi="en-US"/>
        </w:rPr>
        <w:t>A</w:t>
      </w:r>
      <w:r w:rsidR="00B77FBC" w:rsidRPr="008E7C9D">
        <w:rPr>
          <w:rFonts w:cs="Arial"/>
          <w:lang w:bidi="en-US"/>
        </w:rPr>
        <w:t>ny business</w:t>
      </w:r>
      <w:r w:rsidR="00B77FBC">
        <w:t xml:space="preserve"> will be able to contribute </w:t>
      </w:r>
      <w:r w:rsidR="007A5C8C">
        <w:t>funding</w:t>
      </w:r>
      <w:r>
        <w:t xml:space="preserve"> </w:t>
      </w:r>
      <w:r w:rsidR="00F161AB">
        <w:t xml:space="preserve">voluntarily </w:t>
      </w:r>
      <w:r>
        <w:t>from 1 July 2023</w:t>
      </w:r>
      <w:r w:rsidR="005F7D00">
        <w:t xml:space="preserve">, </w:t>
      </w:r>
      <w:r w:rsidR="005F7D00" w:rsidRPr="008E7C9D">
        <w:rPr>
          <w:rFonts w:cs="Arial"/>
          <w:lang w:bidi="en-US"/>
        </w:rPr>
        <w:t>however the focus</w:t>
      </w:r>
      <w:r w:rsidR="00680768">
        <w:rPr>
          <w:rFonts w:cs="Arial"/>
          <w:lang w:bidi="en-US"/>
        </w:rPr>
        <w:t xml:space="preserve"> of the proposed model is </w:t>
      </w:r>
      <w:r w:rsidR="005F7D00" w:rsidRPr="008E7C9D">
        <w:rPr>
          <w:rFonts w:cs="Arial"/>
          <w:lang w:bidi="en-US"/>
        </w:rPr>
        <w:t>on specific subsectors</w:t>
      </w:r>
      <w:r w:rsidR="005B4C39">
        <w:rPr>
          <w:rFonts w:cs="Arial"/>
          <w:lang w:bidi="en-US"/>
        </w:rPr>
        <w:t xml:space="preserve"> that contribute to demand for financial counselling services</w:t>
      </w:r>
      <w:r w:rsidR="005F7D00" w:rsidRPr="008E7C9D">
        <w:rPr>
          <w:rFonts w:cs="Arial"/>
          <w:lang w:bidi="en-US"/>
        </w:rPr>
        <w:t>.</w:t>
      </w:r>
      <w:r w:rsidR="008E7C9D">
        <w:rPr>
          <w:rFonts w:cs="Arial"/>
          <w:lang w:bidi="en-US"/>
        </w:rPr>
        <w:t xml:space="preserve"> </w:t>
      </w:r>
      <w:r w:rsidR="005B4C39">
        <w:rPr>
          <w:rFonts w:cs="Arial"/>
          <w:lang w:bidi="en-US"/>
        </w:rPr>
        <w:t>These</w:t>
      </w:r>
      <w:r w:rsidR="008A15E7">
        <w:rPr>
          <w:rFonts w:cs="Arial"/>
          <w:lang w:bidi="en-US"/>
        </w:rPr>
        <w:t xml:space="preserve"> </w:t>
      </w:r>
      <w:r w:rsidR="005B4C39">
        <w:rPr>
          <w:rFonts w:cs="Arial"/>
          <w:lang w:bidi="en-US"/>
        </w:rPr>
        <w:t xml:space="preserve">subsectors have been determined based on the results of a </w:t>
      </w:r>
      <w:r w:rsidR="008E7C9D" w:rsidRPr="002349AC">
        <w:rPr>
          <w:rFonts w:cs="Arial"/>
          <w:lang w:bidi="en-US"/>
        </w:rPr>
        <w:t xml:space="preserve">2021 </w:t>
      </w:r>
      <w:r w:rsidR="005B4C39">
        <w:rPr>
          <w:rFonts w:cs="Arial"/>
          <w:lang w:bidi="en-US"/>
        </w:rPr>
        <w:t>s</w:t>
      </w:r>
      <w:r w:rsidR="008E7C9D" w:rsidRPr="002349AC">
        <w:rPr>
          <w:rFonts w:cs="Arial"/>
          <w:lang w:bidi="en-US"/>
        </w:rPr>
        <w:t xml:space="preserve">urvey of </w:t>
      </w:r>
      <w:r w:rsidR="005B4C39">
        <w:rPr>
          <w:rFonts w:cs="Arial"/>
          <w:lang w:bidi="en-US"/>
        </w:rPr>
        <w:t>f</w:t>
      </w:r>
      <w:r w:rsidR="008E7C9D" w:rsidRPr="002349AC">
        <w:rPr>
          <w:rFonts w:cs="Arial"/>
          <w:lang w:bidi="en-US"/>
        </w:rPr>
        <w:t xml:space="preserve">inancial </w:t>
      </w:r>
      <w:r w:rsidR="005B4C39">
        <w:rPr>
          <w:rFonts w:cs="Arial"/>
          <w:lang w:bidi="en-US"/>
        </w:rPr>
        <w:t>c</w:t>
      </w:r>
      <w:r w:rsidR="008E7C9D" w:rsidRPr="002349AC">
        <w:rPr>
          <w:rFonts w:cs="Arial"/>
          <w:lang w:bidi="en-US"/>
        </w:rPr>
        <w:t xml:space="preserve">ounsellor </w:t>
      </w:r>
      <w:r w:rsidR="005B4C39">
        <w:rPr>
          <w:rFonts w:cs="Arial"/>
          <w:lang w:bidi="en-US"/>
        </w:rPr>
        <w:t>t</w:t>
      </w:r>
      <w:r w:rsidR="008E7C9D" w:rsidRPr="002349AC">
        <w:rPr>
          <w:rFonts w:cs="Arial"/>
          <w:lang w:bidi="en-US"/>
        </w:rPr>
        <w:t>ime</w:t>
      </w:r>
      <w:r w:rsidR="008A15E7">
        <w:rPr>
          <w:rFonts w:cs="Arial"/>
          <w:lang w:bidi="en-US"/>
        </w:rPr>
        <w:t xml:space="preserve"> spent on specific subsectors, with a minimum threshold applied</w:t>
      </w:r>
      <w:r w:rsidR="007F7EEB">
        <w:rPr>
          <w:rFonts w:cs="Arial"/>
          <w:lang w:bidi="en-US"/>
        </w:rPr>
        <w:t>. They</w:t>
      </w:r>
      <w:r w:rsidR="00BF1DFD">
        <w:rPr>
          <w:rFonts w:cs="Arial"/>
          <w:lang w:bidi="en-US"/>
        </w:rPr>
        <w:t xml:space="preserve"> </w:t>
      </w:r>
      <w:r w:rsidR="00714B2D">
        <w:rPr>
          <w:rFonts w:cs="Arial"/>
          <w:lang w:bidi="en-US"/>
        </w:rPr>
        <w:t xml:space="preserve">are from </w:t>
      </w:r>
      <w:r w:rsidR="008A15E7">
        <w:rPr>
          <w:rFonts w:cs="Arial"/>
          <w:lang w:bidi="en-US"/>
        </w:rPr>
        <w:t>the</w:t>
      </w:r>
      <w:r w:rsidR="00BF1DFD">
        <w:rPr>
          <w:rFonts w:cs="Arial"/>
          <w:lang w:bidi="en-US"/>
        </w:rPr>
        <w:t xml:space="preserve"> financial services, </w:t>
      </w:r>
      <w:r w:rsidR="000C2C70">
        <w:rPr>
          <w:rFonts w:cs="Arial"/>
          <w:lang w:bidi="en-US"/>
        </w:rPr>
        <w:t>en</w:t>
      </w:r>
      <w:r w:rsidR="003F03F6">
        <w:rPr>
          <w:rFonts w:cs="Arial"/>
          <w:lang w:bidi="en-US"/>
        </w:rPr>
        <w:t>ergy</w:t>
      </w:r>
      <w:r w:rsidR="000C2C70">
        <w:rPr>
          <w:rFonts w:cs="Arial"/>
          <w:lang w:bidi="en-US"/>
        </w:rPr>
        <w:t>,</w:t>
      </w:r>
      <w:r w:rsidR="00387851">
        <w:rPr>
          <w:rFonts w:cs="Arial"/>
          <w:lang w:bidi="en-US"/>
        </w:rPr>
        <w:t xml:space="preserve"> telecommunications</w:t>
      </w:r>
      <w:r w:rsidR="00351578">
        <w:rPr>
          <w:rFonts w:cs="Arial"/>
          <w:lang w:bidi="en-US"/>
        </w:rPr>
        <w:t xml:space="preserve"> </w:t>
      </w:r>
      <w:r w:rsidR="00387851">
        <w:rPr>
          <w:rFonts w:cs="Arial"/>
          <w:lang w:bidi="en-US"/>
        </w:rPr>
        <w:t xml:space="preserve">and </w:t>
      </w:r>
      <w:r w:rsidR="005F7D00">
        <w:rPr>
          <w:rFonts w:cs="Arial"/>
          <w:lang w:bidi="en-US"/>
        </w:rPr>
        <w:t>water</w:t>
      </w:r>
      <w:r w:rsidR="00387851">
        <w:rPr>
          <w:rFonts w:cs="Arial"/>
          <w:lang w:bidi="en-US"/>
        </w:rPr>
        <w:t xml:space="preserve"> </w:t>
      </w:r>
      <w:r w:rsidR="00351578">
        <w:rPr>
          <w:rFonts w:cs="Arial"/>
          <w:lang w:bidi="en-US"/>
        </w:rPr>
        <w:t>sectors</w:t>
      </w:r>
      <w:r w:rsidR="006B7C32">
        <w:rPr>
          <w:rFonts w:cs="Arial"/>
          <w:lang w:bidi="en-US"/>
        </w:rPr>
        <w:t xml:space="preserve">. </w:t>
      </w:r>
      <w:r w:rsidR="00395740">
        <w:rPr>
          <w:rFonts w:cs="Arial"/>
          <w:lang w:bidi="en-US"/>
        </w:rPr>
        <w:t xml:space="preserve"> </w:t>
      </w:r>
    </w:p>
    <w:p w14:paraId="70BBA7D0" w14:textId="20CA68B8" w:rsidR="009B08C4" w:rsidRDefault="00E66906" w:rsidP="00F914A4">
      <w:pPr>
        <w:tabs>
          <w:tab w:val="left" w:pos="720"/>
        </w:tabs>
        <w:rPr>
          <w:rFonts w:cs="Arial"/>
          <w:lang w:bidi="en-US"/>
        </w:rPr>
      </w:pPr>
      <w:r>
        <w:rPr>
          <w:rFonts w:cs="Arial"/>
          <w:lang w:bidi="en-US"/>
        </w:rPr>
        <w:t xml:space="preserve">The Department </w:t>
      </w:r>
      <w:r w:rsidR="009B08C4">
        <w:rPr>
          <w:rFonts w:cs="Arial"/>
          <w:lang w:bidi="en-US"/>
        </w:rPr>
        <w:t xml:space="preserve">will seek </w:t>
      </w:r>
      <w:r w:rsidR="00872BB6">
        <w:rPr>
          <w:rFonts w:cs="Arial"/>
          <w:lang w:bidi="en-US"/>
        </w:rPr>
        <w:t xml:space="preserve">formal </w:t>
      </w:r>
      <w:r w:rsidR="00F12BDD">
        <w:rPr>
          <w:rFonts w:cs="Arial"/>
          <w:lang w:bidi="en-US"/>
        </w:rPr>
        <w:t xml:space="preserve">funding </w:t>
      </w:r>
      <w:r w:rsidR="009B08C4">
        <w:rPr>
          <w:rFonts w:cs="Arial"/>
          <w:lang w:bidi="en-US"/>
        </w:rPr>
        <w:t>commitments from</w:t>
      </w:r>
      <w:r w:rsidR="00C96F00">
        <w:rPr>
          <w:rFonts w:cs="Arial"/>
          <w:lang w:bidi="en-US"/>
        </w:rPr>
        <w:t xml:space="preserve"> </w:t>
      </w:r>
      <w:r w:rsidR="00394C47">
        <w:rPr>
          <w:rFonts w:cs="Arial"/>
          <w:lang w:bidi="en-US"/>
        </w:rPr>
        <w:t xml:space="preserve">these </w:t>
      </w:r>
      <w:r w:rsidR="00C96F00">
        <w:rPr>
          <w:rFonts w:cs="Arial"/>
          <w:lang w:bidi="en-US"/>
        </w:rPr>
        <w:t>subsectors.</w:t>
      </w:r>
      <w:r w:rsidR="009B08C4">
        <w:rPr>
          <w:rFonts w:cs="Arial"/>
          <w:lang w:bidi="en-US"/>
        </w:rPr>
        <w:t xml:space="preserve"> </w:t>
      </w:r>
      <w:r w:rsidR="00C96F00" w:rsidRPr="00C96F00">
        <w:rPr>
          <w:rFonts w:cs="Arial"/>
          <w:lang w:bidi="en-US"/>
        </w:rPr>
        <w:t>A</w:t>
      </w:r>
      <w:r w:rsidR="00067F67">
        <w:rPr>
          <w:rFonts w:cs="Arial"/>
          <w:lang w:bidi="en-US"/>
        </w:rPr>
        <w:t> </w:t>
      </w:r>
      <w:r w:rsidR="00C96F00" w:rsidRPr="00C96F00">
        <w:rPr>
          <w:rFonts w:cs="Arial"/>
          <w:lang w:bidi="en-US"/>
        </w:rPr>
        <w:t>‘subsector’,</w:t>
      </w:r>
      <w:r w:rsidR="00C96F00">
        <w:rPr>
          <w:rFonts w:cs="Arial"/>
          <w:lang w:bidi="en-US"/>
        </w:rPr>
        <w:t xml:space="preserve"> in this paper,</w:t>
      </w:r>
      <w:r w:rsidR="00C96F00" w:rsidRPr="00C96F00">
        <w:rPr>
          <w:rFonts w:cs="Arial"/>
          <w:lang w:bidi="en-US"/>
        </w:rPr>
        <w:t xml:space="preserve"> refers to categories of businesses</w:t>
      </w:r>
      <w:r w:rsidR="00C96F00">
        <w:rPr>
          <w:rFonts w:cs="Arial"/>
          <w:lang w:bidi="en-US"/>
        </w:rPr>
        <w:t xml:space="preserve"> that belong to a given sector</w:t>
      </w:r>
      <w:r w:rsidR="00C96F00" w:rsidRPr="00C96F00">
        <w:rPr>
          <w:rFonts w:cs="Arial"/>
          <w:lang w:bidi="en-US"/>
        </w:rPr>
        <w:t>.</w:t>
      </w:r>
      <w:r w:rsidR="00C96F00">
        <w:rPr>
          <w:rFonts w:cs="Arial"/>
          <w:lang w:bidi="en-US"/>
        </w:rPr>
        <w:t xml:space="preserve"> For</w:t>
      </w:r>
      <w:r w:rsidR="00067F67">
        <w:rPr>
          <w:rFonts w:cs="Arial"/>
          <w:lang w:bidi="en-US"/>
        </w:rPr>
        <w:t> </w:t>
      </w:r>
      <w:r w:rsidR="00C96F00">
        <w:rPr>
          <w:rFonts w:cs="Arial"/>
          <w:lang w:bidi="en-US"/>
        </w:rPr>
        <w:t xml:space="preserve">example, bank, </w:t>
      </w:r>
      <w:r w:rsidR="000C2C70">
        <w:rPr>
          <w:rFonts w:cs="Arial"/>
          <w:lang w:bidi="en-US"/>
        </w:rPr>
        <w:t xml:space="preserve">debt collector or buyer and general insurer are subsectors in the financial services sector. Electricity retailer </w:t>
      </w:r>
      <w:r w:rsidR="008154C5">
        <w:rPr>
          <w:rFonts w:cs="Arial"/>
          <w:lang w:bidi="en-US"/>
        </w:rPr>
        <w:t>is a</w:t>
      </w:r>
      <w:r w:rsidR="004505F3">
        <w:rPr>
          <w:rFonts w:cs="Arial"/>
          <w:lang w:bidi="en-US"/>
        </w:rPr>
        <w:t xml:space="preserve"> </w:t>
      </w:r>
      <w:r w:rsidR="000C2C70">
        <w:rPr>
          <w:rFonts w:cs="Arial"/>
          <w:lang w:bidi="en-US"/>
        </w:rPr>
        <w:t>subsector in the energy sector.</w:t>
      </w:r>
      <w:r w:rsidR="00C96F00" w:rsidRPr="00C96F00">
        <w:rPr>
          <w:rFonts w:cs="Arial"/>
          <w:lang w:bidi="en-US"/>
        </w:rPr>
        <w:t xml:space="preserve"> </w:t>
      </w:r>
    </w:p>
    <w:p w14:paraId="4D81DD45" w14:textId="0758A2FF" w:rsidR="00343E71" w:rsidRDefault="00F63A6F" w:rsidP="00F914A4">
      <w:pPr>
        <w:tabs>
          <w:tab w:val="left" w:pos="720"/>
        </w:tabs>
        <w:rPr>
          <w:rFonts w:cs="Arial"/>
          <w:lang w:bidi="en-US"/>
        </w:rPr>
      </w:pPr>
      <w:r>
        <w:rPr>
          <w:rFonts w:cs="Arial"/>
          <w:lang w:bidi="en-US"/>
        </w:rPr>
        <w:t xml:space="preserve">Details on suggested contributions for industry subsectors are at </w:t>
      </w:r>
      <w:r w:rsidR="007F40D4">
        <w:rPr>
          <w:rFonts w:cs="Arial"/>
          <w:lang w:bidi="en-US"/>
        </w:rPr>
        <w:t xml:space="preserve">Section </w:t>
      </w:r>
      <w:r w:rsidR="00F74348">
        <w:rPr>
          <w:rFonts w:cs="Arial"/>
          <w:lang w:bidi="en-US"/>
        </w:rPr>
        <w:t>5</w:t>
      </w:r>
      <w:r w:rsidR="007F40D4" w:rsidRPr="007F40D4">
        <w:rPr>
          <w:rFonts w:cs="Arial"/>
          <w:lang w:bidi="en-US"/>
        </w:rPr>
        <w:t>.</w:t>
      </w:r>
      <w:r w:rsidR="0034734F">
        <w:rPr>
          <w:rFonts w:cs="Arial"/>
          <w:lang w:bidi="en-US"/>
        </w:rPr>
        <w:t xml:space="preserve"> </w:t>
      </w:r>
    </w:p>
    <w:p w14:paraId="788C6AA0" w14:textId="26B3109D" w:rsidR="00A74082" w:rsidRPr="00C52E18" w:rsidRDefault="008B7556" w:rsidP="00F914A4">
      <w:pPr>
        <w:tabs>
          <w:tab w:val="left" w:pos="720"/>
        </w:tabs>
      </w:pPr>
      <w:r w:rsidRPr="00DC133C">
        <w:rPr>
          <w:b/>
        </w:rPr>
        <w:t>What is the length of funding commitment?</w:t>
      </w:r>
    </w:p>
    <w:p w14:paraId="079493BD" w14:textId="73C586F7" w:rsidR="00E95D7C" w:rsidRDefault="00F12BDD" w:rsidP="00F914A4">
      <w:pPr>
        <w:rPr>
          <w:rFonts w:eastAsiaTheme="majorEastAsia" w:cstheme="minorHAnsi"/>
          <w:bCs/>
          <w:lang w:bidi="en-US"/>
        </w:rPr>
      </w:pPr>
      <w:r>
        <w:rPr>
          <w:rFonts w:eastAsiaTheme="majorEastAsia" w:cstheme="minorHAnsi"/>
          <w:bCs/>
          <w:lang w:bidi="en-US"/>
        </w:rPr>
        <w:t>T</w:t>
      </w:r>
      <w:r w:rsidR="003B6B75">
        <w:rPr>
          <w:rFonts w:eastAsiaTheme="majorEastAsia" w:cstheme="minorHAnsi"/>
          <w:bCs/>
          <w:lang w:bidi="en-US"/>
        </w:rPr>
        <w:t xml:space="preserve">he model </w:t>
      </w:r>
      <w:r>
        <w:rPr>
          <w:rFonts w:eastAsiaTheme="majorEastAsia" w:cstheme="minorHAnsi"/>
          <w:bCs/>
          <w:lang w:bidi="en-US"/>
        </w:rPr>
        <w:t xml:space="preserve">is designed to </w:t>
      </w:r>
      <w:r w:rsidR="003B6B75">
        <w:rPr>
          <w:rFonts w:eastAsiaTheme="majorEastAsia" w:cstheme="minorHAnsi"/>
          <w:bCs/>
          <w:lang w:bidi="en-US"/>
        </w:rPr>
        <w:t>be ongoing from 1 July 2023, with agreement to</w:t>
      </w:r>
      <w:r w:rsidR="0014027D">
        <w:rPr>
          <w:rFonts w:eastAsiaTheme="majorEastAsia" w:cstheme="minorHAnsi"/>
          <w:bCs/>
          <w:lang w:bidi="en-US"/>
        </w:rPr>
        <w:t xml:space="preserve"> the funding quantum proposed for each of the first three years</w:t>
      </w:r>
      <w:r w:rsidR="00105E0E">
        <w:rPr>
          <w:rFonts w:eastAsiaTheme="majorEastAsia" w:cstheme="minorHAnsi"/>
          <w:bCs/>
          <w:lang w:bidi="en-US"/>
        </w:rPr>
        <w:t xml:space="preserve">. The </w:t>
      </w:r>
      <w:r w:rsidR="00D55EC3">
        <w:rPr>
          <w:rFonts w:eastAsiaTheme="majorEastAsia" w:cstheme="minorHAnsi"/>
          <w:bCs/>
          <w:lang w:bidi="en-US"/>
        </w:rPr>
        <w:t xml:space="preserve">initial </w:t>
      </w:r>
      <w:r w:rsidR="0001591E">
        <w:rPr>
          <w:rFonts w:eastAsiaTheme="majorEastAsia" w:cstheme="minorHAnsi"/>
          <w:bCs/>
          <w:lang w:bidi="en-US"/>
        </w:rPr>
        <w:t>three-year</w:t>
      </w:r>
      <w:r w:rsidR="00105E0E">
        <w:rPr>
          <w:rFonts w:eastAsiaTheme="majorEastAsia" w:cstheme="minorHAnsi"/>
          <w:bCs/>
          <w:lang w:bidi="en-US"/>
        </w:rPr>
        <w:t xml:space="preserve"> period would</w:t>
      </w:r>
      <w:r w:rsidR="003B6B75">
        <w:rPr>
          <w:rFonts w:eastAsiaTheme="majorEastAsia" w:cstheme="minorHAnsi"/>
          <w:bCs/>
          <w:lang w:bidi="en-US"/>
        </w:rPr>
        <w:t xml:space="preserve"> </w:t>
      </w:r>
      <w:r w:rsidR="00105E0E">
        <w:rPr>
          <w:rFonts w:eastAsiaTheme="majorEastAsia" w:cstheme="minorHAnsi"/>
          <w:bCs/>
          <w:lang w:bidi="en-US"/>
        </w:rPr>
        <w:t xml:space="preserve">balance </w:t>
      </w:r>
      <w:r w:rsidR="0001591E">
        <w:rPr>
          <w:rFonts w:eastAsiaTheme="majorEastAsia" w:cstheme="minorHAnsi"/>
          <w:bCs/>
          <w:lang w:bidi="en-US"/>
        </w:rPr>
        <w:t xml:space="preserve">the need for </w:t>
      </w:r>
      <w:r w:rsidR="00105E0E">
        <w:rPr>
          <w:rFonts w:eastAsiaTheme="majorEastAsia" w:cstheme="minorHAnsi"/>
          <w:bCs/>
          <w:lang w:bidi="en-US"/>
        </w:rPr>
        <w:t>certainty of funding</w:t>
      </w:r>
      <w:r w:rsidR="003D73C2">
        <w:rPr>
          <w:rFonts w:eastAsiaTheme="majorEastAsia" w:cstheme="minorHAnsi"/>
          <w:bCs/>
          <w:lang w:bidi="en-US"/>
        </w:rPr>
        <w:t xml:space="preserve"> for the financial counselling sector, while allowing sufficient time for further refinements to </w:t>
      </w:r>
      <w:r w:rsidR="00E95D7C">
        <w:rPr>
          <w:rFonts w:eastAsiaTheme="majorEastAsia" w:cstheme="minorHAnsi"/>
          <w:bCs/>
          <w:lang w:bidi="en-US"/>
        </w:rPr>
        <w:t xml:space="preserve">determining </w:t>
      </w:r>
      <w:r w:rsidR="00711D98">
        <w:rPr>
          <w:rFonts w:eastAsiaTheme="majorEastAsia" w:cstheme="minorHAnsi"/>
          <w:bCs/>
          <w:lang w:bidi="en-US"/>
        </w:rPr>
        <w:t xml:space="preserve">unmet </w:t>
      </w:r>
      <w:r w:rsidR="007F40D4">
        <w:rPr>
          <w:rFonts w:eastAsiaTheme="majorEastAsia" w:cstheme="minorHAnsi"/>
          <w:bCs/>
          <w:lang w:bidi="en-US"/>
        </w:rPr>
        <w:t>demand.</w:t>
      </w:r>
      <w:r w:rsidR="007F40D4" w:rsidRPr="00DC133C">
        <w:rPr>
          <w:rFonts w:eastAsiaTheme="majorEastAsia" w:cstheme="minorHAnsi"/>
          <w:bCs/>
          <w:lang w:bidi="en-US"/>
        </w:rPr>
        <w:t xml:space="preserve"> </w:t>
      </w:r>
    </w:p>
    <w:p w14:paraId="7DFDD7C6" w14:textId="2F002C26" w:rsidR="00E95D7C" w:rsidRPr="008A65F1" w:rsidRDefault="00E95D7C" w:rsidP="00F914A4">
      <w:pPr>
        <w:rPr>
          <w:rFonts w:eastAsiaTheme="majorEastAsia" w:cstheme="minorHAnsi"/>
          <w:b/>
          <w:bCs/>
          <w:lang w:bidi="en-US"/>
        </w:rPr>
      </w:pPr>
      <w:r w:rsidRPr="008A65F1">
        <w:rPr>
          <w:rFonts w:eastAsiaTheme="majorEastAsia" w:cstheme="minorHAnsi"/>
          <w:b/>
          <w:bCs/>
          <w:lang w:bidi="en-US"/>
        </w:rPr>
        <w:t xml:space="preserve">Is there a cap on the amount of funding expected to be contributed by </w:t>
      </w:r>
      <w:r w:rsidR="00C61EFD">
        <w:rPr>
          <w:rFonts w:eastAsiaTheme="majorEastAsia" w:cstheme="minorHAnsi"/>
          <w:b/>
          <w:bCs/>
          <w:lang w:bidi="en-US"/>
        </w:rPr>
        <w:t xml:space="preserve">identified </w:t>
      </w:r>
      <w:r>
        <w:rPr>
          <w:rFonts w:eastAsiaTheme="majorEastAsia" w:cstheme="minorHAnsi"/>
          <w:b/>
          <w:bCs/>
          <w:lang w:bidi="en-US"/>
        </w:rPr>
        <w:t>i</w:t>
      </w:r>
      <w:r w:rsidRPr="008A65F1">
        <w:rPr>
          <w:rFonts w:eastAsiaTheme="majorEastAsia" w:cstheme="minorHAnsi"/>
          <w:b/>
          <w:bCs/>
          <w:lang w:bidi="en-US"/>
        </w:rPr>
        <w:t>ndustries?</w:t>
      </w:r>
    </w:p>
    <w:p w14:paraId="635C70BA" w14:textId="3CC553A3" w:rsidR="006B7C32" w:rsidRPr="00B2714C" w:rsidRDefault="00E95D7C" w:rsidP="00F914A4">
      <w:pPr>
        <w:rPr>
          <w:rFonts w:eastAsiaTheme="majorEastAsia" w:cs="Arial"/>
          <w:b/>
          <w:bCs/>
          <w:lang w:bidi="en-US"/>
        </w:rPr>
      </w:pPr>
      <w:r>
        <w:rPr>
          <w:rFonts w:eastAsiaTheme="majorEastAsia" w:cstheme="minorHAnsi"/>
          <w:bCs/>
          <w:lang w:bidi="en-US"/>
        </w:rPr>
        <w:t xml:space="preserve">While there </w:t>
      </w:r>
      <w:r w:rsidR="00B54C72">
        <w:rPr>
          <w:rFonts w:eastAsiaTheme="majorEastAsia" w:cstheme="minorHAnsi"/>
          <w:bCs/>
          <w:lang w:bidi="en-US"/>
        </w:rPr>
        <w:t>are</w:t>
      </w:r>
      <w:r>
        <w:rPr>
          <w:rFonts w:eastAsiaTheme="majorEastAsia" w:cstheme="minorHAnsi"/>
          <w:bCs/>
          <w:lang w:bidi="en-US"/>
        </w:rPr>
        <w:t xml:space="preserve"> no limits to the quantum of funding that industries may choose to contribute, </w:t>
      </w:r>
      <w:r w:rsidR="007F40D4">
        <w:rPr>
          <w:rFonts w:eastAsiaTheme="majorEastAsia" w:cstheme="minorHAnsi"/>
          <w:bCs/>
          <w:lang w:bidi="en-US"/>
        </w:rPr>
        <w:t xml:space="preserve">the funding commitment would </w:t>
      </w:r>
      <w:r>
        <w:rPr>
          <w:rFonts w:eastAsiaTheme="majorEastAsia" w:cstheme="minorHAnsi"/>
          <w:bCs/>
          <w:lang w:bidi="en-US"/>
        </w:rPr>
        <w:t>no</w:t>
      </w:r>
      <w:r w:rsidR="00F339BC">
        <w:rPr>
          <w:rFonts w:eastAsiaTheme="majorEastAsia" w:cstheme="minorHAnsi"/>
          <w:bCs/>
          <w:lang w:bidi="en-US"/>
        </w:rPr>
        <w:t>t</w:t>
      </w:r>
      <w:r>
        <w:rPr>
          <w:rFonts w:eastAsiaTheme="majorEastAsia" w:cstheme="minorHAnsi"/>
          <w:bCs/>
          <w:lang w:bidi="en-US"/>
        </w:rPr>
        <w:t xml:space="preserve"> </w:t>
      </w:r>
      <w:r w:rsidR="007F40D4">
        <w:rPr>
          <w:rFonts w:eastAsiaTheme="majorEastAsia" w:cstheme="minorHAnsi"/>
          <w:bCs/>
          <w:lang w:bidi="en-US"/>
        </w:rPr>
        <w:t xml:space="preserve">increase beyond </w:t>
      </w:r>
      <w:r>
        <w:rPr>
          <w:rFonts w:eastAsiaTheme="majorEastAsia" w:cstheme="minorHAnsi"/>
          <w:bCs/>
          <w:lang w:bidi="en-US"/>
        </w:rPr>
        <w:t xml:space="preserve">the Australian Government’s contributions to generalist financial counselling, or </w:t>
      </w:r>
      <w:r w:rsidR="007F40D4">
        <w:rPr>
          <w:rFonts w:eastAsiaTheme="majorEastAsia" w:cstheme="minorHAnsi"/>
          <w:bCs/>
          <w:lang w:bidi="en-US"/>
        </w:rPr>
        <w:t>the Sylvan Review’s recommend</w:t>
      </w:r>
      <w:r>
        <w:rPr>
          <w:rFonts w:eastAsiaTheme="majorEastAsia" w:cstheme="minorHAnsi"/>
          <w:bCs/>
          <w:lang w:bidi="en-US"/>
        </w:rPr>
        <w:t>ation of</w:t>
      </w:r>
      <w:r w:rsidR="007F40D4">
        <w:rPr>
          <w:rFonts w:eastAsiaTheme="majorEastAsia" w:cstheme="minorHAnsi"/>
          <w:bCs/>
          <w:lang w:bidi="en-US"/>
        </w:rPr>
        <w:t xml:space="preserve"> $4</w:t>
      </w:r>
      <w:r w:rsidR="004E1F58">
        <w:rPr>
          <w:rFonts w:eastAsiaTheme="majorEastAsia" w:cstheme="minorHAnsi"/>
          <w:bCs/>
          <w:lang w:bidi="en-US"/>
        </w:rPr>
        <w:t>5</w:t>
      </w:r>
      <w:r w:rsidR="007F40D4">
        <w:rPr>
          <w:rFonts w:eastAsiaTheme="majorEastAsia" w:cstheme="minorHAnsi"/>
          <w:bCs/>
          <w:lang w:bidi="en-US"/>
        </w:rPr>
        <w:t xml:space="preserve"> million per annum</w:t>
      </w:r>
      <w:r w:rsidR="00956817">
        <w:rPr>
          <w:rFonts w:eastAsiaTheme="majorEastAsia" w:cstheme="minorHAnsi"/>
          <w:bCs/>
          <w:lang w:bidi="en-US"/>
        </w:rPr>
        <w:t>, whichever is the greatest</w:t>
      </w:r>
      <w:r w:rsidR="00B54C72">
        <w:rPr>
          <w:rFonts w:eastAsiaTheme="majorEastAsia" w:cstheme="minorHAnsi"/>
          <w:bCs/>
          <w:lang w:bidi="en-US"/>
        </w:rPr>
        <w:t>.</w:t>
      </w:r>
      <w:r w:rsidR="007F40D4">
        <w:rPr>
          <w:rFonts w:eastAsiaTheme="majorEastAsia" w:cstheme="minorHAnsi"/>
          <w:bCs/>
          <w:lang w:bidi="en-US"/>
        </w:rPr>
        <w:t xml:space="preserve"> </w:t>
      </w:r>
    </w:p>
    <w:p w14:paraId="7E51D6EA" w14:textId="77777777" w:rsidR="006F73AB" w:rsidRPr="00B2714C" w:rsidRDefault="009957E3" w:rsidP="00F914A4">
      <w:pPr>
        <w:pStyle w:val="Style1"/>
        <w:spacing w:before="0" w:after="160"/>
        <w:rPr>
          <w:rFonts w:eastAsiaTheme="majorEastAsia"/>
        </w:rPr>
      </w:pPr>
      <w:r w:rsidRPr="00B2714C">
        <w:rPr>
          <w:rFonts w:eastAsiaTheme="majorEastAsia"/>
        </w:rPr>
        <w:t>How will funding be collected and distributed?</w:t>
      </w:r>
    </w:p>
    <w:p w14:paraId="61EE40B7" w14:textId="23B41377" w:rsidR="008B7818" w:rsidRPr="008B7818" w:rsidRDefault="008B7818" w:rsidP="00F914A4">
      <w:pPr>
        <w:rPr>
          <w:rFonts w:cs="Arial"/>
          <w:lang w:bidi="en-US"/>
        </w:rPr>
      </w:pPr>
      <w:r w:rsidRPr="008B7818">
        <w:rPr>
          <w:rFonts w:cs="Arial"/>
          <w:lang w:bidi="en-US"/>
        </w:rPr>
        <w:t xml:space="preserve">It is proposed </w:t>
      </w:r>
      <w:r w:rsidR="00F00334">
        <w:rPr>
          <w:rFonts w:cs="Arial"/>
          <w:lang w:bidi="en-US"/>
        </w:rPr>
        <w:t xml:space="preserve">that </w:t>
      </w:r>
      <w:r w:rsidRPr="008B7818">
        <w:rPr>
          <w:rFonts w:cs="Arial"/>
          <w:lang w:bidi="en-US"/>
        </w:rPr>
        <w:t xml:space="preserve">a </w:t>
      </w:r>
      <w:r w:rsidR="002C44F6">
        <w:rPr>
          <w:rFonts w:cs="Arial"/>
          <w:lang w:bidi="en-US"/>
        </w:rPr>
        <w:t xml:space="preserve">new </w:t>
      </w:r>
      <w:r w:rsidR="00347E58">
        <w:rPr>
          <w:rFonts w:cs="Arial"/>
          <w:lang w:bidi="en-US"/>
        </w:rPr>
        <w:t>independent</w:t>
      </w:r>
      <w:r w:rsidR="002C44F6">
        <w:rPr>
          <w:rFonts w:cs="Arial"/>
          <w:lang w:bidi="en-US"/>
        </w:rPr>
        <w:t xml:space="preserve"> </w:t>
      </w:r>
      <w:r w:rsidR="00715BCB">
        <w:rPr>
          <w:rFonts w:cs="Arial"/>
          <w:lang w:bidi="en-US"/>
        </w:rPr>
        <w:t xml:space="preserve">not-for-profit </w:t>
      </w:r>
      <w:r w:rsidR="002C44F6">
        <w:rPr>
          <w:rFonts w:cs="Arial"/>
          <w:lang w:bidi="en-US"/>
        </w:rPr>
        <w:t>body</w:t>
      </w:r>
      <w:r w:rsidRPr="008B7818">
        <w:rPr>
          <w:rFonts w:cs="Arial"/>
          <w:lang w:bidi="en-US"/>
        </w:rPr>
        <w:t xml:space="preserve"> be </w:t>
      </w:r>
      <w:r w:rsidR="00A127D1">
        <w:rPr>
          <w:rFonts w:cs="Arial"/>
          <w:lang w:bidi="en-US"/>
        </w:rPr>
        <w:t xml:space="preserve">established </w:t>
      </w:r>
      <w:r w:rsidRPr="008B7818">
        <w:rPr>
          <w:rFonts w:cs="Arial"/>
          <w:lang w:bidi="en-US"/>
        </w:rPr>
        <w:t xml:space="preserve">to distribute </w:t>
      </w:r>
      <w:r w:rsidR="002633F0">
        <w:rPr>
          <w:rFonts w:cs="Arial"/>
          <w:lang w:bidi="en-US"/>
        </w:rPr>
        <w:t xml:space="preserve">the </w:t>
      </w:r>
      <w:r w:rsidRPr="008B7818">
        <w:rPr>
          <w:rFonts w:cs="Arial"/>
          <w:lang w:bidi="en-US"/>
        </w:rPr>
        <w:t>contributions</w:t>
      </w:r>
      <w:r w:rsidR="002633F0">
        <w:rPr>
          <w:rFonts w:cs="Arial"/>
          <w:lang w:bidi="en-US"/>
        </w:rPr>
        <w:t xml:space="preserve"> it receives for financial counselling</w:t>
      </w:r>
      <w:r w:rsidR="00E714CE">
        <w:rPr>
          <w:rFonts w:cs="Arial"/>
          <w:lang w:bidi="en-US"/>
        </w:rPr>
        <w:t xml:space="preserve"> from industry</w:t>
      </w:r>
      <w:r w:rsidR="00F00334">
        <w:rPr>
          <w:rFonts w:cs="Arial"/>
          <w:lang w:bidi="en-US"/>
        </w:rPr>
        <w:t xml:space="preserve">. </w:t>
      </w:r>
      <w:r w:rsidR="00C5278C">
        <w:rPr>
          <w:rFonts w:cs="Arial"/>
          <w:lang w:bidi="en-US"/>
        </w:rPr>
        <w:t>The new independent</w:t>
      </w:r>
      <w:r w:rsidR="002C44F6">
        <w:rPr>
          <w:rFonts w:cs="Arial"/>
          <w:lang w:bidi="en-US"/>
        </w:rPr>
        <w:t xml:space="preserve"> body</w:t>
      </w:r>
      <w:r w:rsidRPr="008B7818">
        <w:rPr>
          <w:rFonts w:cs="Arial"/>
          <w:lang w:bidi="en-US"/>
        </w:rPr>
        <w:t xml:space="preserve"> would: </w:t>
      </w:r>
    </w:p>
    <w:p w14:paraId="0C358859" w14:textId="4E5B7FF7" w:rsidR="008B7818" w:rsidRPr="002A3B93" w:rsidRDefault="008B7818" w:rsidP="00F914A4">
      <w:pPr>
        <w:numPr>
          <w:ilvl w:val="0"/>
          <w:numId w:val="7"/>
        </w:numPr>
        <w:tabs>
          <w:tab w:val="left" w:pos="720"/>
        </w:tabs>
        <w:rPr>
          <w:rFonts w:cs="Arial"/>
          <w:lang w:bidi="en-US"/>
        </w:rPr>
      </w:pPr>
      <w:r w:rsidRPr="002A3B93">
        <w:rPr>
          <w:rFonts w:cs="Arial"/>
          <w:lang w:bidi="en-US"/>
        </w:rPr>
        <w:t>facilitate the coordination of funding</w:t>
      </w:r>
      <w:r w:rsidR="002C14D8">
        <w:rPr>
          <w:rFonts w:cs="Arial"/>
          <w:lang w:bidi="en-US"/>
        </w:rPr>
        <w:t>;</w:t>
      </w:r>
    </w:p>
    <w:p w14:paraId="292551C9" w14:textId="37D2A543" w:rsidR="00C5278C" w:rsidRPr="002A3B93" w:rsidRDefault="008B7818" w:rsidP="00F914A4">
      <w:pPr>
        <w:numPr>
          <w:ilvl w:val="0"/>
          <w:numId w:val="7"/>
        </w:numPr>
        <w:tabs>
          <w:tab w:val="left" w:pos="720"/>
        </w:tabs>
        <w:rPr>
          <w:rFonts w:cs="Arial"/>
          <w:lang w:bidi="en-US"/>
        </w:rPr>
      </w:pPr>
      <w:r w:rsidRPr="002A3B93">
        <w:rPr>
          <w:rFonts w:cs="Arial"/>
          <w:lang w:bidi="en-US"/>
        </w:rPr>
        <w:t>remove potential c</w:t>
      </w:r>
      <w:r w:rsidR="000618EA" w:rsidRPr="002A3B93">
        <w:rPr>
          <w:rFonts w:cs="Arial"/>
          <w:lang w:bidi="en-US"/>
        </w:rPr>
        <w:t>omplexity that may</w:t>
      </w:r>
      <w:r w:rsidR="00A21F84" w:rsidRPr="002A3B93">
        <w:rPr>
          <w:rFonts w:cs="Arial"/>
          <w:lang w:bidi="en-US"/>
        </w:rPr>
        <w:t xml:space="preserve"> occur </w:t>
      </w:r>
      <w:r w:rsidR="00A8125A" w:rsidRPr="002A3B93">
        <w:rPr>
          <w:rFonts w:cs="Arial"/>
          <w:lang w:bidi="en-US"/>
        </w:rPr>
        <w:t>if</w:t>
      </w:r>
      <w:r w:rsidR="000618EA" w:rsidRPr="002A3B93">
        <w:rPr>
          <w:rFonts w:cs="Arial"/>
          <w:lang w:bidi="en-US"/>
        </w:rPr>
        <w:t xml:space="preserve"> </w:t>
      </w:r>
      <w:r w:rsidR="000E1CE5">
        <w:rPr>
          <w:rFonts w:cs="Arial"/>
          <w:lang w:bidi="en-US"/>
        </w:rPr>
        <w:t>separate arrangements are set up</w:t>
      </w:r>
      <w:r w:rsidR="002C14D8">
        <w:rPr>
          <w:rFonts w:cs="Arial"/>
          <w:lang w:bidi="en-US"/>
        </w:rPr>
        <w:t>; and</w:t>
      </w:r>
    </w:p>
    <w:p w14:paraId="27B32078" w14:textId="172C4A17" w:rsidR="00C5278C" w:rsidRDefault="008B7818" w:rsidP="00F914A4">
      <w:pPr>
        <w:numPr>
          <w:ilvl w:val="0"/>
          <w:numId w:val="7"/>
        </w:numPr>
        <w:tabs>
          <w:tab w:val="left" w:pos="720"/>
        </w:tabs>
        <w:rPr>
          <w:rFonts w:cs="Arial"/>
          <w:lang w:bidi="en-US"/>
        </w:rPr>
      </w:pPr>
      <w:r w:rsidRPr="002A3B93">
        <w:rPr>
          <w:rFonts w:cs="Arial"/>
          <w:lang w:bidi="en-US"/>
        </w:rPr>
        <w:t xml:space="preserve">allow for streamlined coordination with other funders of financial counselling, including the </w:t>
      </w:r>
      <w:r w:rsidR="0048409A" w:rsidRPr="002A3B93">
        <w:rPr>
          <w:rFonts w:cs="Arial"/>
          <w:lang w:bidi="en-US"/>
        </w:rPr>
        <w:t>Government</w:t>
      </w:r>
      <w:r w:rsidRPr="002A3B93">
        <w:rPr>
          <w:rFonts w:cs="Arial"/>
          <w:lang w:bidi="en-US"/>
        </w:rPr>
        <w:t xml:space="preserve">. </w:t>
      </w:r>
    </w:p>
    <w:p w14:paraId="3EE86792" w14:textId="77D359AF" w:rsidR="00B958AD" w:rsidRPr="00B958AD" w:rsidRDefault="00B958AD" w:rsidP="00F914A4">
      <w:pPr>
        <w:rPr>
          <w:rFonts w:cs="Arial"/>
          <w:lang w:bidi="en-US"/>
        </w:rPr>
      </w:pPr>
      <w:r w:rsidRPr="00B958AD">
        <w:rPr>
          <w:rFonts w:cs="Arial"/>
          <w:lang w:bidi="en-US"/>
        </w:rPr>
        <w:t>For the initial commitment</w:t>
      </w:r>
      <w:r w:rsidR="007D2251">
        <w:rPr>
          <w:rFonts w:cs="Arial"/>
          <w:lang w:bidi="en-US"/>
        </w:rPr>
        <w:t xml:space="preserve"> between 1 July 2023 and 30 June 2026</w:t>
      </w:r>
      <w:r w:rsidRPr="00B958AD">
        <w:rPr>
          <w:rFonts w:cs="Arial"/>
          <w:lang w:bidi="en-US"/>
        </w:rPr>
        <w:t xml:space="preserve"> (phase 1), the Department will seek to obtain letters of commitment from subsectors </w:t>
      </w:r>
      <w:r w:rsidR="00AF4EC6">
        <w:rPr>
          <w:rFonts w:cs="Arial"/>
          <w:lang w:bidi="en-US"/>
        </w:rPr>
        <w:t>through</w:t>
      </w:r>
      <w:r w:rsidRPr="00B958AD">
        <w:rPr>
          <w:rFonts w:cs="Arial"/>
          <w:lang w:bidi="en-US"/>
        </w:rPr>
        <w:t xml:space="preserve"> their peak representatives. For the period post June-2026 (phase 2), it would be the role of the new independent body to obtain the </w:t>
      </w:r>
      <w:r w:rsidR="00C61EFD">
        <w:rPr>
          <w:rFonts w:cs="Arial"/>
          <w:lang w:bidi="en-US"/>
        </w:rPr>
        <w:t xml:space="preserve">funding </w:t>
      </w:r>
      <w:r w:rsidRPr="00B958AD">
        <w:rPr>
          <w:rFonts w:cs="Arial"/>
          <w:lang w:bidi="en-US"/>
        </w:rPr>
        <w:t xml:space="preserve">recommitments. </w:t>
      </w:r>
    </w:p>
    <w:p w14:paraId="099C98DB" w14:textId="23599B3F" w:rsidR="00222DA1" w:rsidRDefault="007C00EB" w:rsidP="00F914A4">
      <w:pPr>
        <w:tabs>
          <w:tab w:val="left" w:pos="720"/>
        </w:tabs>
        <w:rPr>
          <w:rFonts w:eastAsiaTheme="majorEastAsia"/>
        </w:rPr>
      </w:pPr>
      <w:r>
        <w:rPr>
          <w:rFonts w:cs="Arial"/>
          <w:lang w:bidi="en-US"/>
        </w:rPr>
        <w:t>Further details on the proposed roles and characteristics of the independent body are in Section </w:t>
      </w:r>
      <w:r w:rsidR="00F74348">
        <w:rPr>
          <w:rFonts w:cs="Arial"/>
          <w:lang w:bidi="en-US"/>
        </w:rPr>
        <w:t xml:space="preserve">6 </w:t>
      </w:r>
      <w:r>
        <w:rPr>
          <w:rFonts w:cs="Arial"/>
          <w:lang w:bidi="en-US"/>
        </w:rPr>
        <w:t>of the discussion paper.</w:t>
      </w:r>
    </w:p>
    <w:p w14:paraId="4ACB60AD" w14:textId="517B94D6" w:rsidR="0048409A" w:rsidRPr="00B2714C" w:rsidRDefault="0048409A" w:rsidP="00F914A4">
      <w:pPr>
        <w:pStyle w:val="Style1"/>
        <w:spacing w:before="0" w:after="160"/>
        <w:rPr>
          <w:rFonts w:eastAsiaTheme="majorEastAsia"/>
        </w:rPr>
      </w:pPr>
      <w:r w:rsidRPr="00B2714C">
        <w:rPr>
          <w:rFonts w:eastAsiaTheme="majorEastAsia"/>
        </w:rPr>
        <w:lastRenderedPageBreak/>
        <w:t xml:space="preserve">How will we know if the </w:t>
      </w:r>
      <w:r w:rsidR="00B2714C">
        <w:rPr>
          <w:rFonts w:eastAsiaTheme="majorEastAsia"/>
        </w:rPr>
        <w:t>model is working</w:t>
      </w:r>
      <w:r w:rsidRPr="00B2714C">
        <w:rPr>
          <w:rFonts w:eastAsiaTheme="majorEastAsia"/>
        </w:rPr>
        <w:t>?</w:t>
      </w:r>
    </w:p>
    <w:p w14:paraId="4059EB23" w14:textId="73183B7C" w:rsidR="00067F67" w:rsidRDefault="00AB000A" w:rsidP="00F914A4">
      <w:pPr>
        <w:rPr>
          <w:rFonts w:cs="Arial"/>
          <w:lang w:bidi="en-US"/>
        </w:rPr>
      </w:pPr>
      <w:r w:rsidRPr="00DC133C">
        <w:rPr>
          <w:rFonts w:cs="Arial"/>
          <w:lang w:bidi="en-US"/>
        </w:rPr>
        <w:t xml:space="preserve">The voluntary nature of the proposed model is based on the assumption there is a recognition of the value </w:t>
      </w:r>
      <w:r w:rsidR="00FC6617">
        <w:rPr>
          <w:rFonts w:cs="Arial"/>
          <w:lang w:bidi="en-US"/>
        </w:rPr>
        <w:t xml:space="preserve">of </w:t>
      </w:r>
      <w:r w:rsidRPr="00DC133C">
        <w:rPr>
          <w:rFonts w:cs="Arial"/>
          <w:lang w:bidi="en-US"/>
        </w:rPr>
        <w:t xml:space="preserve">financial counselling in assisting individuals in financial </w:t>
      </w:r>
      <w:r w:rsidR="00956817">
        <w:rPr>
          <w:rFonts w:cs="Arial"/>
          <w:lang w:bidi="en-US"/>
        </w:rPr>
        <w:t>hardship</w:t>
      </w:r>
      <w:r w:rsidR="00FC6617">
        <w:rPr>
          <w:rFonts w:cs="Arial"/>
          <w:lang w:bidi="en-US"/>
        </w:rPr>
        <w:t>. If there is a lack of voluntary contributions</w:t>
      </w:r>
      <w:r w:rsidR="00B54C72">
        <w:rPr>
          <w:rFonts w:cs="Arial"/>
          <w:lang w:bidi="en-US"/>
        </w:rPr>
        <w:t>,</w:t>
      </w:r>
      <w:r w:rsidR="00FC6617">
        <w:rPr>
          <w:rFonts w:cs="Arial"/>
          <w:lang w:bidi="en-US"/>
        </w:rPr>
        <w:t xml:space="preserve"> the Government may need to seek other methods for contributions, which may include a legislated contribution</w:t>
      </w:r>
      <w:r w:rsidR="00C61EFD">
        <w:rPr>
          <w:rFonts w:cs="Arial"/>
          <w:lang w:bidi="en-US"/>
        </w:rPr>
        <w:t xml:space="preserve">. </w:t>
      </w:r>
    </w:p>
    <w:p w14:paraId="7748AC9A" w14:textId="5383F58C" w:rsidR="003D1716" w:rsidRDefault="008B7818" w:rsidP="00F914A4">
      <w:pPr>
        <w:rPr>
          <w:rFonts w:cs="Arial"/>
          <w:lang w:bidi="en-US"/>
        </w:rPr>
      </w:pPr>
      <w:r w:rsidRPr="0048409A">
        <w:rPr>
          <w:rFonts w:cs="Arial"/>
          <w:lang w:bidi="en-US"/>
        </w:rPr>
        <w:t xml:space="preserve">An evaluation of the </w:t>
      </w:r>
      <w:r w:rsidR="00B2714C">
        <w:rPr>
          <w:rFonts w:cs="Arial"/>
          <w:lang w:bidi="en-US"/>
        </w:rPr>
        <w:t>model</w:t>
      </w:r>
      <w:r w:rsidRPr="0048409A">
        <w:rPr>
          <w:rFonts w:cs="Arial"/>
          <w:lang w:bidi="en-US"/>
        </w:rPr>
        <w:t xml:space="preserve"> will be undertaken to determine </w:t>
      </w:r>
      <w:r w:rsidR="00C45BAD">
        <w:rPr>
          <w:rFonts w:cs="Arial"/>
          <w:lang w:bidi="en-US"/>
        </w:rPr>
        <w:t>its</w:t>
      </w:r>
      <w:r w:rsidRPr="0048409A">
        <w:rPr>
          <w:rFonts w:cs="Arial"/>
          <w:lang w:bidi="en-US"/>
        </w:rPr>
        <w:t xml:space="preserve"> effectiveness to </w:t>
      </w:r>
      <w:r w:rsidR="00A2196C" w:rsidRPr="00A2196C">
        <w:rPr>
          <w:rFonts w:cs="Arial"/>
          <w:lang w:bidi="en-US"/>
        </w:rPr>
        <w:t>addres</w:t>
      </w:r>
      <w:r w:rsidR="00A2196C">
        <w:rPr>
          <w:rFonts w:cs="Arial"/>
          <w:lang w:bidi="en-US"/>
        </w:rPr>
        <w:t>s</w:t>
      </w:r>
      <w:r w:rsidR="00A2196C" w:rsidRPr="00A2196C">
        <w:rPr>
          <w:rFonts w:cs="Arial"/>
          <w:lang w:bidi="en-US"/>
        </w:rPr>
        <w:t xml:space="preserve"> unmet demand for financial counselling services</w:t>
      </w:r>
      <w:r w:rsidR="000B1C2C">
        <w:rPr>
          <w:rFonts w:cs="Arial"/>
          <w:lang w:bidi="en-US"/>
        </w:rPr>
        <w:t>, and provide stable and predictable funding.</w:t>
      </w:r>
      <w:r w:rsidR="00FC6617" w:rsidRPr="00FC6617">
        <w:rPr>
          <w:rFonts w:cs="Arial"/>
          <w:lang w:bidi="en-US"/>
        </w:rPr>
        <w:t xml:space="preserve"> </w:t>
      </w:r>
      <w:r w:rsidR="00FC6617">
        <w:rPr>
          <w:rFonts w:cs="Arial"/>
          <w:lang w:bidi="en-US"/>
        </w:rPr>
        <w:t xml:space="preserve">Further details on the proposed evaluation of the industry funding model are in Section </w:t>
      </w:r>
      <w:r w:rsidR="00F74348">
        <w:rPr>
          <w:rFonts w:cs="Arial"/>
          <w:lang w:bidi="en-US"/>
        </w:rPr>
        <w:t xml:space="preserve">7 </w:t>
      </w:r>
      <w:r w:rsidR="00FC6617">
        <w:rPr>
          <w:rFonts w:cs="Arial"/>
          <w:lang w:bidi="en-US"/>
        </w:rPr>
        <w:t>of the discussion paper.</w:t>
      </w:r>
    </w:p>
    <w:p w14:paraId="7056371A" w14:textId="62E79E77" w:rsidR="00B3002F" w:rsidRDefault="0039591E" w:rsidP="003D1716">
      <w:pPr>
        <w:spacing w:before="60" w:after="120"/>
        <w:rPr>
          <w:rFonts w:cs="Arial"/>
          <w:lang w:bidi="en-US"/>
        </w:rPr>
      </w:pPr>
      <w:r w:rsidRPr="00202C30">
        <w:rPr>
          <w:rFonts w:cs="Arial"/>
          <w:lang w:bidi="en-US"/>
        </w:rPr>
        <w:t>Diagram 1</w:t>
      </w:r>
      <w:r w:rsidR="003C3179" w:rsidRPr="00BF601C">
        <w:rPr>
          <w:rFonts w:cs="Arial"/>
          <w:lang w:bidi="en-US"/>
        </w:rPr>
        <w:t xml:space="preserve"> illustrates the operation of the model.</w:t>
      </w:r>
      <w:r w:rsidR="003C3179">
        <w:rPr>
          <w:rFonts w:cs="Arial"/>
          <w:lang w:bidi="en-US"/>
        </w:rPr>
        <w:t xml:space="preserve"> </w:t>
      </w:r>
    </w:p>
    <w:p w14:paraId="20E0CA9D" w14:textId="77777777" w:rsidR="00F74348" w:rsidRDefault="00F74348" w:rsidP="003D1716">
      <w:pPr>
        <w:spacing w:before="60" w:after="120"/>
        <w:rPr>
          <w:rFonts w:cs="Arial"/>
          <w:lang w:bidi="en-US"/>
        </w:rPr>
        <w:sectPr w:rsidR="00F74348" w:rsidSect="0087600D">
          <w:headerReference w:type="even" r:id="rId15"/>
          <w:headerReference w:type="default" r:id="rId16"/>
          <w:headerReference w:type="first" r:id="rId17"/>
          <w:footerReference w:type="first" r:id="rId18"/>
          <w:pgSz w:w="11906" w:h="16838"/>
          <w:pgMar w:top="1134" w:right="1418" w:bottom="1418" w:left="1134" w:header="284" w:footer="459" w:gutter="0"/>
          <w:pgNumType w:start="1"/>
          <w:cols w:space="708"/>
          <w:titlePg/>
          <w:docGrid w:linePitch="360"/>
        </w:sectPr>
      </w:pPr>
    </w:p>
    <w:p w14:paraId="63231C78" w14:textId="2D730FEE" w:rsidR="00F74348" w:rsidRDefault="00914C1A" w:rsidP="007D6DA7">
      <w:pPr>
        <w:spacing w:before="60" w:after="120"/>
        <w:rPr>
          <w:rFonts w:cs="Arial"/>
          <w:lang w:bidi="en-US"/>
        </w:rPr>
        <w:sectPr w:rsidR="00F74348" w:rsidSect="000D2067">
          <w:pgSz w:w="16838" w:h="11906" w:orient="landscape"/>
          <w:pgMar w:top="1134" w:right="1134" w:bottom="1418" w:left="1418" w:header="284" w:footer="459" w:gutter="0"/>
          <w:cols w:space="708"/>
          <w:titlePg/>
          <w:docGrid w:linePitch="360"/>
        </w:sectPr>
      </w:pPr>
      <w:r w:rsidRPr="00914C1A">
        <w:rPr>
          <w:rFonts w:cs="Arial"/>
          <w:noProof/>
          <w:lang w:eastAsia="en-AU"/>
        </w:rPr>
        <w:lastRenderedPageBreak/>
        <mc:AlternateContent>
          <mc:Choice Requires="wps">
            <w:drawing>
              <wp:anchor distT="45720" distB="45720" distL="114300" distR="114300" simplePos="0" relativeHeight="251735040" behindDoc="0" locked="0" layoutInCell="1" allowOverlap="1" wp14:anchorId="5CA6C684" wp14:editId="3A86F704">
                <wp:simplePos x="0" y="0"/>
                <wp:positionH relativeFrom="column">
                  <wp:posOffset>-105410</wp:posOffset>
                </wp:positionH>
                <wp:positionV relativeFrom="paragraph">
                  <wp:posOffset>635</wp:posOffset>
                </wp:positionV>
                <wp:extent cx="2689860" cy="490220"/>
                <wp:effectExtent l="0" t="0" r="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490220"/>
                        </a:xfrm>
                        <a:prstGeom prst="rect">
                          <a:avLst/>
                        </a:prstGeom>
                        <a:solidFill>
                          <a:srgbClr val="FFFFFF"/>
                        </a:solidFill>
                        <a:ln w="9525">
                          <a:noFill/>
                          <a:miter lim="800000"/>
                          <a:headEnd/>
                          <a:tailEnd/>
                        </a:ln>
                      </wps:spPr>
                      <wps:txbx>
                        <w:txbxContent>
                          <w:p w14:paraId="5EFFD079" w14:textId="77777777" w:rsidR="00FF3618" w:rsidRPr="00BF601C" w:rsidRDefault="00FF3618" w:rsidP="0039591E">
                            <w:pPr>
                              <w:rPr>
                                <w:rFonts w:eastAsiaTheme="majorEastAsia"/>
                                <w:b/>
                              </w:rPr>
                            </w:pPr>
                            <w:r w:rsidRPr="00BF601C">
                              <w:rPr>
                                <w:rFonts w:eastAsiaTheme="majorEastAsia"/>
                                <w:b/>
                              </w:rPr>
                              <w:t>D</w:t>
                            </w:r>
                            <w:r>
                              <w:rPr>
                                <w:rFonts w:eastAsiaTheme="majorEastAsia"/>
                                <w:b/>
                              </w:rPr>
                              <w:t>IAGRAM</w:t>
                            </w:r>
                            <w:r w:rsidRPr="00BF601C">
                              <w:rPr>
                                <w:rFonts w:eastAsiaTheme="majorEastAsia"/>
                                <w:b/>
                              </w:rPr>
                              <w:t xml:space="preserve"> 1</w:t>
                            </w:r>
                            <w:r>
                              <w:rPr>
                                <w:rFonts w:eastAsiaTheme="majorEastAsia"/>
                                <w:b/>
                              </w:rPr>
                              <w:t xml:space="preserve"> – Industry funding model from 1 July 2023</w:t>
                            </w:r>
                          </w:p>
                          <w:p w14:paraId="0C0DE158" w14:textId="3A9D8BE2" w:rsidR="00FF3618" w:rsidRDefault="00FF3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6C684" id="Text Box 2" o:spid="_x0000_s1028" type="#_x0000_t202" style="position:absolute;margin-left:-8.3pt;margin-top:.05pt;width:211.8pt;height:38.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" stroked="f">
                <v:textbox>
                  <w:txbxContent>
                    <w:p w14:paraId="5EFFD079" w14:textId="77777777" w:rsidR="00FF3618" w:rsidRPr="00BF601C" w:rsidRDefault="00FF3618" w:rsidP="0039591E">
                      <w:pPr>
                        <w:rPr>
                          <w:rFonts w:eastAsiaTheme="majorEastAsia"/>
                          <w:b/>
                        </w:rPr>
                      </w:pPr>
                      <w:r w:rsidRPr="00BF601C">
                        <w:rPr>
                          <w:rFonts w:eastAsiaTheme="majorEastAsia"/>
                          <w:b/>
                        </w:rPr>
                        <w:t>D</w:t>
                      </w:r>
                      <w:r>
                        <w:rPr>
                          <w:rFonts w:eastAsiaTheme="majorEastAsia"/>
                          <w:b/>
                        </w:rPr>
                        <w:t>IAGRAM</w:t>
                      </w:r>
                      <w:r w:rsidRPr="00BF601C">
                        <w:rPr>
                          <w:rFonts w:eastAsiaTheme="majorEastAsia"/>
                          <w:b/>
                        </w:rPr>
                        <w:t xml:space="preserve"> 1</w:t>
                      </w:r>
                      <w:r>
                        <w:rPr>
                          <w:rFonts w:eastAsiaTheme="majorEastAsia"/>
                          <w:b/>
                        </w:rPr>
                        <w:t xml:space="preserve"> – Industry funding model from 1 July 2023</w:t>
                      </w:r>
                    </w:p>
                    <w:p w14:paraId="0C0DE158" w14:textId="3A9D8BE2" w:rsidR="00FF3618" w:rsidRDefault="00FF3618"/>
                  </w:txbxContent>
                </v:textbox>
                <w10:wrap type="square"/>
              </v:shape>
            </w:pict>
          </mc:Fallback>
        </mc:AlternateContent>
      </w:r>
      <w:r w:rsidR="00F36DD9" w:rsidRPr="00F36DD9">
        <w:rPr>
          <w:rFonts w:cs="Arial"/>
          <w:noProof/>
          <w:lang w:eastAsia="en-AU"/>
        </w:rPr>
        <w:drawing>
          <wp:inline distT="0" distB="0" distL="0" distR="0" wp14:anchorId="4B63416A" wp14:editId="108E4914">
            <wp:extent cx="9381216" cy="6198919"/>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381216" cy="6198919"/>
                    </a:xfrm>
                    <a:prstGeom prst="rect">
                      <a:avLst/>
                    </a:prstGeom>
                  </pic:spPr>
                </pic:pic>
              </a:graphicData>
            </a:graphic>
          </wp:inline>
        </w:drawing>
      </w:r>
    </w:p>
    <w:p w14:paraId="659CA6F0" w14:textId="7BB6719B" w:rsidR="001C053B" w:rsidRPr="00391C8F" w:rsidRDefault="001C053B" w:rsidP="004E1899">
      <w:pPr>
        <w:pStyle w:val="Heading1"/>
        <w:spacing w:before="0"/>
        <w:ind w:left="431" w:hanging="431"/>
      </w:pPr>
      <w:bookmarkStart w:id="16" w:name="_Toc95215487"/>
      <w:bookmarkStart w:id="17" w:name="_Toc95210942"/>
      <w:bookmarkStart w:id="18" w:name="_Toc95213342"/>
      <w:bookmarkStart w:id="19" w:name="_Toc95213968"/>
      <w:bookmarkStart w:id="20" w:name="_Toc95215488"/>
      <w:bookmarkStart w:id="21" w:name="_Toc118288271"/>
      <w:bookmarkStart w:id="22" w:name="_Toc95213969"/>
      <w:bookmarkStart w:id="23" w:name="_Toc95215489"/>
      <w:bookmarkEnd w:id="16"/>
      <w:bookmarkEnd w:id="17"/>
      <w:bookmarkEnd w:id="18"/>
      <w:bookmarkEnd w:id="19"/>
      <w:bookmarkEnd w:id="20"/>
      <w:r w:rsidRPr="00803599">
        <w:lastRenderedPageBreak/>
        <w:t xml:space="preserve">Quantum of </w:t>
      </w:r>
      <w:r w:rsidR="00172041">
        <w:t>f</w:t>
      </w:r>
      <w:r w:rsidRPr="00803599">
        <w:t xml:space="preserve">unding </w:t>
      </w:r>
      <w:r w:rsidR="006B3D8A">
        <w:t xml:space="preserve">required to </w:t>
      </w:r>
      <w:r w:rsidR="00804030">
        <w:t>address</w:t>
      </w:r>
      <w:r w:rsidR="006B3D8A">
        <w:t xml:space="preserve"> unmet demand</w:t>
      </w:r>
      <w:bookmarkEnd w:id="21"/>
    </w:p>
    <w:p w14:paraId="39ED71B7" w14:textId="7B49ACD8" w:rsidR="003477DC" w:rsidRDefault="00BD6B67" w:rsidP="00F914A4">
      <w:pPr>
        <w:tabs>
          <w:tab w:val="left" w:pos="720"/>
        </w:tabs>
      </w:pPr>
      <w:r w:rsidRPr="00E314BF">
        <w:t>The start date of the industry funding model is 1 July 2023</w:t>
      </w:r>
      <w:r w:rsidR="0055534E">
        <w:t>.</w:t>
      </w:r>
      <w:r w:rsidR="003477DC" w:rsidRPr="003477DC">
        <w:t xml:space="preserve"> </w:t>
      </w:r>
      <w:r w:rsidR="00176904">
        <w:t xml:space="preserve">The quantum of funding required to address unmet demand for each year is set out in </w:t>
      </w:r>
      <w:r w:rsidR="00D70B88">
        <w:t>T</w:t>
      </w:r>
      <w:r w:rsidR="00176904">
        <w:t xml:space="preserve">able 1. </w:t>
      </w:r>
      <w:r w:rsidR="00176904" w:rsidRPr="008C3A6D">
        <w:t xml:space="preserve">This is </w:t>
      </w:r>
      <w:r w:rsidR="003477DC" w:rsidRPr="008C3A6D">
        <w:t>the funding gap between existing funding from governments and funding needed to meet demand for services</w:t>
      </w:r>
      <w:r w:rsidR="00176904" w:rsidRPr="008C3A6D">
        <w:t xml:space="preserve"> based on modelling to forecast demand for services over this period</w:t>
      </w:r>
      <w:r w:rsidR="003477DC" w:rsidRPr="008C3A6D">
        <w:t>. It also includes the operating costs for the independent body</w:t>
      </w:r>
      <w:r w:rsidR="00F13217" w:rsidRPr="008C3A6D">
        <w:t xml:space="preserve"> and funds for innovation</w:t>
      </w:r>
      <w:r w:rsidR="003F474F">
        <w:t xml:space="preserve"> and capability building</w:t>
      </w:r>
      <w:r w:rsidR="00497E2B">
        <w:t xml:space="preserve"> in the financial counselling sector</w:t>
      </w:r>
      <w:r w:rsidR="00F13217" w:rsidRPr="008C3A6D">
        <w:t>.</w:t>
      </w:r>
      <w:r w:rsidR="00F13217">
        <w:t xml:space="preserve"> </w:t>
      </w:r>
    </w:p>
    <w:p w14:paraId="66871A41" w14:textId="1236183D" w:rsidR="00176904" w:rsidRPr="00AF14AE" w:rsidRDefault="00176904" w:rsidP="00176904">
      <w:pPr>
        <w:pStyle w:val="TableHeading"/>
        <w:numPr>
          <w:ilvl w:val="0"/>
          <w:numId w:val="2"/>
        </w:numPr>
        <w:spacing w:before="240"/>
        <w:rPr>
          <w:rFonts w:eastAsiaTheme="majorEastAsia" w:cstheme="minorBidi"/>
          <w:caps w:val="0"/>
          <w:color w:val="auto"/>
          <w:sz w:val="22"/>
        </w:rPr>
      </w:pPr>
      <w:r w:rsidRPr="00AF14AE">
        <w:rPr>
          <w:rFonts w:eastAsiaTheme="majorEastAsia" w:cstheme="minorBidi"/>
          <w:caps w:val="0"/>
          <w:color w:val="auto"/>
          <w:sz w:val="22"/>
        </w:rPr>
        <w:t>Quantum of Funding from 2023-24 to 2025-26</w:t>
      </w:r>
    </w:p>
    <w:tbl>
      <w:tblPr>
        <w:tblStyle w:val="DSSTableStyleB"/>
        <w:tblW w:w="10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3035"/>
        <w:gridCol w:w="2245"/>
        <w:gridCol w:w="1980"/>
      </w:tblGrid>
      <w:tr w:rsidR="00176904" w:rsidRPr="00FE094E" w14:paraId="3A435165" w14:textId="77777777" w:rsidTr="00CF447B">
        <w:trPr>
          <w:cnfStyle w:val="100000000000" w:firstRow="1" w:lastRow="0" w:firstColumn="0" w:lastColumn="0" w:oddVBand="0" w:evenVBand="0" w:oddHBand="0" w:evenHBand="0" w:firstRowFirstColumn="0" w:firstRowLastColumn="0" w:lastRowFirstColumn="0" w:lastRowLastColumn="0"/>
          <w:trHeight w:val="276"/>
        </w:trPr>
        <w:tc>
          <w:tcPr>
            <w:tcW w:w="2927" w:type="dxa"/>
            <w:noWrap/>
            <w:hideMark/>
          </w:tcPr>
          <w:p w14:paraId="575AE30C" w14:textId="77777777" w:rsidR="00176904" w:rsidRPr="00FE094E" w:rsidRDefault="00176904" w:rsidP="000C2C70">
            <w:pPr>
              <w:spacing w:before="120" w:after="180" w:line="280" w:lineRule="atLeast"/>
              <w:rPr>
                <w:rFonts w:eastAsia="Times New Roman" w:cs="Times New Roman"/>
                <w:spacing w:val="4"/>
                <w:sz w:val="20"/>
                <w:lang w:eastAsia="en-AU"/>
              </w:rPr>
            </w:pPr>
          </w:p>
        </w:tc>
        <w:tc>
          <w:tcPr>
            <w:tcW w:w="3035" w:type="dxa"/>
            <w:vAlign w:val="center"/>
            <w:hideMark/>
          </w:tcPr>
          <w:p w14:paraId="54C52D62" w14:textId="72EA388D" w:rsidR="00176904" w:rsidRPr="00FE094E" w:rsidRDefault="00176904" w:rsidP="008A3313">
            <w:pPr>
              <w:spacing w:before="120" w:after="180" w:line="280" w:lineRule="atLeast"/>
              <w:jc w:val="center"/>
              <w:rPr>
                <w:rFonts w:ascii="Calibri" w:eastAsia="Times New Roman" w:hAnsi="Calibri" w:cs="Calibri"/>
                <w:bCs/>
                <w:color w:val="000000"/>
                <w:spacing w:val="4"/>
                <w:sz w:val="20"/>
              </w:rPr>
            </w:pPr>
            <w:r>
              <w:rPr>
                <w:rFonts w:eastAsia="Times New Roman" w:cs="Times New Roman"/>
                <w:bCs/>
                <w:color w:val="000000"/>
                <w:spacing w:val="4"/>
                <w:sz w:val="20"/>
              </w:rPr>
              <w:t>2023-24</w:t>
            </w:r>
          </w:p>
        </w:tc>
        <w:tc>
          <w:tcPr>
            <w:tcW w:w="2245" w:type="dxa"/>
            <w:vAlign w:val="center"/>
            <w:hideMark/>
          </w:tcPr>
          <w:p w14:paraId="2B6AE344" w14:textId="7F64A22D" w:rsidR="00176904" w:rsidRPr="00FE094E" w:rsidRDefault="00176904" w:rsidP="008A3313">
            <w:pPr>
              <w:spacing w:before="120" w:after="180" w:line="280" w:lineRule="atLeast"/>
              <w:jc w:val="center"/>
              <w:rPr>
                <w:rFonts w:eastAsia="Times New Roman" w:cs="Times New Roman"/>
                <w:bCs/>
                <w:color w:val="000000"/>
                <w:spacing w:val="4"/>
                <w:sz w:val="20"/>
              </w:rPr>
            </w:pPr>
            <w:r>
              <w:rPr>
                <w:rFonts w:eastAsia="Times New Roman" w:cs="Times New Roman"/>
                <w:bCs/>
                <w:color w:val="000000"/>
                <w:spacing w:val="4"/>
                <w:sz w:val="20"/>
              </w:rPr>
              <w:t>2024-25</w:t>
            </w:r>
          </w:p>
        </w:tc>
        <w:tc>
          <w:tcPr>
            <w:tcW w:w="1980" w:type="dxa"/>
            <w:vAlign w:val="center"/>
            <w:hideMark/>
          </w:tcPr>
          <w:p w14:paraId="3E9D794D" w14:textId="126AE024" w:rsidR="00176904" w:rsidRPr="00FE094E" w:rsidRDefault="00176904" w:rsidP="008A3313">
            <w:pPr>
              <w:spacing w:before="120" w:after="180" w:line="280" w:lineRule="atLeast"/>
              <w:jc w:val="center"/>
              <w:rPr>
                <w:rFonts w:eastAsia="Times New Roman" w:cs="Times New Roman"/>
                <w:bCs/>
                <w:color w:val="000000"/>
                <w:spacing w:val="4"/>
                <w:sz w:val="20"/>
              </w:rPr>
            </w:pPr>
            <w:r>
              <w:rPr>
                <w:rFonts w:eastAsia="Times New Roman" w:cs="Times New Roman"/>
                <w:bCs/>
                <w:color w:val="000000"/>
                <w:spacing w:val="4"/>
                <w:sz w:val="20"/>
              </w:rPr>
              <w:t>2025-26</w:t>
            </w:r>
          </w:p>
        </w:tc>
      </w:tr>
      <w:tr w:rsidR="00705AEB" w:rsidRPr="00FE094E" w14:paraId="70C4EDB3" w14:textId="77777777" w:rsidTr="00CF447B">
        <w:trPr>
          <w:trHeight w:val="286"/>
        </w:trPr>
        <w:tc>
          <w:tcPr>
            <w:tcW w:w="2927" w:type="dxa"/>
            <w:noWrap/>
            <w:hideMark/>
          </w:tcPr>
          <w:p w14:paraId="4396620A" w14:textId="7FF8C2F7" w:rsidR="00705AEB" w:rsidRPr="00FE094E" w:rsidRDefault="00705AEB" w:rsidP="00705AEB">
            <w:pPr>
              <w:spacing w:before="120" w:after="180" w:line="280" w:lineRule="atLeast"/>
              <w:rPr>
                <w:rFonts w:eastAsia="Times New Roman" w:cs="Times New Roman"/>
                <w:b/>
                <w:bCs/>
                <w:color w:val="000000"/>
                <w:spacing w:val="4"/>
                <w:sz w:val="20"/>
              </w:rPr>
            </w:pPr>
            <w:r>
              <w:rPr>
                <w:rFonts w:eastAsia="Times New Roman" w:cs="Times New Roman"/>
                <w:b/>
                <w:bCs/>
                <w:color w:val="000000"/>
                <w:spacing w:val="4"/>
                <w:sz w:val="20"/>
              </w:rPr>
              <w:t>Frontline service delivery</w:t>
            </w:r>
          </w:p>
        </w:tc>
        <w:tc>
          <w:tcPr>
            <w:tcW w:w="3035" w:type="dxa"/>
            <w:noWrap/>
            <w:vAlign w:val="center"/>
            <w:hideMark/>
          </w:tcPr>
          <w:p w14:paraId="7B3BE502" w14:textId="3BDEF40B" w:rsidR="00705AEB" w:rsidRPr="00FE094E" w:rsidRDefault="00502EC8"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$16.7</w:t>
            </w:r>
            <w:r w:rsidR="00705AEB">
              <w:rPr>
                <w:rFonts w:eastAsia="Times New Roman" w:cs="Times New Roman"/>
                <w:color w:val="000000"/>
                <w:spacing w:val="4"/>
                <w:sz w:val="20"/>
              </w:rPr>
              <w:t>m</w:t>
            </w:r>
          </w:p>
        </w:tc>
        <w:tc>
          <w:tcPr>
            <w:tcW w:w="2245" w:type="dxa"/>
            <w:noWrap/>
            <w:vAlign w:val="center"/>
            <w:hideMark/>
          </w:tcPr>
          <w:p w14:paraId="43CD7397" w14:textId="73451692" w:rsidR="00705AEB" w:rsidRPr="00FE094E" w:rsidRDefault="00502EC8"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$17.3</w:t>
            </w:r>
            <w:r w:rsidR="00705AEB">
              <w:rPr>
                <w:rFonts w:eastAsia="Times New Roman" w:cs="Times New Roman"/>
                <w:color w:val="000000"/>
                <w:spacing w:val="4"/>
                <w:sz w:val="20"/>
              </w:rPr>
              <w:t>m</w:t>
            </w:r>
          </w:p>
        </w:tc>
        <w:tc>
          <w:tcPr>
            <w:tcW w:w="1980" w:type="dxa"/>
            <w:noWrap/>
            <w:vAlign w:val="center"/>
            <w:hideMark/>
          </w:tcPr>
          <w:p w14:paraId="3BD8370E" w14:textId="3C7FD14E" w:rsidR="00705AEB" w:rsidRPr="00FE094E" w:rsidRDefault="00502EC8"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$17.9</w:t>
            </w:r>
            <w:r w:rsidR="00705AEB">
              <w:rPr>
                <w:rFonts w:eastAsia="Times New Roman" w:cs="Times New Roman"/>
                <w:color w:val="000000"/>
                <w:spacing w:val="4"/>
                <w:sz w:val="20"/>
              </w:rPr>
              <w:t>m</w:t>
            </w:r>
          </w:p>
        </w:tc>
      </w:tr>
      <w:tr w:rsidR="00705AEB" w:rsidRPr="00FE094E" w14:paraId="7095CCE5" w14:textId="77777777" w:rsidTr="00CF447B">
        <w:trPr>
          <w:trHeight w:val="286"/>
        </w:trPr>
        <w:tc>
          <w:tcPr>
            <w:tcW w:w="2927" w:type="dxa"/>
            <w:noWrap/>
            <w:hideMark/>
          </w:tcPr>
          <w:p w14:paraId="4DDFCF28" w14:textId="710EAE72" w:rsidR="00705AEB" w:rsidRPr="00FE094E" w:rsidRDefault="00705AEB" w:rsidP="00705AEB">
            <w:pPr>
              <w:spacing w:before="120" w:after="180" w:line="280" w:lineRule="atLeast"/>
              <w:rPr>
                <w:rFonts w:eastAsia="Times New Roman" w:cs="Times New Roman"/>
                <w:b/>
                <w:bCs/>
                <w:color w:val="000000"/>
                <w:spacing w:val="4"/>
                <w:sz w:val="20"/>
              </w:rPr>
            </w:pPr>
            <w:r>
              <w:rPr>
                <w:rFonts w:eastAsia="Times New Roman" w:cs="Times New Roman"/>
                <w:b/>
                <w:bCs/>
                <w:color w:val="000000"/>
                <w:spacing w:val="4"/>
                <w:sz w:val="20"/>
              </w:rPr>
              <w:t>Body operating costs</w:t>
            </w:r>
          </w:p>
        </w:tc>
        <w:tc>
          <w:tcPr>
            <w:tcW w:w="3035" w:type="dxa"/>
            <w:noWrap/>
            <w:vAlign w:val="center"/>
            <w:hideMark/>
          </w:tcPr>
          <w:p w14:paraId="1E1B175C" w14:textId="0E8D7754" w:rsidR="00705AEB" w:rsidRPr="00FE094E" w:rsidRDefault="00502EC8"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$0.9</w:t>
            </w:r>
            <w:r w:rsidR="00705AEB">
              <w:rPr>
                <w:rFonts w:eastAsia="Times New Roman" w:cs="Times New Roman"/>
                <w:color w:val="000000"/>
                <w:spacing w:val="4"/>
                <w:sz w:val="20"/>
              </w:rPr>
              <w:t>m</w:t>
            </w:r>
          </w:p>
        </w:tc>
        <w:tc>
          <w:tcPr>
            <w:tcW w:w="2245" w:type="dxa"/>
            <w:noWrap/>
            <w:vAlign w:val="center"/>
            <w:hideMark/>
          </w:tcPr>
          <w:p w14:paraId="105BF87F" w14:textId="64278AC2" w:rsidR="00705AEB" w:rsidRPr="00FE094E" w:rsidRDefault="00502EC8"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$0.9</w:t>
            </w:r>
            <w:r w:rsidR="00705AEB">
              <w:rPr>
                <w:rFonts w:eastAsia="Times New Roman" w:cs="Times New Roman"/>
                <w:color w:val="000000"/>
                <w:spacing w:val="4"/>
                <w:sz w:val="20"/>
              </w:rPr>
              <w:t>m</w:t>
            </w:r>
          </w:p>
        </w:tc>
        <w:tc>
          <w:tcPr>
            <w:tcW w:w="1980" w:type="dxa"/>
            <w:noWrap/>
            <w:vAlign w:val="center"/>
            <w:hideMark/>
          </w:tcPr>
          <w:p w14:paraId="3358CBF9" w14:textId="5C032BFC" w:rsidR="00705AEB" w:rsidRPr="00FE094E" w:rsidRDefault="00502EC8"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$1.0</w:t>
            </w:r>
            <w:r w:rsidR="00705AEB">
              <w:rPr>
                <w:rFonts w:eastAsia="Times New Roman" w:cs="Times New Roman"/>
                <w:color w:val="000000"/>
                <w:spacing w:val="4"/>
                <w:sz w:val="20"/>
              </w:rPr>
              <w:t>m</w:t>
            </w:r>
          </w:p>
        </w:tc>
      </w:tr>
      <w:tr w:rsidR="00705AEB" w:rsidRPr="00FE094E" w14:paraId="0FE13734" w14:textId="77777777" w:rsidTr="00CF447B">
        <w:trPr>
          <w:trHeight w:val="286"/>
        </w:trPr>
        <w:tc>
          <w:tcPr>
            <w:tcW w:w="2927" w:type="dxa"/>
            <w:noWrap/>
          </w:tcPr>
          <w:p w14:paraId="4C83E0CF" w14:textId="0EC60A6C" w:rsidR="00705AEB" w:rsidRDefault="00705AEB" w:rsidP="00705AEB">
            <w:pPr>
              <w:spacing w:before="120" w:after="180" w:line="280" w:lineRule="atLeast"/>
              <w:rPr>
                <w:rFonts w:eastAsia="Times New Roman" w:cs="Times New Roman"/>
                <w:b/>
                <w:bCs/>
                <w:color w:val="000000"/>
                <w:spacing w:val="4"/>
                <w:sz w:val="20"/>
              </w:rPr>
            </w:pPr>
            <w:r>
              <w:rPr>
                <w:rFonts w:eastAsia="Times New Roman" w:cs="Times New Roman"/>
                <w:b/>
                <w:bCs/>
                <w:color w:val="000000"/>
                <w:spacing w:val="4"/>
                <w:sz w:val="20"/>
              </w:rPr>
              <w:t>Innovation</w:t>
            </w:r>
            <w:r w:rsidR="003F474F">
              <w:rPr>
                <w:rFonts w:eastAsia="Times New Roman" w:cs="Times New Roman"/>
                <w:b/>
                <w:bCs/>
                <w:color w:val="000000"/>
                <w:spacing w:val="4"/>
                <w:sz w:val="20"/>
              </w:rPr>
              <w:t xml:space="preserve"> and capability building</w:t>
            </w:r>
          </w:p>
        </w:tc>
        <w:tc>
          <w:tcPr>
            <w:tcW w:w="3035" w:type="dxa"/>
            <w:noWrap/>
            <w:vAlign w:val="center"/>
          </w:tcPr>
          <w:p w14:paraId="7A545105" w14:textId="00BB57E4" w:rsidR="00705AEB" w:rsidRDefault="00705AEB"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$0.5m</w:t>
            </w:r>
          </w:p>
        </w:tc>
        <w:tc>
          <w:tcPr>
            <w:tcW w:w="2245" w:type="dxa"/>
            <w:noWrap/>
            <w:vAlign w:val="center"/>
          </w:tcPr>
          <w:p w14:paraId="0FB51545" w14:textId="2E27642D" w:rsidR="00705AEB" w:rsidRDefault="00705AEB"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$0.5m</w:t>
            </w:r>
          </w:p>
        </w:tc>
        <w:tc>
          <w:tcPr>
            <w:tcW w:w="1980" w:type="dxa"/>
            <w:noWrap/>
            <w:vAlign w:val="center"/>
          </w:tcPr>
          <w:p w14:paraId="30FDB3A3" w14:textId="383ADB7B" w:rsidR="00705AEB" w:rsidRDefault="00705AEB"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$0.5m</w:t>
            </w:r>
          </w:p>
        </w:tc>
      </w:tr>
      <w:tr w:rsidR="00705AEB" w:rsidRPr="00FE094E" w14:paraId="61080306" w14:textId="77777777" w:rsidTr="00CF447B">
        <w:trPr>
          <w:trHeight w:val="286"/>
        </w:trPr>
        <w:tc>
          <w:tcPr>
            <w:tcW w:w="2927" w:type="dxa"/>
            <w:noWrap/>
            <w:hideMark/>
          </w:tcPr>
          <w:p w14:paraId="3DE26B4C" w14:textId="007A5885" w:rsidR="00705AEB" w:rsidRPr="00FE094E" w:rsidRDefault="00705AEB" w:rsidP="00705AEB">
            <w:pPr>
              <w:spacing w:before="120" w:after="180" w:line="280" w:lineRule="atLeast"/>
              <w:rPr>
                <w:rFonts w:eastAsia="Times New Roman" w:cs="Times New Roman"/>
                <w:b/>
                <w:bCs/>
                <w:color w:val="000000"/>
                <w:spacing w:val="4"/>
                <w:sz w:val="20"/>
              </w:rPr>
            </w:pPr>
            <w:r>
              <w:rPr>
                <w:rFonts w:eastAsia="Times New Roman" w:cs="Times New Roman"/>
                <w:b/>
                <w:bCs/>
                <w:color w:val="000000"/>
                <w:spacing w:val="4"/>
                <w:sz w:val="20"/>
              </w:rPr>
              <w:t>Total</w:t>
            </w:r>
          </w:p>
        </w:tc>
        <w:tc>
          <w:tcPr>
            <w:tcW w:w="3035" w:type="dxa"/>
            <w:noWrap/>
            <w:vAlign w:val="center"/>
            <w:hideMark/>
          </w:tcPr>
          <w:p w14:paraId="323B110F" w14:textId="4502C773" w:rsidR="00705AEB" w:rsidRPr="00FE094E" w:rsidRDefault="00502EC8"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$18.1</w:t>
            </w:r>
            <w:r w:rsidR="00705AEB">
              <w:rPr>
                <w:rFonts w:eastAsia="Times New Roman" w:cs="Times New Roman"/>
                <w:color w:val="000000"/>
                <w:spacing w:val="4"/>
                <w:sz w:val="20"/>
              </w:rPr>
              <w:t>m</w:t>
            </w:r>
          </w:p>
        </w:tc>
        <w:tc>
          <w:tcPr>
            <w:tcW w:w="2245" w:type="dxa"/>
            <w:noWrap/>
            <w:vAlign w:val="center"/>
          </w:tcPr>
          <w:p w14:paraId="1F0A4D1C" w14:textId="16AA6D22" w:rsidR="00705AEB" w:rsidRPr="00FE094E" w:rsidRDefault="00705AEB" w:rsidP="00502EC8">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$1</w:t>
            </w:r>
            <w:r w:rsidR="00502EC8">
              <w:rPr>
                <w:rFonts w:eastAsia="Times New Roman" w:cs="Times New Roman"/>
                <w:color w:val="000000"/>
                <w:spacing w:val="4"/>
                <w:sz w:val="20"/>
              </w:rPr>
              <w:t>8.7</w:t>
            </w:r>
            <w:r>
              <w:rPr>
                <w:rFonts w:eastAsia="Times New Roman" w:cs="Times New Roman"/>
                <w:color w:val="000000"/>
                <w:spacing w:val="4"/>
                <w:sz w:val="20"/>
              </w:rPr>
              <w:t>m</w:t>
            </w:r>
          </w:p>
        </w:tc>
        <w:tc>
          <w:tcPr>
            <w:tcW w:w="1980" w:type="dxa"/>
            <w:noWrap/>
            <w:vAlign w:val="center"/>
          </w:tcPr>
          <w:p w14:paraId="693CEAC9" w14:textId="2329697A" w:rsidR="00705AEB" w:rsidRPr="00FE094E" w:rsidRDefault="00705AEB" w:rsidP="00705AEB">
            <w:pPr>
              <w:spacing w:before="120" w:after="180" w:line="280" w:lineRule="atLeast"/>
              <w:jc w:val="center"/>
              <w:rPr>
                <w:rFonts w:eastAsia="Times New Roman" w:cs="Times New Roman"/>
                <w:color w:val="000000"/>
                <w:spacing w:val="4"/>
                <w:sz w:val="20"/>
              </w:rPr>
            </w:pPr>
            <w:r>
              <w:rPr>
                <w:rFonts w:eastAsia="Times New Roman" w:cs="Times New Roman"/>
                <w:color w:val="000000"/>
                <w:spacing w:val="4"/>
                <w:sz w:val="20"/>
              </w:rPr>
              <w:t>$</w:t>
            </w:r>
            <w:r w:rsidR="00502EC8">
              <w:rPr>
                <w:rFonts w:eastAsia="Times New Roman" w:cs="Times New Roman"/>
                <w:color w:val="000000"/>
                <w:spacing w:val="4"/>
                <w:sz w:val="20"/>
              </w:rPr>
              <w:t>19.4</w:t>
            </w:r>
            <w:r>
              <w:rPr>
                <w:rFonts w:eastAsia="Times New Roman" w:cs="Times New Roman"/>
                <w:color w:val="000000"/>
                <w:spacing w:val="4"/>
                <w:sz w:val="20"/>
              </w:rPr>
              <w:t>m</w:t>
            </w:r>
          </w:p>
        </w:tc>
      </w:tr>
    </w:tbl>
    <w:p w14:paraId="68FE9D5D" w14:textId="77777777" w:rsidR="00877ADE" w:rsidRDefault="00877ADE" w:rsidP="00F914A4"/>
    <w:p w14:paraId="24160BE5" w14:textId="4CD380BC" w:rsidR="0000114B" w:rsidRPr="00E314BF" w:rsidRDefault="00E314BF" w:rsidP="00F914A4">
      <w:r w:rsidRPr="002C7E96">
        <w:t>The proposed methodology</w:t>
      </w:r>
      <w:r w:rsidR="00D97FB3" w:rsidRPr="002C7E96">
        <w:t xml:space="preserve"> on </w:t>
      </w:r>
      <w:r w:rsidRPr="00267DDE">
        <w:t xml:space="preserve">the proposed </w:t>
      </w:r>
      <w:r w:rsidR="00D97FB3" w:rsidRPr="00267DDE">
        <w:t>splits between s</w:t>
      </w:r>
      <w:r w:rsidR="0000114B" w:rsidRPr="00267DDE">
        <w:t xml:space="preserve">ectors and subsectors </w:t>
      </w:r>
      <w:r w:rsidR="00D97FB3" w:rsidRPr="00267DDE">
        <w:t xml:space="preserve">to </w:t>
      </w:r>
      <w:r w:rsidR="0000114B" w:rsidRPr="00267DDE">
        <w:t>apportion th</w:t>
      </w:r>
      <w:r w:rsidR="003477DC">
        <w:t xml:space="preserve">e </w:t>
      </w:r>
      <w:r w:rsidR="00176904">
        <w:t>quantum</w:t>
      </w:r>
      <w:r w:rsidR="003477DC">
        <w:t xml:space="preserve"> </w:t>
      </w:r>
      <w:r w:rsidR="00E70C12">
        <w:t>is outlined in Section 5</w:t>
      </w:r>
      <w:r w:rsidRPr="00267DDE">
        <w:t xml:space="preserve"> of the discussion paper</w:t>
      </w:r>
      <w:r w:rsidR="0000114B" w:rsidRPr="00267DDE">
        <w:t xml:space="preserve">. </w:t>
      </w:r>
    </w:p>
    <w:p w14:paraId="7CD306D0" w14:textId="5C834612" w:rsidR="0000114B" w:rsidRPr="006F4EE5" w:rsidRDefault="00926A02" w:rsidP="00F914A4">
      <w:pPr>
        <w:pStyle w:val="Style1"/>
        <w:spacing w:before="0" w:after="160"/>
      </w:pPr>
      <w:r>
        <w:rPr>
          <w:rFonts w:eastAsiaTheme="majorEastAsia"/>
        </w:rPr>
        <w:t xml:space="preserve">How was the </w:t>
      </w:r>
      <w:r w:rsidR="003477DC">
        <w:rPr>
          <w:rFonts w:eastAsiaTheme="majorEastAsia"/>
        </w:rPr>
        <w:t>quantum</w:t>
      </w:r>
      <w:r>
        <w:rPr>
          <w:rFonts w:eastAsiaTheme="majorEastAsia"/>
        </w:rPr>
        <w:t xml:space="preserve"> derived?</w:t>
      </w:r>
    </w:p>
    <w:p w14:paraId="4C5A0C8B" w14:textId="1168D1D0" w:rsidR="0000114B" w:rsidRDefault="00843849" w:rsidP="00E9797A">
      <w:pPr>
        <w:rPr>
          <w:rFonts w:cstheme="minorHAnsi"/>
        </w:rPr>
      </w:pPr>
      <w:r>
        <w:t>T</w:t>
      </w:r>
      <w:r w:rsidR="0000114B">
        <w:t xml:space="preserve">he Sylvan Review identified additional </w:t>
      </w:r>
      <w:r w:rsidR="00F161AB">
        <w:t xml:space="preserve">funding </w:t>
      </w:r>
      <w:r w:rsidR="0000114B">
        <w:t>of $45 million per year</w:t>
      </w:r>
      <w:r w:rsidR="00191266">
        <w:t xml:space="preserve"> was needed </w:t>
      </w:r>
      <w:r w:rsidR="006B3D8A">
        <w:t>for</w:t>
      </w:r>
      <w:r w:rsidR="00191266">
        <w:t xml:space="preserve"> services to meet unmet demand</w:t>
      </w:r>
      <w:r w:rsidR="0000114B">
        <w:t>.</w:t>
      </w:r>
      <w:r w:rsidRPr="00843849">
        <w:rPr>
          <w:rFonts w:cstheme="minorHAnsi"/>
        </w:rPr>
        <w:t xml:space="preserve"> </w:t>
      </w:r>
      <w:r>
        <w:rPr>
          <w:rFonts w:cstheme="minorHAnsi"/>
        </w:rPr>
        <w:t>As the Sylvan Review’s estimate was made in 2019, and there have been changes in the Australian economic landscape since that time, including the impact of the COVID-19 pandemic, t</w:t>
      </w:r>
      <w:r w:rsidR="00675263">
        <w:rPr>
          <w:rFonts w:cstheme="minorHAnsi"/>
        </w:rPr>
        <w:t xml:space="preserve">he Department recently undertook </w:t>
      </w:r>
      <w:r w:rsidR="0000114B">
        <w:rPr>
          <w:rFonts w:cstheme="minorHAnsi"/>
        </w:rPr>
        <w:t>modelling to</w:t>
      </w:r>
      <w:r w:rsidR="003477DC">
        <w:rPr>
          <w:rFonts w:cstheme="minorHAnsi"/>
        </w:rPr>
        <w:t xml:space="preserve"> forecast demand for services, to derive an updated estimate of </w:t>
      </w:r>
      <w:r w:rsidR="0000114B">
        <w:rPr>
          <w:rFonts w:cstheme="minorHAnsi"/>
        </w:rPr>
        <w:t xml:space="preserve">the funding </w:t>
      </w:r>
      <w:r w:rsidR="00833408">
        <w:rPr>
          <w:rFonts w:cstheme="minorHAnsi"/>
        </w:rPr>
        <w:t>gap</w:t>
      </w:r>
      <w:r w:rsidR="0000114B">
        <w:rPr>
          <w:rFonts w:cstheme="minorHAnsi"/>
        </w:rPr>
        <w:t xml:space="preserve">. </w:t>
      </w:r>
    </w:p>
    <w:p w14:paraId="6D816485" w14:textId="7E6B6D11" w:rsidR="00A30360" w:rsidRPr="00A30360" w:rsidRDefault="00A30360" w:rsidP="00F914A4">
      <w:pPr>
        <w:rPr>
          <w:rFonts w:cstheme="minorHAnsi"/>
        </w:rPr>
      </w:pPr>
      <w:r w:rsidRPr="00A30360">
        <w:rPr>
          <w:rFonts w:cstheme="minorHAnsi"/>
        </w:rPr>
        <w:t xml:space="preserve">The </w:t>
      </w:r>
      <w:r w:rsidR="006B3D8A">
        <w:rPr>
          <w:rFonts w:cstheme="minorHAnsi"/>
        </w:rPr>
        <w:t xml:space="preserve">latest </w:t>
      </w:r>
      <w:r w:rsidRPr="00A30360">
        <w:rPr>
          <w:rFonts w:cstheme="minorHAnsi"/>
        </w:rPr>
        <w:t>model</w:t>
      </w:r>
      <w:r w:rsidR="00971EEF">
        <w:rPr>
          <w:rFonts w:cstheme="minorHAnsi"/>
        </w:rPr>
        <w:t>ling</w:t>
      </w:r>
      <w:r w:rsidRPr="00A30360">
        <w:rPr>
          <w:rFonts w:cstheme="minorHAnsi"/>
        </w:rPr>
        <w:t xml:space="preserve"> predicts that, to meet unmet demand</w:t>
      </w:r>
      <w:r w:rsidR="00971EEF">
        <w:rPr>
          <w:rFonts w:cstheme="minorHAnsi"/>
        </w:rPr>
        <w:t xml:space="preserve"> for services</w:t>
      </w:r>
      <w:r w:rsidRPr="00A30360">
        <w:rPr>
          <w:rFonts w:cstheme="minorHAnsi"/>
        </w:rPr>
        <w:t xml:space="preserve">, the </w:t>
      </w:r>
      <w:r w:rsidR="00621779">
        <w:rPr>
          <w:rFonts w:cstheme="minorHAnsi"/>
        </w:rPr>
        <w:t xml:space="preserve">financial counselling </w:t>
      </w:r>
      <w:r w:rsidRPr="00A30360">
        <w:rPr>
          <w:rFonts w:cstheme="minorHAnsi"/>
        </w:rPr>
        <w:t>sector requires</w:t>
      </w:r>
      <w:r>
        <w:rPr>
          <w:rFonts w:cstheme="minorHAnsi"/>
        </w:rPr>
        <w:t xml:space="preserve"> an</w:t>
      </w:r>
      <w:r w:rsidRPr="00A30360">
        <w:rPr>
          <w:rFonts w:cstheme="minorHAnsi"/>
        </w:rPr>
        <w:t xml:space="preserve"> additional $</w:t>
      </w:r>
      <w:r w:rsidR="00502EC8">
        <w:rPr>
          <w:rFonts w:cstheme="minorHAnsi"/>
        </w:rPr>
        <w:t>18.1</w:t>
      </w:r>
      <w:r w:rsidR="00705AEB" w:rsidRPr="00A30360">
        <w:rPr>
          <w:rFonts w:cstheme="minorHAnsi"/>
        </w:rPr>
        <w:t xml:space="preserve"> </w:t>
      </w:r>
      <w:r w:rsidRPr="00A30360">
        <w:rPr>
          <w:rFonts w:cstheme="minorHAnsi"/>
        </w:rPr>
        <w:t xml:space="preserve">million </w:t>
      </w:r>
      <w:r w:rsidR="00365878">
        <w:rPr>
          <w:rFonts w:cstheme="minorHAnsi"/>
        </w:rPr>
        <w:t>for 2023-24 and $</w:t>
      </w:r>
      <w:r w:rsidR="00830207">
        <w:rPr>
          <w:rFonts w:cstheme="minorHAnsi"/>
        </w:rPr>
        <w:t>1</w:t>
      </w:r>
      <w:r w:rsidR="00502EC8">
        <w:rPr>
          <w:rFonts w:cstheme="minorHAnsi"/>
        </w:rPr>
        <w:t>8</w:t>
      </w:r>
      <w:r w:rsidR="00365878">
        <w:rPr>
          <w:rFonts w:cstheme="minorHAnsi"/>
        </w:rPr>
        <w:t>.</w:t>
      </w:r>
      <w:r w:rsidR="00502EC8">
        <w:rPr>
          <w:rFonts w:cstheme="minorHAnsi"/>
        </w:rPr>
        <w:t>7</w:t>
      </w:r>
      <w:r w:rsidR="00705AEB">
        <w:rPr>
          <w:rFonts w:cstheme="minorHAnsi"/>
        </w:rPr>
        <w:t xml:space="preserve"> </w:t>
      </w:r>
      <w:r w:rsidR="00365878">
        <w:rPr>
          <w:rFonts w:cstheme="minorHAnsi"/>
        </w:rPr>
        <w:t xml:space="preserve">million for 2024-25 and </w:t>
      </w:r>
      <w:r w:rsidR="00830207">
        <w:rPr>
          <w:rFonts w:cstheme="minorHAnsi"/>
        </w:rPr>
        <w:t>$</w:t>
      </w:r>
      <w:r w:rsidR="00502EC8">
        <w:rPr>
          <w:rFonts w:cstheme="minorHAnsi"/>
        </w:rPr>
        <w:t>19</w:t>
      </w:r>
      <w:r w:rsidR="00830207">
        <w:rPr>
          <w:rFonts w:cstheme="minorHAnsi"/>
        </w:rPr>
        <w:t>.</w:t>
      </w:r>
      <w:r w:rsidR="00502EC8">
        <w:rPr>
          <w:rFonts w:cstheme="minorHAnsi"/>
        </w:rPr>
        <w:t>4</w:t>
      </w:r>
      <w:r w:rsidR="00F161AB">
        <w:rPr>
          <w:rFonts w:cstheme="minorHAnsi"/>
        </w:rPr>
        <w:t> </w:t>
      </w:r>
      <w:r w:rsidR="00705AEB">
        <w:rPr>
          <w:rFonts w:cstheme="minorHAnsi"/>
        </w:rPr>
        <w:t>m</w:t>
      </w:r>
      <w:r w:rsidR="00F161AB">
        <w:rPr>
          <w:rFonts w:cstheme="minorHAnsi"/>
        </w:rPr>
        <w:t>illion</w:t>
      </w:r>
      <w:r w:rsidR="00705AEB">
        <w:rPr>
          <w:rFonts w:cstheme="minorHAnsi"/>
        </w:rPr>
        <w:t xml:space="preserve"> </w:t>
      </w:r>
      <w:r w:rsidR="00830207">
        <w:rPr>
          <w:rFonts w:cstheme="minorHAnsi"/>
        </w:rPr>
        <w:t xml:space="preserve">for </w:t>
      </w:r>
      <w:r w:rsidR="00365878">
        <w:rPr>
          <w:rFonts w:cstheme="minorHAnsi"/>
        </w:rPr>
        <w:t>2025-26</w:t>
      </w:r>
      <w:r w:rsidR="00B019B6">
        <w:rPr>
          <w:rFonts w:cstheme="minorHAnsi"/>
        </w:rPr>
        <w:t xml:space="preserve">, </w:t>
      </w:r>
      <w:r w:rsidR="00CE2B97">
        <w:rPr>
          <w:rFonts w:cstheme="minorHAnsi"/>
        </w:rPr>
        <w:t>inclusive of</w:t>
      </w:r>
      <w:r w:rsidR="00B019B6">
        <w:rPr>
          <w:rFonts w:cstheme="minorHAnsi"/>
        </w:rPr>
        <w:t xml:space="preserve"> operating costs</w:t>
      </w:r>
      <w:r w:rsidR="00365878">
        <w:rPr>
          <w:rFonts w:cstheme="minorHAnsi"/>
        </w:rPr>
        <w:t xml:space="preserve"> and funding for innovation</w:t>
      </w:r>
      <w:r w:rsidR="003F474F">
        <w:rPr>
          <w:rFonts w:cstheme="minorHAnsi"/>
        </w:rPr>
        <w:t xml:space="preserve"> and capability building</w:t>
      </w:r>
      <w:r w:rsidRPr="00A30360">
        <w:rPr>
          <w:rFonts w:cstheme="minorHAnsi"/>
        </w:rPr>
        <w:t>.</w:t>
      </w:r>
      <w:r w:rsidR="0015445A">
        <w:rPr>
          <w:rStyle w:val="FootnoteReference"/>
          <w:rFonts w:cstheme="minorHAnsi"/>
        </w:rPr>
        <w:footnoteReference w:id="9"/>
      </w:r>
    </w:p>
    <w:p w14:paraId="362D92D9" w14:textId="05B4B771" w:rsidR="00833408" w:rsidRDefault="00A30360">
      <w:pPr>
        <w:rPr>
          <w:rFonts w:cstheme="minorHAnsi"/>
        </w:rPr>
      </w:pPr>
      <w:r w:rsidRPr="0034482B">
        <w:rPr>
          <w:rFonts w:cstheme="minorHAnsi"/>
        </w:rPr>
        <w:t xml:space="preserve">The </w:t>
      </w:r>
      <w:r w:rsidR="006B3D8A">
        <w:rPr>
          <w:rFonts w:cstheme="minorHAnsi"/>
        </w:rPr>
        <w:t xml:space="preserve">updated </w:t>
      </w:r>
      <w:r w:rsidRPr="0034482B">
        <w:rPr>
          <w:rFonts w:cstheme="minorHAnsi"/>
        </w:rPr>
        <w:t>model</w:t>
      </w:r>
      <w:r w:rsidR="00621779">
        <w:rPr>
          <w:rFonts w:cstheme="minorHAnsi"/>
        </w:rPr>
        <w:t xml:space="preserve">ling </w:t>
      </w:r>
      <w:r w:rsidRPr="0034482B">
        <w:rPr>
          <w:rFonts w:cstheme="minorHAnsi"/>
        </w:rPr>
        <w:t xml:space="preserve">forecasts the </w:t>
      </w:r>
      <w:r w:rsidR="00621779">
        <w:rPr>
          <w:rFonts w:cstheme="minorHAnsi"/>
        </w:rPr>
        <w:t xml:space="preserve">total </w:t>
      </w:r>
      <w:r w:rsidRPr="0034482B">
        <w:rPr>
          <w:rFonts w:cstheme="minorHAnsi"/>
        </w:rPr>
        <w:t xml:space="preserve">number of </w:t>
      </w:r>
      <w:r w:rsidR="00621779">
        <w:rPr>
          <w:rFonts w:cstheme="minorHAnsi"/>
        </w:rPr>
        <w:t xml:space="preserve">additional </w:t>
      </w:r>
      <w:r w:rsidR="006E7CA9">
        <w:rPr>
          <w:rFonts w:cstheme="minorHAnsi"/>
        </w:rPr>
        <w:t>‘</w:t>
      </w:r>
      <w:r w:rsidRPr="0034482B">
        <w:rPr>
          <w:rFonts w:cstheme="minorHAnsi"/>
        </w:rPr>
        <w:t>sessions</w:t>
      </w:r>
      <w:r w:rsidR="006E7CA9">
        <w:rPr>
          <w:rFonts w:cstheme="minorHAnsi"/>
        </w:rPr>
        <w:t>’</w:t>
      </w:r>
      <w:r w:rsidRPr="0034482B">
        <w:rPr>
          <w:rFonts w:cstheme="minorHAnsi"/>
        </w:rPr>
        <w:t xml:space="preserve"> </w:t>
      </w:r>
      <w:r w:rsidR="00971EEF">
        <w:rPr>
          <w:rFonts w:cstheme="minorHAnsi"/>
        </w:rPr>
        <w:t xml:space="preserve">with a financial counsellor </w:t>
      </w:r>
      <w:r w:rsidRPr="0034482B">
        <w:rPr>
          <w:rFonts w:cstheme="minorHAnsi"/>
        </w:rPr>
        <w:t>required to meet demand for financial counselling services</w:t>
      </w:r>
      <w:r w:rsidR="00833408">
        <w:rPr>
          <w:rFonts w:cstheme="minorHAnsi"/>
        </w:rPr>
        <w:t xml:space="preserve">. It forecasts </w:t>
      </w:r>
      <w:r w:rsidR="00C66100">
        <w:rPr>
          <w:rFonts w:cstheme="minorHAnsi"/>
        </w:rPr>
        <w:t xml:space="preserve">this </w:t>
      </w:r>
      <w:r w:rsidR="00833408">
        <w:rPr>
          <w:rFonts w:cstheme="minorHAnsi"/>
        </w:rPr>
        <w:t>demand by taking in</w:t>
      </w:r>
      <w:r w:rsidR="006B3D8A">
        <w:rPr>
          <w:rFonts w:cstheme="minorHAnsi"/>
        </w:rPr>
        <w:t>to</w:t>
      </w:r>
      <w:r w:rsidR="00833408">
        <w:rPr>
          <w:rFonts w:cstheme="minorHAnsi"/>
        </w:rPr>
        <w:t xml:space="preserve"> account </w:t>
      </w:r>
      <w:r w:rsidR="00621779">
        <w:rPr>
          <w:rFonts w:cstheme="minorHAnsi"/>
        </w:rPr>
        <w:t>funding by governments</w:t>
      </w:r>
      <w:r w:rsidR="00254786">
        <w:rPr>
          <w:rFonts w:cstheme="minorHAnsi"/>
        </w:rPr>
        <w:t xml:space="preserve">, </w:t>
      </w:r>
      <w:r w:rsidR="00833408">
        <w:rPr>
          <w:rFonts w:cstheme="minorHAnsi"/>
        </w:rPr>
        <w:t xml:space="preserve">current </w:t>
      </w:r>
      <w:r w:rsidR="00254786">
        <w:rPr>
          <w:rFonts w:cstheme="minorHAnsi"/>
        </w:rPr>
        <w:t xml:space="preserve">unmet demand and </w:t>
      </w:r>
      <w:r w:rsidR="00833408">
        <w:rPr>
          <w:rFonts w:cstheme="minorHAnsi"/>
        </w:rPr>
        <w:t xml:space="preserve">historical demand. </w:t>
      </w:r>
      <w:r w:rsidR="00506B6F">
        <w:rPr>
          <w:rFonts w:cstheme="minorHAnsi"/>
        </w:rPr>
        <w:t>Consistent with</w:t>
      </w:r>
      <w:r w:rsidR="00257BDC">
        <w:rPr>
          <w:rFonts w:cstheme="minorHAnsi"/>
        </w:rPr>
        <w:t xml:space="preserve"> the</w:t>
      </w:r>
      <w:r w:rsidR="00506B6F">
        <w:rPr>
          <w:rFonts w:cstheme="minorHAnsi"/>
        </w:rPr>
        <w:t xml:space="preserve"> findings of t</w:t>
      </w:r>
      <w:r w:rsidR="003C3179">
        <w:rPr>
          <w:rFonts w:cstheme="minorHAnsi"/>
        </w:rPr>
        <w:t>he</w:t>
      </w:r>
      <w:r w:rsidR="00DE42DB">
        <w:rPr>
          <w:rFonts w:cstheme="minorHAnsi"/>
        </w:rPr>
        <w:t xml:space="preserve"> Sylvan Review</w:t>
      </w:r>
      <w:r w:rsidR="00506B6F">
        <w:rPr>
          <w:rFonts w:cstheme="minorHAnsi"/>
        </w:rPr>
        <w:t>,</w:t>
      </w:r>
      <w:r w:rsidR="00DE42DB">
        <w:rPr>
          <w:rFonts w:cstheme="minorHAnsi"/>
        </w:rPr>
        <w:t xml:space="preserve"> </w:t>
      </w:r>
      <w:r w:rsidR="00506B6F">
        <w:rPr>
          <w:rFonts w:cstheme="minorHAnsi"/>
        </w:rPr>
        <w:t xml:space="preserve">the modelling </w:t>
      </w:r>
      <w:r w:rsidR="00406381">
        <w:rPr>
          <w:rFonts w:cstheme="minorHAnsi"/>
        </w:rPr>
        <w:t>predicts funding</w:t>
      </w:r>
      <w:r w:rsidR="00DE42DB">
        <w:rPr>
          <w:rFonts w:cstheme="minorHAnsi"/>
        </w:rPr>
        <w:t xml:space="preserve"> provided by governments is not sufficient to meet the demand for </w:t>
      </w:r>
      <w:r w:rsidR="003C3179">
        <w:rPr>
          <w:rFonts w:cstheme="minorHAnsi"/>
        </w:rPr>
        <w:t>financial counselling</w:t>
      </w:r>
      <w:r w:rsidR="00406381">
        <w:rPr>
          <w:rFonts w:cstheme="minorHAnsi"/>
        </w:rPr>
        <w:t>.</w:t>
      </w:r>
      <w:r w:rsidR="00DE42DB">
        <w:rPr>
          <w:rFonts w:cstheme="minorHAnsi"/>
        </w:rPr>
        <w:t xml:space="preserve">  </w:t>
      </w:r>
    </w:p>
    <w:p w14:paraId="00A30F3D" w14:textId="02BBC3F9" w:rsidR="009C0AE2" w:rsidRDefault="00833408">
      <w:pPr>
        <w:rPr>
          <w:rFonts w:cstheme="minorHAnsi"/>
        </w:rPr>
      </w:pPr>
      <w:r>
        <w:rPr>
          <w:rFonts w:cstheme="minorHAnsi"/>
        </w:rPr>
        <w:lastRenderedPageBreak/>
        <w:t xml:space="preserve">The </w:t>
      </w:r>
      <w:r w:rsidR="00A30360">
        <w:rPr>
          <w:rFonts w:cstheme="minorHAnsi"/>
        </w:rPr>
        <w:t xml:space="preserve">assumption for current unmet demand </w:t>
      </w:r>
      <w:r w:rsidR="000A65C6">
        <w:rPr>
          <w:rFonts w:cstheme="minorHAnsi"/>
        </w:rPr>
        <w:t xml:space="preserve">in the financial counselling sector </w:t>
      </w:r>
      <w:r w:rsidR="00A30360">
        <w:rPr>
          <w:rFonts w:cstheme="minorHAnsi"/>
        </w:rPr>
        <w:t>was</w:t>
      </w:r>
      <w:r w:rsidR="00A30360" w:rsidRPr="0034482B">
        <w:rPr>
          <w:rFonts w:cstheme="minorHAnsi"/>
        </w:rPr>
        <w:t xml:space="preserve"> derived using the results of a 2022 survey</w:t>
      </w:r>
      <w:r w:rsidR="009C0AE2">
        <w:rPr>
          <w:rFonts w:cstheme="minorHAnsi"/>
        </w:rPr>
        <w:t xml:space="preserve"> undertaken by financial counselling agencies</w:t>
      </w:r>
      <w:r w:rsidR="00A30360" w:rsidRPr="0034482B">
        <w:rPr>
          <w:rFonts w:cstheme="minorHAnsi"/>
        </w:rPr>
        <w:t xml:space="preserve">, where </w:t>
      </w:r>
      <w:r w:rsidR="009C0AE2">
        <w:rPr>
          <w:rFonts w:cstheme="minorHAnsi"/>
        </w:rPr>
        <w:t>they</w:t>
      </w:r>
      <w:r w:rsidR="00A30360" w:rsidRPr="0034482B">
        <w:rPr>
          <w:rFonts w:cstheme="minorHAnsi"/>
        </w:rPr>
        <w:t xml:space="preserve"> recorded the action taken for each request for financial counselling received during a </w:t>
      </w:r>
      <w:r w:rsidR="006B3D8A">
        <w:rPr>
          <w:rFonts w:cstheme="minorHAnsi"/>
        </w:rPr>
        <w:t xml:space="preserve">standard </w:t>
      </w:r>
      <w:r w:rsidR="00A30360" w:rsidRPr="0034482B">
        <w:rPr>
          <w:rFonts w:cstheme="minorHAnsi"/>
        </w:rPr>
        <w:t>two-week period</w:t>
      </w:r>
      <w:r w:rsidR="00C66100">
        <w:rPr>
          <w:rFonts w:cstheme="minorHAnsi"/>
        </w:rPr>
        <w:t>, which captured whether an individual received an appointment within two-weeks</w:t>
      </w:r>
      <w:r w:rsidR="00A30360" w:rsidRPr="0034482B">
        <w:rPr>
          <w:rFonts w:cstheme="minorHAnsi"/>
        </w:rPr>
        <w:t xml:space="preserve">. </w:t>
      </w:r>
      <w:r w:rsidR="0083719D" w:rsidRPr="004F4C76">
        <w:rPr>
          <w:rFonts w:cstheme="minorHAnsi"/>
        </w:rPr>
        <w:t xml:space="preserve">Unmet demand for the National Debt Helpline </w:t>
      </w:r>
      <w:r w:rsidR="000D188E">
        <w:rPr>
          <w:rFonts w:cstheme="minorHAnsi"/>
        </w:rPr>
        <w:t>was</w:t>
      </w:r>
      <w:r w:rsidR="000D188E" w:rsidRPr="004F4C76">
        <w:rPr>
          <w:rFonts w:cstheme="minorHAnsi"/>
        </w:rPr>
        <w:t xml:space="preserve"> </w:t>
      </w:r>
      <w:r w:rsidR="0043790A" w:rsidRPr="004F4C76">
        <w:rPr>
          <w:rFonts w:cstheme="minorHAnsi"/>
        </w:rPr>
        <w:t xml:space="preserve">derived by taking </w:t>
      </w:r>
      <w:r w:rsidR="0083719D" w:rsidRPr="004F4C76">
        <w:rPr>
          <w:rFonts w:cstheme="minorHAnsi"/>
        </w:rPr>
        <w:t xml:space="preserve">the </w:t>
      </w:r>
      <w:r w:rsidR="0043790A" w:rsidRPr="004F4C76">
        <w:rPr>
          <w:rFonts w:cstheme="minorHAnsi"/>
        </w:rPr>
        <w:t xml:space="preserve">percentage of </w:t>
      </w:r>
      <w:r w:rsidR="0083719D" w:rsidRPr="004F4C76">
        <w:rPr>
          <w:rFonts w:cstheme="minorHAnsi"/>
        </w:rPr>
        <w:t xml:space="preserve">busy/no answer/abandoned calls </w:t>
      </w:r>
      <w:r w:rsidR="0043790A" w:rsidRPr="004F4C76">
        <w:rPr>
          <w:rFonts w:cstheme="minorHAnsi"/>
        </w:rPr>
        <w:t>that comprises total calls</w:t>
      </w:r>
      <w:r w:rsidR="00B659C9" w:rsidRPr="004F4C76">
        <w:rPr>
          <w:rFonts w:cstheme="minorHAnsi"/>
        </w:rPr>
        <w:t xml:space="preserve"> in 2021-22</w:t>
      </w:r>
      <w:r w:rsidR="0043790A" w:rsidRPr="004F4C76">
        <w:rPr>
          <w:rFonts w:cstheme="minorHAnsi"/>
        </w:rPr>
        <w:t>, and determines how much funding would be required to answer these calls</w:t>
      </w:r>
      <w:r w:rsidR="0083719D" w:rsidRPr="004F4C76">
        <w:rPr>
          <w:rFonts w:cstheme="minorHAnsi"/>
        </w:rPr>
        <w:t>.</w:t>
      </w:r>
      <w:r w:rsidR="008F7531" w:rsidRPr="004F4C76">
        <w:rPr>
          <w:rFonts w:cstheme="minorHAnsi"/>
        </w:rPr>
        <w:t xml:space="preserve"> </w:t>
      </w:r>
      <w:r w:rsidR="004A7C33" w:rsidRPr="004F4C76">
        <w:rPr>
          <w:rFonts w:cstheme="minorHAnsi"/>
        </w:rPr>
        <w:t>These u</w:t>
      </w:r>
      <w:r w:rsidR="008F7531" w:rsidRPr="004F4C76">
        <w:rPr>
          <w:rFonts w:cstheme="minorHAnsi"/>
        </w:rPr>
        <w:t>nmet demand assumption</w:t>
      </w:r>
      <w:r w:rsidR="004A7C33" w:rsidRPr="004F4C76">
        <w:rPr>
          <w:rFonts w:cstheme="minorHAnsi"/>
        </w:rPr>
        <w:t>s</w:t>
      </w:r>
      <w:r w:rsidR="008F7531" w:rsidRPr="004F4C76">
        <w:rPr>
          <w:rFonts w:cstheme="minorHAnsi"/>
        </w:rPr>
        <w:t xml:space="preserve"> remain constant across the </w:t>
      </w:r>
      <w:r w:rsidR="00BE78D2">
        <w:rPr>
          <w:rFonts w:cstheme="minorHAnsi"/>
        </w:rPr>
        <w:t xml:space="preserve">first </w:t>
      </w:r>
      <w:r w:rsidR="008F7531" w:rsidRPr="004F4C76">
        <w:rPr>
          <w:rFonts w:cstheme="minorHAnsi"/>
        </w:rPr>
        <w:t>three years</w:t>
      </w:r>
      <w:r w:rsidR="00BE78D2">
        <w:rPr>
          <w:rFonts w:cstheme="minorHAnsi"/>
        </w:rPr>
        <w:t xml:space="preserve"> of the model</w:t>
      </w:r>
      <w:r w:rsidR="008F7531" w:rsidRPr="004F4C76">
        <w:rPr>
          <w:rFonts w:cstheme="minorHAnsi"/>
        </w:rPr>
        <w:t>.</w:t>
      </w:r>
      <w:r w:rsidR="008F7531">
        <w:rPr>
          <w:rFonts w:cstheme="minorHAnsi"/>
        </w:rPr>
        <w:t xml:space="preserve"> </w:t>
      </w:r>
    </w:p>
    <w:p w14:paraId="3F178EF2" w14:textId="0F15D0B0" w:rsidR="00E314BF" w:rsidRPr="00DC133C" w:rsidRDefault="0048333F">
      <w:pPr>
        <w:rPr>
          <w:rFonts w:cstheme="minorHAnsi"/>
          <w:b/>
        </w:rPr>
      </w:pPr>
      <w:r>
        <w:rPr>
          <w:rFonts w:cstheme="minorHAnsi"/>
          <w:b/>
        </w:rPr>
        <w:t xml:space="preserve">How is </w:t>
      </w:r>
      <w:r w:rsidR="00E314BF" w:rsidRPr="00DC133C">
        <w:rPr>
          <w:rFonts w:cstheme="minorHAnsi"/>
          <w:b/>
        </w:rPr>
        <w:t>unmet demand</w:t>
      </w:r>
      <w:r>
        <w:rPr>
          <w:rFonts w:cstheme="minorHAnsi"/>
          <w:b/>
        </w:rPr>
        <w:t xml:space="preserve"> defined</w:t>
      </w:r>
      <w:r w:rsidR="00E314BF" w:rsidRPr="00DC133C">
        <w:rPr>
          <w:rFonts w:cstheme="minorHAnsi"/>
          <w:b/>
        </w:rPr>
        <w:t>?</w:t>
      </w:r>
    </w:p>
    <w:p w14:paraId="194412F6" w14:textId="5DE2548B" w:rsidR="000C276B" w:rsidRDefault="0000114B">
      <w:r>
        <w:t xml:space="preserve">Demand </w:t>
      </w:r>
      <w:r w:rsidR="00CA3901">
        <w:t xml:space="preserve">for services </w:t>
      </w:r>
      <w:r>
        <w:t xml:space="preserve">is </w:t>
      </w:r>
      <w:r w:rsidR="00390EBB">
        <w:t>considered</w:t>
      </w:r>
      <w:r w:rsidR="006028BD">
        <w:t xml:space="preserve"> </w:t>
      </w:r>
      <w:r>
        <w:t xml:space="preserve">‘unmet’ when </w:t>
      </w:r>
      <w:r w:rsidR="00390EBB">
        <w:t xml:space="preserve">there is </w:t>
      </w:r>
      <w:r>
        <w:t>a</w:t>
      </w:r>
      <w:r w:rsidR="006028BD">
        <w:t>n</w:t>
      </w:r>
      <w:r w:rsidR="00390EBB">
        <w:t xml:space="preserve"> attempt </w:t>
      </w:r>
      <w:r w:rsidR="0052719C">
        <w:t xml:space="preserve">by an individual </w:t>
      </w:r>
      <w:r w:rsidR="00390EBB">
        <w:t xml:space="preserve">to access </w:t>
      </w:r>
      <w:r w:rsidR="0052719C">
        <w:t>services</w:t>
      </w:r>
      <w:r w:rsidR="00CA3901">
        <w:t xml:space="preserve"> with a financial counsellor</w:t>
      </w:r>
      <w:r w:rsidR="00390EBB">
        <w:t xml:space="preserve"> </w:t>
      </w:r>
      <w:r w:rsidR="003329D1">
        <w:t>and the appointment</w:t>
      </w:r>
      <w:r w:rsidR="006028BD">
        <w:t xml:space="preserve"> cannot b</w:t>
      </w:r>
      <w:r w:rsidR="00CA3901">
        <w:t>e booked</w:t>
      </w:r>
      <w:r w:rsidR="006028BD">
        <w:t xml:space="preserve"> within a </w:t>
      </w:r>
      <w:r w:rsidR="00390EBB">
        <w:t>two week</w:t>
      </w:r>
      <w:r w:rsidR="0052719C">
        <w:t xml:space="preserve"> period for face-to-face services</w:t>
      </w:r>
      <w:r w:rsidR="00912142">
        <w:t>,</w:t>
      </w:r>
      <w:r w:rsidR="003329D1">
        <w:t xml:space="preserve"> or </w:t>
      </w:r>
      <w:r w:rsidR="001B1AA9">
        <w:t xml:space="preserve">an </w:t>
      </w:r>
      <w:r w:rsidR="003329D1">
        <w:t>individual</w:t>
      </w:r>
      <w:r w:rsidR="001B1AA9">
        <w:t xml:space="preserve"> has attempted to contact the National Debt Helpline and</w:t>
      </w:r>
      <w:r w:rsidR="003329D1">
        <w:t xml:space="preserve"> cannot </w:t>
      </w:r>
      <w:r w:rsidR="0052719C">
        <w:t>connect with a National Debt Helpline</w:t>
      </w:r>
      <w:r w:rsidR="004E37CD">
        <w:t xml:space="preserve"> operator</w:t>
      </w:r>
      <w:r w:rsidR="00390EBB">
        <w:t xml:space="preserve">. </w:t>
      </w:r>
      <w:r w:rsidR="00ED37AD" w:rsidRPr="00390EBB">
        <w:t>Meeting unmet demand will ensure that every eligible person who requests access to financial counselling services is able to receive it within a reasonable period of time.</w:t>
      </w:r>
      <w:r w:rsidR="00313052">
        <w:t xml:space="preserve"> </w:t>
      </w:r>
    </w:p>
    <w:p w14:paraId="58576FCD" w14:textId="1C1D4686" w:rsidR="0000114B" w:rsidRPr="001233E8" w:rsidRDefault="000C276B">
      <w:r>
        <w:t>As the Sylvan Review was focussed on addressing unmet demand, the demand modelling does not</w:t>
      </w:r>
      <w:r w:rsidR="00D44D1F">
        <w:t xml:space="preserve"> estimate the population that may </w:t>
      </w:r>
      <w:r w:rsidR="005734CD">
        <w:t>be eligible</w:t>
      </w:r>
      <w:r w:rsidR="00D44D1F">
        <w:t xml:space="preserve"> financial counselling but have not requested the service</w:t>
      </w:r>
      <w:r w:rsidR="005734CD">
        <w:t xml:space="preserve">. </w:t>
      </w:r>
    </w:p>
    <w:p w14:paraId="494ECDCC" w14:textId="16A69F9A" w:rsidR="000E72A9" w:rsidRPr="0034734F" w:rsidRDefault="00926A02">
      <w:r w:rsidRPr="00DC133C">
        <w:rPr>
          <w:b/>
        </w:rPr>
        <w:t>What are the proposed o</w:t>
      </w:r>
      <w:r w:rsidR="000E72A9" w:rsidRPr="00DC133C">
        <w:rPr>
          <w:b/>
        </w:rPr>
        <w:t>perating costs of the independent body</w:t>
      </w:r>
      <w:r w:rsidRPr="00DC133C">
        <w:rPr>
          <w:b/>
        </w:rPr>
        <w:t>?</w:t>
      </w:r>
    </w:p>
    <w:p w14:paraId="3A21AB82" w14:textId="122D0B67" w:rsidR="00C67162" w:rsidRDefault="00A220D0">
      <w:pPr>
        <w:rPr>
          <w:rFonts w:cstheme="minorHAnsi"/>
        </w:rPr>
      </w:pPr>
      <w:r>
        <w:rPr>
          <w:rFonts w:cstheme="minorHAnsi"/>
        </w:rPr>
        <w:t xml:space="preserve">The Government has committed $1.5 million in 2022-23 for one-off seed funding </w:t>
      </w:r>
      <w:r w:rsidR="00E314BF">
        <w:rPr>
          <w:rFonts w:cstheme="minorHAnsi"/>
        </w:rPr>
        <w:t xml:space="preserve">for </w:t>
      </w:r>
      <w:r>
        <w:rPr>
          <w:rFonts w:cstheme="minorHAnsi"/>
        </w:rPr>
        <w:t>the</w:t>
      </w:r>
      <w:r w:rsidR="00100333">
        <w:rPr>
          <w:rFonts w:cstheme="minorHAnsi"/>
        </w:rPr>
        <w:t xml:space="preserve"> </w:t>
      </w:r>
      <w:r>
        <w:rPr>
          <w:rFonts w:cstheme="minorHAnsi"/>
        </w:rPr>
        <w:t xml:space="preserve">establishment of the body. </w:t>
      </w:r>
      <w:r w:rsidR="00100333">
        <w:rPr>
          <w:rFonts w:cstheme="minorHAnsi"/>
        </w:rPr>
        <w:t>It is estimated that the annual operating costs of the body could range from $</w:t>
      </w:r>
      <w:r w:rsidR="002C6AE0">
        <w:rPr>
          <w:rFonts w:cstheme="minorHAnsi"/>
        </w:rPr>
        <w:t>0.7</w:t>
      </w:r>
      <w:r w:rsidR="00F161AB">
        <w:rPr>
          <w:rFonts w:cstheme="minorHAnsi"/>
        </w:rPr>
        <w:t xml:space="preserve"> </w:t>
      </w:r>
      <w:r w:rsidR="002C6AE0">
        <w:rPr>
          <w:rFonts w:cstheme="minorHAnsi"/>
        </w:rPr>
        <w:t>m</w:t>
      </w:r>
      <w:r w:rsidR="00F161AB">
        <w:rPr>
          <w:rFonts w:cstheme="minorHAnsi"/>
        </w:rPr>
        <w:t>illion</w:t>
      </w:r>
      <w:r w:rsidR="00100333">
        <w:rPr>
          <w:rFonts w:cstheme="minorHAnsi"/>
        </w:rPr>
        <w:t xml:space="preserve"> to $1</w:t>
      </w:r>
      <w:r w:rsidR="00F161AB">
        <w:rPr>
          <w:rFonts w:cstheme="minorHAnsi"/>
        </w:rPr>
        <w:t xml:space="preserve"> </w:t>
      </w:r>
      <w:r w:rsidR="002C6AE0">
        <w:rPr>
          <w:rFonts w:cstheme="minorHAnsi"/>
        </w:rPr>
        <w:t>m</w:t>
      </w:r>
      <w:r w:rsidR="00F161AB">
        <w:rPr>
          <w:rFonts w:cstheme="minorHAnsi"/>
        </w:rPr>
        <w:t>illion</w:t>
      </w:r>
      <w:r w:rsidR="00100333">
        <w:rPr>
          <w:rFonts w:cstheme="minorHAnsi"/>
        </w:rPr>
        <w:t xml:space="preserve"> from 2023-24. It is anticipated the</w:t>
      </w:r>
      <w:r w:rsidR="002C6AE0">
        <w:rPr>
          <w:rFonts w:cstheme="minorHAnsi"/>
        </w:rPr>
        <w:t xml:space="preserve"> ongoing</w:t>
      </w:r>
      <w:r w:rsidR="00100333">
        <w:rPr>
          <w:rFonts w:cstheme="minorHAnsi"/>
        </w:rPr>
        <w:t xml:space="preserve"> operating costs would be sourced from industry contributions. The estimated operating costs cover board member sitting fees, body staff salaries, training and development, outsourced services such as IT support, ad-hoc legal advice and auditing, and assets and infrastructure.  </w:t>
      </w:r>
    </w:p>
    <w:p w14:paraId="6F39E240" w14:textId="5C8C79B4" w:rsidR="000E72A9" w:rsidRPr="00D15045" w:rsidRDefault="00A93E2E">
      <w:pPr>
        <w:rPr>
          <w:rFonts w:cstheme="minorHAnsi"/>
          <w:b/>
        </w:rPr>
      </w:pPr>
      <w:r w:rsidRPr="00D15045">
        <w:rPr>
          <w:rFonts w:cstheme="minorHAnsi"/>
          <w:b/>
        </w:rPr>
        <w:t xml:space="preserve">How will the industry funding contributions be spent? </w:t>
      </w:r>
    </w:p>
    <w:p w14:paraId="1425CED4" w14:textId="7CBCD7D7" w:rsidR="000C2C70" w:rsidRDefault="009D2D74">
      <w:r>
        <w:t>The majority of</w:t>
      </w:r>
      <w:r w:rsidR="001D49C3">
        <w:t xml:space="preserve"> i</w:t>
      </w:r>
      <w:r w:rsidR="000F5763" w:rsidRPr="00211A67">
        <w:t xml:space="preserve">ndustry </w:t>
      </w:r>
      <w:r w:rsidR="001D49C3">
        <w:t xml:space="preserve">funding </w:t>
      </w:r>
      <w:r w:rsidR="000F5763" w:rsidRPr="00211A67">
        <w:t>contributions</w:t>
      </w:r>
      <w:r w:rsidR="001D49C3">
        <w:t xml:space="preserve"> would be spent directly on service delivery</w:t>
      </w:r>
      <w:r>
        <w:t>,</w:t>
      </w:r>
      <w:r w:rsidR="001D49C3">
        <w:t xml:space="preserve"> with funding for generalist financial counselling being provided directly to financial counselling organisations (</w:t>
      </w:r>
      <w:r w:rsidR="00A12917">
        <w:t>92 </w:t>
      </w:r>
      <w:r w:rsidR="00B659C9">
        <w:t>per cent</w:t>
      </w:r>
      <w:r w:rsidR="001D49C3">
        <w:t xml:space="preserve">). </w:t>
      </w:r>
      <w:r w:rsidR="00F161AB">
        <w:t>Five</w:t>
      </w:r>
      <w:r w:rsidR="00B659C9">
        <w:t xml:space="preserve"> per cent</w:t>
      </w:r>
      <w:r w:rsidR="001D49C3">
        <w:t xml:space="preserve"> of funding would be for the operating costs of the body and </w:t>
      </w:r>
      <w:r w:rsidR="00A12917">
        <w:t>3</w:t>
      </w:r>
      <w:r w:rsidR="00B659C9">
        <w:t xml:space="preserve"> per cent</w:t>
      </w:r>
      <w:r w:rsidR="001D49C3">
        <w:t xml:space="preserve"> would be for innovation and capability building within the sector.</w:t>
      </w:r>
      <w:r w:rsidR="007E4D6E">
        <w:t xml:space="preserve"> </w:t>
      </w:r>
    </w:p>
    <w:p w14:paraId="01882C6F" w14:textId="77777777" w:rsidR="00AB0453" w:rsidRDefault="00AB0453">
      <w:pPr>
        <w:rPr>
          <w:rFonts w:eastAsia="Calibri" w:cs="Segoe UI"/>
          <w:b/>
          <w:caps/>
          <w:color w:val="0D0D0D" w:themeColor="text2" w:themeTint="F2"/>
          <w:lang w:val="en-US"/>
        </w:rPr>
      </w:pPr>
      <w:r>
        <w:rPr>
          <w:lang w:val="en-US"/>
        </w:rPr>
        <w:br w:type="page"/>
      </w:r>
    </w:p>
    <w:p w14:paraId="6471E83F" w14:textId="06659169" w:rsidR="000F5763" w:rsidRPr="00AF14AE" w:rsidRDefault="00895671" w:rsidP="00211A67">
      <w:pPr>
        <w:pStyle w:val="TableHeading"/>
        <w:spacing w:before="240"/>
        <w:rPr>
          <w:rFonts w:eastAsiaTheme="majorEastAsia" w:cstheme="minorBidi"/>
          <w:caps w:val="0"/>
          <w:color w:val="auto"/>
          <w:sz w:val="22"/>
        </w:rPr>
      </w:pPr>
      <w:r w:rsidRPr="00AF14AE">
        <w:rPr>
          <w:sz w:val="22"/>
          <w:lang w:val="en-US"/>
        </w:rPr>
        <w:lastRenderedPageBreak/>
        <w:t>Figure</w:t>
      </w:r>
      <w:r>
        <w:rPr>
          <w:lang w:val="en-US"/>
        </w:rPr>
        <w:t xml:space="preserve"> </w:t>
      </w:r>
      <w:r w:rsidR="00921A18" w:rsidRPr="00AF14AE">
        <w:rPr>
          <w:sz w:val="22"/>
          <w:lang w:val="en-US"/>
        </w:rPr>
        <w:t>1</w:t>
      </w:r>
      <w:r>
        <w:rPr>
          <w:lang w:val="en-US"/>
        </w:rPr>
        <w:t xml:space="preserve">. </w:t>
      </w:r>
      <w:r w:rsidRPr="00AF14AE">
        <w:rPr>
          <w:rFonts w:eastAsiaTheme="majorEastAsia" w:cstheme="minorBidi"/>
          <w:caps w:val="0"/>
          <w:color w:val="auto"/>
          <w:sz w:val="22"/>
        </w:rPr>
        <w:t>Breakdown of Funding Expenditure</w:t>
      </w:r>
    </w:p>
    <w:p w14:paraId="54C494F1" w14:textId="78F89D84" w:rsidR="00830207" w:rsidRPr="00B53DF3" w:rsidRDefault="005C19B1" w:rsidP="000C2C70">
      <w:r>
        <w:rPr>
          <w:noProof/>
          <w:lang w:eastAsia="en-AU"/>
        </w:rPr>
        <w:drawing>
          <wp:inline distT="0" distB="0" distL="0" distR="0" wp14:anchorId="60AE83C1" wp14:editId="51D87B22">
            <wp:extent cx="527939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9390" cy="2286000"/>
                    </a:xfrm>
                    <a:prstGeom prst="rect">
                      <a:avLst/>
                    </a:prstGeom>
                    <a:noFill/>
                  </pic:spPr>
                </pic:pic>
              </a:graphicData>
            </a:graphic>
          </wp:inline>
        </w:drawing>
      </w:r>
    </w:p>
    <w:p w14:paraId="67789C55" w14:textId="77777777" w:rsidR="00B036E5" w:rsidRDefault="00B036E5" w:rsidP="00BB48C8">
      <w:pPr>
        <w:pStyle w:val="Style1"/>
        <w:rPr>
          <w:rFonts w:eastAsiaTheme="majorEastAsia"/>
        </w:rPr>
      </w:pPr>
    </w:p>
    <w:p w14:paraId="3E739E34" w14:textId="5DB79915" w:rsidR="0000114B" w:rsidRDefault="00926A02" w:rsidP="00914C1A">
      <w:pPr>
        <w:pStyle w:val="Style1"/>
        <w:spacing w:before="0" w:after="160"/>
      </w:pPr>
      <w:r>
        <w:rPr>
          <w:rFonts w:eastAsiaTheme="majorEastAsia"/>
        </w:rPr>
        <w:t>Will the requested industry contributions change?</w:t>
      </w:r>
    </w:p>
    <w:p w14:paraId="74890E79" w14:textId="61DC7F6C" w:rsidR="0000114B" w:rsidRPr="001233E8" w:rsidRDefault="00163DFE" w:rsidP="00E9797A">
      <w:pPr>
        <w:rPr>
          <w:rFonts w:cstheme="minorHAnsi"/>
          <w:noProof/>
          <w:lang w:eastAsia="en-AU"/>
        </w:rPr>
      </w:pPr>
      <w:r>
        <w:rPr>
          <w:rFonts w:cstheme="minorHAnsi"/>
        </w:rPr>
        <w:t xml:space="preserve">The </w:t>
      </w:r>
      <w:r w:rsidR="00D17A0E">
        <w:rPr>
          <w:rFonts w:cstheme="minorHAnsi"/>
        </w:rPr>
        <w:t xml:space="preserve">annual </w:t>
      </w:r>
      <w:r w:rsidR="004422F7">
        <w:rPr>
          <w:rFonts w:cstheme="minorHAnsi"/>
        </w:rPr>
        <w:t>figure</w:t>
      </w:r>
      <w:r w:rsidR="00D17A0E">
        <w:rPr>
          <w:rFonts w:cstheme="minorHAnsi"/>
        </w:rPr>
        <w:t>s</w:t>
      </w:r>
      <w:r w:rsidR="004422F7">
        <w:rPr>
          <w:rFonts w:cstheme="minorHAnsi"/>
        </w:rPr>
        <w:t xml:space="preserve"> </w:t>
      </w:r>
      <w:r>
        <w:rPr>
          <w:rFonts w:cstheme="minorHAnsi"/>
        </w:rPr>
        <w:t xml:space="preserve">would be set for three years from 1 July 2023. </w:t>
      </w:r>
      <w:r w:rsidR="000C2C70">
        <w:rPr>
          <w:rFonts w:cstheme="minorHAnsi"/>
        </w:rPr>
        <w:t>T</w:t>
      </w:r>
      <w:r w:rsidR="0000114B">
        <w:rPr>
          <w:rFonts w:cstheme="minorHAnsi"/>
        </w:rPr>
        <w:t>h</w:t>
      </w:r>
      <w:r w:rsidR="00DE19A8">
        <w:rPr>
          <w:rFonts w:cstheme="minorHAnsi"/>
        </w:rPr>
        <w:t xml:space="preserve">e </w:t>
      </w:r>
      <w:r w:rsidR="0000114B">
        <w:rPr>
          <w:rFonts w:cstheme="minorHAnsi"/>
        </w:rPr>
        <w:t xml:space="preserve">modelling </w:t>
      </w:r>
      <w:r w:rsidR="006572C9">
        <w:rPr>
          <w:rFonts w:cstheme="minorHAnsi"/>
        </w:rPr>
        <w:t xml:space="preserve">to forecast demand </w:t>
      </w:r>
      <w:r w:rsidR="000C2C70">
        <w:rPr>
          <w:rFonts w:cstheme="minorHAnsi"/>
        </w:rPr>
        <w:t xml:space="preserve">will </w:t>
      </w:r>
      <w:r w:rsidR="0000114B">
        <w:rPr>
          <w:rFonts w:cstheme="minorHAnsi"/>
        </w:rPr>
        <w:t xml:space="preserve">be repeated before the initial </w:t>
      </w:r>
      <w:r w:rsidR="004422F7">
        <w:rPr>
          <w:rFonts w:cstheme="minorHAnsi"/>
        </w:rPr>
        <w:t xml:space="preserve">three-year period </w:t>
      </w:r>
      <w:r w:rsidR="0000114B">
        <w:rPr>
          <w:rFonts w:cstheme="minorHAnsi"/>
        </w:rPr>
        <w:t>sunsets, providing an updated figure to inform future</w:t>
      </w:r>
      <w:r w:rsidR="006572C9">
        <w:rPr>
          <w:rFonts w:cstheme="minorHAnsi"/>
        </w:rPr>
        <w:t xml:space="preserve"> funding</w:t>
      </w:r>
      <w:r w:rsidR="0000114B">
        <w:rPr>
          <w:rFonts w:cstheme="minorHAnsi"/>
        </w:rPr>
        <w:t xml:space="preserve"> commitments.</w:t>
      </w:r>
      <w:r w:rsidR="0000114B" w:rsidRPr="006F4EE5">
        <w:rPr>
          <w:rFonts w:cstheme="minorHAnsi"/>
          <w:noProof/>
          <w:lang w:eastAsia="en-AU"/>
        </w:rPr>
        <w:t xml:space="preserve"> </w:t>
      </w:r>
    </w:p>
    <w:p w14:paraId="48FD3324" w14:textId="64F40AF5" w:rsidR="0000114B" w:rsidRDefault="0000114B" w:rsidP="00F914A4">
      <w:pPr>
        <w:rPr>
          <w:rFonts w:cstheme="minorHAnsi"/>
          <w:noProof/>
          <w:lang w:eastAsia="en-AU"/>
        </w:rPr>
      </w:pPr>
      <w:r>
        <w:rPr>
          <w:rFonts w:cstheme="minorHAnsi"/>
          <w:noProof/>
          <w:lang w:eastAsia="en-AU"/>
        </w:rPr>
        <w:t xml:space="preserve">Future iterations of the model could </w:t>
      </w:r>
      <w:r w:rsidR="006572C9">
        <w:rPr>
          <w:rFonts w:cstheme="minorHAnsi"/>
          <w:noProof/>
          <w:lang w:eastAsia="en-AU"/>
        </w:rPr>
        <w:t xml:space="preserve">be </w:t>
      </w:r>
      <w:r w:rsidR="00BE4037">
        <w:rPr>
          <w:rFonts w:cstheme="minorHAnsi"/>
          <w:noProof/>
          <w:lang w:eastAsia="en-AU"/>
        </w:rPr>
        <w:t>refine</w:t>
      </w:r>
      <w:r w:rsidR="006572C9">
        <w:rPr>
          <w:rFonts w:cstheme="minorHAnsi"/>
          <w:noProof/>
          <w:lang w:eastAsia="en-AU"/>
        </w:rPr>
        <w:t>d</w:t>
      </w:r>
      <w:r>
        <w:rPr>
          <w:rFonts w:cstheme="minorHAnsi"/>
          <w:noProof/>
          <w:lang w:eastAsia="en-AU"/>
        </w:rPr>
        <w:t xml:space="preserve"> </w:t>
      </w:r>
      <w:r w:rsidR="006572C9">
        <w:rPr>
          <w:rFonts w:cstheme="minorHAnsi"/>
          <w:noProof/>
          <w:lang w:eastAsia="en-AU"/>
        </w:rPr>
        <w:t xml:space="preserve">as more data becomes available </w:t>
      </w:r>
      <w:r>
        <w:rPr>
          <w:rFonts w:cstheme="minorHAnsi"/>
          <w:noProof/>
          <w:lang w:eastAsia="en-AU"/>
        </w:rPr>
        <w:t xml:space="preserve">and </w:t>
      </w:r>
      <w:r w:rsidR="006572C9">
        <w:rPr>
          <w:rFonts w:cstheme="minorHAnsi"/>
          <w:noProof/>
          <w:lang w:eastAsia="en-AU"/>
        </w:rPr>
        <w:t xml:space="preserve">through </w:t>
      </w:r>
      <w:r>
        <w:rPr>
          <w:rFonts w:cstheme="minorHAnsi"/>
          <w:noProof/>
          <w:lang w:eastAsia="en-AU"/>
        </w:rPr>
        <w:t xml:space="preserve"> </w:t>
      </w:r>
      <w:r w:rsidR="00BE4037">
        <w:rPr>
          <w:rFonts w:cstheme="minorHAnsi"/>
          <w:noProof/>
          <w:lang w:eastAsia="en-AU"/>
        </w:rPr>
        <w:t>learning</w:t>
      </w:r>
      <w:r w:rsidR="006572C9">
        <w:rPr>
          <w:rFonts w:cstheme="minorHAnsi"/>
          <w:noProof/>
          <w:lang w:eastAsia="en-AU"/>
        </w:rPr>
        <w:t>s</w:t>
      </w:r>
      <w:r w:rsidR="00BE4037">
        <w:rPr>
          <w:rFonts w:cstheme="minorHAnsi"/>
          <w:noProof/>
          <w:lang w:eastAsia="en-AU"/>
        </w:rPr>
        <w:t xml:space="preserve"> from the model </w:t>
      </w:r>
      <w:r>
        <w:rPr>
          <w:rFonts w:cstheme="minorHAnsi"/>
          <w:noProof/>
          <w:lang w:eastAsia="en-AU"/>
        </w:rPr>
        <w:t xml:space="preserve">over the funding period of 2023-24 to 2025-26. </w:t>
      </w:r>
    </w:p>
    <w:p w14:paraId="1143A062" w14:textId="3E1CFD87" w:rsidR="00877ADE" w:rsidRDefault="0000114B">
      <w:pPr>
        <w:rPr>
          <w:rFonts w:cstheme="minorHAnsi"/>
          <w:noProof/>
          <w:lang w:eastAsia="en-AU"/>
        </w:rPr>
      </w:pPr>
      <w:r>
        <w:rPr>
          <w:rFonts w:cstheme="minorHAnsi"/>
          <w:noProof/>
          <w:lang w:eastAsia="en-AU"/>
        </w:rPr>
        <w:t xml:space="preserve">See </w:t>
      </w:r>
      <w:r w:rsidR="00E314BF">
        <w:rPr>
          <w:rFonts w:cstheme="minorHAnsi"/>
          <w:noProof/>
          <w:lang w:eastAsia="en-AU"/>
        </w:rPr>
        <w:t xml:space="preserve">Section </w:t>
      </w:r>
      <w:r w:rsidR="00D93080">
        <w:rPr>
          <w:rFonts w:cstheme="minorHAnsi"/>
          <w:noProof/>
          <w:lang w:eastAsia="en-AU"/>
        </w:rPr>
        <w:t>5</w:t>
      </w:r>
      <w:r>
        <w:rPr>
          <w:rFonts w:cstheme="minorHAnsi"/>
          <w:noProof/>
          <w:lang w:eastAsia="en-AU"/>
        </w:rPr>
        <w:t xml:space="preserve"> for </w:t>
      </w:r>
      <w:r w:rsidR="00E314BF">
        <w:rPr>
          <w:rFonts w:cstheme="minorHAnsi"/>
          <w:noProof/>
          <w:lang w:eastAsia="en-AU"/>
        </w:rPr>
        <w:t xml:space="preserve">a </w:t>
      </w:r>
      <w:r>
        <w:rPr>
          <w:rFonts w:cstheme="minorHAnsi"/>
          <w:noProof/>
          <w:lang w:eastAsia="en-AU"/>
        </w:rPr>
        <w:t>proposed review point, which would include updated demand modelling.</w:t>
      </w:r>
    </w:p>
    <w:p w14:paraId="66470947" w14:textId="63114B9E" w:rsidR="001C053B" w:rsidRDefault="0000114B" w:rsidP="001C053B">
      <w:pPr>
        <w:spacing w:after="0"/>
        <w:rPr>
          <w:rFonts w:cstheme="minorHAnsi"/>
        </w:rPr>
      </w:pPr>
      <w:r>
        <w:rPr>
          <w:rFonts w:cstheme="minorHAnsi"/>
          <w:noProof/>
          <w:lang w:eastAsia="en-AU"/>
        </w:rPr>
        <mc:AlternateContent>
          <mc:Choice Requires="wps">
            <w:drawing>
              <wp:inline distT="0" distB="0" distL="0" distR="0" wp14:anchorId="243227A0" wp14:editId="3326FC58">
                <wp:extent cx="5782945" cy="834887"/>
                <wp:effectExtent l="0" t="0" r="27305" b="22860"/>
                <wp:docPr id="3" name="Rounded Rectangle 3"/>
                <wp:cNvGraphicFramePr/>
                <a:graphic xmlns:a="http://schemas.openxmlformats.org/drawingml/2006/main">
                  <a:graphicData uri="http://schemas.microsoft.com/office/word/2010/wordprocessingShape">
                    <wps:wsp>
                      <wps:cNvSpPr/>
                      <wps:spPr>
                        <a:xfrm>
                          <a:off x="0" y="0"/>
                          <a:ext cx="5782945" cy="834887"/>
                        </a:xfrm>
                        <a:prstGeom prst="roundRect">
                          <a:avLst/>
                        </a:prstGeom>
                        <a:solidFill>
                          <a:schemeClr val="bg1">
                            <a:lumMod val="9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2B61FC81" w14:textId="4A91D041" w:rsidR="00FF3618" w:rsidRPr="0001440C" w:rsidRDefault="00FF3618" w:rsidP="0000114B">
                            <w:pPr>
                              <w:shd w:val="clear" w:color="auto" w:fill="F2F2F2" w:themeFill="background1" w:themeFillShade="F2"/>
                              <w:spacing w:after="60"/>
                              <w:rPr>
                                <w:color w:val="000000" w:themeColor="text2"/>
                              </w:rPr>
                            </w:pPr>
                            <w:r w:rsidRPr="0001440C">
                              <w:rPr>
                                <w:color w:val="000000" w:themeColor="text2"/>
                              </w:rPr>
                              <w:t>Discussion Question:</w:t>
                            </w:r>
                          </w:p>
                          <w:p w14:paraId="2655C74A" w14:textId="55A758D8" w:rsidR="00FF3618" w:rsidRPr="0001440C" w:rsidRDefault="00FF3618" w:rsidP="001721B0">
                            <w:pPr>
                              <w:pStyle w:val="ListParagraph"/>
                              <w:numPr>
                                <w:ilvl w:val="0"/>
                                <w:numId w:val="4"/>
                              </w:numPr>
                              <w:shd w:val="clear" w:color="auto" w:fill="F2F2F2" w:themeFill="background1" w:themeFillShade="F2"/>
                              <w:spacing w:after="120"/>
                              <w:ind w:left="357" w:hanging="357"/>
                              <w:contextualSpacing w:val="0"/>
                              <w:rPr>
                                <w:color w:val="000000" w:themeColor="text2"/>
                              </w:rPr>
                            </w:pPr>
                            <w:r>
                              <w:rPr>
                                <w:color w:val="000000" w:themeColor="text2"/>
                              </w:rPr>
                              <w:t xml:space="preserve">What are your views on the proposed quantum for each year of the first three years of the model?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3227A0" id="Rounded Rectangle 3" o:spid="_x0000_s1029" style="width:455.35pt;height:6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" fillcolor="#f2f2f2 [3052]" strokecolor="#349593 [1609]" strokeweight=".73403mm">
                <v:textbox>
                  <w:txbxContent>
                    <w:p w14:paraId="2B61FC81" w14:textId="4A91D041" w:rsidR="00FF3618" w:rsidRPr="0001440C" w:rsidRDefault="00FF3618" w:rsidP="0000114B">
                      <w:pPr>
                        <w:shd w:val="clear" w:color="auto" w:fill="F2F2F2" w:themeFill="background1" w:themeFillShade="F2"/>
                        <w:spacing w:after="60"/>
                        <w:rPr>
                          <w:color w:val="000000" w:themeColor="text2"/>
                        </w:rPr>
                      </w:pPr>
                      <w:r w:rsidRPr="0001440C">
                        <w:rPr>
                          <w:color w:val="000000" w:themeColor="text2"/>
                        </w:rPr>
                        <w:t>Discussion Question:</w:t>
                      </w:r>
                    </w:p>
                    <w:p w14:paraId="2655C74A" w14:textId="55A758D8" w:rsidR="00FF3618" w:rsidRPr="0001440C" w:rsidRDefault="00FF3618" w:rsidP="001721B0">
                      <w:pPr>
                        <w:pStyle w:val="ListParagraph"/>
                        <w:numPr>
                          <w:ilvl w:val="0"/>
                          <w:numId w:val="4"/>
                        </w:numPr>
                        <w:shd w:val="clear" w:color="auto" w:fill="F2F2F2" w:themeFill="background1" w:themeFillShade="F2"/>
                        <w:spacing w:after="120"/>
                        <w:ind w:left="357" w:hanging="357"/>
                        <w:contextualSpacing w:val="0"/>
                        <w:rPr>
                          <w:color w:val="000000" w:themeColor="text2"/>
                        </w:rPr>
                      </w:pPr>
                      <w:r>
                        <w:rPr>
                          <w:color w:val="000000" w:themeColor="text2"/>
                        </w:rPr>
                        <w:t xml:space="preserve">What are your views on the proposed quantum for each year of the first three years of the model? </w:t>
                      </w:r>
                    </w:p>
                  </w:txbxContent>
                </v:textbox>
                <w10:anchorlock/>
              </v:roundrect>
            </w:pict>
          </mc:Fallback>
        </mc:AlternateContent>
      </w:r>
    </w:p>
    <w:p w14:paraId="4E3BD24B" w14:textId="77777777" w:rsidR="001C053B" w:rsidRDefault="001C053B" w:rsidP="001C053B">
      <w:pPr>
        <w:spacing w:after="0"/>
        <w:rPr>
          <w:rFonts w:cstheme="minorHAnsi"/>
        </w:rPr>
      </w:pPr>
    </w:p>
    <w:p w14:paraId="0FFC8AF6" w14:textId="092F97D4" w:rsidR="001C053B" w:rsidRDefault="001C053B" w:rsidP="001C053B">
      <w:pPr>
        <w:spacing w:after="0"/>
        <w:rPr>
          <w:rFonts w:cstheme="minorHAnsi"/>
        </w:rPr>
        <w:sectPr w:rsidR="001C053B" w:rsidSect="000D2067">
          <w:pgSz w:w="11906" w:h="16838"/>
          <w:pgMar w:top="1134" w:right="1418" w:bottom="1418" w:left="1134" w:header="284" w:footer="459" w:gutter="0"/>
          <w:cols w:space="708"/>
          <w:titlePg/>
          <w:docGrid w:linePitch="360"/>
        </w:sectPr>
      </w:pPr>
    </w:p>
    <w:p w14:paraId="2292C301" w14:textId="43277CF5" w:rsidR="00507C12" w:rsidRPr="006B160E" w:rsidRDefault="00347768" w:rsidP="004E1899">
      <w:pPr>
        <w:pStyle w:val="Heading1"/>
        <w:spacing w:before="0"/>
      </w:pPr>
      <w:bookmarkStart w:id="24" w:name="_Toc118288272"/>
      <w:bookmarkEnd w:id="22"/>
      <w:bookmarkEnd w:id="23"/>
      <w:r w:rsidRPr="006B160E">
        <w:lastRenderedPageBreak/>
        <w:t>Suggested contributions</w:t>
      </w:r>
      <w:r w:rsidR="00B27C53">
        <w:t xml:space="preserve"> from sectors and subsectors</w:t>
      </w:r>
      <w:bookmarkEnd w:id="24"/>
      <w:r w:rsidR="00B27C53">
        <w:t xml:space="preserve"> </w:t>
      </w:r>
    </w:p>
    <w:p w14:paraId="1FB67C0D" w14:textId="4C83D03E" w:rsidR="00034DE2" w:rsidRPr="00E314BF" w:rsidRDefault="00034DE2" w:rsidP="00F914A4">
      <w:pPr>
        <w:pStyle w:val="Style1"/>
        <w:spacing w:before="0" w:after="160"/>
        <w:rPr>
          <w:rFonts w:eastAsiaTheme="majorEastAsia"/>
        </w:rPr>
      </w:pPr>
      <w:r w:rsidRPr="00E314BF">
        <w:rPr>
          <w:rFonts w:eastAsiaTheme="majorEastAsia"/>
        </w:rPr>
        <w:t xml:space="preserve">Who will be </w:t>
      </w:r>
      <w:r w:rsidR="00496B0C">
        <w:rPr>
          <w:rFonts w:eastAsiaTheme="majorEastAsia"/>
        </w:rPr>
        <w:t>identified</w:t>
      </w:r>
      <w:r w:rsidR="003A637B" w:rsidRPr="00E314BF">
        <w:rPr>
          <w:rFonts w:eastAsiaTheme="majorEastAsia"/>
        </w:rPr>
        <w:t xml:space="preserve"> </w:t>
      </w:r>
      <w:r w:rsidRPr="00E314BF">
        <w:rPr>
          <w:rFonts w:eastAsiaTheme="majorEastAsia"/>
        </w:rPr>
        <w:t>to contribute?</w:t>
      </w:r>
    </w:p>
    <w:p w14:paraId="36C1B7BE" w14:textId="167C43CD" w:rsidR="00034DE2" w:rsidRDefault="003C1A0F" w:rsidP="00F914A4">
      <w:pPr>
        <w:tabs>
          <w:tab w:val="left" w:pos="720"/>
        </w:tabs>
        <w:rPr>
          <w:rFonts w:cs="Arial"/>
          <w:lang w:bidi="en-US"/>
        </w:rPr>
      </w:pPr>
      <w:r w:rsidRPr="00FB1773">
        <w:rPr>
          <w:rFonts w:cs="Arial"/>
          <w:lang w:bidi="en-US"/>
        </w:rPr>
        <w:t xml:space="preserve">On establishment of the </w:t>
      </w:r>
      <w:r>
        <w:rPr>
          <w:rFonts w:cs="Arial"/>
          <w:lang w:bidi="en-US"/>
        </w:rPr>
        <w:t xml:space="preserve">industry funding </w:t>
      </w:r>
      <w:r w:rsidRPr="00FB1773">
        <w:rPr>
          <w:rFonts w:cs="Arial"/>
          <w:lang w:bidi="en-US"/>
        </w:rPr>
        <w:t>model from 1 July 2023</w:t>
      </w:r>
      <w:r>
        <w:rPr>
          <w:rFonts w:cs="Arial"/>
          <w:lang w:bidi="en-US"/>
        </w:rPr>
        <w:t>, any business</w:t>
      </w:r>
      <w:r w:rsidRPr="007A7AAC">
        <w:rPr>
          <w:rFonts w:cs="Arial"/>
          <w:lang w:bidi="en-US"/>
        </w:rPr>
        <w:t xml:space="preserve"> will be able to contribute voluntarily to the model. </w:t>
      </w:r>
      <w:r>
        <w:rPr>
          <w:rFonts w:cs="Arial"/>
          <w:lang w:bidi="en-US"/>
        </w:rPr>
        <w:t>I</w:t>
      </w:r>
      <w:r w:rsidRPr="008B7818">
        <w:rPr>
          <w:rFonts w:cs="Arial"/>
          <w:lang w:bidi="en-US"/>
        </w:rPr>
        <w:t>ndustries that contribute to demand for</w:t>
      </w:r>
      <w:r w:rsidR="00B54C72">
        <w:rPr>
          <w:rFonts w:cs="Arial"/>
          <w:lang w:bidi="en-US"/>
        </w:rPr>
        <w:t>,</w:t>
      </w:r>
      <w:r w:rsidRPr="008B7818">
        <w:rPr>
          <w:rFonts w:cs="Arial"/>
          <w:lang w:bidi="en-US"/>
        </w:rPr>
        <w:t xml:space="preserve"> and benefit from</w:t>
      </w:r>
      <w:r w:rsidR="00B54C72">
        <w:rPr>
          <w:rFonts w:cs="Arial"/>
          <w:lang w:bidi="en-US"/>
        </w:rPr>
        <w:t>,</w:t>
      </w:r>
      <w:r w:rsidRPr="008B7818">
        <w:rPr>
          <w:rFonts w:cs="Arial"/>
          <w:lang w:bidi="en-US"/>
        </w:rPr>
        <w:t xml:space="preserve"> the availability of financial counselling services </w:t>
      </w:r>
      <w:r>
        <w:rPr>
          <w:rFonts w:cs="Arial"/>
          <w:lang w:bidi="en-US"/>
        </w:rPr>
        <w:t>for their customers are encouraged to</w:t>
      </w:r>
      <w:r w:rsidRPr="008B7818">
        <w:rPr>
          <w:rFonts w:cs="Arial"/>
          <w:lang w:bidi="en-US"/>
        </w:rPr>
        <w:t xml:space="preserve"> contribute</w:t>
      </w:r>
      <w:r>
        <w:rPr>
          <w:rFonts w:cs="Arial"/>
          <w:lang w:bidi="en-US"/>
        </w:rPr>
        <w:t xml:space="preserve">, including subsectors from financial services, </w:t>
      </w:r>
      <w:r w:rsidR="00CB25B2">
        <w:rPr>
          <w:rFonts w:cs="Arial"/>
          <w:lang w:bidi="en-US"/>
        </w:rPr>
        <w:t>energy</w:t>
      </w:r>
      <w:r w:rsidR="006D766E">
        <w:rPr>
          <w:rFonts w:cs="Arial"/>
          <w:lang w:bidi="en-US"/>
        </w:rPr>
        <w:t>,</w:t>
      </w:r>
      <w:r>
        <w:rPr>
          <w:rFonts w:cs="Arial"/>
          <w:lang w:bidi="en-US"/>
        </w:rPr>
        <w:t xml:space="preserve"> telecommunications</w:t>
      </w:r>
      <w:r w:rsidR="006D766E">
        <w:rPr>
          <w:rFonts w:cs="Arial"/>
          <w:lang w:bidi="en-US"/>
        </w:rPr>
        <w:t xml:space="preserve"> and wa</w:t>
      </w:r>
      <w:r w:rsidR="00CB25B2">
        <w:rPr>
          <w:rFonts w:cs="Arial"/>
          <w:lang w:bidi="en-US"/>
        </w:rPr>
        <w:t>ter</w:t>
      </w:r>
      <w:r>
        <w:rPr>
          <w:rFonts w:cs="Arial"/>
          <w:lang w:bidi="en-US"/>
        </w:rPr>
        <w:t xml:space="preserve">. </w:t>
      </w:r>
    </w:p>
    <w:p w14:paraId="22865FAE" w14:textId="4CB673D2" w:rsidR="008D316B" w:rsidRDefault="00034DE2" w:rsidP="00E9797A">
      <w:r w:rsidRPr="002A4AB9">
        <w:t>The Sylvan Review</w:t>
      </w:r>
      <w:r>
        <w:t xml:space="preserve"> </w:t>
      </w:r>
      <w:r w:rsidRPr="002A4AB9">
        <w:t xml:space="preserve">identified businesses in the financial services, utilities (energy and water) and telecommunications sectors </w:t>
      </w:r>
      <w:r w:rsidR="001B1AA9">
        <w:t xml:space="preserve">contribute to the demand for financial counselling </w:t>
      </w:r>
      <w:r w:rsidR="00C831F6">
        <w:t>and gain</w:t>
      </w:r>
      <w:r w:rsidRPr="002A4AB9">
        <w:t xml:space="preserve"> social and economic benefit from the availability of financial counselling services.</w:t>
      </w:r>
    </w:p>
    <w:p w14:paraId="1CD7DAC2" w14:textId="79E4E904" w:rsidR="00613F86" w:rsidRDefault="00034DE2" w:rsidP="00F914A4">
      <w:r>
        <w:t>In mid-2021, the Department conducted a two-week</w:t>
      </w:r>
      <w:r w:rsidRPr="00663F03">
        <w:t xml:space="preserve"> survey of 200 financial counsellors</w:t>
      </w:r>
      <w:r>
        <w:t xml:space="preserve"> on the time they spend on specific sectors and su</w:t>
      </w:r>
      <w:r w:rsidR="00341B20">
        <w:t>bsectors when assisting clients. The results of this survey</w:t>
      </w:r>
      <w:r>
        <w:t xml:space="preserve"> </w:t>
      </w:r>
      <w:r w:rsidR="00341B20">
        <w:t xml:space="preserve">support this Sylvan Review finding and identify subsectors within these sectors and other sectors that contribute to demand for financial counselling (refer to </w:t>
      </w:r>
      <w:r w:rsidR="00EF7970" w:rsidRPr="000D2067">
        <w:rPr>
          <w:b/>
        </w:rPr>
        <w:t>Appendix B</w:t>
      </w:r>
      <w:r w:rsidR="00EF7970">
        <w:t xml:space="preserve"> for a list of subsectors included in the survey and </w:t>
      </w:r>
      <w:r w:rsidR="00341B20" w:rsidRPr="000D2067">
        <w:rPr>
          <w:b/>
        </w:rPr>
        <w:t>A</w:t>
      </w:r>
      <w:r w:rsidRPr="000D2067">
        <w:rPr>
          <w:b/>
        </w:rPr>
        <w:t>ppendix C</w:t>
      </w:r>
      <w:r>
        <w:t xml:space="preserve"> </w:t>
      </w:r>
      <w:r w:rsidR="00341B20">
        <w:t>for th</w:t>
      </w:r>
      <w:r w:rsidR="00C831F6">
        <w:t>e results o</w:t>
      </w:r>
      <w:r w:rsidR="00341B20">
        <w:t xml:space="preserve">f the 2021 survey). </w:t>
      </w:r>
    </w:p>
    <w:p w14:paraId="52DD6F2B" w14:textId="5B97174E" w:rsidR="00EF7970" w:rsidRDefault="00E30410" w:rsidP="00F914A4">
      <w:pPr>
        <w:textAlignment w:val="center"/>
        <w:rPr>
          <w:rFonts w:cstheme="minorHAnsi"/>
        </w:rPr>
      </w:pPr>
      <w:r>
        <w:rPr>
          <w:rFonts w:cstheme="minorHAnsi"/>
        </w:rPr>
        <w:t>While a</w:t>
      </w:r>
      <w:r w:rsidR="00EF7970" w:rsidRPr="008033D1">
        <w:rPr>
          <w:rFonts w:cstheme="minorHAnsi"/>
        </w:rPr>
        <w:t xml:space="preserve">ny sector or subsector will be able to contribute voluntarily to the model, </w:t>
      </w:r>
      <w:r w:rsidR="00EF7970" w:rsidRPr="008E7C9D">
        <w:rPr>
          <w:rFonts w:cs="Arial"/>
          <w:lang w:bidi="en-US"/>
        </w:rPr>
        <w:t>the focus</w:t>
      </w:r>
      <w:r w:rsidR="00EF7970">
        <w:rPr>
          <w:rFonts w:cs="Arial"/>
          <w:lang w:bidi="en-US"/>
        </w:rPr>
        <w:t xml:space="preserve"> of the proposed model is </w:t>
      </w:r>
      <w:r w:rsidR="00EF7970" w:rsidRPr="008E7C9D">
        <w:rPr>
          <w:rFonts w:cs="Arial"/>
          <w:lang w:bidi="en-US"/>
        </w:rPr>
        <w:t>on specific subsectors</w:t>
      </w:r>
      <w:r w:rsidR="00EF7970">
        <w:rPr>
          <w:rFonts w:cs="Arial"/>
          <w:lang w:bidi="en-US"/>
        </w:rPr>
        <w:t xml:space="preserve"> that contribute to demand for financial counselling services</w:t>
      </w:r>
      <w:r w:rsidR="00EF7970" w:rsidRPr="008E7C9D">
        <w:rPr>
          <w:rFonts w:cs="Arial"/>
          <w:lang w:bidi="en-US"/>
        </w:rPr>
        <w:t>.</w:t>
      </w:r>
      <w:r w:rsidR="00EF7970">
        <w:rPr>
          <w:rFonts w:cs="Arial"/>
          <w:lang w:bidi="en-US"/>
        </w:rPr>
        <w:t xml:space="preserve"> These subsectors have been determined based on the results of a </w:t>
      </w:r>
      <w:r w:rsidR="00EF7970" w:rsidRPr="002349AC">
        <w:rPr>
          <w:rFonts w:cs="Arial"/>
          <w:lang w:bidi="en-US"/>
        </w:rPr>
        <w:t xml:space="preserve">2021 </w:t>
      </w:r>
      <w:r w:rsidR="00EF7970">
        <w:rPr>
          <w:rFonts w:cs="Arial"/>
          <w:lang w:bidi="en-US"/>
        </w:rPr>
        <w:t>s</w:t>
      </w:r>
      <w:r w:rsidR="00EF7970" w:rsidRPr="002349AC">
        <w:rPr>
          <w:rFonts w:cs="Arial"/>
          <w:lang w:bidi="en-US"/>
        </w:rPr>
        <w:t xml:space="preserve">urvey of </w:t>
      </w:r>
      <w:r w:rsidR="00EF7970">
        <w:rPr>
          <w:rFonts w:cs="Arial"/>
          <w:lang w:bidi="en-US"/>
        </w:rPr>
        <w:t>f</w:t>
      </w:r>
      <w:r w:rsidR="00EF7970" w:rsidRPr="002349AC">
        <w:rPr>
          <w:rFonts w:cs="Arial"/>
          <w:lang w:bidi="en-US"/>
        </w:rPr>
        <w:t xml:space="preserve">inancial </w:t>
      </w:r>
      <w:r w:rsidR="00EF7970">
        <w:rPr>
          <w:rFonts w:cs="Arial"/>
          <w:lang w:bidi="en-US"/>
        </w:rPr>
        <w:t>c</w:t>
      </w:r>
      <w:r w:rsidR="00EF7970" w:rsidRPr="002349AC">
        <w:rPr>
          <w:rFonts w:cs="Arial"/>
          <w:lang w:bidi="en-US"/>
        </w:rPr>
        <w:t xml:space="preserve">ounsellor </w:t>
      </w:r>
      <w:r w:rsidR="00EF7970">
        <w:rPr>
          <w:rFonts w:cs="Arial"/>
          <w:lang w:bidi="en-US"/>
        </w:rPr>
        <w:t>t</w:t>
      </w:r>
      <w:r w:rsidR="00EF7970" w:rsidRPr="002349AC">
        <w:rPr>
          <w:rFonts w:cs="Arial"/>
          <w:lang w:bidi="en-US"/>
        </w:rPr>
        <w:t>ime</w:t>
      </w:r>
      <w:r w:rsidR="00EF7970">
        <w:rPr>
          <w:rFonts w:cs="Arial"/>
          <w:lang w:bidi="en-US"/>
        </w:rPr>
        <w:t xml:space="preserve"> spent on specific subsectors, wi</w:t>
      </w:r>
      <w:r w:rsidR="00AB281C">
        <w:rPr>
          <w:rFonts w:cs="Arial"/>
          <w:lang w:bidi="en-US"/>
        </w:rPr>
        <w:t>th a minimum threshold applied.</w:t>
      </w:r>
      <w:r w:rsidR="00EF7970">
        <w:rPr>
          <w:rFonts w:cs="Arial"/>
          <w:lang w:bidi="en-US"/>
        </w:rPr>
        <w:t xml:space="preserve"> </w:t>
      </w:r>
    </w:p>
    <w:p w14:paraId="17B700EB" w14:textId="648355BC" w:rsidR="00935F19" w:rsidRPr="00733B2F" w:rsidRDefault="00935692" w:rsidP="00E9797A">
      <w:r>
        <w:rPr>
          <w:rFonts w:cstheme="minorHAnsi"/>
        </w:rPr>
        <w:t>To ensure the focus is on subsectors that contribute</w:t>
      </w:r>
      <w:r w:rsidRPr="007A6E55">
        <w:rPr>
          <w:rFonts w:cstheme="minorHAnsi"/>
        </w:rPr>
        <w:t xml:space="preserve"> to demand for services at a level that has a cost benefit greater than the time and resources required to encourage parti</w:t>
      </w:r>
      <w:r>
        <w:rPr>
          <w:rFonts w:cstheme="minorHAnsi"/>
        </w:rPr>
        <w:t xml:space="preserve">cipation in the </w:t>
      </w:r>
      <w:r w:rsidRPr="008E7D43">
        <w:t>voluntary model, a minimum threshold is proposed</w:t>
      </w:r>
      <w:r w:rsidR="00AB281C" w:rsidRPr="008E7D43">
        <w:t xml:space="preserve">. The </w:t>
      </w:r>
      <w:r w:rsidR="00414ED3" w:rsidRPr="008E7D43">
        <w:t>minimum threshold proposed is</w:t>
      </w:r>
      <w:r w:rsidR="00AB281C" w:rsidRPr="00733B2F">
        <w:t xml:space="preserve"> three per cent, meaning</w:t>
      </w:r>
      <w:r w:rsidR="00EE1A16">
        <w:t xml:space="preserve"> subsectors</w:t>
      </w:r>
      <w:r w:rsidR="003D060B">
        <w:t xml:space="preserve"> (excluding government delivered services</w:t>
      </w:r>
      <w:r w:rsidR="00382893">
        <w:t xml:space="preserve"> e.g. Centrelink</w:t>
      </w:r>
      <w:r w:rsidR="003D060B">
        <w:rPr>
          <w:rStyle w:val="FootnoteReference"/>
        </w:rPr>
        <w:footnoteReference w:id="10"/>
      </w:r>
      <w:r w:rsidR="003D060B">
        <w:t>)</w:t>
      </w:r>
      <w:r w:rsidR="00EE1A16">
        <w:t xml:space="preserve"> that contributed to </w:t>
      </w:r>
      <w:r w:rsidR="00E30410" w:rsidRPr="00733B2F">
        <w:t xml:space="preserve">at least three per cent </w:t>
      </w:r>
      <w:r w:rsidR="00EE1A16">
        <w:t xml:space="preserve">of total financial counsellor time </w:t>
      </w:r>
      <w:r w:rsidR="00E30410" w:rsidRPr="00733B2F">
        <w:t>in the 2021 survey are the focus of the model</w:t>
      </w:r>
      <w:r w:rsidRPr="00733B2F">
        <w:t xml:space="preserve">. </w:t>
      </w:r>
    </w:p>
    <w:p w14:paraId="4B2BED62" w14:textId="2DC30B11" w:rsidR="00935692" w:rsidRDefault="002A3F43" w:rsidP="00F914A4">
      <w:r w:rsidRPr="00733B2F">
        <w:t xml:space="preserve">Based on the survey and this threshold, the quantum of funding is apportioned </w:t>
      </w:r>
      <w:r w:rsidR="00EE1A16">
        <w:t>to</w:t>
      </w:r>
      <w:r w:rsidRPr="00733B2F">
        <w:t xml:space="preserve"> nine subse</w:t>
      </w:r>
      <w:r w:rsidR="00EE1A16">
        <w:rPr>
          <w:rFonts w:cstheme="minorHAnsi"/>
        </w:rPr>
        <w:t xml:space="preserve">ctors, which </w:t>
      </w:r>
      <w:r w:rsidRPr="00231467">
        <w:rPr>
          <w:rFonts w:cstheme="minorHAnsi"/>
        </w:rPr>
        <w:t>account for over 80 per cent of financial counsellor time.</w:t>
      </w:r>
      <w:r>
        <w:rPr>
          <w:rFonts w:cstheme="minorHAnsi"/>
        </w:rPr>
        <w:t xml:space="preserve"> </w:t>
      </w:r>
      <w:r w:rsidR="00935692" w:rsidRPr="000D2067">
        <w:rPr>
          <w:b/>
        </w:rPr>
        <w:t xml:space="preserve">Appendix D </w:t>
      </w:r>
      <w:r w:rsidR="00935692">
        <w:t>shows the application of this threshold to the survey results.</w:t>
      </w:r>
      <w:r w:rsidR="0042146C">
        <w:t xml:space="preserve"> The subsectors with at least</w:t>
      </w:r>
      <w:r w:rsidR="006C1725">
        <w:t xml:space="preserve"> a three per cent survey result</w:t>
      </w:r>
      <w:r w:rsidR="0042146C">
        <w:t xml:space="preserve"> come from the following sectors:</w:t>
      </w:r>
    </w:p>
    <w:p w14:paraId="08F54FFF" w14:textId="3CDA5A69" w:rsidR="00BD2800" w:rsidRDefault="00BD2800" w:rsidP="00F914A4">
      <w:pPr>
        <w:pStyle w:val="ListParagraph"/>
        <w:numPr>
          <w:ilvl w:val="0"/>
          <w:numId w:val="63"/>
        </w:numPr>
        <w:contextualSpacing w:val="0"/>
        <w:rPr>
          <w:rFonts w:cstheme="minorHAnsi"/>
        </w:rPr>
      </w:pPr>
      <w:r>
        <w:rPr>
          <w:rFonts w:cstheme="minorHAnsi"/>
        </w:rPr>
        <w:t xml:space="preserve">Financial services </w:t>
      </w:r>
    </w:p>
    <w:p w14:paraId="1FCB304F" w14:textId="3A0D44D0" w:rsidR="00BD2800" w:rsidRDefault="00BD2800" w:rsidP="00F914A4">
      <w:pPr>
        <w:pStyle w:val="ListParagraph"/>
        <w:numPr>
          <w:ilvl w:val="0"/>
          <w:numId w:val="63"/>
        </w:numPr>
        <w:contextualSpacing w:val="0"/>
        <w:rPr>
          <w:rFonts w:cstheme="minorHAnsi"/>
        </w:rPr>
      </w:pPr>
      <w:r>
        <w:rPr>
          <w:rFonts w:cstheme="minorHAnsi"/>
        </w:rPr>
        <w:t>Energy</w:t>
      </w:r>
    </w:p>
    <w:p w14:paraId="52026B2B" w14:textId="18842F9D" w:rsidR="00BD2800" w:rsidRDefault="00BD2800" w:rsidP="00F914A4">
      <w:pPr>
        <w:pStyle w:val="ListParagraph"/>
        <w:numPr>
          <w:ilvl w:val="0"/>
          <w:numId w:val="63"/>
        </w:numPr>
        <w:contextualSpacing w:val="0"/>
        <w:rPr>
          <w:rFonts w:cstheme="minorHAnsi"/>
        </w:rPr>
      </w:pPr>
      <w:r>
        <w:rPr>
          <w:rFonts w:cstheme="minorHAnsi"/>
        </w:rPr>
        <w:t xml:space="preserve">Telecommunications </w:t>
      </w:r>
    </w:p>
    <w:p w14:paraId="22235DEC" w14:textId="07141DA0" w:rsidR="00BD2800" w:rsidRPr="00BD2800" w:rsidRDefault="00BD2800" w:rsidP="00F914A4">
      <w:pPr>
        <w:pStyle w:val="ListParagraph"/>
        <w:numPr>
          <w:ilvl w:val="0"/>
          <w:numId w:val="63"/>
        </w:numPr>
        <w:contextualSpacing w:val="0"/>
        <w:rPr>
          <w:rFonts w:cstheme="minorHAnsi"/>
        </w:rPr>
      </w:pPr>
      <w:r>
        <w:rPr>
          <w:rFonts w:cstheme="minorHAnsi"/>
        </w:rPr>
        <w:t xml:space="preserve">Water </w:t>
      </w:r>
    </w:p>
    <w:p w14:paraId="3D4CBD35" w14:textId="241FAAFE" w:rsidR="007B1EE9" w:rsidRPr="007B1EE9" w:rsidRDefault="00613F86" w:rsidP="00E9797A">
      <w:r>
        <w:rPr>
          <w:rFonts w:cs="Arial"/>
          <w:lang w:bidi="en-US"/>
        </w:rPr>
        <w:t>Guidance for suggested contributions for each subsector is provided below.</w:t>
      </w:r>
    </w:p>
    <w:p w14:paraId="1DA60754" w14:textId="77777777" w:rsidR="004E1899" w:rsidRDefault="004E1899">
      <w:pPr>
        <w:rPr>
          <w:rFonts w:eastAsiaTheme="majorEastAsia" w:cs="Arial"/>
          <w:b/>
          <w:lang w:bidi="en-US"/>
        </w:rPr>
      </w:pPr>
      <w:r>
        <w:rPr>
          <w:rFonts w:eastAsiaTheme="majorEastAsia" w:cs="Arial"/>
          <w:b/>
          <w:lang w:bidi="en-US"/>
        </w:rPr>
        <w:br w:type="page"/>
      </w:r>
    </w:p>
    <w:p w14:paraId="1AFFA222" w14:textId="2CCF0957" w:rsidR="00AC2FE7" w:rsidRDefault="00AC2FE7" w:rsidP="00F914A4">
      <w:pPr>
        <w:rPr>
          <w:rFonts w:cstheme="minorHAnsi"/>
        </w:rPr>
      </w:pPr>
      <w:r w:rsidRPr="00DC133C">
        <w:rPr>
          <w:rFonts w:eastAsiaTheme="majorEastAsia" w:cs="Arial"/>
          <w:b/>
          <w:lang w:bidi="en-US"/>
        </w:rPr>
        <w:lastRenderedPageBreak/>
        <w:t xml:space="preserve">How much will </w:t>
      </w:r>
      <w:r w:rsidR="007A7AAC">
        <w:rPr>
          <w:rFonts w:eastAsiaTheme="majorEastAsia" w:cs="Arial"/>
          <w:b/>
          <w:lang w:bidi="en-US"/>
        </w:rPr>
        <w:t xml:space="preserve">each sector and subsector </w:t>
      </w:r>
      <w:r w:rsidR="003A637B">
        <w:rPr>
          <w:rFonts w:eastAsiaTheme="majorEastAsia" w:cs="Arial"/>
          <w:b/>
          <w:lang w:bidi="en-US"/>
        </w:rPr>
        <w:t>be expected to contribute</w:t>
      </w:r>
      <w:r w:rsidRPr="00DC133C">
        <w:rPr>
          <w:rFonts w:eastAsiaTheme="majorEastAsia" w:cs="Arial"/>
          <w:b/>
          <w:lang w:bidi="en-US"/>
        </w:rPr>
        <w:t>?</w:t>
      </w:r>
    </w:p>
    <w:p w14:paraId="5F4966ED" w14:textId="38D6F96A" w:rsidR="00670E63" w:rsidRDefault="00670E63">
      <w:pPr>
        <w:rPr>
          <w:rFonts w:cstheme="minorHAnsi"/>
        </w:rPr>
      </w:pPr>
      <w:r>
        <w:rPr>
          <w:rFonts w:cstheme="minorHAnsi"/>
        </w:rPr>
        <w:t xml:space="preserve">To help ensure the model raises </w:t>
      </w:r>
      <w:r w:rsidR="00F362B1">
        <w:rPr>
          <w:rFonts w:cstheme="minorHAnsi"/>
        </w:rPr>
        <w:t>the proposed quantum for each year</w:t>
      </w:r>
      <w:r>
        <w:rPr>
          <w:rFonts w:cstheme="minorHAnsi"/>
        </w:rPr>
        <w:t xml:space="preserve">, guidance on </w:t>
      </w:r>
      <w:r w:rsidR="008A3313">
        <w:rPr>
          <w:rFonts w:cstheme="minorHAnsi"/>
        </w:rPr>
        <w:t xml:space="preserve">how </w:t>
      </w:r>
      <w:r>
        <w:rPr>
          <w:rFonts w:cstheme="minorHAnsi"/>
        </w:rPr>
        <w:t>much</w:t>
      </w:r>
      <w:r w:rsidR="00C107DB">
        <w:rPr>
          <w:rFonts w:cstheme="minorHAnsi"/>
        </w:rPr>
        <w:t xml:space="preserve"> funding</w:t>
      </w:r>
      <w:r>
        <w:rPr>
          <w:rFonts w:cstheme="minorHAnsi"/>
        </w:rPr>
        <w:t xml:space="preserve"> each sector and subsector should contribute has been developed. </w:t>
      </w:r>
      <w:r w:rsidR="000A0900">
        <w:rPr>
          <w:rFonts w:cstheme="minorHAnsi"/>
        </w:rPr>
        <w:t xml:space="preserve">The </w:t>
      </w:r>
      <w:r w:rsidR="0078363A">
        <w:rPr>
          <w:rFonts w:cstheme="minorHAnsi"/>
        </w:rPr>
        <w:t xml:space="preserve">suggested contributions </w:t>
      </w:r>
      <w:r w:rsidR="000A0900">
        <w:rPr>
          <w:rFonts w:cstheme="minorHAnsi"/>
        </w:rPr>
        <w:t>will help sectors and subsectors understand how they can do their part to ensure sufficient contributions are raised to fund additional financial counselling services.</w:t>
      </w:r>
    </w:p>
    <w:p w14:paraId="05137D97" w14:textId="43B9E419" w:rsidR="007C2E1E" w:rsidRPr="002349AC" w:rsidRDefault="006E3C05" w:rsidP="00F914A4">
      <w:pPr>
        <w:textAlignment w:val="center"/>
        <w:rPr>
          <w:rFonts w:cstheme="minorHAnsi"/>
        </w:rPr>
      </w:pPr>
      <w:r>
        <w:rPr>
          <w:rFonts w:cstheme="minorHAnsi"/>
        </w:rPr>
        <w:t xml:space="preserve">The guidance </w:t>
      </w:r>
      <w:r w:rsidR="0078363A">
        <w:rPr>
          <w:rFonts w:cstheme="minorHAnsi"/>
        </w:rPr>
        <w:t>is based on</w:t>
      </w:r>
      <w:r>
        <w:rPr>
          <w:rFonts w:cstheme="minorHAnsi"/>
        </w:rPr>
        <w:t xml:space="preserve"> </w:t>
      </w:r>
      <w:r w:rsidR="00A95A11">
        <w:rPr>
          <w:rFonts w:cstheme="minorHAnsi"/>
        </w:rPr>
        <w:t xml:space="preserve">the results of the 2021 </w:t>
      </w:r>
      <w:r w:rsidR="00FA0D6A">
        <w:rPr>
          <w:rFonts w:cstheme="minorHAnsi"/>
        </w:rPr>
        <w:t>s</w:t>
      </w:r>
      <w:r w:rsidR="008E1AB7">
        <w:rPr>
          <w:rFonts w:cstheme="minorHAnsi"/>
        </w:rPr>
        <w:t xml:space="preserve">urvey </w:t>
      </w:r>
      <w:r w:rsidR="00A95A11">
        <w:rPr>
          <w:rFonts w:cstheme="minorHAnsi"/>
        </w:rPr>
        <w:t xml:space="preserve">of </w:t>
      </w:r>
      <w:r w:rsidR="00FA0D6A">
        <w:rPr>
          <w:rFonts w:cstheme="minorHAnsi"/>
        </w:rPr>
        <w:t>f</w:t>
      </w:r>
      <w:r w:rsidR="008E1AB7">
        <w:rPr>
          <w:rFonts w:cstheme="minorHAnsi"/>
        </w:rPr>
        <w:t xml:space="preserve">inancial </w:t>
      </w:r>
      <w:r w:rsidR="00FA0D6A">
        <w:rPr>
          <w:rFonts w:cstheme="minorHAnsi"/>
        </w:rPr>
        <w:t>c</w:t>
      </w:r>
      <w:r w:rsidR="008E1AB7">
        <w:rPr>
          <w:rFonts w:cstheme="minorHAnsi"/>
        </w:rPr>
        <w:t xml:space="preserve">ounsellor </w:t>
      </w:r>
      <w:r w:rsidR="00FA0D6A">
        <w:rPr>
          <w:rFonts w:cstheme="minorHAnsi"/>
        </w:rPr>
        <w:t>t</w:t>
      </w:r>
      <w:r w:rsidR="008E1AB7">
        <w:rPr>
          <w:rFonts w:cstheme="minorHAnsi"/>
        </w:rPr>
        <w:t>ime</w:t>
      </w:r>
      <w:r w:rsidR="00EA5CE4">
        <w:rPr>
          <w:rFonts w:cstheme="minorHAnsi"/>
        </w:rPr>
        <w:t xml:space="preserve"> spent on specific sectors and subsectors</w:t>
      </w:r>
      <w:r>
        <w:rPr>
          <w:rFonts w:cstheme="minorHAnsi"/>
        </w:rPr>
        <w:t xml:space="preserve"> to apportion the </w:t>
      </w:r>
      <w:r w:rsidR="00F362B1">
        <w:rPr>
          <w:rFonts w:cstheme="minorHAnsi"/>
        </w:rPr>
        <w:t>yearly quantum</w:t>
      </w:r>
      <w:r w:rsidR="00D5771A">
        <w:rPr>
          <w:rFonts w:cstheme="minorHAnsi"/>
        </w:rPr>
        <w:t>.</w:t>
      </w:r>
      <w:r w:rsidR="008033D1" w:rsidRPr="00231467">
        <w:rPr>
          <w:rFonts w:cstheme="minorHAnsi"/>
        </w:rPr>
        <w:t xml:space="preserve"> R</w:t>
      </w:r>
      <w:r w:rsidR="007C2E1E">
        <w:rPr>
          <w:rFonts w:cstheme="minorHAnsi"/>
        </w:rPr>
        <w:t>efer to Table</w:t>
      </w:r>
      <w:r w:rsidR="00231467">
        <w:rPr>
          <w:rFonts w:cstheme="minorHAnsi"/>
        </w:rPr>
        <w:t> </w:t>
      </w:r>
      <w:r w:rsidR="002851EA">
        <w:rPr>
          <w:rFonts w:cstheme="minorHAnsi"/>
        </w:rPr>
        <w:t>3</w:t>
      </w:r>
      <w:r w:rsidR="007C2E1E">
        <w:rPr>
          <w:rFonts w:cstheme="minorHAnsi"/>
        </w:rPr>
        <w:t xml:space="preserve"> for the guidance. </w:t>
      </w:r>
    </w:p>
    <w:p w14:paraId="7F54542C" w14:textId="6C675402" w:rsidR="002071BE" w:rsidRDefault="007104A8" w:rsidP="00F914A4">
      <w:pPr>
        <w:rPr>
          <w:rFonts w:cstheme="minorHAnsi"/>
        </w:rPr>
      </w:pPr>
      <w:r>
        <w:rPr>
          <w:rFonts w:cstheme="minorHAnsi"/>
        </w:rPr>
        <w:t>While any approach will have limitations, t</w:t>
      </w:r>
      <w:r w:rsidR="008E1AB7">
        <w:rPr>
          <w:rFonts w:cstheme="minorHAnsi"/>
        </w:rPr>
        <w:t>he main benefits of using</w:t>
      </w:r>
      <w:r w:rsidR="00844DC6">
        <w:rPr>
          <w:rFonts w:cstheme="minorHAnsi"/>
        </w:rPr>
        <w:t xml:space="preserve"> </w:t>
      </w:r>
      <w:r w:rsidR="00EA5CE4">
        <w:rPr>
          <w:rFonts w:cstheme="minorHAnsi"/>
        </w:rPr>
        <w:t xml:space="preserve">the </w:t>
      </w:r>
      <w:r w:rsidR="008E1AB7">
        <w:rPr>
          <w:rFonts w:cstheme="minorHAnsi"/>
        </w:rPr>
        <w:t>survey</w:t>
      </w:r>
      <w:r w:rsidR="00844DC6">
        <w:rPr>
          <w:rFonts w:cstheme="minorHAnsi"/>
        </w:rPr>
        <w:t xml:space="preserve"> results</w:t>
      </w:r>
      <w:r>
        <w:rPr>
          <w:rFonts w:cstheme="minorHAnsi"/>
        </w:rPr>
        <w:t xml:space="preserve"> </w:t>
      </w:r>
      <w:r w:rsidR="008E1AB7">
        <w:rPr>
          <w:rFonts w:cstheme="minorHAnsi"/>
        </w:rPr>
        <w:t>is that it is simple,</w:t>
      </w:r>
      <w:r w:rsidR="00754C0C">
        <w:rPr>
          <w:rFonts w:cstheme="minorHAnsi"/>
        </w:rPr>
        <w:t xml:space="preserve"> </w:t>
      </w:r>
      <w:r w:rsidR="00F63EC8">
        <w:rPr>
          <w:rFonts w:cstheme="minorHAnsi"/>
        </w:rPr>
        <w:t>based on where</w:t>
      </w:r>
      <w:r w:rsidR="00754C0C">
        <w:rPr>
          <w:rFonts w:cstheme="minorHAnsi"/>
        </w:rPr>
        <w:t xml:space="preserve"> resources are </w:t>
      </w:r>
      <w:r w:rsidR="008936EF">
        <w:rPr>
          <w:rFonts w:cstheme="minorHAnsi"/>
        </w:rPr>
        <w:t xml:space="preserve">expended </w:t>
      </w:r>
      <w:r w:rsidR="006E3C05">
        <w:rPr>
          <w:rFonts w:cstheme="minorHAnsi"/>
        </w:rPr>
        <w:t>when financial counsellors assist clients</w:t>
      </w:r>
      <w:r w:rsidR="00B54C72">
        <w:rPr>
          <w:rFonts w:cstheme="minorHAnsi"/>
        </w:rPr>
        <w:t>,</w:t>
      </w:r>
      <w:r w:rsidR="006E3C05">
        <w:rPr>
          <w:rFonts w:cstheme="minorHAnsi"/>
        </w:rPr>
        <w:t xml:space="preserve"> </w:t>
      </w:r>
      <w:r w:rsidR="008E1AB7">
        <w:rPr>
          <w:rFonts w:cstheme="minorHAnsi"/>
        </w:rPr>
        <w:t xml:space="preserve">and </w:t>
      </w:r>
      <w:r w:rsidR="00EA5CE4">
        <w:rPr>
          <w:rFonts w:cstheme="minorHAnsi"/>
        </w:rPr>
        <w:t xml:space="preserve">is </w:t>
      </w:r>
      <w:r w:rsidR="008E1AB7">
        <w:rPr>
          <w:rFonts w:cstheme="minorHAnsi"/>
        </w:rPr>
        <w:t>easy to understand.</w:t>
      </w:r>
      <w:r w:rsidR="003F1C89">
        <w:rPr>
          <w:rFonts w:cstheme="minorHAnsi"/>
        </w:rPr>
        <w:t xml:space="preserve"> </w:t>
      </w:r>
      <w:r w:rsidR="00F547B9" w:rsidRPr="009F0B4D">
        <w:rPr>
          <w:rFonts w:cstheme="minorHAnsi"/>
        </w:rPr>
        <w:t>The survey was not designed to measure the underlying reasons for why clients have sought financial counselling</w:t>
      </w:r>
      <w:r w:rsidR="001C3DDC" w:rsidRPr="009F0B4D">
        <w:rPr>
          <w:rFonts w:cstheme="minorHAnsi"/>
        </w:rPr>
        <w:t xml:space="preserve">, nor the impact </w:t>
      </w:r>
      <w:r w:rsidR="00BC6614" w:rsidRPr="009F0B4D">
        <w:rPr>
          <w:rFonts w:cstheme="minorHAnsi"/>
        </w:rPr>
        <w:t xml:space="preserve">of </w:t>
      </w:r>
      <w:r w:rsidR="001C3DDC" w:rsidRPr="009F0B4D">
        <w:rPr>
          <w:rFonts w:cstheme="minorHAnsi"/>
        </w:rPr>
        <w:t xml:space="preserve">various sectors, </w:t>
      </w:r>
      <w:r w:rsidR="00263E6D">
        <w:rPr>
          <w:rFonts w:cstheme="minorHAnsi"/>
        </w:rPr>
        <w:t>subsectors</w:t>
      </w:r>
      <w:r w:rsidR="00263E6D" w:rsidRPr="009F0B4D">
        <w:rPr>
          <w:rFonts w:cstheme="minorHAnsi"/>
        </w:rPr>
        <w:t xml:space="preserve"> </w:t>
      </w:r>
      <w:r w:rsidR="001C3DDC" w:rsidRPr="009F0B4D">
        <w:rPr>
          <w:rFonts w:cstheme="minorHAnsi"/>
        </w:rPr>
        <w:t xml:space="preserve">and firms on the level of financial distress experienced by </w:t>
      </w:r>
      <w:r w:rsidR="005F78FA" w:rsidRPr="009F0B4D">
        <w:rPr>
          <w:rFonts w:cstheme="minorHAnsi"/>
        </w:rPr>
        <w:t>clients</w:t>
      </w:r>
      <w:r w:rsidR="006E3C05" w:rsidRPr="009F0B4D">
        <w:rPr>
          <w:rFonts w:cstheme="minorHAnsi"/>
        </w:rPr>
        <w:t xml:space="preserve">. </w:t>
      </w:r>
    </w:p>
    <w:p w14:paraId="3BC12987" w14:textId="7846947A" w:rsidR="002071BE" w:rsidRPr="009F0B4D" w:rsidRDefault="006818CB" w:rsidP="00E9797A">
      <w:pPr>
        <w:rPr>
          <w:rFonts w:cstheme="minorHAnsi"/>
        </w:rPr>
      </w:pPr>
      <w:r w:rsidRPr="007D6DA7">
        <w:rPr>
          <w:rFonts w:cstheme="minorHAnsi"/>
        </w:rPr>
        <w:t xml:space="preserve">For example, the Sylvan Review noted problem gambling can drive demand for financial counselling services, but debts </w:t>
      </w:r>
      <w:r w:rsidR="008E7D43" w:rsidRPr="007D6DA7">
        <w:rPr>
          <w:rFonts w:cstheme="minorHAnsi"/>
        </w:rPr>
        <w:t>to a gambling organisation is not the</w:t>
      </w:r>
      <w:r w:rsidRPr="007D6DA7">
        <w:rPr>
          <w:rFonts w:cstheme="minorHAnsi"/>
        </w:rPr>
        <w:t xml:space="preserve"> debt</w:t>
      </w:r>
      <w:r w:rsidR="00F50C3E" w:rsidRPr="007D6DA7">
        <w:rPr>
          <w:rFonts w:cstheme="minorHAnsi"/>
        </w:rPr>
        <w:t xml:space="preserve"> an individual seeks assistance </w:t>
      </w:r>
      <w:r w:rsidR="00011518" w:rsidRPr="007D6DA7">
        <w:rPr>
          <w:rFonts w:cstheme="minorHAnsi"/>
        </w:rPr>
        <w:t>with when receiving help from</w:t>
      </w:r>
      <w:r w:rsidR="00F50C3E" w:rsidRPr="007D6DA7">
        <w:rPr>
          <w:rFonts w:cstheme="minorHAnsi"/>
        </w:rPr>
        <w:t xml:space="preserve"> </w:t>
      </w:r>
      <w:r w:rsidR="00011518" w:rsidRPr="007D6DA7">
        <w:rPr>
          <w:rFonts w:cstheme="minorHAnsi"/>
        </w:rPr>
        <w:t xml:space="preserve">a </w:t>
      </w:r>
      <w:r w:rsidR="00F50C3E" w:rsidRPr="007D6DA7">
        <w:rPr>
          <w:rFonts w:cstheme="minorHAnsi"/>
        </w:rPr>
        <w:t xml:space="preserve">financial counsellor. </w:t>
      </w:r>
      <w:r w:rsidR="00AC7678" w:rsidRPr="007D6DA7">
        <w:rPr>
          <w:rFonts w:cstheme="minorHAnsi"/>
        </w:rPr>
        <w:t xml:space="preserve">Further, </w:t>
      </w:r>
      <w:r w:rsidR="002071BE" w:rsidRPr="007D6DA7">
        <w:rPr>
          <w:rFonts w:cstheme="minorHAnsi"/>
        </w:rPr>
        <w:t xml:space="preserve">the National Consumer Protection Framework for online </w:t>
      </w:r>
      <w:r w:rsidR="00AC7678" w:rsidRPr="007D6DA7">
        <w:rPr>
          <w:rFonts w:cstheme="minorHAnsi"/>
        </w:rPr>
        <w:t>w</w:t>
      </w:r>
      <w:r w:rsidR="002071BE" w:rsidRPr="007D6DA7">
        <w:rPr>
          <w:rFonts w:cstheme="minorHAnsi"/>
        </w:rPr>
        <w:t>agering</w:t>
      </w:r>
      <w:r w:rsidR="00AC7678" w:rsidRPr="007D6DA7">
        <w:rPr>
          <w:rFonts w:cstheme="minorHAnsi"/>
        </w:rPr>
        <w:t xml:space="preserve"> prohibits </w:t>
      </w:r>
      <w:r w:rsidR="002071BE" w:rsidRPr="007D6DA7">
        <w:rPr>
          <w:rFonts w:cstheme="minorHAnsi"/>
        </w:rPr>
        <w:t xml:space="preserve">wagering service providers </w:t>
      </w:r>
      <w:r w:rsidR="00AC7678" w:rsidRPr="007D6DA7">
        <w:rPr>
          <w:rFonts w:cstheme="minorHAnsi"/>
        </w:rPr>
        <w:t>from</w:t>
      </w:r>
      <w:r w:rsidR="002071BE" w:rsidRPr="007D6DA7">
        <w:rPr>
          <w:rFonts w:cstheme="minorHAnsi"/>
        </w:rPr>
        <w:t xml:space="preserve"> offer</w:t>
      </w:r>
      <w:r w:rsidR="00AC7678" w:rsidRPr="007D6DA7">
        <w:rPr>
          <w:rFonts w:cstheme="minorHAnsi"/>
        </w:rPr>
        <w:t>ing</w:t>
      </w:r>
      <w:r w:rsidR="002071BE" w:rsidRPr="007D6DA7">
        <w:rPr>
          <w:rFonts w:cstheme="minorHAnsi"/>
        </w:rPr>
        <w:t xml:space="preserve"> lines of credit for wagering purposes. </w:t>
      </w:r>
    </w:p>
    <w:p w14:paraId="28CB80C2" w14:textId="46E57E40" w:rsidR="00F547B9" w:rsidRDefault="00BC6614" w:rsidP="00F914A4">
      <w:pPr>
        <w:rPr>
          <w:rFonts w:cstheme="minorHAnsi"/>
        </w:rPr>
      </w:pPr>
      <w:r>
        <w:rPr>
          <w:rFonts w:cstheme="minorHAnsi"/>
        </w:rPr>
        <w:t>Identifying underlying cause</w:t>
      </w:r>
      <w:r w:rsidR="008D316B">
        <w:rPr>
          <w:rFonts w:cstheme="minorHAnsi"/>
        </w:rPr>
        <w:t>s</w:t>
      </w:r>
      <w:r>
        <w:rPr>
          <w:rFonts w:cstheme="minorHAnsi"/>
        </w:rPr>
        <w:t xml:space="preserve"> or apportioning the level of financial distress generated by different sectors and subsectors </w:t>
      </w:r>
      <w:r w:rsidR="00682C85">
        <w:rPr>
          <w:rFonts w:cstheme="minorHAnsi"/>
        </w:rPr>
        <w:t xml:space="preserve">would </w:t>
      </w:r>
      <w:r w:rsidR="006E3C05">
        <w:rPr>
          <w:rFonts w:cstheme="minorHAnsi"/>
        </w:rPr>
        <w:t xml:space="preserve">be </w:t>
      </w:r>
      <w:r w:rsidR="00017B03">
        <w:rPr>
          <w:rFonts w:cstheme="minorHAnsi"/>
        </w:rPr>
        <w:t xml:space="preserve">complex and </w:t>
      </w:r>
      <w:r>
        <w:rPr>
          <w:rFonts w:cstheme="minorHAnsi"/>
        </w:rPr>
        <w:t>is unlikely to</w:t>
      </w:r>
      <w:r w:rsidR="00017B03">
        <w:rPr>
          <w:rFonts w:cstheme="minorHAnsi"/>
        </w:rPr>
        <w:t xml:space="preserve"> translate into a method to apportion funding among sectors and subsectors</w:t>
      </w:r>
      <w:r w:rsidR="008C2814">
        <w:rPr>
          <w:rFonts w:cstheme="minorHAnsi"/>
        </w:rPr>
        <w:t>.</w:t>
      </w:r>
      <w:r w:rsidR="006B34D6">
        <w:rPr>
          <w:rFonts w:cstheme="minorHAnsi"/>
        </w:rPr>
        <w:t xml:space="preserve"> </w:t>
      </w:r>
      <w:r>
        <w:rPr>
          <w:rFonts w:cstheme="minorHAnsi"/>
        </w:rPr>
        <w:t>The</w:t>
      </w:r>
      <w:r w:rsidR="00A32B22">
        <w:rPr>
          <w:rFonts w:cstheme="minorHAnsi"/>
        </w:rPr>
        <w:t xml:space="preserve"> 2021 </w:t>
      </w:r>
      <w:r w:rsidR="00D72E80">
        <w:rPr>
          <w:rFonts w:cstheme="minorHAnsi"/>
        </w:rPr>
        <w:t xml:space="preserve">survey </w:t>
      </w:r>
      <w:r w:rsidR="00A32B22">
        <w:rPr>
          <w:rFonts w:cstheme="minorHAnsi"/>
        </w:rPr>
        <w:t xml:space="preserve">results </w:t>
      </w:r>
      <w:r>
        <w:rPr>
          <w:rFonts w:cstheme="minorHAnsi"/>
        </w:rPr>
        <w:t xml:space="preserve">provide an </w:t>
      </w:r>
      <w:r w:rsidR="008D316B">
        <w:rPr>
          <w:rFonts w:cstheme="minorHAnsi"/>
        </w:rPr>
        <w:t>empirical</w:t>
      </w:r>
      <w:r w:rsidR="00A32B22">
        <w:rPr>
          <w:rFonts w:cstheme="minorHAnsi"/>
        </w:rPr>
        <w:t xml:space="preserve"> </w:t>
      </w:r>
      <w:r w:rsidR="00D72E80">
        <w:rPr>
          <w:rFonts w:cstheme="minorHAnsi"/>
        </w:rPr>
        <w:t xml:space="preserve">starting point for determining suggested contributions and </w:t>
      </w:r>
      <w:r w:rsidR="00682C85">
        <w:rPr>
          <w:rFonts w:cstheme="minorHAnsi"/>
        </w:rPr>
        <w:t>c</w:t>
      </w:r>
      <w:r w:rsidR="00D72E80">
        <w:rPr>
          <w:rFonts w:cstheme="minorHAnsi"/>
        </w:rPr>
        <w:t xml:space="preserve">ould be revisited by the independent body </w:t>
      </w:r>
      <w:r w:rsidR="00682C85">
        <w:rPr>
          <w:rFonts w:cstheme="minorHAnsi"/>
        </w:rPr>
        <w:t>at a later stage.</w:t>
      </w:r>
    </w:p>
    <w:p w14:paraId="56084D8F" w14:textId="02177310" w:rsidR="00F547B9" w:rsidRDefault="008E1AB7">
      <w:pPr>
        <w:rPr>
          <w:rFonts w:cstheme="minorHAnsi"/>
        </w:rPr>
      </w:pPr>
      <w:r>
        <w:rPr>
          <w:rFonts w:cstheme="minorHAnsi"/>
        </w:rPr>
        <w:t>The use of financial counsellor time as a basis for a</w:t>
      </w:r>
      <w:r w:rsidR="003160F3">
        <w:rPr>
          <w:rFonts w:cstheme="minorHAnsi"/>
        </w:rPr>
        <w:t xml:space="preserve"> sector</w:t>
      </w:r>
      <w:r>
        <w:rPr>
          <w:rFonts w:cstheme="minorHAnsi"/>
        </w:rPr>
        <w:t xml:space="preserve"> split is also broadly aligned with A</w:t>
      </w:r>
      <w:r w:rsidR="00E70C12">
        <w:rPr>
          <w:rFonts w:cstheme="minorHAnsi"/>
        </w:rPr>
        <w:t xml:space="preserve">ustralian </w:t>
      </w:r>
      <w:r>
        <w:rPr>
          <w:rFonts w:cstheme="minorHAnsi"/>
        </w:rPr>
        <w:t>B</w:t>
      </w:r>
      <w:r w:rsidR="00E70C12">
        <w:rPr>
          <w:rFonts w:cstheme="minorHAnsi"/>
        </w:rPr>
        <w:t xml:space="preserve">ureau of </w:t>
      </w:r>
      <w:r>
        <w:rPr>
          <w:rFonts w:cstheme="minorHAnsi"/>
        </w:rPr>
        <w:t>S</w:t>
      </w:r>
      <w:r w:rsidR="00E70C12">
        <w:rPr>
          <w:rFonts w:cstheme="minorHAnsi"/>
        </w:rPr>
        <w:t>tatistics</w:t>
      </w:r>
      <w:r>
        <w:rPr>
          <w:rFonts w:cstheme="minorHAnsi"/>
        </w:rPr>
        <w:t xml:space="preserve"> Household Expenditure Survey data (see </w:t>
      </w:r>
      <w:r w:rsidRPr="00BB48C8">
        <w:rPr>
          <w:rFonts w:cstheme="minorHAnsi"/>
        </w:rPr>
        <w:t xml:space="preserve">Table </w:t>
      </w:r>
      <w:r w:rsidR="008A3313">
        <w:rPr>
          <w:rFonts w:cstheme="minorHAnsi"/>
        </w:rPr>
        <w:t>2</w:t>
      </w:r>
      <w:r>
        <w:rPr>
          <w:rFonts w:cstheme="minorHAnsi"/>
        </w:rPr>
        <w:t>)</w:t>
      </w:r>
      <w:r w:rsidR="002C14D8">
        <w:rPr>
          <w:rFonts w:cstheme="minorHAnsi"/>
        </w:rPr>
        <w:t>.</w:t>
      </w:r>
    </w:p>
    <w:p w14:paraId="7A612B1E" w14:textId="08639378" w:rsidR="007B013D" w:rsidRPr="00A921DD" w:rsidRDefault="008A3313">
      <w:pPr>
        <w:rPr>
          <w:rFonts w:cstheme="minorHAnsi"/>
          <w:sz w:val="24"/>
          <w:szCs w:val="24"/>
        </w:rPr>
      </w:pPr>
      <w:r w:rsidRPr="007B013D">
        <w:rPr>
          <w:rFonts w:cstheme="minorHAnsi"/>
        </w:rPr>
        <w:t>Table 3 outlines the suggested contributions for subsectors encouraged to participate</w:t>
      </w:r>
      <w:r w:rsidR="00562885">
        <w:rPr>
          <w:rFonts w:cstheme="minorHAnsi"/>
        </w:rPr>
        <w:t>.</w:t>
      </w:r>
      <w:r w:rsidR="00F25A7E" w:rsidRPr="00F25A7E">
        <w:rPr>
          <w:rFonts w:cstheme="minorHAnsi"/>
        </w:rPr>
        <w:t xml:space="preserve"> </w:t>
      </w:r>
      <w:r w:rsidR="00F25A7E">
        <w:rPr>
          <w:rFonts w:cstheme="minorHAnsi"/>
        </w:rPr>
        <w:t>The suggested contributions are the total amount for the subsector, and not the amount expected from individual businesses.</w:t>
      </w:r>
      <w:r w:rsidRPr="007B013D">
        <w:rPr>
          <w:rFonts w:cstheme="minorHAnsi"/>
        </w:rPr>
        <w:t xml:space="preserve"> </w:t>
      </w:r>
      <w:r w:rsidR="00FB7696" w:rsidRPr="007B013D">
        <w:rPr>
          <w:rFonts w:cstheme="minorHAnsi"/>
        </w:rPr>
        <w:t>D</w:t>
      </w:r>
      <w:r w:rsidRPr="007B013D">
        <w:rPr>
          <w:rFonts w:cstheme="minorHAnsi"/>
        </w:rPr>
        <w:t xml:space="preserve">iagram </w:t>
      </w:r>
      <w:r w:rsidR="00921A18" w:rsidRPr="007B013D">
        <w:rPr>
          <w:rFonts w:cstheme="minorHAnsi"/>
        </w:rPr>
        <w:t>2</w:t>
      </w:r>
      <w:r w:rsidRPr="007B013D">
        <w:rPr>
          <w:rFonts w:cstheme="minorHAnsi"/>
        </w:rPr>
        <w:t xml:space="preserve"> shows sector split by financial year.</w:t>
      </w:r>
    </w:p>
    <w:p w14:paraId="2719FE1C" w14:textId="7630EBB1" w:rsidR="00EE59E8" w:rsidRDefault="00BC6614" w:rsidP="008E1AB7">
      <w:pPr>
        <w:rPr>
          <w:rFonts w:cstheme="minorHAnsi"/>
        </w:rPr>
      </w:pPr>
      <w:r>
        <w:rPr>
          <w:rFonts w:cstheme="minorHAnsi"/>
          <w:noProof/>
          <w:lang w:eastAsia="en-AU"/>
        </w:rPr>
        <mc:AlternateContent>
          <mc:Choice Requires="wps">
            <w:drawing>
              <wp:inline distT="0" distB="0" distL="0" distR="0" wp14:anchorId="19642A28" wp14:editId="6777415E">
                <wp:extent cx="5950424" cy="1016000"/>
                <wp:effectExtent l="0" t="0" r="12700" b="12700"/>
                <wp:docPr id="9" name="Rounded Rectangle 9"/>
                <wp:cNvGraphicFramePr/>
                <a:graphic xmlns:a="http://schemas.openxmlformats.org/drawingml/2006/main">
                  <a:graphicData uri="http://schemas.microsoft.com/office/word/2010/wordprocessingShape">
                    <wps:wsp>
                      <wps:cNvSpPr/>
                      <wps:spPr>
                        <a:xfrm>
                          <a:off x="0" y="0"/>
                          <a:ext cx="5950424" cy="1016000"/>
                        </a:xfrm>
                        <a:prstGeom prst="roundRect">
                          <a:avLst/>
                        </a:prstGeom>
                        <a:solidFill>
                          <a:schemeClr val="bg1">
                            <a:lumMod val="95000"/>
                          </a:schemeClr>
                        </a:solidFill>
                        <a:ln w="26425" cap="flat" cmpd="sng" algn="ctr">
                          <a:solidFill>
                            <a:srgbClr val="B1E4E3">
                              <a:shade val="50000"/>
                            </a:srgbClr>
                          </a:solidFill>
                          <a:prstDash val="solid"/>
                        </a:ln>
                        <a:effectLst/>
                      </wps:spPr>
                      <wps:txbx>
                        <w:txbxContent>
                          <w:p w14:paraId="3BBEBAB0" w14:textId="77777777" w:rsidR="00FF3618" w:rsidRPr="0001440C" w:rsidRDefault="00FF3618" w:rsidP="00BC6614">
                            <w:pPr>
                              <w:spacing w:after="60"/>
                              <w:rPr>
                                <w:color w:val="000000" w:themeColor="text2"/>
                              </w:rPr>
                            </w:pPr>
                            <w:r w:rsidRPr="0001440C">
                              <w:rPr>
                                <w:color w:val="000000" w:themeColor="text2"/>
                              </w:rPr>
                              <w:t>Discussion Questions:</w:t>
                            </w:r>
                          </w:p>
                          <w:p w14:paraId="34C25502" w14:textId="03482AF1" w:rsidR="00FF3618" w:rsidRPr="000D2067" w:rsidRDefault="00FF3618">
                            <w:pPr>
                              <w:pStyle w:val="ListParagraph"/>
                              <w:numPr>
                                <w:ilvl w:val="0"/>
                                <w:numId w:val="4"/>
                              </w:numPr>
                              <w:spacing w:after="120"/>
                              <w:ind w:left="357" w:hanging="357"/>
                              <w:contextualSpacing w:val="0"/>
                              <w:rPr>
                                <w:color w:val="000000" w:themeColor="text2"/>
                              </w:rPr>
                            </w:pPr>
                            <w:r>
                              <w:rPr>
                                <w:color w:val="000000" w:themeColor="text2"/>
                              </w:rPr>
                              <w:t>Are there any evidence-based adjustments that could be made to the suggested contributions methodology? What are they and how could they be incorporated into the methodology?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642A28" id="Rounded Rectangle 9" o:spid="_x0000_s1030" style="width:468.55pt;height: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" fillcolor="#f2f2f2 [3052]" strokecolor="#81a7a7" strokeweight=".73403mm">
                <v:textbox>
                  <w:txbxContent>
                    <w:p w14:paraId="3BBEBAB0" w14:textId="77777777" w:rsidR="00FF3618" w:rsidRPr="0001440C" w:rsidRDefault="00FF3618" w:rsidP="00BC6614">
                      <w:pPr>
                        <w:spacing w:after="60"/>
                        <w:rPr>
                          <w:color w:val="000000" w:themeColor="text2"/>
                        </w:rPr>
                      </w:pPr>
                      <w:r w:rsidRPr="0001440C">
                        <w:rPr>
                          <w:color w:val="000000" w:themeColor="text2"/>
                        </w:rPr>
                        <w:t>Discussion Questions:</w:t>
                      </w:r>
                    </w:p>
                    <w:p w14:paraId="34C25502" w14:textId="03482AF1" w:rsidR="00FF3618" w:rsidRPr="000D2067" w:rsidRDefault="00FF3618">
                      <w:pPr>
                        <w:pStyle w:val="ListParagraph"/>
                        <w:numPr>
                          <w:ilvl w:val="0"/>
                          <w:numId w:val="4"/>
                        </w:numPr>
                        <w:spacing w:after="120"/>
                        <w:ind w:left="357" w:hanging="357"/>
                        <w:contextualSpacing w:val="0"/>
                        <w:rPr>
                          <w:color w:val="000000" w:themeColor="text2"/>
                        </w:rPr>
                      </w:pPr>
                      <w:r>
                        <w:rPr>
                          <w:color w:val="000000" w:themeColor="text2"/>
                        </w:rPr>
                        <w:t>Are there any evidence-based adjustments that could be made to the suggested contributions methodology? What are they and how could they be incorporated into the methodology?</w:t>
                      </w:r>
                    </w:p>
                  </w:txbxContent>
                </v:textbox>
                <w10:anchorlock/>
              </v:roundrect>
            </w:pict>
          </mc:Fallback>
        </mc:AlternateContent>
      </w:r>
    </w:p>
    <w:p w14:paraId="591394C9" w14:textId="77777777" w:rsidR="007D110E" w:rsidRDefault="007D110E" w:rsidP="001721B0">
      <w:pPr>
        <w:pStyle w:val="TableHeading"/>
        <w:numPr>
          <w:ilvl w:val="0"/>
          <w:numId w:val="2"/>
        </w:numPr>
        <w:spacing w:before="240"/>
        <w:rPr>
          <w:lang w:val="en-US"/>
        </w:rPr>
        <w:sectPr w:rsidR="007D110E" w:rsidSect="007D110E">
          <w:headerReference w:type="even" r:id="rId21"/>
          <w:headerReference w:type="default" r:id="rId22"/>
          <w:footerReference w:type="default" r:id="rId23"/>
          <w:headerReference w:type="first" r:id="rId24"/>
          <w:pgSz w:w="11906" w:h="16838"/>
          <w:pgMar w:top="1134" w:right="1418" w:bottom="1418" w:left="1134" w:header="284" w:footer="459" w:gutter="0"/>
          <w:cols w:space="708"/>
          <w:titlePg/>
          <w:docGrid w:linePitch="360"/>
        </w:sectPr>
      </w:pPr>
    </w:p>
    <w:p w14:paraId="5B421A24" w14:textId="1C00784B" w:rsidR="008E1AB7" w:rsidRPr="00F81F61" w:rsidRDefault="008E1AB7" w:rsidP="001721B0">
      <w:pPr>
        <w:pStyle w:val="TableHeading"/>
        <w:numPr>
          <w:ilvl w:val="0"/>
          <w:numId w:val="2"/>
        </w:numPr>
        <w:spacing w:before="240"/>
        <w:rPr>
          <w:b w:val="0"/>
          <w:caps w:val="0"/>
          <w:lang w:val="en-US"/>
        </w:rPr>
      </w:pPr>
      <w:r w:rsidRPr="00AF14AE">
        <w:rPr>
          <w:rFonts w:eastAsiaTheme="majorEastAsia" w:cstheme="minorBidi"/>
          <w:caps w:val="0"/>
          <w:color w:val="auto"/>
          <w:sz w:val="22"/>
        </w:rPr>
        <w:lastRenderedPageBreak/>
        <w:t>A comparison of the sector splits by different methods</w:t>
      </w:r>
      <w:r w:rsidR="00645E85">
        <w:rPr>
          <w:rStyle w:val="FootnoteReference"/>
          <w:rFonts w:cstheme="minorHAnsi"/>
        </w:rPr>
        <w:footnoteReference w:id="11"/>
      </w:r>
      <w:r w:rsidR="00645E85">
        <w:rPr>
          <w:rFonts w:cstheme="minorHAnsi"/>
        </w:rPr>
        <w:t>.</w:t>
      </w:r>
    </w:p>
    <w:tbl>
      <w:tblPr>
        <w:tblStyle w:val="DSSTableStyleB"/>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5377"/>
        <w:gridCol w:w="3260"/>
        <w:gridCol w:w="3366"/>
      </w:tblGrid>
      <w:tr w:rsidR="003D060B" w:rsidRPr="00923294" w14:paraId="509B09FE" w14:textId="77777777" w:rsidTr="00914C1A">
        <w:trPr>
          <w:cnfStyle w:val="100000000000" w:firstRow="1" w:lastRow="0" w:firstColumn="0" w:lastColumn="0" w:oddVBand="0" w:evenVBand="0" w:oddHBand="0" w:evenHBand="0" w:firstRowFirstColumn="0" w:firstRowLastColumn="0" w:lastRowFirstColumn="0" w:lastRowLastColumn="0"/>
          <w:trHeight w:val="1160"/>
        </w:trPr>
        <w:tc>
          <w:tcPr>
            <w:tcW w:w="0" w:type="auto"/>
            <w:noWrap/>
            <w:hideMark/>
          </w:tcPr>
          <w:p w14:paraId="11F1B45E" w14:textId="77777777" w:rsidR="008E1AB7" w:rsidRPr="00FE094E" w:rsidRDefault="008E1AB7" w:rsidP="001C053B">
            <w:pPr>
              <w:spacing w:before="120" w:after="180" w:line="280" w:lineRule="atLeast"/>
              <w:rPr>
                <w:rFonts w:eastAsia="Times New Roman" w:cs="Times New Roman"/>
                <w:spacing w:val="4"/>
                <w:sz w:val="20"/>
                <w:lang w:eastAsia="en-AU"/>
              </w:rPr>
            </w:pPr>
          </w:p>
        </w:tc>
        <w:tc>
          <w:tcPr>
            <w:tcW w:w="5377" w:type="dxa"/>
            <w:hideMark/>
          </w:tcPr>
          <w:p w14:paraId="00A13319" w14:textId="6BBF71F4" w:rsidR="008E1AB7" w:rsidRPr="00FE094E" w:rsidRDefault="008E1AB7" w:rsidP="00E97660">
            <w:pPr>
              <w:spacing w:before="120" w:after="180" w:line="280" w:lineRule="atLeast"/>
              <w:rPr>
                <w:rFonts w:ascii="Calibri" w:eastAsia="Times New Roman" w:hAnsi="Calibri" w:cs="Calibri"/>
                <w:bCs/>
                <w:color w:val="000000"/>
                <w:spacing w:val="4"/>
                <w:sz w:val="20"/>
              </w:rPr>
            </w:pPr>
            <w:r w:rsidRPr="00FE094E">
              <w:rPr>
                <w:rFonts w:eastAsia="Times New Roman" w:cs="Times New Roman"/>
                <w:bCs/>
                <w:color w:val="000000"/>
                <w:spacing w:val="4"/>
                <w:sz w:val="20"/>
              </w:rPr>
              <w:t xml:space="preserve">2021 </w:t>
            </w:r>
            <w:r w:rsidR="009B50BF">
              <w:rPr>
                <w:rFonts w:eastAsia="Times New Roman" w:cs="Times New Roman"/>
                <w:bCs/>
                <w:color w:val="000000"/>
                <w:spacing w:val="4"/>
                <w:sz w:val="20"/>
              </w:rPr>
              <w:t>s</w:t>
            </w:r>
            <w:r w:rsidRPr="00FE094E">
              <w:rPr>
                <w:rFonts w:eastAsia="Times New Roman" w:cs="Times New Roman"/>
                <w:bCs/>
                <w:color w:val="000000"/>
                <w:spacing w:val="4"/>
                <w:sz w:val="20"/>
              </w:rPr>
              <w:t xml:space="preserve">urvey of </w:t>
            </w:r>
            <w:r w:rsidR="009B50BF">
              <w:rPr>
                <w:rFonts w:eastAsia="Times New Roman" w:cs="Times New Roman"/>
                <w:bCs/>
                <w:color w:val="000000"/>
                <w:spacing w:val="4"/>
                <w:sz w:val="20"/>
              </w:rPr>
              <w:t>f</w:t>
            </w:r>
            <w:r w:rsidRPr="00FE094E">
              <w:rPr>
                <w:rFonts w:eastAsia="Times New Roman" w:cs="Times New Roman"/>
                <w:bCs/>
                <w:color w:val="000000"/>
                <w:spacing w:val="4"/>
                <w:sz w:val="20"/>
              </w:rPr>
              <w:t xml:space="preserve">inancial </w:t>
            </w:r>
            <w:r w:rsidR="009B50BF">
              <w:rPr>
                <w:rFonts w:eastAsia="Times New Roman" w:cs="Times New Roman"/>
                <w:bCs/>
                <w:color w:val="000000"/>
                <w:spacing w:val="4"/>
                <w:sz w:val="20"/>
              </w:rPr>
              <w:t>c</w:t>
            </w:r>
            <w:r w:rsidRPr="00FE094E">
              <w:rPr>
                <w:rFonts w:eastAsia="Times New Roman" w:cs="Times New Roman"/>
                <w:bCs/>
                <w:color w:val="000000"/>
                <w:spacing w:val="4"/>
                <w:sz w:val="20"/>
              </w:rPr>
              <w:t xml:space="preserve">ounsellor </w:t>
            </w:r>
            <w:r w:rsidR="009B50BF">
              <w:rPr>
                <w:rFonts w:eastAsia="Times New Roman" w:cs="Times New Roman"/>
                <w:bCs/>
                <w:color w:val="000000"/>
                <w:spacing w:val="4"/>
                <w:sz w:val="20"/>
              </w:rPr>
              <w:t>t</w:t>
            </w:r>
            <w:r w:rsidRPr="00FE094E">
              <w:rPr>
                <w:rFonts w:eastAsia="Times New Roman" w:cs="Times New Roman"/>
                <w:bCs/>
                <w:color w:val="000000"/>
                <w:spacing w:val="4"/>
                <w:sz w:val="20"/>
              </w:rPr>
              <w:t>ime (excluding Government</w:t>
            </w:r>
            <w:r w:rsidR="006B160E" w:rsidRPr="00CC7F0A">
              <w:rPr>
                <w:rStyle w:val="FootnoteReference"/>
                <w:rFonts w:ascii="Arial Bold" w:eastAsia="Times New Roman" w:hAnsi="Arial Bold" w:cs="Times New Roman"/>
                <w:bCs/>
                <w:color w:val="000000"/>
                <w:spacing w:val="4"/>
                <w:sz w:val="20"/>
              </w:rPr>
              <w:footnoteReference w:id="12"/>
            </w:r>
            <w:r w:rsidRPr="00CC7F0A">
              <w:rPr>
                <w:rFonts w:ascii="Arial Bold" w:eastAsia="Times New Roman" w:hAnsi="Arial Bold" w:cs="Times New Roman"/>
                <w:bCs/>
                <w:color w:val="000000"/>
                <w:spacing w:val="4"/>
                <w:sz w:val="20"/>
              </w:rPr>
              <w:t>,</w:t>
            </w:r>
            <w:r w:rsidRPr="00FE094E">
              <w:rPr>
                <w:rFonts w:eastAsia="Times New Roman" w:cs="Times New Roman"/>
                <w:bCs/>
                <w:color w:val="000000"/>
                <w:spacing w:val="4"/>
                <w:sz w:val="20"/>
              </w:rPr>
              <w:t xml:space="preserve"> </w:t>
            </w:r>
            <w:r w:rsidR="00E97660">
              <w:rPr>
                <w:rFonts w:eastAsia="Times New Roman" w:cs="Times New Roman"/>
                <w:bCs/>
                <w:color w:val="000000"/>
                <w:spacing w:val="4"/>
                <w:sz w:val="20"/>
              </w:rPr>
              <w:t xml:space="preserve">and </w:t>
            </w:r>
            <w:r w:rsidRPr="00FE094E">
              <w:rPr>
                <w:rFonts w:eastAsia="Times New Roman" w:cs="Times New Roman"/>
                <w:bCs/>
                <w:color w:val="000000"/>
                <w:spacing w:val="4"/>
                <w:sz w:val="20"/>
              </w:rPr>
              <w:t>Housing sectors)</w:t>
            </w:r>
          </w:p>
        </w:tc>
        <w:tc>
          <w:tcPr>
            <w:tcW w:w="3260" w:type="dxa"/>
            <w:hideMark/>
          </w:tcPr>
          <w:p w14:paraId="4331FB5B" w14:textId="77777777" w:rsidR="008E1AB7" w:rsidRPr="00FE094E" w:rsidRDefault="008E1AB7" w:rsidP="001C053B">
            <w:pPr>
              <w:spacing w:before="120" w:after="180" w:line="280" w:lineRule="atLeast"/>
              <w:rPr>
                <w:rFonts w:eastAsia="Times New Roman" w:cs="Times New Roman"/>
                <w:bCs/>
                <w:color w:val="000000"/>
                <w:spacing w:val="4"/>
                <w:sz w:val="20"/>
              </w:rPr>
            </w:pPr>
            <w:r w:rsidRPr="00FE094E">
              <w:rPr>
                <w:rFonts w:eastAsia="Times New Roman" w:cs="Times New Roman"/>
                <w:bCs/>
                <w:color w:val="000000"/>
                <w:spacing w:val="4"/>
                <w:sz w:val="20"/>
              </w:rPr>
              <w:t>Household expenditure (all households)</w:t>
            </w:r>
          </w:p>
        </w:tc>
        <w:tc>
          <w:tcPr>
            <w:tcW w:w="3366" w:type="dxa"/>
            <w:hideMark/>
          </w:tcPr>
          <w:p w14:paraId="6F84B184" w14:textId="3AB1F158" w:rsidR="008E1AB7" w:rsidRPr="00FE094E" w:rsidRDefault="008E1AB7" w:rsidP="009F2B72">
            <w:pPr>
              <w:spacing w:before="120" w:after="180" w:line="280" w:lineRule="atLeast"/>
              <w:rPr>
                <w:rFonts w:eastAsia="Times New Roman" w:cs="Times New Roman"/>
                <w:bCs/>
                <w:color w:val="000000"/>
                <w:spacing w:val="4"/>
                <w:sz w:val="20"/>
              </w:rPr>
            </w:pPr>
            <w:r w:rsidRPr="00FE094E">
              <w:rPr>
                <w:rFonts w:eastAsia="Times New Roman" w:cs="Times New Roman"/>
                <w:bCs/>
                <w:color w:val="000000"/>
                <w:spacing w:val="4"/>
                <w:sz w:val="20"/>
              </w:rPr>
              <w:t>Household expenditure (lowest two income quintiles</w:t>
            </w:r>
            <w:r w:rsidR="009F2B72">
              <w:rPr>
                <w:rStyle w:val="FootnoteReference"/>
                <w:rFonts w:eastAsia="Times New Roman" w:cs="Times New Roman"/>
                <w:bCs/>
                <w:color w:val="000000"/>
                <w:spacing w:val="4"/>
                <w:sz w:val="20"/>
              </w:rPr>
              <w:footnoteReference w:id="13"/>
            </w:r>
            <w:r w:rsidRPr="00FE094E">
              <w:rPr>
                <w:rFonts w:eastAsia="Times New Roman" w:cs="Times New Roman"/>
                <w:bCs/>
                <w:color w:val="000000"/>
                <w:spacing w:val="4"/>
                <w:sz w:val="20"/>
              </w:rPr>
              <w:t>)</w:t>
            </w:r>
          </w:p>
        </w:tc>
      </w:tr>
      <w:tr w:rsidR="003D060B" w:rsidRPr="00923294" w14:paraId="5364B65A" w14:textId="77777777" w:rsidTr="00914C1A">
        <w:trPr>
          <w:trHeight w:val="290"/>
        </w:trPr>
        <w:tc>
          <w:tcPr>
            <w:tcW w:w="0" w:type="auto"/>
            <w:noWrap/>
            <w:hideMark/>
          </w:tcPr>
          <w:p w14:paraId="66DB249F" w14:textId="393ACE4C" w:rsidR="008E1AB7" w:rsidRPr="00FE094E" w:rsidRDefault="008E1AB7" w:rsidP="001C053B">
            <w:pPr>
              <w:spacing w:before="120" w:after="180" w:line="280" w:lineRule="atLeast"/>
              <w:rPr>
                <w:rFonts w:eastAsia="Times New Roman" w:cs="Times New Roman"/>
                <w:b/>
                <w:bCs/>
                <w:color w:val="000000"/>
                <w:spacing w:val="4"/>
                <w:sz w:val="20"/>
              </w:rPr>
            </w:pPr>
            <w:r w:rsidRPr="00FE094E">
              <w:rPr>
                <w:rFonts w:eastAsia="Times New Roman" w:cs="Times New Roman"/>
                <w:b/>
                <w:bCs/>
                <w:color w:val="000000"/>
                <w:spacing w:val="4"/>
                <w:sz w:val="20"/>
              </w:rPr>
              <w:t>Financial services</w:t>
            </w:r>
            <w:r w:rsidR="009F2B72">
              <w:rPr>
                <w:rStyle w:val="FootnoteReference"/>
                <w:rFonts w:eastAsia="Times New Roman" w:cs="Times New Roman"/>
                <w:b/>
                <w:bCs/>
                <w:color w:val="000000"/>
                <w:spacing w:val="4"/>
                <w:sz w:val="20"/>
              </w:rPr>
              <w:footnoteReference w:id="14"/>
            </w:r>
          </w:p>
        </w:tc>
        <w:tc>
          <w:tcPr>
            <w:tcW w:w="5377" w:type="dxa"/>
            <w:noWrap/>
            <w:hideMark/>
          </w:tcPr>
          <w:p w14:paraId="0018CF51" w14:textId="4670EF55" w:rsidR="008E1AB7" w:rsidRPr="00FE094E" w:rsidRDefault="008E1AB7" w:rsidP="00AA1A45">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71.</w:t>
            </w:r>
            <w:r w:rsidR="00AA1A45" w:rsidRPr="00FE094E">
              <w:rPr>
                <w:rFonts w:eastAsia="Times New Roman" w:cs="Times New Roman"/>
                <w:color w:val="000000"/>
                <w:spacing w:val="4"/>
                <w:sz w:val="20"/>
              </w:rPr>
              <w:t>7</w:t>
            </w:r>
            <w:r w:rsidR="00AA1A45">
              <w:rPr>
                <w:rFonts w:eastAsia="Times New Roman" w:cs="Times New Roman"/>
                <w:color w:val="000000"/>
                <w:spacing w:val="4"/>
                <w:sz w:val="20"/>
              </w:rPr>
              <w:t>9</w:t>
            </w:r>
            <w:r w:rsidRPr="00FE094E">
              <w:rPr>
                <w:rFonts w:eastAsia="Times New Roman" w:cs="Times New Roman"/>
                <w:color w:val="000000"/>
                <w:spacing w:val="4"/>
                <w:sz w:val="20"/>
              </w:rPr>
              <w:t>%</w:t>
            </w:r>
          </w:p>
        </w:tc>
        <w:tc>
          <w:tcPr>
            <w:tcW w:w="3260" w:type="dxa"/>
            <w:noWrap/>
            <w:hideMark/>
          </w:tcPr>
          <w:p w14:paraId="52D60AF3" w14:textId="759A7AA6" w:rsidR="008E1AB7" w:rsidRPr="00FE094E" w:rsidRDefault="008E1AB7" w:rsidP="00AA1A45">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68.</w:t>
            </w:r>
            <w:r w:rsidR="00AA1A45" w:rsidRPr="00FE094E">
              <w:rPr>
                <w:rFonts w:eastAsia="Times New Roman" w:cs="Times New Roman"/>
                <w:color w:val="000000"/>
                <w:spacing w:val="4"/>
                <w:sz w:val="20"/>
              </w:rPr>
              <w:t>1</w:t>
            </w:r>
            <w:r w:rsidR="00AA1A45">
              <w:rPr>
                <w:rFonts w:eastAsia="Times New Roman" w:cs="Times New Roman"/>
                <w:color w:val="000000"/>
                <w:spacing w:val="4"/>
                <w:sz w:val="20"/>
              </w:rPr>
              <w:t>3</w:t>
            </w:r>
            <w:r w:rsidRPr="00FE094E">
              <w:rPr>
                <w:rFonts w:eastAsia="Times New Roman" w:cs="Times New Roman"/>
                <w:color w:val="000000"/>
                <w:spacing w:val="4"/>
                <w:sz w:val="20"/>
              </w:rPr>
              <w:t>%</w:t>
            </w:r>
          </w:p>
        </w:tc>
        <w:tc>
          <w:tcPr>
            <w:tcW w:w="3366" w:type="dxa"/>
            <w:noWrap/>
            <w:hideMark/>
          </w:tcPr>
          <w:p w14:paraId="786EF2C7"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58.35%</w:t>
            </w:r>
          </w:p>
        </w:tc>
      </w:tr>
      <w:tr w:rsidR="003D060B" w:rsidRPr="00923294" w14:paraId="3F40037E" w14:textId="77777777" w:rsidTr="00914C1A">
        <w:trPr>
          <w:trHeight w:val="290"/>
        </w:trPr>
        <w:tc>
          <w:tcPr>
            <w:tcW w:w="0" w:type="auto"/>
            <w:noWrap/>
            <w:hideMark/>
          </w:tcPr>
          <w:p w14:paraId="59B4707D" w14:textId="77777777" w:rsidR="008E1AB7" w:rsidRPr="00FE094E" w:rsidRDefault="008E1AB7" w:rsidP="001C053B">
            <w:pPr>
              <w:spacing w:before="120" w:after="180" w:line="280" w:lineRule="atLeast"/>
              <w:rPr>
                <w:rFonts w:eastAsia="Times New Roman" w:cs="Times New Roman"/>
                <w:b/>
                <w:bCs/>
                <w:color w:val="000000"/>
                <w:spacing w:val="4"/>
                <w:sz w:val="20"/>
              </w:rPr>
            </w:pPr>
            <w:r w:rsidRPr="00FE094E">
              <w:rPr>
                <w:rFonts w:eastAsia="Times New Roman" w:cs="Times New Roman"/>
                <w:b/>
                <w:bCs/>
                <w:color w:val="000000"/>
                <w:spacing w:val="4"/>
                <w:sz w:val="20"/>
              </w:rPr>
              <w:t>Energy</w:t>
            </w:r>
          </w:p>
        </w:tc>
        <w:tc>
          <w:tcPr>
            <w:tcW w:w="5377" w:type="dxa"/>
            <w:noWrap/>
            <w:hideMark/>
          </w:tcPr>
          <w:p w14:paraId="7A4C446C"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16.30%</w:t>
            </w:r>
          </w:p>
        </w:tc>
        <w:tc>
          <w:tcPr>
            <w:tcW w:w="3260" w:type="dxa"/>
            <w:noWrap/>
            <w:hideMark/>
          </w:tcPr>
          <w:p w14:paraId="5AE9DB58"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13.89%</w:t>
            </w:r>
          </w:p>
        </w:tc>
        <w:tc>
          <w:tcPr>
            <w:tcW w:w="3366" w:type="dxa"/>
            <w:noWrap/>
            <w:hideMark/>
          </w:tcPr>
          <w:p w14:paraId="58909F66"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19.09%</w:t>
            </w:r>
          </w:p>
        </w:tc>
      </w:tr>
      <w:tr w:rsidR="003D060B" w:rsidRPr="00923294" w14:paraId="74C7320D" w14:textId="77777777" w:rsidTr="00914C1A">
        <w:trPr>
          <w:trHeight w:val="290"/>
        </w:trPr>
        <w:tc>
          <w:tcPr>
            <w:tcW w:w="0" w:type="auto"/>
            <w:noWrap/>
            <w:hideMark/>
          </w:tcPr>
          <w:p w14:paraId="15D2C0C8" w14:textId="77777777" w:rsidR="008E1AB7" w:rsidRPr="00FE094E" w:rsidRDefault="008E1AB7" w:rsidP="001C053B">
            <w:pPr>
              <w:spacing w:before="120" w:after="180" w:line="280" w:lineRule="atLeast"/>
              <w:rPr>
                <w:rFonts w:eastAsia="Times New Roman" w:cs="Times New Roman"/>
                <w:b/>
                <w:bCs/>
                <w:color w:val="000000"/>
                <w:spacing w:val="4"/>
                <w:sz w:val="20"/>
              </w:rPr>
            </w:pPr>
            <w:r w:rsidRPr="00FE094E">
              <w:rPr>
                <w:rFonts w:eastAsia="Times New Roman" w:cs="Times New Roman"/>
                <w:b/>
                <w:bCs/>
                <w:color w:val="000000"/>
                <w:spacing w:val="4"/>
                <w:sz w:val="20"/>
              </w:rPr>
              <w:t>Telecommunications</w:t>
            </w:r>
          </w:p>
        </w:tc>
        <w:tc>
          <w:tcPr>
            <w:tcW w:w="5377" w:type="dxa"/>
            <w:noWrap/>
            <w:hideMark/>
          </w:tcPr>
          <w:p w14:paraId="513A817C"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6.46%</w:t>
            </w:r>
          </w:p>
        </w:tc>
        <w:tc>
          <w:tcPr>
            <w:tcW w:w="3260" w:type="dxa"/>
            <w:noWrap/>
            <w:hideMark/>
          </w:tcPr>
          <w:p w14:paraId="4C86612A"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11.22%</w:t>
            </w:r>
          </w:p>
        </w:tc>
        <w:tc>
          <w:tcPr>
            <w:tcW w:w="3366" w:type="dxa"/>
            <w:noWrap/>
            <w:hideMark/>
          </w:tcPr>
          <w:p w14:paraId="5A4A7068"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14.23%</w:t>
            </w:r>
          </w:p>
        </w:tc>
      </w:tr>
      <w:tr w:rsidR="003D060B" w:rsidRPr="00923294" w14:paraId="24434A31" w14:textId="77777777" w:rsidTr="00914C1A">
        <w:trPr>
          <w:trHeight w:val="290"/>
        </w:trPr>
        <w:tc>
          <w:tcPr>
            <w:tcW w:w="0" w:type="auto"/>
            <w:noWrap/>
            <w:hideMark/>
          </w:tcPr>
          <w:p w14:paraId="18D8089F" w14:textId="77777777" w:rsidR="008E1AB7" w:rsidRPr="00FE094E" w:rsidRDefault="008E1AB7" w:rsidP="001C053B">
            <w:pPr>
              <w:spacing w:before="120" w:after="180" w:line="280" w:lineRule="atLeast"/>
              <w:rPr>
                <w:rFonts w:eastAsia="Times New Roman" w:cs="Times New Roman"/>
                <w:b/>
                <w:bCs/>
                <w:color w:val="000000"/>
                <w:spacing w:val="4"/>
                <w:sz w:val="20"/>
              </w:rPr>
            </w:pPr>
            <w:r w:rsidRPr="00FE094E">
              <w:rPr>
                <w:rFonts w:eastAsia="Times New Roman" w:cs="Times New Roman"/>
                <w:b/>
                <w:bCs/>
                <w:color w:val="000000"/>
                <w:spacing w:val="4"/>
                <w:sz w:val="20"/>
              </w:rPr>
              <w:t>Water</w:t>
            </w:r>
          </w:p>
        </w:tc>
        <w:tc>
          <w:tcPr>
            <w:tcW w:w="5377" w:type="dxa"/>
            <w:noWrap/>
            <w:hideMark/>
          </w:tcPr>
          <w:p w14:paraId="32CF84D1"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5.10%</w:t>
            </w:r>
          </w:p>
        </w:tc>
        <w:tc>
          <w:tcPr>
            <w:tcW w:w="3260" w:type="dxa"/>
            <w:noWrap/>
            <w:hideMark/>
          </w:tcPr>
          <w:p w14:paraId="5E272396"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5.17%</w:t>
            </w:r>
          </w:p>
        </w:tc>
        <w:tc>
          <w:tcPr>
            <w:tcW w:w="3366" w:type="dxa"/>
            <w:noWrap/>
            <w:hideMark/>
          </w:tcPr>
          <w:p w14:paraId="1E8D0D48"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6.37%</w:t>
            </w:r>
          </w:p>
        </w:tc>
      </w:tr>
      <w:tr w:rsidR="003D060B" w:rsidRPr="00923294" w14:paraId="6012B790" w14:textId="77777777" w:rsidTr="00914C1A">
        <w:trPr>
          <w:trHeight w:val="290"/>
        </w:trPr>
        <w:tc>
          <w:tcPr>
            <w:tcW w:w="0" w:type="auto"/>
            <w:noWrap/>
          </w:tcPr>
          <w:p w14:paraId="4481F4C5" w14:textId="77777777" w:rsidR="008E1AB7" w:rsidRPr="00FE094E" w:rsidRDefault="008E1AB7" w:rsidP="001C053B">
            <w:pPr>
              <w:spacing w:before="120" w:after="180" w:line="280" w:lineRule="atLeast"/>
              <w:rPr>
                <w:rFonts w:eastAsia="Times New Roman" w:cs="Times New Roman"/>
                <w:b/>
                <w:color w:val="000000"/>
                <w:spacing w:val="4"/>
                <w:sz w:val="20"/>
              </w:rPr>
            </w:pPr>
            <w:r w:rsidRPr="00FE094E">
              <w:rPr>
                <w:rFonts w:eastAsia="Times New Roman" w:cs="Times New Roman"/>
                <w:b/>
                <w:color w:val="000000"/>
                <w:spacing w:val="4"/>
                <w:sz w:val="20"/>
              </w:rPr>
              <w:t xml:space="preserve">Gambling </w:t>
            </w:r>
          </w:p>
        </w:tc>
        <w:tc>
          <w:tcPr>
            <w:tcW w:w="5377" w:type="dxa"/>
            <w:noWrap/>
          </w:tcPr>
          <w:p w14:paraId="48980188"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0.35%</w:t>
            </w:r>
          </w:p>
        </w:tc>
        <w:tc>
          <w:tcPr>
            <w:tcW w:w="3260" w:type="dxa"/>
            <w:noWrap/>
          </w:tcPr>
          <w:p w14:paraId="0A7FA1B1"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1.59%</w:t>
            </w:r>
          </w:p>
        </w:tc>
        <w:tc>
          <w:tcPr>
            <w:tcW w:w="3366" w:type="dxa"/>
            <w:noWrap/>
          </w:tcPr>
          <w:p w14:paraId="5D6AAA43"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1.96%</w:t>
            </w:r>
          </w:p>
        </w:tc>
      </w:tr>
      <w:tr w:rsidR="003D060B" w:rsidRPr="00923294" w14:paraId="3E9A37E3" w14:textId="77777777" w:rsidTr="00914C1A">
        <w:trPr>
          <w:trHeight w:val="290"/>
        </w:trPr>
        <w:tc>
          <w:tcPr>
            <w:tcW w:w="0" w:type="auto"/>
            <w:noWrap/>
            <w:hideMark/>
          </w:tcPr>
          <w:p w14:paraId="4918E661" w14:textId="77777777" w:rsidR="008E1AB7" w:rsidRPr="00FE094E" w:rsidRDefault="008E1AB7" w:rsidP="001C053B">
            <w:pPr>
              <w:spacing w:before="120" w:after="180" w:line="280" w:lineRule="atLeast"/>
              <w:rPr>
                <w:rFonts w:eastAsia="Times New Roman" w:cs="Times New Roman"/>
                <w:color w:val="000000"/>
                <w:spacing w:val="4"/>
                <w:sz w:val="20"/>
              </w:rPr>
            </w:pPr>
          </w:p>
        </w:tc>
        <w:tc>
          <w:tcPr>
            <w:tcW w:w="5377" w:type="dxa"/>
            <w:noWrap/>
            <w:hideMark/>
          </w:tcPr>
          <w:p w14:paraId="5B4AF3A0" w14:textId="77777777" w:rsidR="008E1AB7" w:rsidRPr="00FE094E" w:rsidRDefault="008E1AB7" w:rsidP="001C053B">
            <w:pPr>
              <w:spacing w:before="120" w:after="180" w:line="280" w:lineRule="atLeast"/>
              <w:jc w:val="right"/>
              <w:rPr>
                <w:rFonts w:ascii="Calibri" w:eastAsia="Times New Roman" w:hAnsi="Calibri" w:cs="Calibri"/>
                <w:color w:val="000000"/>
                <w:spacing w:val="4"/>
                <w:sz w:val="20"/>
              </w:rPr>
            </w:pPr>
            <w:r w:rsidRPr="00FE094E">
              <w:rPr>
                <w:rFonts w:eastAsia="Times New Roman" w:cs="Times New Roman"/>
                <w:color w:val="000000"/>
                <w:spacing w:val="4"/>
                <w:sz w:val="20"/>
              </w:rPr>
              <w:t>100.00%</w:t>
            </w:r>
          </w:p>
        </w:tc>
        <w:tc>
          <w:tcPr>
            <w:tcW w:w="3260" w:type="dxa"/>
            <w:noWrap/>
            <w:hideMark/>
          </w:tcPr>
          <w:p w14:paraId="6571198A"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100.00%</w:t>
            </w:r>
          </w:p>
        </w:tc>
        <w:tc>
          <w:tcPr>
            <w:tcW w:w="3366" w:type="dxa"/>
            <w:noWrap/>
            <w:hideMark/>
          </w:tcPr>
          <w:p w14:paraId="3EEDA9DC" w14:textId="77777777" w:rsidR="008E1AB7" w:rsidRPr="00FE094E" w:rsidRDefault="008E1AB7" w:rsidP="001C053B">
            <w:pPr>
              <w:spacing w:before="120" w:after="180" w:line="280" w:lineRule="atLeast"/>
              <w:jc w:val="right"/>
              <w:rPr>
                <w:rFonts w:eastAsia="Times New Roman" w:cs="Times New Roman"/>
                <w:color w:val="000000"/>
                <w:spacing w:val="4"/>
                <w:sz w:val="20"/>
              </w:rPr>
            </w:pPr>
            <w:r w:rsidRPr="00FE094E">
              <w:rPr>
                <w:rFonts w:eastAsia="Times New Roman" w:cs="Times New Roman"/>
                <w:color w:val="000000"/>
                <w:spacing w:val="4"/>
                <w:sz w:val="20"/>
              </w:rPr>
              <w:t>100.00%</w:t>
            </w:r>
          </w:p>
        </w:tc>
      </w:tr>
    </w:tbl>
    <w:p w14:paraId="7FD3FBBF" w14:textId="4DCA2FD7" w:rsidR="00AD29FC" w:rsidRDefault="00AD29FC" w:rsidP="00250FD2">
      <w:pPr>
        <w:rPr>
          <w:rFonts w:cstheme="minorHAnsi"/>
        </w:rPr>
      </w:pPr>
    </w:p>
    <w:p w14:paraId="377297E0" w14:textId="0D7D2A34" w:rsidR="00822A6F" w:rsidRDefault="00822A6F" w:rsidP="00250FD2">
      <w:pPr>
        <w:rPr>
          <w:rFonts w:cstheme="minorHAnsi"/>
        </w:rPr>
      </w:pPr>
    </w:p>
    <w:p w14:paraId="5FC17340" w14:textId="31D4BF81" w:rsidR="00250FD2" w:rsidRDefault="00250FD2">
      <w:pPr>
        <w:spacing w:after="200" w:line="276" w:lineRule="auto"/>
        <w:rPr>
          <w:rFonts w:eastAsia="Calibri" w:cs="Segoe UI"/>
          <w:b/>
          <w:caps/>
          <w:color w:val="0D0D0D" w:themeColor="text2" w:themeTint="F2"/>
          <w:sz w:val="20"/>
          <w:lang w:val="en-US"/>
        </w:rPr>
      </w:pPr>
    </w:p>
    <w:p w14:paraId="27E635C3" w14:textId="4FC6DDFF" w:rsidR="007D110E" w:rsidRDefault="007D110E">
      <w:pPr>
        <w:rPr>
          <w:rFonts w:eastAsia="Calibri" w:cs="Segoe UI"/>
          <w:b/>
          <w:caps/>
          <w:color w:val="0D0D0D" w:themeColor="text2" w:themeTint="F2"/>
          <w:sz w:val="20"/>
          <w:lang w:val="en-US"/>
        </w:rPr>
      </w:pPr>
      <w:r>
        <w:rPr>
          <w:lang w:val="en-US"/>
        </w:rPr>
        <w:br w:type="page"/>
      </w:r>
    </w:p>
    <w:p w14:paraId="1B6F3D56" w14:textId="5ECB7C0C" w:rsidR="00250FD2" w:rsidRPr="00AF14AE" w:rsidRDefault="00250FD2" w:rsidP="00D57446">
      <w:pPr>
        <w:pStyle w:val="TableHeading"/>
        <w:numPr>
          <w:ilvl w:val="0"/>
          <w:numId w:val="2"/>
        </w:numPr>
        <w:spacing w:before="240"/>
        <w:rPr>
          <w:rFonts w:eastAsiaTheme="majorEastAsia" w:cstheme="minorBidi"/>
          <w:caps w:val="0"/>
          <w:color w:val="auto"/>
          <w:sz w:val="22"/>
        </w:rPr>
      </w:pPr>
      <w:r w:rsidRPr="00AF14AE">
        <w:rPr>
          <w:rFonts w:eastAsiaTheme="majorEastAsia" w:cstheme="minorBidi"/>
          <w:caps w:val="0"/>
          <w:color w:val="auto"/>
          <w:sz w:val="22"/>
        </w:rPr>
        <w:lastRenderedPageBreak/>
        <w:t>Suggested</w:t>
      </w:r>
      <w:r w:rsidR="00E467C6">
        <w:rPr>
          <w:rFonts w:eastAsiaTheme="majorEastAsia" w:cstheme="minorBidi"/>
          <w:caps w:val="0"/>
          <w:color w:val="auto"/>
          <w:sz w:val="22"/>
        </w:rPr>
        <w:t xml:space="preserve"> Total</w:t>
      </w:r>
      <w:r w:rsidRPr="00AF14AE">
        <w:rPr>
          <w:rFonts w:eastAsiaTheme="majorEastAsia" w:cstheme="minorBidi"/>
          <w:caps w:val="0"/>
          <w:color w:val="auto"/>
          <w:sz w:val="22"/>
        </w:rPr>
        <w:t xml:space="preserve"> Contributions F</w:t>
      </w:r>
      <w:r w:rsidR="00E467C6">
        <w:rPr>
          <w:rFonts w:eastAsiaTheme="majorEastAsia" w:cstheme="minorBidi"/>
          <w:caps w:val="0"/>
          <w:color w:val="auto"/>
          <w:sz w:val="22"/>
        </w:rPr>
        <w:t>rom</w:t>
      </w:r>
      <w:r w:rsidRPr="00AF14AE">
        <w:rPr>
          <w:rFonts w:eastAsiaTheme="majorEastAsia" w:cstheme="minorBidi"/>
          <w:caps w:val="0"/>
          <w:color w:val="auto"/>
          <w:sz w:val="22"/>
        </w:rPr>
        <w:t xml:space="preserve"> </w:t>
      </w:r>
      <w:r w:rsidR="00463C52">
        <w:rPr>
          <w:rFonts w:eastAsiaTheme="majorEastAsia" w:cstheme="minorBidi"/>
          <w:caps w:val="0"/>
          <w:color w:val="auto"/>
          <w:sz w:val="22"/>
        </w:rPr>
        <w:t>S</w:t>
      </w:r>
      <w:r w:rsidRPr="00AF14AE">
        <w:rPr>
          <w:rFonts w:eastAsiaTheme="majorEastAsia" w:cstheme="minorBidi"/>
          <w:caps w:val="0"/>
          <w:color w:val="auto"/>
          <w:sz w:val="22"/>
        </w:rPr>
        <w:t>ubsectors Encouraged To Participate</w:t>
      </w:r>
      <w:r w:rsidR="00F96653" w:rsidRPr="00AF14AE">
        <w:rPr>
          <w:rFonts w:eastAsiaTheme="majorEastAsia" w:cstheme="minorBidi"/>
          <w:caps w:val="0"/>
          <w:color w:val="auto"/>
          <w:sz w:val="22"/>
        </w:rPr>
        <w:t xml:space="preserve"> </w:t>
      </w:r>
    </w:p>
    <w:tbl>
      <w:tblPr>
        <w:tblStyle w:val="DSSTableStyleB"/>
        <w:tblW w:w="14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3135"/>
        <w:gridCol w:w="3402"/>
        <w:gridCol w:w="1814"/>
        <w:gridCol w:w="1814"/>
        <w:gridCol w:w="1814"/>
      </w:tblGrid>
      <w:tr w:rsidR="008A63C4" w:rsidRPr="00AB6C89" w14:paraId="4114AFEC" w14:textId="036356D7" w:rsidTr="000D2067">
        <w:trPr>
          <w:cnfStyle w:val="100000000000" w:firstRow="1" w:lastRow="0" w:firstColumn="0" w:lastColumn="0" w:oddVBand="0" w:evenVBand="0" w:oddHBand="0" w:evenHBand="0" w:firstRowFirstColumn="0" w:firstRowLastColumn="0" w:lastRowFirstColumn="0" w:lastRowLastColumn="0"/>
          <w:trHeight w:val="330"/>
        </w:trPr>
        <w:tc>
          <w:tcPr>
            <w:tcW w:w="2417" w:type="dxa"/>
            <w:vAlign w:val="center"/>
            <w:hideMark/>
          </w:tcPr>
          <w:p w14:paraId="4A6849E6" w14:textId="77777777" w:rsidR="00D17A0E" w:rsidRPr="00CC7F0A" w:rsidRDefault="00D17A0E" w:rsidP="0083719D">
            <w:pPr>
              <w:rPr>
                <w:rFonts w:cstheme="minorHAnsi"/>
                <w:bCs/>
                <w:color w:val="000000"/>
                <w:sz w:val="20"/>
                <w:szCs w:val="20"/>
              </w:rPr>
            </w:pPr>
            <w:r w:rsidRPr="00CC7F0A">
              <w:rPr>
                <w:rFonts w:cstheme="minorHAnsi"/>
                <w:bCs/>
                <w:color w:val="000000"/>
                <w:sz w:val="20"/>
                <w:szCs w:val="20"/>
              </w:rPr>
              <w:t>Sector</w:t>
            </w:r>
          </w:p>
        </w:tc>
        <w:tc>
          <w:tcPr>
            <w:tcW w:w="3135" w:type="dxa"/>
            <w:noWrap/>
            <w:vAlign w:val="center"/>
            <w:hideMark/>
          </w:tcPr>
          <w:p w14:paraId="1DE7D50C" w14:textId="77777777" w:rsidR="00D17A0E" w:rsidRPr="00CC7F0A" w:rsidRDefault="00D17A0E">
            <w:pPr>
              <w:rPr>
                <w:rFonts w:cstheme="minorHAnsi"/>
                <w:bCs/>
                <w:color w:val="000000"/>
                <w:sz w:val="20"/>
                <w:szCs w:val="20"/>
              </w:rPr>
            </w:pPr>
            <w:r w:rsidRPr="00CC7F0A">
              <w:rPr>
                <w:rFonts w:cstheme="minorHAnsi"/>
                <w:bCs/>
                <w:color w:val="000000"/>
                <w:sz w:val="20"/>
                <w:szCs w:val="20"/>
              </w:rPr>
              <w:t>Subsector</w:t>
            </w:r>
          </w:p>
        </w:tc>
        <w:tc>
          <w:tcPr>
            <w:tcW w:w="3402" w:type="dxa"/>
            <w:noWrap/>
            <w:vAlign w:val="center"/>
            <w:hideMark/>
          </w:tcPr>
          <w:p w14:paraId="61E4F4B0" w14:textId="2BA4ED27" w:rsidR="00D17A0E" w:rsidRPr="00CC7F0A" w:rsidRDefault="00D17A0E">
            <w:pPr>
              <w:jc w:val="center"/>
              <w:rPr>
                <w:rFonts w:cstheme="minorHAnsi"/>
                <w:bCs/>
                <w:color w:val="000000"/>
                <w:sz w:val="20"/>
                <w:szCs w:val="20"/>
              </w:rPr>
            </w:pPr>
            <w:r w:rsidRPr="00CC7F0A">
              <w:rPr>
                <w:rFonts w:cstheme="minorHAnsi"/>
                <w:bCs/>
                <w:color w:val="000000"/>
                <w:sz w:val="20"/>
                <w:szCs w:val="20"/>
              </w:rPr>
              <w:t xml:space="preserve">Proportion of 2021 survey results -  financial counselling time </w:t>
            </w:r>
            <w:r w:rsidRPr="00CC7F0A">
              <w:rPr>
                <w:rStyle w:val="FootnoteReference"/>
                <w:rFonts w:cstheme="minorHAnsi"/>
                <w:bCs/>
                <w:color w:val="000000"/>
                <w:sz w:val="20"/>
                <w:szCs w:val="20"/>
              </w:rPr>
              <w:footnoteReference w:id="15"/>
            </w:r>
          </w:p>
        </w:tc>
        <w:tc>
          <w:tcPr>
            <w:tcW w:w="1814" w:type="dxa"/>
            <w:vAlign w:val="center"/>
            <w:hideMark/>
          </w:tcPr>
          <w:p w14:paraId="278C0125" w14:textId="1014B829" w:rsidR="00D17A0E" w:rsidRPr="007D6DA7" w:rsidRDefault="00C35384">
            <w:pPr>
              <w:jc w:val="center"/>
              <w:rPr>
                <w:rFonts w:cstheme="minorHAnsi"/>
                <w:bCs/>
                <w:color w:val="000000"/>
                <w:sz w:val="20"/>
                <w:szCs w:val="20"/>
              </w:rPr>
            </w:pPr>
            <w:r w:rsidRPr="007D6DA7">
              <w:rPr>
                <w:rFonts w:cstheme="minorHAnsi"/>
                <w:bCs/>
                <w:color w:val="000000"/>
                <w:sz w:val="20"/>
                <w:szCs w:val="20"/>
              </w:rPr>
              <w:t xml:space="preserve">Whole of subsector contribution for </w:t>
            </w:r>
            <w:r w:rsidR="00D17A0E" w:rsidRPr="007D6DA7">
              <w:rPr>
                <w:rFonts w:cstheme="minorHAnsi"/>
                <w:bCs/>
                <w:color w:val="000000"/>
                <w:sz w:val="20"/>
                <w:szCs w:val="20"/>
              </w:rPr>
              <w:t>2023-24</w:t>
            </w:r>
          </w:p>
        </w:tc>
        <w:tc>
          <w:tcPr>
            <w:tcW w:w="1814" w:type="dxa"/>
            <w:vAlign w:val="center"/>
          </w:tcPr>
          <w:p w14:paraId="7D49E0EF" w14:textId="73327B56" w:rsidR="00C35384" w:rsidRPr="007D6DA7" w:rsidRDefault="00C35384">
            <w:pPr>
              <w:jc w:val="center"/>
              <w:rPr>
                <w:rFonts w:cstheme="minorHAnsi"/>
                <w:bCs/>
                <w:color w:val="000000"/>
                <w:sz w:val="20"/>
                <w:szCs w:val="20"/>
              </w:rPr>
            </w:pPr>
            <w:r w:rsidRPr="007D6DA7">
              <w:rPr>
                <w:rFonts w:cstheme="minorHAnsi"/>
                <w:bCs/>
                <w:color w:val="000000"/>
                <w:sz w:val="20"/>
                <w:szCs w:val="20"/>
              </w:rPr>
              <w:t>Whole of subsector contribution for</w:t>
            </w:r>
          </w:p>
          <w:p w14:paraId="637B64B7" w14:textId="70EE33E6" w:rsidR="00D17A0E" w:rsidRPr="007D6DA7" w:rsidRDefault="00D17A0E">
            <w:pPr>
              <w:jc w:val="center"/>
              <w:rPr>
                <w:rFonts w:cstheme="minorHAnsi"/>
                <w:bCs/>
                <w:color w:val="000000"/>
                <w:sz w:val="20"/>
                <w:szCs w:val="20"/>
              </w:rPr>
            </w:pPr>
            <w:r w:rsidRPr="007D6DA7">
              <w:rPr>
                <w:rFonts w:cstheme="minorHAnsi"/>
                <w:bCs/>
                <w:color w:val="000000"/>
                <w:sz w:val="20"/>
                <w:szCs w:val="20"/>
              </w:rPr>
              <w:t>2024-25</w:t>
            </w:r>
          </w:p>
        </w:tc>
        <w:tc>
          <w:tcPr>
            <w:tcW w:w="1814" w:type="dxa"/>
            <w:vAlign w:val="center"/>
          </w:tcPr>
          <w:p w14:paraId="41AFD106" w14:textId="07FBAF03" w:rsidR="00C35384" w:rsidRPr="007D6DA7" w:rsidRDefault="00C35384">
            <w:pPr>
              <w:jc w:val="center"/>
              <w:rPr>
                <w:rFonts w:cstheme="minorHAnsi"/>
                <w:bCs/>
                <w:color w:val="000000"/>
                <w:sz w:val="20"/>
                <w:szCs w:val="20"/>
              </w:rPr>
            </w:pPr>
            <w:r w:rsidRPr="007D6DA7">
              <w:rPr>
                <w:rFonts w:cstheme="minorHAnsi"/>
                <w:bCs/>
                <w:color w:val="000000"/>
                <w:sz w:val="20"/>
                <w:szCs w:val="20"/>
              </w:rPr>
              <w:t>Whole of subsector contribution for</w:t>
            </w:r>
          </w:p>
          <w:p w14:paraId="15073785" w14:textId="40100580" w:rsidR="00D17A0E" w:rsidRPr="007D6DA7" w:rsidRDefault="00D17A0E">
            <w:pPr>
              <w:jc w:val="center"/>
              <w:rPr>
                <w:rFonts w:cstheme="minorHAnsi"/>
                <w:bCs/>
                <w:color w:val="000000"/>
                <w:sz w:val="20"/>
                <w:szCs w:val="20"/>
              </w:rPr>
            </w:pPr>
            <w:r w:rsidRPr="007D6DA7">
              <w:rPr>
                <w:rFonts w:cstheme="minorHAnsi"/>
                <w:bCs/>
                <w:color w:val="000000"/>
                <w:sz w:val="20"/>
                <w:szCs w:val="20"/>
              </w:rPr>
              <w:t>2025-26</w:t>
            </w:r>
          </w:p>
        </w:tc>
      </w:tr>
      <w:tr w:rsidR="00B51669" w:rsidRPr="00AB6C89" w14:paraId="6752A995" w14:textId="50E9B2BF" w:rsidTr="000D2067">
        <w:trPr>
          <w:trHeight w:val="330"/>
        </w:trPr>
        <w:tc>
          <w:tcPr>
            <w:tcW w:w="2417" w:type="dxa"/>
            <w:vMerge w:val="restart"/>
            <w:hideMark/>
          </w:tcPr>
          <w:p w14:paraId="51ADD583" w14:textId="77777777" w:rsidR="00B51669" w:rsidRPr="00CC7F0A" w:rsidRDefault="00B51669" w:rsidP="00B51669">
            <w:pPr>
              <w:spacing w:before="120" w:after="120" w:line="276" w:lineRule="auto"/>
              <w:rPr>
                <w:rFonts w:cstheme="minorHAnsi"/>
                <w:color w:val="000000"/>
                <w:sz w:val="20"/>
                <w:szCs w:val="20"/>
              </w:rPr>
            </w:pPr>
            <w:r w:rsidRPr="00CC7F0A">
              <w:rPr>
                <w:rFonts w:cstheme="minorHAnsi"/>
                <w:color w:val="000000"/>
                <w:sz w:val="20"/>
                <w:szCs w:val="20"/>
              </w:rPr>
              <w:t>Financial services</w:t>
            </w:r>
          </w:p>
        </w:tc>
        <w:tc>
          <w:tcPr>
            <w:tcW w:w="3135" w:type="dxa"/>
            <w:noWrap/>
            <w:vAlign w:val="center"/>
            <w:hideMark/>
          </w:tcPr>
          <w:p w14:paraId="14E4E832" w14:textId="024A12AE" w:rsidR="00B51669" w:rsidRPr="00CC7F0A" w:rsidRDefault="00B51669" w:rsidP="00B51669">
            <w:pPr>
              <w:spacing w:before="120" w:after="120"/>
              <w:rPr>
                <w:rFonts w:cstheme="minorHAnsi"/>
                <w:color w:val="000000"/>
                <w:sz w:val="20"/>
                <w:szCs w:val="20"/>
              </w:rPr>
            </w:pPr>
            <w:r w:rsidRPr="00CC7F0A">
              <w:rPr>
                <w:rFonts w:cstheme="minorHAnsi"/>
                <w:color w:val="000000"/>
                <w:sz w:val="20"/>
                <w:szCs w:val="20"/>
              </w:rPr>
              <w:t>Banking</w:t>
            </w:r>
          </w:p>
        </w:tc>
        <w:tc>
          <w:tcPr>
            <w:tcW w:w="3402" w:type="dxa"/>
            <w:noWrap/>
            <w:vAlign w:val="center"/>
            <w:hideMark/>
          </w:tcPr>
          <w:p w14:paraId="2CAC8555" w14:textId="66E32DF3" w:rsidR="00B51669" w:rsidRPr="00CC7F0A" w:rsidRDefault="00772902" w:rsidP="00B51669">
            <w:pPr>
              <w:spacing w:before="120" w:after="120"/>
              <w:jc w:val="center"/>
              <w:rPr>
                <w:rFonts w:cstheme="minorHAnsi"/>
                <w:sz w:val="20"/>
                <w:szCs w:val="20"/>
              </w:rPr>
            </w:pPr>
            <w:r>
              <w:rPr>
                <w:rFonts w:cstheme="minorHAnsi"/>
                <w:sz w:val="20"/>
                <w:szCs w:val="20"/>
              </w:rPr>
              <w:t>36.53</w:t>
            </w:r>
            <w:r w:rsidR="00B51669" w:rsidRPr="00CC7F0A">
              <w:rPr>
                <w:rFonts w:cstheme="minorHAnsi"/>
                <w:sz w:val="20"/>
                <w:szCs w:val="20"/>
              </w:rPr>
              <w:t>%</w:t>
            </w:r>
          </w:p>
        </w:tc>
        <w:tc>
          <w:tcPr>
            <w:tcW w:w="1814" w:type="dxa"/>
            <w:shd w:val="clear" w:color="auto" w:fill="auto"/>
            <w:vAlign w:val="center"/>
          </w:tcPr>
          <w:p w14:paraId="7183C613" w14:textId="0B11A504" w:rsidR="00B51669" w:rsidRPr="00CC7F0A" w:rsidRDefault="00B51669" w:rsidP="00772902">
            <w:pPr>
              <w:spacing w:before="120" w:after="120"/>
              <w:jc w:val="center"/>
              <w:rPr>
                <w:rFonts w:cstheme="minorHAnsi"/>
                <w:sz w:val="20"/>
                <w:szCs w:val="20"/>
              </w:rPr>
            </w:pPr>
            <w:r w:rsidRPr="00CC7F0A">
              <w:rPr>
                <w:rFonts w:cs="Arial"/>
                <w:color w:val="000000"/>
                <w:sz w:val="20"/>
                <w:szCs w:val="20"/>
              </w:rPr>
              <w:t>$</w:t>
            </w:r>
            <w:r w:rsidR="00772902">
              <w:rPr>
                <w:rFonts w:cs="Arial"/>
                <w:color w:val="000000"/>
                <w:sz w:val="20"/>
                <w:szCs w:val="20"/>
              </w:rPr>
              <w:t>6.7</w:t>
            </w:r>
            <w:r w:rsidRPr="00CC7F0A">
              <w:rPr>
                <w:rFonts w:cs="Arial"/>
                <w:color w:val="000000"/>
                <w:sz w:val="20"/>
                <w:szCs w:val="20"/>
              </w:rPr>
              <w:t xml:space="preserve"> million</w:t>
            </w:r>
          </w:p>
        </w:tc>
        <w:tc>
          <w:tcPr>
            <w:tcW w:w="1814" w:type="dxa"/>
            <w:vAlign w:val="center"/>
          </w:tcPr>
          <w:p w14:paraId="46B6CC39" w14:textId="21024F0D" w:rsidR="00B51669" w:rsidRPr="00CC7F0A" w:rsidRDefault="00B51669" w:rsidP="00772902">
            <w:pPr>
              <w:spacing w:before="120" w:after="120"/>
              <w:jc w:val="center"/>
              <w:rPr>
                <w:rFonts w:cstheme="minorHAnsi"/>
                <w:sz w:val="20"/>
                <w:szCs w:val="20"/>
              </w:rPr>
            </w:pPr>
            <w:r w:rsidRPr="00B51669">
              <w:rPr>
                <w:sz w:val="20"/>
                <w:szCs w:val="20"/>
              </w:rPr>
              <w:t>$6.</w:t>
            </w:r>
            <w:r w:rsidR="00772902">
              <w:rPr>
                <w:sz w:val="20"/>
                <w:szCs w:val="20"/>
              </w:rPr>
              <w:t>8</w:t>
            </w:r>
            <w:r w:rsidRPr="00CC7F0A">
              <w:rPr>
                <w:sz w:val="20"/>
                <w:szCs w:val="20"/>
              </w:rPr>
              <w:t xml:space="preserve"> million</w:t>
            </w:r>
          </w:p>
        </w:tc>
        <w:tc>
          <w:tcPr>
            <w:tcW w:w="1814" w:type="dxa"/>
            <w:vAlign w:val="center"/>
          </w:tcPr>
          <w:p w14:paraId="307B2387" w14:textId="111499E6" w:rsidR="00B51669" w:rsidRPr="00CC7F0A" w:rsidRDefault="00B51669" w:rsidP="00772902">
            <w:pPr>
              <w:spacing w:before="120" w:after="120"/>
              <w:jc w:val="center"/>
              <w:rPr>
                <w:rFonts w:cstheme="minorHAnsi"/>
                <w:sz w:val="20"/>
                <w:szCs w:val="20"/>
              </w:rPr>
            </w:pPr>
            <w:r w:rsidRPr="00B51669">
              <w:rPr>
                <w:sz w:val="20"/>
                <w:szCs w:val="20"/>
              </w:rPr>
              <w:t>$</w:t>
            </w:r>
            <w:r w:rsidR="00772902">
              <w:rPr>
                <w:sz w:val="20"/>
                <w:szCs w:val="20"/>
              </w:rPr>
              <w:t>7.1</w:t>
            </w:r>
            <w:r w:rsidRPr="00CC7F0A">
              <w:rPr>
                <w:sz w:val="20"/>
                <w:szCs w:val="20"/>
              </w:rPr>
              <w:t xml:space="preserve"> million</w:t>
            </w:r>
          </w:p>
        </w:tc>
      </w:tr>
      <w:tr w:rsidR="00B51669" w:rsidRPr="00AB6C89" w14:paraId="3CE47051" w14:textId="7F0EB939" w:rsidTr="000D2067">
        <w:trPr>
          <w:trHeight w:val="330"/>
        </w:trPr>
        <w:tc>
          <w:tcPr>
            <w:tcW w:w="2417" w:type="dxa"/>
            <w:vMerge/>
          </w:tcPr>
          <w:p w14:paraId="08E67EB2" w14:textId="77777777" w:rsidR="00B51669" w:rsidRPr="00CC7F0A" w:rsidRDefault="00B51669" w:rsidP="00B51669">
            <w:pPr>
              <w:spacing w:before="120" w:after="120" w:line="276" w:lineRule="auto"/>
              <w:rPr>
                <w:rFonts w:cstheme="minorHAnsi"/>
                <w:color w:val="000000"/>
                <w:sz w:val="20"/>
                <w:szCs w:val="20"/>
              </w:rPr>
            </w:pPr>
          </w:p>
        </w:tc>
        <w:tc>
          <w:tcPr>
            <w:tcW w:w="3135" w:type="dxa"/>
            <w:noWrap/>
            <w:vAlign w:val="center"/>
          </w:tcPr>
          <w:p w14:paraId="0D973A13" w14:textId="1AA7C462" w:rsidR="00B51669" w:rsidRPr="00CC7F0A" w:rsidRDefault="00B51669" w:rsidP="00B51669">
            <w:pPr>
              <w:spacing w:before="120" w:after="120"/>
              <w:rPr>
                <w:rFonts w:cstheme="minorHAnsi"/>
                <w:color w:val="000000"/>
                <w:sz w:val="20"/>
                <w:szCs w:val="20"/>
              </w:rPr>
            </w:pPr>
            <w:r w:rsidRPr="00CC7F0A">
              <w:rPr>
                <w:rFonts w:cstheme="minorHAnsi"/>
                <w:color w:val="000000"/>
                <w:sz w:val="20"/>
                <w:szCs w:val="20"/>
              </w:rPr>
              <w:t>Other credit provider</w:t>
            </w:r>
            <w:r w:rsidR="00C61EFD">
              <w:rPr>
                <w:rFonts w:cstheme="minorHAnsi"/>
                <w:color w:val="000000"/>
                <w:sz w:val="20"/>
                <w:szCs w:val="20"/>
              </w:rPr>
              <w:t xml:space="preserve">, including finance companies </w:t>
            </w:r>
          </w:p>
        </w:tc>
        <w:tc>
          <w:tcPr>
            <w:tcW w:w="3402" w:type="dxa"/>
            <w:noWrap/>
            <w:vAlign w:val="center"/>
          </w:tcPr>
          <w:p w14:paraId="7D9BA259" w14:textId="344F8456" w:rsidR="00B51669" w:rsidRPr="00CC7F0A" w:rsidRDefault="00772902" w:rsidP="00772902">
            <w:pPr>
              <w:spacing w:before="120" w:after="120"/>
              <w:jc w:val="center"/>
              <w:rPr>
                <w:rFonts w:cstheme="minorHAnsi"/>
                <w:sz w:val="20"/>
                <w:szCs w:val="20"/>
              </w:rPr>
            </w:pPr>
            <w:r>
              <w:rPr>
                <w:rFonts w:cstheme="minorHAnsi"/>
                <w:sz w:val="20"/>
                <w:szCs w:val="20"/>
              </w:rPr>
              <w:t>12.00</w:t>
            </w:r>
            <w:r w:rsidR="00B51669" w:rsidRPr="00CC7F0A">
              <w:rPr>
                <w:rFonts w:cstheme="minorHAnsi"/>
                <w:sz w:val="20"/>
                <w:szCs w:val="20"/>
              </w:rPr>
              <w:t>%</w:t>
            </w:r>
          </w:p>
        </w:tc>
        <w:tc>
          <w:tcPr>
            <w:tcW w:w="1814" w:type="dxa"/>
            <w:shd w:val="clear" w:color="auto" w:fill="auto"/>
            <w:vAlign w:val="center"/>
          </w:tcPr>
          <w:p w14:paraId="56B01A0E" w14:textId="46D62A16" w:rsidR="00B51669" w:rsidRPr="00CC7F0A" w:rsidRDefault="00B51669" w:rsidP="00772902">
            <w:pPr>
              <w:spacing w:before="120" w:after="120"/>
              <w:jc w:val="center"/>
              <w:rPr>
                <w:rFonts w:cstheme="minorHAnsi"/>
                <w:color w:val="000000"/>
                <w:sz w:val="20"/>
                <w:szCs w:val="20"/>
              </w:rPr>
            </w:pPr>
            <w:r w:rsidRPr="00CC7F0A">
              <w:rPr>
                <w:rFonts w:cs="Arial"/>
                <w:color w:val="000000"/>
                <w:sz w:val="20"/>
                <w:szCs w:val="20"/>
              </w:rPr>
              <w:t>$</w:t>
            </w:r>
            <w:r w:rsidR="00772902">
              <w:rPr>
                <w:rFonts w:cs="Arial"/>
                <w:color w:val="000000"/>
                <w:sz w:val="20"/>
                <w:szCs w:val="20"/>
              </w:rPr>
              <w:t>2</w:t>
            </w:r>
            <w:r w:rsidR="00011C2F">
              <w:rPr>
                <w:rFonts w:cs="Arial"/>
                <w:color w:val="000000"/>
                <w:sz w:val="20"/>
                <w:szCs w:val="20"/>
              </w:rPr>
              <w:t>.</w:t>
            </w:r>
            <w:r w:rsidR="00772902">
              <w:rPr>
                <w:rFonts w:cs="Arial"/>
                <w:color w:val="000000"/>
                <w:sz w:val="20"/>
                <w:szCs w:val="20"/>
              </w:rPr>
              <w:t>2</w:t>
            </w:r>
            <w:r w:rsidRPr="00CC7F0A">
              <w:rPr>
                <w:rFonts w:cs="Arial"/>
                <w:color w:val="000000"/>
                <w:sz w:val="20"/>
                <w:szCs w:val="20"/>
              </w:rPr>
              <w:t xml:space="preserve"> million</w:t>
            </w:r>
          </w:p>
        </w:tc>
        <w:tc>
          <w:tcPr>
            <w:tcW w:w="1814" w:type="dxa"/>
            <w:vAlign w:val="center"/>
          </w:tcPr>
          <w:p w14:paraId="4F11D350" w14:textId="01607A41" w:rsidR="00B51669" w:rsidRPr="00CC7F0A" w:rsidRDefault="00B51669" w:rsidP="00B51669">
            <w:pPr>
              <w:spacing w:before="120" w:after="120"/>
              <w:jc w:val="center"/>
              <w:rPr>
                <w:rFonts w:cstheme="minorHAnsi"/>
                <w:sz w:val="20"/>
                <w:szCs w:val="20"/>
              </w:rPr>
            </w:pPr>
            <w:r w:rsidRPr="00B51669">
              <w:rPr>
                <w:sz w:val="20"/>
                <w:szCs w:val="20"/>
              </w:rPr>
              <w:t>$2</w:t>
            </w:r>
            <w:r w:rsidR="00772902">
              <w:rPr>
                <w:sz w:val="20"/>
                <w:szCs w:val="20"/>
              </w:rPr>
              <w:t>.2</w:t>
            </w:r>
            <w:r w:rsidRPr="00CC7F0A">
              <w:rPr>
                <w:sz w:val="20"/>
                <w:szCs w:val="20"/>
              </w:rPr>
              <w:t xml:space="preserve"> million</w:t>
            </w:r>
          </w:p>
        </w:tc>
        <w:tc>
          <w:tcPr>
            <w:tcW w:w="1814" w:type="dxa"/>
            <w:vAlign w:val="center"/>
          </w:tcPr>
          <w:p w14:paraId="72E4AEF9" w14:textId="2F327727" w:rsidR="00B51669" w:rsidRPr="00CC7F0A" w:rsidRDefault="00B51669" w:rsidP="00772902">
            <w:pPr>
              <w:spacing w:before="120" w:after="120"/>
              <w:jc w:val="center"/>
              <w:rPr>
                <w:rFonts w:cstheme="minorHAnsi"/>
                <w:sz w:val="20"/>
                <w:szCs w:val="20"/>
              </w:rPr>
            </w:pPr>
            <w:r w:rsidRPr="00B51669">
              <w:rPr>
                <w:sz w:val="20"/>
                <w:szCs w:val="20"/>
              </w:rPr>
              <w:t>$2.</w:t>
            </w:r>
            <w:r w:rsidR="00772902">
              <w:rPr>
                <w:sz w:val="20"/>
                <w:szCs w:val="20"/>
              </w:rPr>
              <w:t>3</w:t>
            </w:r>
            <w:r w:rsidRPr="00CC7F0A">
              <w:rPr>
                <w:sz w:val="20"/>
                <w:szCs w:val="20"/>
              </w:rPr>
              <w:t xml:space="preserve"> million</w:t>
            </w:r>
          </w:p>
        </w:tc>
      </w:tr>
      <w:tr w:rsidR="00B51669" w:rsidRPr="00AB6C89" w14:paraId="17D0DB1B" w14:textId="4A197C9E" w:rsidTr="000D2067">
        <w:trPr>
          <w:trHeight w:val="330"/>
        </w:trPr>
        <w:tc>
          <w:tcPr>
            <w:tcW w:w="2417" w:type="dxa"/>
            <w:vMerge/>
          </w:tcPr>
          <w:p w14:paraId="69409B82" w14:textId="77777777" w:rsidR="00B51669" w:rsidRPr="00CC7F0A" w:rsidRDefault="00B51669" w:rsidP="00B51669">
            <w:pPr>
              <w:spacing w:before="120" w:after="120" w:line="276" w:lineRule="auto"/>
              <w:rPr>
                <w:rFonts w:cstheme="minorHAnsi"/>
                <w:color w:val="000000"/>
                <w:sz w:val="20"/>
                <w:szCs w:val="20"/>
              </w:rPr>
            </w:pPr>
          </w:p>
        </w:tc>
        <w:tc>
          <w:tcPr>
            <w:tcW w:w="3135" w:type="dxa"/>
            <w:noWrap/>
            <w:vAlign w:val="center"/>
          </w:tcPr>
          <w:p w14:paraId="6E9AB705" w14:textId="77777777" w:rsidR="00B51669" w:rsidRPr="00CC7F0A" w:rsidRDefault="00B51669" w:rsidP="00B51669">
            <w:pPr>
              <w:spacing w:before="120" w:after="120"/>
              <w:rPr>
                <w:rFonts w:cstheme="minorHAnsi"/>
                <w:color w:val="000000"/>
                <w:sz w:val="20"/>
                <w:szCs w:val="20"/>
              </w:rPr>
            </w:pPr>
            <w:r w:rsidRPr="00CC7F0A">
              <w:rPr>
                <w:rFonts w:cstheme="minorHAnsi"/>
                <w:color w:val="000000"/>
                <w:sz w:val="20"/>
                <w:szCs w:val="20"/>
              </w:rPr>
              <w:t>Debt collector or buyer</w:t>
            </w:r>
          </w:p>
        </w:tc>
        <w:tc>
          <w:tcPr>
            <w:tcW w:w="3402" w:type="dxa"/>
            <w:noWrap/>
            <w:vAlign w:val="center"/>
          </w:tcPr>
          <w:p w14:paraId="406C3121" w14:textId="2BF5DC22" w:rsidR="00B51669" w:rsidRPr="00CC7F0A" w:rsidRDefault="00772902" w:rsidP="00772902">
            <w:pPr>
              <w:spacing w:before="120" w:after="120"/>
              <w:jc w:val="center"/>
              <w:rPr>
                <w:rFonts w:cstheme="minorHAnsi"/>
                <w:sz w:val="20"/>
                <w:szCs w:val="20"/>
              </w:rPr>
            </w:pPr>
            <w:r>
              <w:rPr>
                <w:rFonts w:cstheme="minorHAnsi"/>
                <w:sz w:val="20"/>
                <w:szCs w:val="20"/>
              </w:rPr>
              <w:t>10.18</w:t>
            </w:r>
            <w:r w:rsidR="00B51669" w:rsidRPr="00CC7F0A">
              <w:rPr>
                <w:rFonts w:cstheme="minorHAnsi"/>
                <w:sz w:val="20"/>
                <w:szCs w:val="20"/>
              </w:rPr>
              <w:t>%</w:t>
            </w:r>
          </w:p>
        </w:tc>
        <w:tc>
          <w:tcPr>
            <w:tcW w:w="1814" w:type="dxa"/>
            <w:shd w:val="clear" w:color="auto" w:fill="auto"/>
            <w:vAlign w:val="center"/>
          </w:tcPr>
          <w:p w14:paraId="11A591A3" w14:textId="11104564" w:rsidR="00B51669" w:rsidRPr="00CC7F0A" w:rsidRDefault="00B51669" w:rsidP="00772902">
            <w:pPr>
              <w:spacing w:before="120" w:after="120"/>
              <w:jc w:val="center"/>
              <w:rPr>
                <w:rFonts w:cstheme="minorHAnsi"/>
                <w:color w:val="000000"/>
                <w:sz w:val="20"/>
                <w:szCs w:val="20"/>
              </w:rPr>
            </w:pPr>
            <w:r w:rsidRPr="00CC7F0A">
              <w:rPr>
                <w:rFonts w:cs="Arial"/>
                <w:color w:val="000000"/>
                <w:sz w:val="20"/>
                <w:szCs w:val="20"/>
              </w:rPr>
              <w:t>$1.</w:t>
            </w:r>
            <w:r w:rsidR="00772902">
              <w:rPr>
                <w:rFonts w:cs="Arial"/>
                <w:color w:val="000000"/>
                <w:sz w:val="20"/>
                <w:szCs w:val="20"/>
              </w:rPr>
              <w:t>8</w:t>
            </w:r>
            <w:r w:rsidRPr="00CC7F0A">
              <w:rPr>
                <w:rFonts w:cs="Arial"/>
                <w:color w:val="000000"/>
                <w:sz w:val="20"/>
                <w:szCs w:val="20"/>
              </w:rPr>
              <w:t xml:space="preserve"> million</w:t>
            </w:r>
          </w:p>
        </w:tc>
        <w:tc>
          <w:tcPr>
            <w:tcW w:w="1814" w:type="dxa"/>
            <w:vAlign w:val="center"/>
          </w:tcPr>
          <w:p w14:paraId="4DFE15BE" w14:textId="69F14C63" w:rsidR="00B51669" w:rsidRPr="00CC7F0A" w:rsidRDefault="00B51669" w:rsidP="00772902">
            <w:pPr>
              <w:spacing w:before="120" w:after="120"/>
              <w:jc w:val="center"/>
              <w:rPr>
                <w:rFonts w:cstheme="minorHAnsi"/>
                <w:sz w:val="20"/>
                <w:szCs w:val="20"/>
              </w:rPr>
            </w:pPr>
            <w:r w:rsidRPr="00CC7F0A">
              <w:rPr>
                <w:sz w:val="20"/>
                <w:szCs w:val="20"/>
              </w:rPr>
              <w:t>$1.</w:t>
            </w:r>
            <w:r w:rsidR="00772902">
              <w:rPr>
                <w:sz w:val="20"/>
                <w:szCs w:val="20"/>
              </w:rPr>
              <w:t>9</w:t>
            </w:r>
            <w:r w:rsidRPr="00CC7F0A">
              <w:rPr>
                <w:sz w:val="20"/>
                <w:szCs w:val="20"/>
              </w:rPr>
              <w:t xml:space="preserve"> million</w:t>
            </w:r>
          </w:p>
        </w:tc>
        <w:tc>
          <w:tcPr>
            <w:tcW w:w="1814" w:type="dxa"/>
            <w:vAlign w:val="center"/>
          </w:tcPr>
          <w:p w14:paraId="4ECEA478" w14:textId="567E6FDB" w:rsidR="00B51669" w:rsidRPr="00CC7F0A" w:rsidRDefault="00B51669" w:rsidP="00772902">
            <w:pPr>
              <w:spacing w:before="120" w:after="120"/>
              <w:jc w:val="center"/>
              <w:rPr>
                <w:rFonts w:cstheme="minorHAnsi"/>
                <w:sz w:val="20"/>
                <w:szCs w:val="20"/>
              </w:rPr>
            </w:pPr>
            <w:r w:rsidRPr="00B51669">
              <w:rPr>
                <w:sz w:val="20"/>
                <w:szCs w:val="20"/>
              </w:rPr>
              <w:t>$</w:t>
            </w:r>
            <w:r w:rsidR="00772902">
              <w:rPr>
                <w:sz w:val="20"/>
                <w:szCs w:val="20"/>
              </w:rPr>
              <w:t>2.0</w:t>
            </w:r>
            <w:r w:rsidRPr="00CC7F0A">
              <w:rPr>
                <w:sz w:val="20"/>
                <w:szCs w:val="20"/>
              </w:rPr>
              <w:t xml:space="preserve"> million</w:t>
            </w:r>
          </w:p>
        </w:tc>
      </w:tr>
      <w:tr w:rsidR="00B51669" w:rsidRPr="00AB6C89" w14:paraId="658BA746" w14:textId="68887F16" w:rsidTr="000D2067">
        <w:trPr>
          <w:trHeight w:val="330"/>
        </w:trPr>
        <w:tc>
          <w:tcPr>
            <w:tcW w:w="2417" w:type="dxa"/>
            <w:vMerge/>
            <w:hideMark/>
          </w:tcPr>
          <w:p w14:paraId="1ECE4A2E" w14:textId="77777777" w:rsidR="00B51669" w:rsidRPr="00CC7F0A" w:rsidRDefault="00B51669" w:rsidP="00B51669">
            <w:pPr>
              <w:spacing w:before="120" w:after="120" w:line="276" w:lineRule="auto"/>
              <w:rPr>
                <w:rFonts w:eastAsia="Times New Roman" w:cstheme="minorHAnsi"/>
                <w:color w:val="000000"/>
                <w:spacing w:val="4"/>
                <w:sz w:val="20"/>
                <w:szCs w:val="20"/>
              </w:rPr>
            </w:pPr>
          </w:p>
        </w:tc>
        <w:tc>
          <w:tcPr>
            <w:tcW w:w="3135" w:type="dxa"/>
            <w:noWrap/>
            <w:vAlign w:val="center"/>
            <w:hideMark/>
          </w:tcPr>
          <w:p w14:paraId="6B009529" w14:textId="77777777" w:rsidR="00B51669" w:rsidRPr="00CC7F0A" w:rsidRDefault="00B51669" w:rsidP="00B51669">
            <w:pPr>
              <w:spacing w:before="120" w:after="120"/>
              <w:rPr>
                <w:rFonts w:cstheme="minorHAnsi"/>
                <w:color w:val="000000"/>
                <w:sz w:val="20"/>
                <w:szCs w:val="20"/>
              </w:rPr>
            </w:pPr>
            <w:r w:rsidRPr="00CC7F0A">
              <w:rPr>
                <w:rFonts w:cstheme="minorHAnsi"/>
                <w:color w:val="000000"/>
                <w:sz w:val="20"/>
                <w:szCs w:val="20"/>
              </w:rPr>
              <w:t>Small or medium amount credit contract provider</w:t>
            </w:r>
          </w:p>
        </w:tc>
        <w:tc>
          <w:tcPr>
            <w:tcW w:w="3402" w:type="dxa"/>
            <w:noWrap/>
            <w:vAlign w:val="center"/>
            <w:hideMark/>
          </w:tcPr>
          <w:p w14:paraId="1067268E" w14:textId="7DE15654" w:rsidR="00B51669" w:rsidRPr="00CC7F0A" w:rsidRDefault="00772902" w:rsidP="00772902">
            <w:pPr>
              <w:spacing w:before="120" w:after="120"/>
              <w:jc w:val="center"/>
              <w:rPr>
                <w:rFonts w:cstheme="minorHAnsi"/>
                <w:sz w:val="20"/>
                <w:szCs w:val="20"/>
              </w:rPr>
            </w:pPr>
            <w:r>
              <w:rPr>
                <w:rFonts w:cstheme="minorHAnsi"/>
                <w:sz w:val="20"/>
                <w:szCs w:val="20"/>
              </w:rPr>
              <w:t>5.06</w:t>
            </w:r>
            <w:r w:rsidR="00B51669" w:rsidRPr="00CC7F0A">
              <w:rPr>
                <w:rFonts w:cstheme="minorHAnsi"/>
                <w:sz w:val="20"/>
                <w:szCs w:val="20"/>
              </w:rPr>
              <w:t>%</w:t>
            </w:r>
          </w:p>
        </w:tc>
        <w:tc>
          <w:tcPr>
            <w:tcW w:w="1814" w:type="dxa"/>
            <w:shd w:val="clear" w:color="auto" w:fill="auto"/>
            <w:vAlign w:val="center"/>
          </w:tcPr>
          <w:p w14:paraId="603ED559" w14:textId="328F20D7" w:rsidR="00B51669" w:rsidRPr="00CC7F0A" w:rsidRDefault="00B51669" w:rsidP="00772902">
            <w:pPr>
              <w:spacing w:before="120" w:after="120"/>
              <w:jc w:val="center"/>
              <w:rPr>
                <w:rFonts w:cstheme="minorHAnsi"/>
                <w:color w:val="000000"/>
                <w:sz w:val="20"/>
                <w:szCs w:val="20"/>
              </w:rPr>
            </w:pPr>
            <w:r w:rsidRPr="00CC7F0A">
              <w:rPr>
                <w:rFonts w:cs="Arial"/>
                <w:color w:val="000000"/>
                <w:sz w:val="20"/>
                <w:szCs w:val="20"/>
              </w:rPr>
              <w:t>$</w:t>
            </w:r>
            <w:r w:rsidR="00772902">
              <w:rPr>
                <w:rFonts w:cs="Arial"/>
                <w:color w:val="000000"/>
                <w:sz w:val="20"/>
                <w:szCs w:val="20"/>
              </w:rPr>
              <w:t>9</w:t>
            </w:r>
            <w:r w:rsidRPr="00CC7F0A">
              <w:rPr>
                <w:rFonts w:cs="Arial"/>
                <w:color w:val="000000"/>
                <w:sz w:val="20"/>
                <w:szCs w:val="20"/>
              </w:rPr>
              <w:t>00,000</w:t>
            </w:r>
          </w:p>
        </w:tc>
        <w:tc>
          <w:tcPr>
            <w:tcW w:w="1814" w:type="dxa"/>
            <w:vAlign w:val="center"/>
          </w:tcPr>
          <w:p w14:paraId="1BF40D93" w14:textId="6744FBE8" w:rsidR="00B51669" w:rsidRPr="00CC7F0A" w:rsidRDefault="00B51669" w:rsidP="00772902">
            <w:pPr>
              <w:spacing w:before="120" w:after="120"/>
              <w:jc w:val="center"/>
              <w:rPr>
                <w:rFonts w:cstheme="minorHAnsi"/>
                <w:sz w:val="20"/>
                <w:szCs w:val="20"/>
              </w:rPr>
            </w:pPr>
            <w:r w:rsidRPr="00B51669">
              <w:rPr>
                <w:rFonts w:cs="Arial"/>
                <w:color w:val="000000"/>
                <w:sz w:val="20"/>
                <w:szCs w:val="20"/>
              </w:rPr>
              <w:t>$</w:t>
            </w:r>
            <w:r w:rsidR="00772902">
              <w:rPr>
                <w:rFonts w:cs="Arial"/>
                <w:color w:val="000000"/>
                <w:sz w:val="20"/>
                <w:szCs w:val="20"/>
              </w:rPr>
              <w:t>9</w:t>
            </w:r>
            <w:r w:rsidRPr="00CC7F0A">
              <w:rPr>
                <w:rFonts w:cs="Arial"/>
                <w:color w:val="000000"/>
                <w:sz w:val="20"/>
                <w:szCs w:val="20"/>
              </w:rPr>
              <w:t>00,000</w:t>
            </w:r>
          </w:p>
        </w:tc>
        <w:tc>
          <w:tcPr>
            <w:tcW w:w="1814" w:type="dxa"/>
            <w:vAlign w:val="center"/>
          </w:tcPr>
          <w:p w14:paraId="5780539F" w14:textId="27514D61" w:rsidR="00B51669" w:rsidRPr="00CC7F0A" w:rsidRDefault="00B51669" w:rsidP="00772902">
            <w:pPr>
              <w:spacing w:before="120" w:after="120"/>
              <w:jc w:val="center"/>
              <w:rPr>
                <w:rFonts w:cstheme="minorHAnsi"/>
                <w:sz w:val="20"/>
                <w:szCs w:val="20"/>
              </w:rPr>
            </w:pPr>
            <w:r w:rsidRPr="00B51669">
              <w:rPr>
                <w:rFonts w:cs="Arial"/>
                <w:color w:val="000000"/>
                <w:sz w:val="20"/>
                <w:szCs w:val="20"/>
              </w:rPr>
              <w:t>$</w:t>
            </w:r>
            <w:r w:rsidR="00772902">
              <w:rPr>
                <w:rFonts w:cs="Arial"/>
                <w:color w:val="000000"/>
                <w:sz w:val="20"/>
                <w:szCs w:val="20"/>
              </w:rPr>
              <w:t>1 million</w:t>
            </w:r>
          </w:p>
        </w:tc>
      </w:tr>
      <w:tr w:rsidR="00B51669" w:rsidRPr="00AB6C89" w14:paraId="23ECC424" w14:textId="7114D26D" w:rsidTr="000D2067">
        <w:trPr>
          <w:trHeight w:val="330"/>
        </w:trPr>
        <w:tc>
          <w:tcPr>
            <w:tcW w:w="2417" w:type="dxa"/>
            <w:vMerge/>
            <w:hideMark/>
          </w:tcPr>
          <w:p w14:paraId="399D1081" w14:textId="77777777" w:rsidR="00B51669" w:rsidRPr="00CC7F0A" w:rsidRDefault="00B51669" w:rsidP="00B51669">
            <w:pPr>
              <w:spacing w:before="120" w:after="120" w:line="276" w:lineRule="auto"/>
              <w:rPr>
                <w:rFonts w:eastAsia="Times New Roman" w:cstheme="minorHAnsi"/>
                <w:color w:val="000000"/>
                <w:spacing w:val="4"/>
                <w:sz w:val="20"/>
                <w:szCs w:val="20"/>
              </w:rPr>
            </w:pPr>
          </w:p>
        </w:tc>
        <w:tc>
          <w:tcPr>
            <w:tcW w:w="3135" w:type="dxa"/>
            <w:noWrap/>
            <w:vAlign w:val="center"/>
            <w:hideMark/>
          </w:tcPr>
          <w:p w14:paraId="598F0A2A" w14:textId="77777777" w:rsidR="00B51669" w:rsidRPr="00CC7F0A" w:rsidRDefault="00B51669" w:rsidP="00B51669">
            <w:pPr>
              <w:spacing w:before="120" w:after="120"/>
              <w:rPr>
                <w:rFonts w:cstheme="minorHAnsi"/>
                <w:color w:val="000000"/>
                <w:sz w:val="20"/>
                <w:szCs w:val="20"/>
              </w:rPr>
            </w:pPr>
            <w:r w:rsidRPr="00CC7F0A">
              <w:rPr>
                <w:rFonts w:cstheme="minorHAnsi"/>
                <w:color w:val="000000"/>
                <w:sz w:val="20"/>
                <w:szCs w:val="20"/>
              </w:rPr>
              <w:t>Buy now pay later</w:t>
            </w:r>
          </w:p>
        </w:tc>
        <w:tc>
          <w:tcPr>
            <w:tcW w:w="3402" w:type="dxa"/>
            <w:noWrap/>
            <w:vAlign w:val="center"/>
            <w:hideMark/>
          </w:tcPr>
          <w:p w14:paraId="5F85DD46" w14:textId="5E3B3EF3" w:rsidR="00B51669" w:rsidRPr="00CC7F0A" w:rsidRDefault="00772902" w:rsidP="00772902">
            <w:pPr>
              <w:spacing w:before="120" w:after="120"/>
              <w:jc w:val="center"/>
              <w:rPr>
                <w:rFonts w:cstheme="minorHAnsi"/>
                <w:sz w:val="20"/>
                <w:szCs w:val="20"/>
              </w:rPr>
            </w:pPr>
            <w:r>
              <w:rPr>
                <w:rFonts w:cstheme="minorHAnsi"/>
                <w:sz w:val="20"/>
                <w:szCs w:val="20"/>
              </w:rPr>
              <w:t>4.32</w:t>
            </w:r>
            <w:r w:rsidR="00B51669" w:rsidRPr="00CC7F0A">
              <w:rPr>
                <w:rFonts w:cstheme="minorHAnsi"/>
                <w:sz w:val="20"/>
                <w:szCs w:val="20"/>
              </w:rPr>
              <w:t>%</w:t>
            </w:r>
          </w:p>
        </w:tc>
        <w:tc>
          <w:tcPr>
            <w:tcW w:w="1814" w:type="dxa"/>
            <w:shd w:val="clear" w:color="auto" w:fill="auto"/>
            <w:vAlign w:val="center"/>
          </w:tcPr>
          <w:p w14:paraId="2D86B57A" w14:textId="29862285" w:rsidR="00B51669" w:rsidRPr="00CC7F0A" w:rsidRDefault="00B51669" w:rsidP="00772902">
            <w:pPr>
              <w:spacing w:before="120" w:after="120"/>
              <w:jc w:val="center"/>
              <w:rPr>
                <w:rFonts w:cstheme="minorHAnsi"/>
                <w:sz w:val="20"/>
                <w:szCs w:val="20"/>
              </w:rPr>
            </w:pPr>
            <w:r w:rsidRPr="00CC7F0A">
              <w:rPr>
                <w:rFonts w:cs="Arial"/>
                <w:color w:val="000000"/>
                <w:sz w:val="20"/>
                <w:szCs w:val="20"/>
              </w:rPr>
              <w:t>$7</w:t>
            </w:r>
            <w:r w:rsidR="00772902">
              <w:rPr>
                <w:rFonts w:cs="Arial"/>
                <w:color w:val="000000"/>
                <w:sz w:val="20"/>
                <w:szCs w:val="20"/>
              </w:rPr>
              <w:t>5</w:t>
            </w:r>
            <w:r w:rsidRPr="00CC7F0A">
              <w:rPr>
                <w:rFonts w:cs="Arial"/>
                <w:color w:val="000000"/>
                <w:sz w:val="20"/>
                <w:szCs w:val="20"/>
              </w:rPr>
              <w:t>0,000</w:t>
            </w:r>
          </w:p>
        </w:tc>
        <w:tc>
          <w:tcPr>
            <w:tcW w:w="1814" w:type="dxa"/>
            <w:vAlign w:val="center"/>
          </w:tcPr>
          <w:p w14:paraId="7525E7CD" w14:textId="76F22A1C" w:rsidR="00B51669" w:rsidRPr="00CC7F0A" w:rsidRDefault="00B51669" w:rsidP="00772902">
            <w:pPr>
              <w:spacing w:before="120" w:after="120"/>
              <w:jc w:val="center"/>
              <w:rPr>
                <w:rFonts w:cstheme="minorHAnsi"/>
                <w:sz w:val="20"/>
                <w:szCs w:val="20"/>
              </w:rPr>
            </w:pPr>
            <w:r w:rsidRPr="00B51669">
              <w:rPr>
                <w:rFonts w:cs="Arial"/>
                <w:color w:val="000000"/>
                <w:sz w:val="20"/>
                <w:szCs w:val="20"/>
              </w:rPr>
              <w:t>$</w:t>
            </w:r>
            <w:r w:rsidR="00772902">
              <w:rPr>
                <w:rFonts w:cs="Arial"/>
                <w:color w:val="000000"/>
                <w:sz w:val="20"/>
                <w:szCs w:val="20"/>
              </w:rPr>
              <w:t>8</w:t>
            </w:r>
            <w:r w:rsidRPr="00CC7F0A">
              <w:rPr>
                <w:rFonts w:cs="Arial"/>
                <w:color w:val="000000"/>
                <w:sz w:val="20"/>
                <w:szCs w:val="20"/>
              </w:rPr>
              <w:t>00,000</w:t>
            </w:r>
          </w:p>
        </w:tc>
        <w:tc>
          <w:tcPr>
            <w:tcW w:w="1814" w:type="dxa"/>
            <w:vAlign w:val="center"/>
          </w:tcPr>
          <w:p w14:paraId="46D98D5E" w14:textId="65BFFF21" w:rsidR="00B51669" w:rsidRPr="00CC7F0A" w:rsidRDefault="00B51669" w:rsidP="00772902">
            <w:pPr>
              <w:spacing w:before="120" w:after="120"/>
              <w:jc w:val="center"/>
              <w:rPr>
                <w:rFonts w:cstheme="minorHAnsi"/>
                <w:sz w:val="20"/>
                <w:szCs w:val="20"/>
              </w:rPr>
            </w:pPr>
            <w:r w:rsidRPr="00B51669">
              <w:rPr>
                <w:rFonts w:cs="Arial"/>
                <w:color w:val="000000"/>
                <w:sz w:val="20"/>
                <w:szCs w:val="20"/>
              </w:rPr>
              <w:t>$</w:t>
            </w:r>
            <w:r w:rsidR="00772902">
              <w:rPr>
                <w:rFonts w:cs="Arial"/>
                <w:color w:val="000000"/>
                <w:sz w:val="20"/>
                <w:szCs w:val="20"/>
              </w:rPr>
              <w:t>800</w:t>
            </w:r>
            <w:r w:rsidRPr="00CC7F0A">
              <w:rPr>
                <w:rFonts w:cs="Arial"/>
                <w:color w:val="000000"/>
                <w:sz w:val="20"/>
                <w:szCs w:val="20"/>
              </w:rPr>
              <w:t>,000</w:t>
            </w:r>
          </w:p>
        </w:tc>
      </w:tr>
      <w:tr w:rsidR="00B51669" w:rsidRPr="00AB6C89" w14:paraId="4FFA2AC5" w14:textId="23112D09" w:rsidTr="000D2067">
        <w:trPr>
          <w:trHeight w:val="330"/>
        </w:trPr>
        <w:tc>
          <w:tcPr>
            <w:tcW w:w="2417" w:type="dxa"/>
            <w:vMerge/>
            <w:hideMark/>
          </w:tcPr>
          <w:p w14:paraId="4D2D631B" w14:textId="77777777" w:rsidR="00B51669" w:rsidRPr="00CC7F0A" w:rsidRDefault="00B51669" w:rsidP="00B51669">
            <w:pPr>
              <w:spacing w:before="120" w:after="120" w:line="276" w:lineRule="auto"/>
              <w:rPr>
                <w:rFonts w:eastAsia="Times New Roman" w:cstheme="minorHAnsi"/>
                <w:color w:val="000000"/>
                <w:spacing w:val="4"/>
                <w:sz w:val="20"/>
                <w:szCs w:val="20"/>
              </w:rPr>
            </w:pPr>
          </w:p>
        </w:tc>
        <w:tc>
          <w:tcPr>
            <w:tcW w:w="3135" w:type="dxa"/>
            <w:noWrap/>
            <w:vAlign w:val="center"/>
            <w:hideMark/>
          </w:tcPr>
          <w:p w14:paraId="613FEE54" w14:textId="77777777" w:rsidR="00B51669" w:rsidRPr="00CC7F0A" w:rsidRDefault="00B51669" w:rsidP="00B51669">
            <w:pPr>
              <w:spacing w:before="120" w:after="120"/>
              <w:rPr>
                <w:rFonts w:cstheme="minorHAnsi"/>
                <w:color w:val="000000"/>
                <w:sz w:val="20"/>
                <w:szCs w:val="20"/>
              </w:rPr>
            </w:pPr>
            <w:r w:rsidRPr="00CC7F0A">
              <w:rPr>
                <w:rFonts w:cstheme="minorHAnsi"/>
                <w:color w:val="000000"/>
                <w:sz w:val="20"/>
                <w:szCs w:val="20"/>
              </w:rPr>
              <w:t>General insurer</w:t>
            </w:r>
          </w:p>
        </w:tc>
        <w:tc>
          <w:tcPr>
            <w:tcW w:w="3402" w:type="dxa"/>
            <w:noWrap/>
            <w:vAlign w:val="center"/>
            <w:hideMark/>
          </w:tcPr>
          <w:p w14:paraId="6CA6FF74" w14:textId="69A2B82F" w:rsidR="00B51669" w:rsidRPr="00CC7F0A" w:rsidRDefault="00772902" w:rsidP="00772902">
            <w:pPr>
              <w:spacing w:before="120" w:after="120"/>
              <w:jc w:val="center"/>
              <w:rPr>
                <w:rFonts w:cstheme="minorHAnsi"/>
                <w:sz w:val="20"/>
                <w:szCs w:val="20"/>
              </w:rPr>
            </w:pPr>
            <w:r>
              <w:rPr>
                <w:rFonts w:cstheme="minorHAnsi"/>
                <w:sz w:val="20"/>
                <w:szCs w:val="20"/>
              </w:rPr>
              <w:t>3.60</w:t>
            </w:r>
            <w:r w:rsidR="00B51669" w:rsidRPr="00CC7F0A">
              <w:rPr>
                <w:rFonts w:cstheme="minorHAnsi"/>
                <w:sz w:val="20"/>
                <w:szCs w:val="20"/>
              </w:rPr>
              <w:t>%</w:t>
            </w:r>
          </w:p>
        </w:tc>
        <w:tc>
          <w:tcPr>
            <w:tcW w:w="1814" w:type="dxa"/>
            <w:shd w:val="clear" w:color="auto" w:fill="auto"/>
            <w:vAlign w:val="center"/>
          </w:tcPr>
          <w:p w14:paraId="5DA2F768" w14:textId="44F90F52" w:rsidR="00B51669" w:rsidRPr="00CC7F0A" w:rsidRDefault="00B51669" w:rsidP="00772902">
            <w:pPr>
              <w:spacing w:before="120" w:after="120"/>
              <w:jc w:val="center"/>
              <w:rPr>
                <w:rFonts w:cstheme="minorHAnsi"/>
                <w:color w:val="000000"/>
                <w:sz w:val="20"/>
                <w:szCs w:val="20"/>
              </w:rPr>
            </w:pPr>
            <w:r w:rsidRPr="00CC7F0A">
              <w:rPr>
                <w:rFonts w:cs="Arial"/>
                <w:color w:val="000000"/>
                <w:sz w:val="20"/>
                <w:szCs w:val="20"/>
              </w:rPr>
              <w:t>$6</w:t>
            </w:r>
            <w:r w:rsidR="00772902">
              <w:rPr>
                <w:rFonts w:cs="Arial"/>
                <w:color w:val="000000"/>
                <w:sz w:val="20"/>
                <w:szCs w:val="20"/>
              </w:rPr>
              <w:t>5</w:t>
            </w:r>
            <w:r w:rsidRPr="00CC7F0A">
              <w:rPr>
                <w:rFonts w:cs="Arial"/>
                <w:color w:val="000000"/>
                <w:sz w:val="20"/>
                <w:szCs w:val="20"/>
              </w:rPr>
              <w:t>0,000</w:t>
            </w:r>
          </w:p>
        </w:tc>
        <w:tc>
          <w:tcPr>
            <w:tcW w:w="1814" w:type="dxa"/>
            <w:vAlign w:val="center"/>
          </w:tcPr>
          <w:p w14:paraId="4261A6BD" w14:textId="03070AFF" w:rsidR="00B51669" w:rsidRPr="00CC7F0A" w:rsidRDefault="00B51669" w:rsidP="00772902">
            <w:pPr>
              <w:spacing w:before="120" w:after="120"/>
              <w:jc w:val="center"/>
              <w:rPr>
                <w:rFonts w:cstheme="minorHAnsi"/>
                <w:sz w:val="20"/>
                <w:szCs w:val="20"/>
              </w:rPr>
            </w:pPr>
            <w:r w:rsidRPr="00B51669">
              <w:rPr>
                <w:rFonts w:cs="Arial"/>
                <w:color w:val="000000"/>
                <w:sz w:val="20"/>
                <w:szCs w:val="20"/>
              </w:rPr>
              <w:t>$</w:t>
            </w:r>
            <w:r w:rsidR="00772902">
              <w:rPr>
                <w:rFonts w:cs="Arial"/>
                <w:color w:val="000000"/>
                <w:sz w:val="20"/>
                <w:szCs w:val="20"/>
              </w:rPr>
              <w:t>7</w:t>
            </w:r>
            <w:r w:rsidRPr="00CC7F0A">
              <w:rPr>
                <w:rFonts w:cs="Arial"/>
                <w:color w:val="000000"/>
                <w:sz w:val="20"/>
                <w:szCs w:val="20"/>
              </w:rPr>
              <w:t>00,000</w:t>
            </w:r>
          </w:p>
        </w:tc>
        <w:tc>
          <w:tcPr>
            <w:tcW w:w="1814" w:type="dxa"/>
            <w:vAlign w:val="center"/>
          </w:tcPr>
          <w:p w14:paraId="64F97C99" w14:textId="33918DF3" w:rsidR="00B51669" w:rsidRPr="00CC7F0A" w:rsidRDefault="00B51669" w:rsidP="00772902">
            <w:pPr>
              <w:spacing w:before="120" w:after="120"/>
              <w:jc w:val="center"/>
              <w:rPr>
                <w:rFonts w:cstheme="minorHAnsi"/>
                <w:sz w:val="20"/>
                <w:szCs w:val="20"/>
              </w:rPr>
            </w:pPr>
            <w:r w:rsidRPr="00B51669">
              <w:rPr>
                <w:rFonts w:cs="Arial"/>
                <w:color w:val="000000"/>
                <w:sz w:val="20"/>
                <w:szCs w:val="20"/>
              </w:rPr>
              <w:t>$</w:t>
            </w:r>
            <w:r w:rsidR="00772902">
              <w:rPr>
                <w:rFonts w:cs="Arial"/>
                <w:color w:val="000000"/>
                <w:sz w:val="20"/>
                <w:szCs w:val="20"/>
              </w:rPr>
              <w:t>7</w:t>
            </w:r>
            <w:r w:rsidRPr="00CC7F0A">
              <w:rPr>
                <w:rFonts w:cs="Arial"/>
                <w:color w:val="000000"/>
                <w:sz w:val="20"/>
                <w:szCs w:val="20"/>
              </w:rPr>
              <w:t>00,000</w:t>
            </w:r>
          </w:p>
        </w:tc>
      </w:tr>
      <w:tr w:rsidR="00705AEB" w:rsidRPr="00AB6C89" w14:paraId="4613649B" w14:textId="63BDD0AC" w:rsidTr="000D2067">
        <w:trPr>
          <w:trHeight w:val="330"/>
        </w:trPr>
        <w:tc>
          <w:tcPr>
            <w:tcW w:w="2417" w:type="dxa"/>
            <w:noWrap/>
            <w:hideMark/>
          </w:tcPr>
          <w:p w14:paraId="028121E6" w14:textId="77777777" w:rsidR="00705AEB" w:rsidRPr="00CC7F0A" w:rsidRDefault="00705AEB" w:rsidP="00705AEB">
            <w:pPr>
              <w:spacing w:before="120" w:after="120"/>
              <w:rPr>
                <w:rFonts w:cstheme="minorHAnsi"/>
                <w:color w:val="000000"/>
                <w:sz w:val="20"/>
                <w:szCs w:val="20"/>
              </w:rPr>
            </w:pPr>
            <w:r w:rsidRPr="00CC7F0A">
              <w:rPr>
                <w:rFonts w:cstheme="minorHAnsi"/>
                <w:color w:val="000000"/>
                <w:sz w:val="20"/>
                <w:szCs w:val="20"/>
              </w:rPr>
              <w:t>Energy</w:t>
            </w:r>
          </w:p>
        </w:tc>
        <w:tc>
          <w:tcPr>
            <w:tcW w:w="3135" w:type="dxa"/>
            <w:noWrap/>
            <w:vAlign w:val="center"/>
            <w:hideMark/>
          </w:tcPr>
          <w:p w14:paraId="2EFE3704" w14:textId="77777777" w:rsidR="00705AEB" w:rsidRPr="00CC7F0A" w:rsidRDefault="00705AEB" w:rsidP="00705AEB">
            <w:pPr>
              <w:spacing w:before="120" w:after="120"/>
              <w:rPr>
                <w:rFonts w:cstheme="minorHAnsi"/>
                <w:color w:val="000000"/>
                <w:sz w:val="20"/>
                <w:szCs w:val="20"/>
              </w:rPr>
            </w:pPr>
            <w:r w:rsidRPr="00CC7F0A">
              <w:rPr>
                <w:rFonts w:cstheme="minorHAnsi"/>
                <w:color w:val="000000"/>
                <w:sz w:val="20"/>
                <w:szCs w:val="20"/>
              </w:rPr>
              <w:t>Electricity retailer</w:t>
            </w:r>
          </w:p>
        </w:tc>
        <w:tc>
          <w:tcPr>
            <w:tcW w:w="3402" w:type="dxa"/>
            <w:noWrap/>
            <w:vAlign w:val="center"/>
            <w:hideMark/>
          </w:tcPr>
          <w:p w14:paraId="699172B7" w14:textId="42BFCB4A" w:rsidR="00705AEB" w:rsidRPr="00CC7F0A" w:rsidRDefault="00772902" w:rsidP="00705AEB">
            <w:pPr>
              <w:spacing w:before="120" w:after="120"/>
              <w:jc w:val="center"/>
              <w:rPr>
                <w:rFonts w:cstheme="minorHAnsi"/>
                <w:sz w:val="20"/>
                <w:szCs w:val="20"/>
              </w:rPr>
            </w:pPr>
            <w:r>
              <w:rPr>
                <w:rFonts w:cstheme="minorHAnsi"/>
                <w:sz w:val="20"/>
                <w:szCs w:val="20"/>
              </w:rPr>
              <w:t>15.31</w:t>
            </w:r>
            <w:r w:rsidR="00705AEB" w:rsidRPr="00CC7F0A">
              <w:rPr>
                <w:rFonts w:cstheme="minorHAnsi"/>
                <w:sz w:val="20"/>
                <w:szCs w:val="20"/>
              </w:rPr>
              <w:t>%</w:t>
            </w:r>
          </w:p>
        </w:tc>
        <w:tc>
          <w:tcPr>
            <w:tcW w:w="1814" w:type="dxa"/>
            <w:vAlign w:val="center"/>
          </w:tcPr>
          <w:p w14:paraId="0BEAB44B" w14:textId="07D6DB44" w:rsidR="00705AEB" w:rsidRPr="00CC7F0A" w:rsidRDefault="00B51669" w:rsidP="00772902">
            <w:pPr>
              <w:spacing w:before="120" w:after="120"/>
              <w:jc w:val="center"/>
              <w:rPr>
                <w:rFonts w:cstheme="minorHAnsi"/>
                <w:color w:val="000000"/>
                <w:sz w:val="20"/>
                <w:szCs w:val="20"/>
              </w:rPr>
            </w:pPr>
            <w:r w:rsidRPr="00B51669">
              <w:rPr>
                <w:sz w:val="20"/>
                <w:szCs w:val="20"/>
              </w:rPr>
              <w:t>$2.</w:t>
            </w:r>
            <w:r w:rsidR="00772902">
              <w:rPr>
                <w:sz w:val="20"/>
                <w:szCs w:val="20"/>
              </w:rPr>
              <w:t>8</w:t>
            </w:r>
            <w:r w:rsidR="00705AEB" w:rsidRPr="00CC7F0A">
              <w:rPr>
                <w:sz w:val="20"/>
                <w:szCs w:val="20"/>
              </w:rPr>
              <w:t xml:space="preserve"> million</w:t>
            </w:r>
          </w:p>
        </w:tc>
        <w:tc>
          <w:tcPr>
            <w:tcW w:w="1814" w:type="dxa"/>
            <w:vAlign w:val="center"/>
          </w:tcPr>
          <w:p w14:paraId="6A5512A1" w14:textId="3EDF553C" w:rsidR="00705AEB" w:rsidRPr="00CC7F0A" w:rsidRDefault="00B51669" w:rsidP="00772902">
            <w:pPr>
              <w:spacing w:before="120" w:after="120"/>
              <w:jc w:val="center"/>
              <w:rPr>
                <w:rFonts w:cstheme="minorHAnsi"/>
                <w:sz w:val="20"/>
                <w:szCs w:val="20"/>
              </w:rPr>
            </w:pPr>
            <w:r w:rsidRPr="00B51669">
              <w:rPr>
                <w:sz w:val="20"/>
                <w:szCs w:val="20"/>
              </w:rPr>
              <w:t>$2.</w:t>
            </w:r>
            <w:r w:rsidR="00772902">
              <w:rPr>
                <w:sz w:val="20"/>
                <w:szCs w:val="20"/>
              </w:rPr>
              <w:t>9</w:t>
            </w:r>
            <w:r w:rsidR="00705AEB" w:rsidRPr="00CC7F0A">
              <w:rPr>
                <w:sz w:val="20"/>
                <w:szCs w:val="20"/>
              </w:rPr>
              <w:t xml:space="preserve"> million</w:t>
            </w:r>
          </w:p>
        </w:tc>
        <w:tc>
          <w:tcPr>
            <w:tcW w:w="1814" w:type="dxa"/>
            <w:vAlign w:val="center"/>
          </w:tcPr>
          <w:p w14:paraId="03FB4EC0" w14:textId="48CE8E51" w:rsidR="00705AEB" w:rsidRPr="00CC7F0A" w:rsidRDefault="00B51669" w:rsidP="00772902">
            <w:pPr>
              <w:spacing w:before="120" w:after="120"/>
              <w:jc w:val="center"/>
              <w:rPr>
                <w:rFonts w:cstheme="minorHAnsi"/>
                <w:sz w:val="20"/>
                <w:szCs w:val="20"/>
              </w:rPr>
            </w:pPr>
            <w:r w:rsidRPr="00B51669">
              <w:rPr>
                <w:sz w:val="20"/>
                <w:szCs w:val="20"/>
              </w:rPr>
              <w:t>$</w:t>
            </w:r>
            <w:r w:rsidR="00772902">
              <w:rPr>
                <w:sz w:val="20"/>
                <w:szCs w:val="20"/>
              </w:rPr>
              <w:t>3</w:t>
            </w:r>
            <w:r w:rsidR="00705AEB" w:rsidRPr="00CC7F0A">
              <w:rPr>
                <w:sz w:val="20"/>
                <w:szCs w:val="20"/>
              </w:rPr>
              <w:t xml:space="preserve"> million</w:t>
            </w:r>
          </w:p>
        </w:tc>
      </w:tr>
      <w:tr w:rsidR="00705AEB" w:rsidRPr="00AB6C89" w14:paraId="3155F645" w14:textId="4202819A" w:rsidTr="000D2067">
        <w:trPr>
          <w:trHeight w:val="330"/>
        </w:trPr>
        <w:tc>
          <w:tcPr>
            <w:tcW w:w="2417" w:type="dxa"/>
            <w:noWrap/>
          </w:tcPr>
          <w:p w14:paraId="78BF7A4B" w14:textId="77777777" w:rsidR="00705AEB" w:rsidRPr="00CC7F0A" w:rsidRDefault="00705AEB" w:rsidP="00705AEB">
            <w:pPr>
              <w:spacing w:before="120" w:after="120"/>
              <w:rPr>
                <w:rFonts w:cstheme="minorHAnsi"/>
                <w:color w:val="000000"/>
                <w:sz w:val="20"/>
                <w:szCs w:val="20"/>
              </w:rPr>
            </w:pPr>
            <w:r w:rsidRPr="00CC7F0A">
              <w:rPr>
                <w:rFonts w:cstheme="minorHAnsi"/>
                <w:color w:val="000000"/>
                <w:sz w:val="20"/>
                <w:szCs w:val="20"/>
              </w:rPr>
              <w:t>Telecommunications</w:t>
            </w:r>
          </w:p>
        </w:tc>
        <w:tc>
          <w:tcPr>
            <w:tcW w:w="3135" w:type="dxa"/>
            <w:noWrap/>
            <w:vAlign w:val="center"/>
          </w:tcPr>
          <w:p w14:paraId="64C395F7" w14:textId="77777777" w:rsidR="00705AEB" w:rsidRPr="00CC7F0A" w:rsidRDefault="00705AEB" w:rsidP="00705AEB">
            <w:pPr>
              <w:spacing w:before="120" w:after="120"/>
              <w:rPr>
                <w:rFonts w:cstheme="minorHAnsi"/>
                <w:color w:val="000000"/>
                <w:sz w:val="20"/>
                <w:szCs w:val="20"/>
              </w:rPr>
            </w:pPr>
            <w:r w:rsidRPr="00CC7F0A">
              <w:rPr>
                <w:rFonts w:cstheme="minorHAnsi"/>
                <w:color w:val="000000"/>
                <w:sz w:val="20"/>
                <w:szCs w:val="20"/>
              </w:rPr>
              <w:t>Carriage Service Provider (CSP)</w:t>
            </w:r>
          </w:p>
        </w:tc>
        <w:tc>
          <w:tcPr>
            <w:tcW w:w="3402" w:type="dxa"/>
            <w:noWrap/>
            <w:vAlign w:val="center"/>
          </w:tcPr>
          <w:p w14:paraId="3E5D1559" w14:textId="400CBF80" w:rsidR="00705AEB" w:rsidRPr="00CC7F0A" w:rsidRDefault="00772902" w:rsidP="00705AEB">
            <w:pPr>
              <w:spacing w:before="120" w:after="120"/>
              <w:jc w:val="center"/>
              <w:rPr>
                <w:rFonts w:cstheme="minorHAnsi"/>
                <w:sz w:val="20"/>
                <w:szCs w:val="20"/>
              </w:rPr>
            </w:pPr>
            <w:r>
              <w:rPr>
                <w:rFonts w:cstheme="minorHAnsi"/>
                <w:sz w:val="20"/>
                <w:szCs w:val="20"/>
              </w:rPr>
              <w:t>7.26</w:t>
            </w:r>
            <w:r w:rsidR="00705AEB" w:rsidRPr="00CC7F0A">
              <w:rPr>
                <w:rFonts w:cstheme="minorHAnsi"/>
                <w:sz w:val="20"/>
                <w:szCs w:val="20"/>
              </w:rPr>
              <w:t>%</w:t>
            </w:r>
          </w:p>
        </w:tc>
        <w:tc>
          <w:tcPr>
            <w:tcW w:w="1814" w:type="dxa"/>
            <w:vAlign w:val="center"/>
          </w:tcPr>
          <w:p w14:paraId="1408D166" w14:textId="1414FF70" w:rsidR="00705AEB" w:rsidRPr="00CC7F0A" w:rsidRDefault="00705AEB" w:rsidP="00772902">
            <w:pPr>
              <w:spacing w:before="120" w:after="120"/>
              <w:jc w:val="center"/>
              <w:rPr>
                <w:rFonts w:cstheme="minorHAnsi"/>
                <w:sz w:val="20"/>
                <w:szCs w:val="20"/>
              </w:rPr>
            </w:pPr>
            <w:r w:rsidRPr="00CC7F0A">
              <w:rPr>
                <w:sz w:val="20"/>
                <w:szCs w:val="20"/>
              </w:rPr>
              <w:t>$1</w:t>
            </w:r>
            <w:r w:rsidR="00B51669">
              <w:rPr>
                <w:sz w:val="20"/>
                <w:szCs w:val="20"/>
              </w:rPr>
              <w:t>.</w:t>
            </w:r>
            <w:r w:rsidR="00772902">
              <w:rPr>
                <w:sz w:val="20"/>
                <w:szCs w:val="20"/>
              </w:rPr>
              <w:t>3</w:t>
            </w:r>
            <w:r w:rsidRPr="00CC7F0A">
              <w:rPr>
                <w:sz w:val="20"/>
                <w:szCs w:val="20"/>
              </w:rPr>
              <w:t xml:space="preserve"> million</w:t>
            </w:r>
            <w:r w:rsidRPr="00CC7F0A" w:rsidDel="009D40F0">
              <w:rPr>
                <w:rFonts w:cstheme="minorHAnsi"/>
                <w:sz w:val="20"/>
                <w:szCs w:val="20"/>
              </w:rPr>
              <w:t xml:space="preserve"> </w:t>
            </w:r>
          </w:p>
        </w:tc>
        <w:tc>
          <w:tcPr>
            <w:tcW w:w="1814" w:type="dxa"/>
            <w:vAlign w:val="center"/>
          </w:tcPr>
          <w:p w14:paraId="24D16699" w14:textId="17712CF9" w:rsidR="00705AEB" w:rsidRPr="00CC7F0A" w:rsidRDefault="00AA5CA2" w:rsidP="00772902">
            <w:pPr>
              <w:spacing w:before="120" w:after="120"/>
              <w:jc w:val="center"/>
              <w:rPr>
                <w:rFonts w:cstheme="minorHAnsi"/>
                <w:sz w:val="20"/>
                <w:szCs w:val="20"/>
              </w:rPr>
            </w:pPr>
            <w:r w:rsidRPr="00AA5CA2">
              <w:rPr>
                <w:sz w:val="20"/>
                <w:szCs w:val="20"/>
              </w:rPr>
              <w:t>$1.</w:t>
            </w:r>
            <w:r w:rsidR="00772902">
              <w:rPr>
                <w:sz w:val="20"/>
                <w:szCs w:val="20"/>
              </w:rPr>
              <w:t>4</w:t>
            </w:r>
            <w:r w:rsidR="00705AEB" w:rsidRPr="00CC7F0A">
              <w:rPr>
                <w:sz w:val="20"/>
                <w:szCs w:val="20"/>
              </w:rPr>
              <w:t xml:space="preserve"> million</w:t>
            </w:r>
          </w:p>
        </w:tc>
        <w:tc>
          <w:tcPr>
            <w:tcW w:w="1814" w:type="dxa"/>
            <w:vAlign w:val="center"/>
          </w:tcPr>
          <w:p w14:paraId="7532C2FD" w14:textId="0C225E24" w:rsidR="00705AEB" w:rsidRPr="00CC7F0A" w:rsidRDefault="00B51669" w:rsidP="00180BAE">
            <w:pPr>
              <w:spacing w:before="120" w:after="120"/>
              <w:jc w:val="center"/>
              <w:rPr>
                <w:rFonts w:cstheme="minorHAnsi"/>
                <w:sz w:val="20"/>
                <w:szCs w:val="20"/>
              </w:rPr>
            </w:pPr>
            <w:r w:rsidRPr="00B51669">
              <w:rPr>
                <w:sz w:val="20"/>
                <w:szCs w:val="20"/>
              </w:rPr>
              <w:t>$1.</w:t>
            </w:r>
            <w:r w:rsidR="00180BAE">
              <w:rPr>
                <w:sz w:val="20"/>
                <w:szCs w:val="20"/>
              </w:rPr>
              <w:t>4</w:t>
            </w:r>
            <w:r w:rsidR="00705AEB" w:rsidRPr="00CC7F0A">
              <w:rPr>
                <w:sz w:val="20"/>
                <w:szCs w:val="20"/>
              </w:rPr>
              <w:t xml:space="preserve"> million</w:t>
            </w:r>
          </w:p>
        </w:tc>
      </w:tr>
      <w:tr w:rsidR="00705AEB" w:rsidRPr="00AB6C89" w14:paraId="77BD7614" w14:textId="376F6024" w:rsidTr="000D2067">
        <w:trPr>
          <w:trHeight w:val="330"/>
        </w:trPr>
        <w:tc>
          <w:tcPr>
            <w:tcW w:w="2417" w:type="dxa"/>
            <w:noWrap/>
            <w:hideMark/>
          </w:tcPr>
          <w:p w14:paraId="49D58218" w14:textId="77777777" w:rsidR="00705AEB" w:rsidRPr="00CC7F0A" w:rsidRDefault="00705AEB" w:rsidP="00705AEB">
            <w:pPr>
              <w:spacing w:before="120" w:after="120"/>
              <w:rPr>
                <w:rFonts w:cstheme="minorHAnsi"/>
                <w:color w:val="000000"/>
                <w:sz w:val="20"/>
                <w:szCs w:val="20"/>
              </w:rPr>
            </w:pPr>
            <w:r w:rsidRPr="00CC7F0A">
              <w:rPr>
                <w:rFonts w:cstheme="minorHAnsi"/>
                <w:color w:val="000000"/>
                <w:sz w:val="20"/>
                <w:szCs w:val="20"/>
              </w:rPr>
              <w:t>Water</w:t>
            </w:r>
          </w:p>
        </w:tc>
        <w:tc>
          <w:tcPr>
            <w:tcW w:w="3135" w:type="dxa"/>
            <w:noWrap/>
            <w:vAlign w:val="center"/>
            <w:hideMark/>
          </w:tcPr>
          <w:p w14:paraId="1EECA212" w14:textId="77777777" w:rsidR="00705AEB" w:rsidRPr="00CC7F0A" w:rsidRDefault="00705AEB" w:rsidP="00705AEB">
            <w:pPr>
              <w:spacing w:before="120" w:after="120"/>
              <w:rPr>
                <w:rFonts w:cstheme="minorHAnsi"/>
                <w:color w:val="000000"/>
                <w:sz w:val="20"/>
                <w:szCs w:val="20"/>
              </w:rPr>
            </w:pPr>
            <w:r w:rsidRPr="00CC7F0A">
              <w:rPr>
                <w:rFonts w:cstheme="minorHAnsi"/>
                <w:color w:val="000000"/>
                <w:sz w:val="20"/>
                <w:szCs w:val="20"/>
              </w:rPr>
              <w:t>Water utility</w:t>
            </w:r>
          </w:p>
        </w:tc>
        <w:tc>
          <w:tcPr>
            <w:tcW w:w="3402" w:type="dxa"/>
            <w:noWrap/>
            <w:vAlign w:val="center"/>
            <w:hideMark/>
          </w:tcPr>
          <w:p w14:paraId="77124DB9" w14:textId="57BEA0A1" w:rsidR="00705AEB" w:rsidRPr="00CC7F0A" w:rsidRDefault="00180BAE" w:rsidP="00705AEB">
            <w:pPr>
              <w:spacing w:before="120" w:after="120"/>
              <w:jc w:val="center"/>
              <w:rPr>
                <w:rFonts w:cstheme="minorHAnsi"/>
                <w:sz w:val="20"/>
                <w:szCs w:val="20"/>
              </w:rPr>
            </w:pPr>
            <w:r>
              <w:rPr>
                <w:rFonts w:cstheme="minorHAnsi"/>
                <w:sz w:val="20"/>
                <w:szCs w:val="20"/>
              </w:rPr>
              <w:t>5.73</w:t>
            </w:r>
            <w:r w:rsidR="00705AEB" w:rsidRPr="00CC7F0A">
              <w:rPr>
                <w:rFonts w:cstheme="minorHAnsi"/>
                <w:sz w:val="20"/>
                <w:szCs w:val="20"/>
              </w:rPr>
              <w:t>%</w:t>
            </w:r>
          </w:p>
        </w:tc>
        <w:tc>
          <w:tcPr>
            <w:tcW w:w="1814" w:type="dxa"/>
            <w:vAlign w:val="center"/>
          </w:tcPr>
          <w:p w14:paraId="143CB376" w14:textId="108232CF" w:rsidR="00705AEB" w:rsidRPr="00CC7F0A" w:rsidRDefault="00B51669" w:rsidP="00180BAE">
            <w:pPr>
              <w:spacing w:before="120" w:after="120"/>
              <w:jc w:val="center"/>
              <w:rPr>
                <w:rFonts w:cstheme="minorHAnsi"/>
                <w:sz w:val="20"/>
                <w:szCs w:val="20"/>
              </w:rPr>
            </w:pPr>
            <w:r w:rsidRPr="00B51669">
              <w:rPr>
                <w:sz w:val="20"/>
                <w:szCs w:val="20"/>
              </w:rPr>
              <w:t>$</w:t>
            </w:r>
            <w:r w:rsidR="00180BAE">
              <w:rPr>
                <w:sz w:val="20"/>
                <w:szCs w:val="20"/>
              </w:rPr>
              <w:t>1 million</w:t>
            </w:r>
          </w:p>
        </w:tc>
        <w:tc>
          <w:tcPr>
            <w:tcW w:w="1814" w:type="dxa"/>
            <w:vAlign w:val="center"/>
          </w:tcPr>
          <w:p w14:paraId="5DF38938" w14:textId="297F8968" w:rsidR="00705AEB" w:rsidRPr="00CC7F0A" w:rsidRDefault="00705AEB" w:rsidP="00AA5CA2">
            <w:pPr>
              <w:spacing w:before="120" w:after="120"/>
              <w:jc w:val="center"/>
              <w:rPr>
                <w:rFonts w:cstheme="minorHAnsi"/>
                <w:sz w:val="20"/>
                <w:szCs w:val="20"/>
              </w:rPr>
            </w:pPr>
            <w:r w:rsidRPr="00CC7F0A">
              <w:rPr>
                <w:sz w:val="20"/>
                <w:szCs w:val="20"/>
              </w:rPr>
              <w:t>$</w:t>
            </w:r>
            <w:r w:rsidR="00AA5CA2">
              <w:rPr>
                <w:sz w:val="20"/>
                <w:szCs w:val="20"/>
              </w:rPr>
              <w:t>1</w:t>
            </w:r>
            <w:r w:rsidR="00180BAE">
              <w:rPr>
                <w:sz w:val="20"/>
                <w:szCs w:val="20"/>
              </w:rPr>
              <w:t>.1</w:t>
            </w:r>
            <w:r w:rsidR="00AA5CA2">
              <w:rPr>
                <w:sz w:val="20"/>
                <w:szCs w:val="20"/>
              </w:rPr>
              <w:t xml:space="preserve"> million</w:t>
            </w:r>
          </w:p>
        </w:tc>
        <w:tc>
          <w:tcPr>
            <w:tcW w:w="1814" w:type="dxa"/>
            <w:vAlign w:val="center"/>
          </w:tcPr>
          <w:p w14:paraId="46C82536" w14:textId="0E5BA2A4" w:rsidR="00705AEB" w:rsidRPr="00CC7F0A" w:rsidRDefault="00705AEB" w:rsidP="00B51669">
            <w:pPr>
              <w:spacing w:before="120" w:after="120"/>
              <w:jc w:val="center"/>
              <w:rPr>
                <w:rFonts w:cstheme="minorHAnsi"/>
                <w:sz w:val="20"/>
                <w:szCs w:val="20"/>
              </w:rPr>
            </w:pPr>
            <w:r w:rsidRPr="00CC7F0A">
              <w:rPr>
                <w:sz w:val="20"/>
                <w:szCs w:val="20"/>
              </w:rPr>
              <w:t>$</w:t>
            </w:r>
            <w:r w:rsidR="00B51669">
              <w:rPr>
                <w:sz w:val="20"/>
                <w:szCs w:val="20"/>
              </w:rPr>
              <w:t>1</w:t>
            </w:r>
            <w:r w:rsidR="00180BAE">
              <w:rPr>
                <w:sz w:val="20"/>
                <w:szCs w:val="20"/>
              </w:rPr>
              <w:t>.1</w:t>
            </w:r>
            <w:r w:rsidR="00B51669">
              <w:rPr>
                <w:sz w:val="20"/>
                <w:szCs w:val="20"/>
              </w:rPr>
              <w:t xml:space="preserve"> million</w:t>
            </w:r>
          </w:p>
        </w:tc>
      </w:tr>
      <w:tr w:rsidR="00705AEB" w:rsidRPr="00AB6C89" w14:paraId="234BD45C" w14:textId="238FB8F8" w:rsidTr="000D2067">
        <w:trPr>
          <w:trHeight w:val="330"/>
        </w:trPr>
        <w:tc>
          <w:tcPr>
            <w:tcW w:w="2417" w:type="dxa"/>
            <w:noWrap/>
          </w:tcPr>
          <w:p w14:paraId="0069AC01" w14:textId="77777777" w:rsidR="00705AEB" w:rsidRPr="00CC7F0A" w:rsidRDefault="00705AEB" w:rsidP="00705AEB">
            <w:pPr>
              <w:spacing w:before="120" w:after="120"/>
              <w:rPr>
                <w:rFonts w:cstheme="minorHAnsi"/>
                <w:color w:val="000000"/>
                <w:sz w:val="20"/>
                <w:szCs w:val="20"/>
              </w:rPr>
            </w:pPr>
          </w:p>
        </w:tc>
        <w:tc>
          <w:tcPr>
            <w:tcW w:w="3135" w:type="dxa"/>
            <w:noWrap/>
            <w:vAlign w:val="center"/>
          </w:tcPr>
          <w:p w14:paraId="70F848B9" w14:textId="77777777" w:rsidR="00705AEB" w:rsidRPr="00CC7F0A" w:rsidRDefault="00705AEB" w:rsidP="00705AEB">
            <w:pPr>
              <w:spacing w:before="120" w:after="120"/>
              <w:rPr>
                <w:rFonts w:cstheme="minorHAnsi"/>
                <w:color w:val="000000"/>
                <w:sz w:val="20"/>
                <w:szCs w:val="20"/>
              </w:rPr>
            </w:pPr>
          </w:p>
        </w:tc>
        <w:tc>
          <w:tcPr>
            <w:tcW w:w="3402" w:type="dxa"/>
            <w:noWrap/>
            <w:vAlign w:val="center"/>
            <w:hideMark/>
          </w:tcPr>
          <w:p w14:paraId="000AE16A" w14:textId="77777777" w:rsidR="00705AEB" w:rsidRPr="00CC7F0A" w:rsidRDefault="00705AEB" w:rsidP="00705AEB">
            <w:pPr>
              <w:spacing w:before="120" w:after="120"/>
              <w:jc w:val="center"/>
              <w:rPr>
                <w:rFonts w:cstheme="minorHAnsi"/>
                <w:b/>
                <w:color w:val="000000"/>
                <w:sz w:val="20"/>
                <w:szCs w:val="20"/>
              </w:rPr>
            </w:pPr>
            <w:r w:rsidRPr="00CC7F0A">
              <w:rPr>
                <w:rFonts w:cstheme="minorHAnsi"/>
                <w:b/>
                <w:color w:val="000000"/>
                <w:sz w:val="20"/>
                <w:szCs w:val="20"/>
              </w:rPr>
              <w:t>100.00%</w:t>
            </w:r>
          </w:p>
        </w:tc>
        <w:tc>
          <w:tcPr>
            <w:tcW w:w="1814" w:type="dxa"/>
            <w:vAlign w:val="center"/>
          </w:tcPr>
          <w:p w14:paraId="3C765947" w14:textId="7C49AB11" w:rsidR="00705AEB" w:rsidRPr="00CC7F0A" w:rsidRDefault="00B51669" w:rsidP="00705AEB">
            <w:pPr>
              <w:spacing w:before="120" w:after="120"/>
              <w:jc w:val="center"/>
              <w:rPr>
                <w:rFonts w:cstheme="minorHAnsi"/>
                <w:b/>
                <w:color w:val="000000"/>
                <w:sz w:val="20"/>
                <w:szCs w:val="20"/>
              </w:rPr>
            </w:pPr>
            <w:r w:rsidRPr="00B51669">
              <w:rPr>
                <w:rFonts w:cstheme="minorHAnsi"/>
                <w:b/>
                <w:color w:val="000000"/>
                <w:sz w:val="20"/>
                <w:szCs w:val="20"/>
              </w:rPr>
              <w:t>$18.1</w:t>
            </w:r>
            <w:r w:rsidR="00705AEB" w:rsidRPr="00CC7F0A">
              <w:rPr>
                <w:rFonts w:cstheme="minorHAnsi"/>
                <w:b/>
                <w:color w:val="000000"/>
                <w:sz w:val="20"/>
                <w:szCs w:val="20"/>
              </w:rPr>
              <w:t xml:space="preserve"> million</w:t>
            </w:r>
          </w:p>
        </w:tc>
        <w:tc>
          <w:tcPr>
            <w:tcW w:w="1814" w:type="dxa"/>
            <w:vAlign w:val="center"/>
          </w:tcPr>
          <w:p w14:paraId="229B43C7" w14:textId="3134AF80" w:rsidR="00705AEB" w:rsidRPr="00CC7F0A" w:rsidRDefault="00B51669" w:rsidP="00705AEB">
            <w:pPr>
              <w:spacing w:before="120" w:after="120"/>
              <w:jc w:val="center"/>
              <w:rPr>
                <w:rFonts w:cstheme="minorHAnsi"/>
                <w:b/>
                <w:color w:val="000000"/>
                <w:sz w:val="20"/>
                <w:szCs w:val="20"/>
              </w:rPr>
            </w:pPr>
            <w:r w:rsidRPr="00B51669">
              <w:rPr>
                <w:rFonts w:cstheme="minorHAnsi"/>
                <w:b/>
                <w:color w:val="000000"/>
                <w:sz w:val="20"/>
                <w:szCs w:val="20"/>
              </w:rPr>
              <w:t>$18.7</w:t>
            </w:r>
            <w:r w:rsidR="00705AEB" w:rsidRPr="00CC7F0A">
              <w:rPr>
                <w:rFonts w:cstheme="minorHAnsi"/>
                <w:b/>
                <w:color w:val="000000"/>
                <w:sz w:val="20"/>
                <w:szCs w:val="20"/>
              </w:rPr>
              <w:t xml:space="preserve"> million</w:t>
            </w:r>
          </w:p>
        </w:tc>
        <w:tc>
          <w:tcPr>
            <w:tcW w:w="1814" w:type="dxa"/>
            <w:vAlign w:val="center"/>
          </w:tcPr>
          <w:p w14:paraId="5BB7B904" w14:textId="4D3D92F2" w:rsidR="00705AEB" w:rsidRPr="00CC7F0A" w:rsidRDefault="00B51669" w:rsidP="00705AEB">
            <w:pPr>
              <w:spacing w:before="120" w:after="120"/>
              <w:jc w:val="center"/>
              <w:rPr>
                <w:rFonts w:cstheme="minorHAnsi"/>
                <w:b/>
                <w:color w:val="000000"/>
                <w:sz w:val="20"/>
                <w:szCs w:val="20"/>
              </w:rPr>
            </w:pPr>
            <w:r w:rsidRPr="00B51669">
              <w:rPr>
                <w:rFonts w:cstheme="minorHAnsi"/>
                <w:b/>
                <w:color w:val="000000"/>
                <w:sz w:val="20"/>
                <w:szCs w:val="20"/>
              </w:rPr>
              <w:t>$19.4</w:t>
            </w:r>
            <w:r w:rsidR="00705AEB" w:rsidRPr="00CC7F0A">
              <w:rPr>
                <w:rFonts w:cstheme="minorHAnsi"/>
                <w:b/>
                <w:color w:val="000000"/>
                <w:sz w:val="20"/>
                <w:szCs w:val="20"/>
              </w:rPr>
              <w:t xml:space="preserve"> million</w:t>
            </w:r>
          </w:p>
        </w:tc>
      </w:tr>
    </w:tbl>
    <w:p w14:paraId="61E1532C" w14:textId="77777777" w:rsidR="0031155B" w:rsidRDefault="0031155B">
      <w:pPr>
        <w:rPr>
          <w:rFonts w:eastAsia="Calibri" w:cs="Segoe UI"/>
          <w:b/>
          <w:caps/>
          <w:color w:val="0D0D0D" w:themeColor="text2" w:themeTint="F2"/>
          <w:sz w:val="20"/>
        </w:rPr>
      </w:pPr>
    </w:p>
    <w:p w14:paraId="74F21EEB" w14:textId="77777777" w:rsidR="0031155B" w:rsidRDefault="0031155B">
      <w:pPr>
        <w:rPr>
          <w:rFonts w:eastAsia="Calibri" w:cs="Segoe UI"/>
          <w:b/>
          <w:caps/>
          <w:color w:val="0D0D0D" w:themeColor="text2" w:themeTint="F2"/>
          <w:sz w:val="20"/>
        </w:rPr>
      </w:pPr>
    </w:p>
    <w:p w14:paraId="27A0EE7A" w14:textId="11F0434B" w:rsidR="0031155B" w:rsidRDefault="0031155B" w:rsidP="0031155B">
      <w:pPr>
        <w:rPr>
          <w:rFonts w:eastAsiaTheme="majorEastAsia"/>
          <w:b/>
        </w:rPr>
      </w:pPr>
      <w:r>
        <w:rPr>
          <w:rFonts w:eastAsia="Calibri" w:cs="Segoe UI"/>
          <w:b/>
          <w:caps/>
          <w:color w:val="0D0D0D" w:themeColor="text2" w:themeTint="F2"/>
          <w:sz w:val="20"/>
        </w:rPr>
        <w:br w:type="page"/>
      </w:r>
      <w:r w:rsidR="006F6A74" w:rsidRPr="00803599">
        <w:rPr>
          <w:rFonts w:eastAsiaTheme="majorEastAsia"/>
          <w:b/>
        </w:rPr>
        <w:lastRenderedPageBreak/>
        <w:t>D</w:t>
      </w:r>
      <w:r w:rsidR="006F6A74">
        <w:rPr>
          <w:rFonts w:eastAsiaTheme="majorEastAsia"/>
          <w:b/>
        </w:rPr>
        <w:t xml:space="preserve">IAGRAM </w:t>
      </w:r>
      <w:r w:rsidR="00921A18">
        <w:rPr>
          <w:rFonts w:eastAsiaTheme="majorEastAsia"/>
          <w:b/>
        </w:rPr>
        <w:t>2</w:t>
      </w:r>
      <w:r>
        <w:rPr>
          <w:rFonts w:eastAsiaTheme="majorEastAsia"/>
          <w:b/>
        </w:rPr>
        <w:t>:</w:t>
      </w:r>
      <w:r w:rsidRPr="00803599">
        <w:rPr>
          <w:rFonts w:eastAsiaTheme="majorEastAsia"/>
          <w:b/>
        </w:rPr>
        <w:t xml:space="preserve"> </w:t>
      </w:r>
      <w:r w:rsidRPr="00803599">
        <w:rPr>
          <w:rFonts w:eastAsiaTheme="majorEastAsia"/>
          <w:b/>
        </w:rPr>
        <w:tab/>
      </w:r>
      <w:r>
        <w:rPr>
          <w:rFonts w:eastAsiaTheme="majorEastAsia"/>
          <w:b/>
        </w:rPr>
        <w:t>Sector Split by Year</w:t>
      </w:r>
    </w:p>
    <w:p w14:paraId="5EA278B9" w14:textId="1446B8ED" w:rsidR="0031155B" w:rsidRDefault="001D6060" w:rsidP="0031155B">
      <w:pPr>
        <w:rPr>
          <w:rFonts w:eastAsiaTheme="majorEastAsia"/>
          <w:b/>
        </w:rPr>
      </w:pPr>
      <w:r>
        <w:rPr>
          <w:rFonts w:eastAsiaTheme="majorEastAsia"/>
          <w:b/>
          <w:noProof/>
          <w:lang w:eastAsia="en-AU"/>
        </w:rPr>
        <w:drawing>
          <wp:inline distT="0" distB="0" distL="0" distR="0" wp14:anchorId="16380373" wp14:editId="0F565385">
            <wp:extent cx="8304028" cy="4868642"/>
            <wp:effectExtent l="0" t="0" r="1905" b="8255"/>
            <wp:docPr id="1076445" name="Picture 1076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08802" cy="4871441"/>
                    </a:xfrm>
                    <a:prstGeom prst="rect">
                      <a:avLst/>
                    </a:prstGeom>
                    <a:noFill/>
                  </pic:spPr>
                </pic:pic>
              </a:graphicData>
            </a:graphic>
          </wp:inline>
        </w:drawing>
      </w:r>
    </w:p>
    <w:p w14:paraId="2C645A5C" w14:textId="63180A07" w:rsidR="0031155B" w:rsidRDefault="0031155B">
      <w:pPr>
        <w:rPr>
          <w:rFonts w:eastAsia="Calibri" w:cs="Segoe UI"/>
          <w:b/>
          <w:caps/>
          <w:color w:val="0D0D0D" w:themeColor="text2" w:themeTint="F2"/>
          <w:sz w:val="20"/>
        </w:rPr>
      </w:pPr>
      <w:r>
        <w:rPr>
          <w:rFonts w:eastAsia="Calibri" w:cs="Segoe UI"/>
          <w:b/>
          <w:caps/>
          <w:color w:val="0D0D0D" w:themeColor="text2" w:themeTint="F2"/>
          <w:sz w:val="20"/>
        </w:rPr>
        <w:br w:type="page"/>
      </w:r>
    </w:p>
    <w:p w14:paraId="0C5923BB" w14:textId="77777777" w:rsidR="00C02B98" w:rsidRDefault="00C02B98">
      <w:pPr>
        <w:rPr>
          <w:rFonts w:eastAsia="Calibri" w:cs="Segoe UI"/>
          <w:b/>
          <w:caps/>
          <w:color w:val="0D0D0D" w:themeColor="text2" w:themeTint="F2"/>
          <w:sz w:val="20"/>
        </w:rPr>
        <w:sectPr w:rsidR="00C02B98" w:rsidSect="002747A0">
          <w:pgSz w:w="16838" w:h="11906" w:orient="landscape"/>
          <w:pgMar w:top="1134" w:right="1134" w:bottom="1418" w:left="1418" w:header="284" w:footer="459" w:gutter="0"/>
          <w:cols w:space="708"/>
          <w:titlePg/>
          <w:docGrid w:linePitch="360"/>
        </w:sectPr>
      </w:pPr>
    </w:p>
    <w:p w14:paraId="47929328" w14:textId="6DF223C5" w:rsidR="00F6708C" w:rsidRPr="00BB48C8" w:rsidRDefault="00960488" w:rsidP="00BB48C8">
      <w:pPr>
        <w:pStyle w:val="Heading2"/>
      </w:pPr>
      <w:bookmarkStart w:id="25" w:name="_Toc118288273"/>
      <w:r>
        <w:lastRenderedPageBreak/>
        <w:t xml:space="preserve">Calculating </w:t>
      </w:r>
      <w:r w:rsidR="00947162">
        <w:t>suggested</w:t>
      </w:r>
      <w:r>
        <w:t xml:space="preserve"> c</w:t>
      </w:r>
      <w:r w:rsidR="00F6708C" w:rsidRPr="00BB48C8">
        <w:t xml:space="preserve">ontributions within </w:t>
      </w:r>
      <w:r w:rsidR="00172041">
        <w:t>s</w:t>
      </w:r>
      <w:r w:rsidR="00F6708C" w:rsidRPr="00BB48C8">
        <w:t>ubsectors</w:t>
      </w:r>
      <w:bookmarkEnd w:id="25"/>
    </w:p>
    <w:p w14:paraId="7F834720" w14:textId="096A8DE7" w:rsidR="00AC2FE7" w:rsidRPr="00DC133C" w:rsidRDefault="00AC2FE7" w:rsidP="00F914A4">
      <w:pPr>
        <w:rPr>
          <w:rFonts w:eastAsiaTheme="majorEastAsia" w:cs="Arial"/>
          <w:b/>
          <w:lang w:bidi="en-US"/>
        </w:rPr>
      </w:pPr>
      <w:r>
        <w:rPr>
          <w:rFonts w:eastAsiaTheme="majorEastAsia" w:cs="Arial"/>
          <w:b/>
          <w:lang w:bidi="en-US"/>
        </w:rPr>
        <w:t xml:space="preserve">What options are available to calculate the </w:t>
      </w:r>
      <w:r w:rsidR="00947162">
        <w:rPr>
          <w:rFonts w:eastAsiaTheme="majorEastAsia" w:cs="Arial"/>
          <w:b/>
          <w:lang w:bidi="en-US"/>
        </w:rPr>
        <w:t>suggested</w:t>
      </w:r>
      <w:r>
        <w:rPr>
          <w:rFonts w:eastAsiaTheme="majorEastAsia" w:cs="Arial"/>
          <w:b/>
          <w:lang w:bidi="en-US"/>
        </w:rPr>
        <w:t xml:space="preserve"> contributions</w:t>
      </w:r>
      <w:r w:rsidR="00947162">
        <w:rPr>
          <w:rFonts w:eastAsiaTheme="majorEastAsia" w:cs="Arial"/>
          <w:b/>
          <w:lang w:bidi="en-US"/>
        </w:rPr>
        <w:t xml:space="preserve"> at the business level (i.e. within subsectors)</w:t>
      </w:r>
      <w:r w:rsidRPr="00DC133C">
        <w:rPr>
          <w:rFonts w:eastAsiaTheme="majorEastAsia" w:cs="Arial"/>
          <w:b/>
          <w:lang w:bidi="en-US"/>
        </w:rPr>
        <w:t>?</w:t>
      </w:r>
    </w:p>
    <w:p w14:paraId="5D24467D" w14:textId="70D35BD0" w:rsidR="00F6708C" w:rsidRDefault="001B2DED" w:rsidP="00F914A4">
      <w:pPr>
        <w:rPr>
          <w:highlight w:val="yellow"/>
        </w:rPr>
      </w:pPr>
      <w:r>
        <w:t>The</w:t>
      </w:r>
      <w:r w:rsidR="00D31DE9">
        <w:t xml:space="preserve"> </w:t>
      </w:r>
      <w:r w:rsidR="00F6019B">
        <w:t xml:space="preserve">2021 </w:t>
      </w:r>
      <w:r w:rsidR="00F6708C" w:rsidRPr="00D31CE6">
        <w:t xml:space="preserve">survey of financial counsellor time </w:t>
      </w:r>
      <w:r>
        <w:t>does not provide the granular information need</w:t>
      </w:r>
      <w:r w:rsidR="00D31DE9">
        <w:t>ed</w:t>
      </w:r>
      <w:r>
        <w:t xml:space="preserve"> to determine the contribution</w:t>
      </w:r>
      <w:r w:rsidR="00EB055E">
        <w:t>s</w:t>
      </w:r>
      <w:r>
        <w:t xml:space="preserve"> of </w:t>
      </w:r>
      <w:r w:rsidR="00EB055E">
        <w:t xml:space="preserve">individual </w:t>
      </w:r>
      <w:r>
        <w:t>business</w:t>
      </w:r>
      <w:r w:rsidR="002D636E">
        <w:t>es</w:t>
      </w:r>
      <w:r>
        <w:t xml:space="preserve"> </w:t>
      </w:r>
      <w:r w:rsidR="00F6019B">
        <w:t xml:space="preserve">within </w:t>
      </w:r>
      <w:r>
        <w:t xml:space="preserve">each </w:t>
      </w:r>
      <w:r w:rsidR="00F6019B">
        <w:t>subsector</w:t>
      </w:r>
      <w:r w:rsidR="00F6708C" w:rsidRPr="00D31CE6">
        <w:t xml:space="preserve">. </w:t>
      </w:r>
      <w:r w:rsidR="001D0C78">
        <w:t xml:space="preserve">Collecting this information would have been administratively burdensome on the financial counsellors undertaking the survey, as </w:t>
      </w:r>
      <w:r>
        <w:t xml:space="preserve">there is no standardised approach </w:t>
      </w:r>
      <w:r w:rsidR="001D0C78">
        <w:t xml:space="preserve">to categorising </w:t>
      </w:r>
      <w:r w:rsidR="00650A9D">
        <w:t xml:space="preserve">cross-sector </w:t>
      </w:r>
      <w:r w:rsidR="001D0C78">
        <w:t>businesses</w:t>
      </w:r>
      <w:r>
        <w:t xml:space="preserve">. </w:t>
      </w:r>
      <w:r w:rsidR="00AA735F">
        <w:t xml:space="preserve">  </w:t>
      </w:r>
    </w:p>
    <w:p w14:paraId="02D9DDE9" w14:textId="63296F20" w:rsidR="00EC386F" w:rsidRDefault="00EC386F" w:rsidP="00E9797A">
      <w:r>
        <w:t>A first step will be identifying whether any businesses</w:t>
      </w:r>
      <w:r w:rsidR="00072B92">
        <w:t xml:space="preserve"> within subsectors</w:t>
      </w:r>
      <w:r>
        <w:t xml:space="preserve"> should be excluded from suggested contributions</w:t>
      </w:r>
      <w:r w:rsidR="00072B92">
        <w:t xml:space="preserve"> (e.g. small businesses). </w:t>
      </w:r>
    </w:p>
    <w:p w14:paraId="5F1F86DD" w14:textId="055D98D6" w:rsidR="00A133B6" w:rsidRDefault="00D37D95" w:rsidP="00F914A4">
      <w:r>
        <w:t>T</w:t>
      </w:r>
      <w:r w:rsidR="00F6708C" w:rsidRPr="00D31CE6">
        <w:t xml:space="preserve">o </w:t>
      </w:r>
      <w:r w:rsidR="00400EB1">
        <w:t>develop</w:t>
      </w:r>
      <w:r w:rsidR="00400EB1" w:rsidRPr="00D31CE6">
        <w:t xml:space="preserve"> </w:t>
      </w:r>
      <w:r w:rsidR="00F6708C" w:rsidRPr="00D31CE6">
        <w:t xml:space="preserve">how </w:t>
      </w:r>
      <w:r>
        <w:t xml:space="preserve">individual </w:t>
      </w:r>
      <w:r w:rsidR="00F6708C" w:rsidRPr="00D31CE6">
        <w:t>contribution amount</w:t>
      </w:r>
      <w:r>
        <w:t>s</w:t>
      </w:r>
      <w:r w:rsidR="00F6708C" w:rsidRPr="00D31CE6">
        <w:t xml:space="preserve"> </w:t>
      </w:r>
      <w:r w:rsidR="00400EB1">
        <w:t xml:space="preserve">are </w:t>
      </w:r>
      <w:r>
        <w:t xml:space="preserve">determined </w:t>
      </w:r>
      <w:r w:rsidR="00F6708C" w:rsidRPr="00D31CE6">
        <w:t xml:space="preserve">within each </w:t>
      </w:r>
      <w:r w:rsidR="00400EB1" w:rsidRPr="00D31CE6">
        <w:t>s</w:t>
      </w:r>
      <w:r w:rsidR="00400EB1">
        <w:t>ubsector</w:t>
      </w:r>
      <w:r w:rsidR="00F6708C" w:rsidRPr="00D31CE6">
        <w:t>,</w:t>
      </w:r>
      <w:r w:rsidR="00A133B6">
        <w:t xml:space="preserve"> two options are </w:t>
      </w:r>
      <w:r w:rsidR="001B2DED">
        <w:t>available</w:t>
      </w:r>
      <w:r>
        <w:t xml:space="preserve">. </w:t>
      </w:r>
      <w:r w:rsidR="00F6708C" w:rsidRPr="00D31CE6">
        <w:t xml:space="preserve"> </w:t>
      </w:r>
    </w:p>
    <w:p w14:paraId="1798059F" w14:textId="72BD0070" w:rsidR="00CB650E" w:rsidRDefault="00CB650E">
      <w:r w:rsidRPr="00FE094E">
        <w:rPr>
          <w:b/>
        </w:rPr>
        <w:t>Option 1:</w:t>
      </w:r>
      <w:r>
        <w:t xml:space="preserve"> </w:t>
      </w:r>
      <w:r w:rsidR="00F6708C" w:rsidRPr="00D31CE6">
        <w:t xml:space="preserve">peak body </w:t>
      </w:r>
      <w:r>
        <w:t xml:space="preserve">representatives work with their subsector </w:t>
      </w:r>
      <w:r w:rsidR="00F6708C" w:rsidRPr="00D31CE6">
        <w:t xml:space="preserve">to determine an appropriate methodology to apportion </w:t>
      </w:r>
      <w:r>
        <w:t xml:space="preserve">within subsector </w:t>
      </w:r>
      <w:r w:rsidR="00F6708C" w:rsidRPr="00D31CE6">
        <w:t>contributions</w:t>
      </w:r>
      <w:r w:rsidR="0028387B">
        <w:t xml:space="preserve">, and advise the Department of the approach. </w:t>
      </w:r>
    </w:p>
    <w:p w14:paraId="53B104E6" w14:textId="6CA21DB7" w:rsidR="00F6708C" w:rsidRPr="00CB650E" w:rsidRDefault="00CB650E">
      <w:r w:rsidRPr="00CB650E">
        <w:rPr>
          <w:b/>
        </w:rPr>
        <w:t>Option 2:</w:t>
      </w:r>
      <w:r>
        <w:rPr>
          <w:b/>
        </w:rPr>
        <w:t xml:space="preserve"> </w:t>
      </w:r>
      <w:r>
        <w:t>subsectors and their peak body representatives work with the Department to determine an</w:t>
      </w:r>
      <w:r w:rsidRPr="00D31CE6">
        <w:t xml:space="preserve"> appropriate methodology to apportion </w:t>
      </w:r>
      <w:r>
        <w:t xml:space="preserve">within subsector </w:t>
      </w:r>
      <w:r w:rsidRPr="00D31CE6">
        <w:t>contributions</w:t>
      </w:r>
      <w:r>
        <w:t xml:space="preserve">. </w:t>
      </w:r>
    </w:p>
    <w:p w14:paraId="620373B7" w14:textId="7183BCD9" w:rsidR="00F6708C" w:rsidRDefault="007B771D">
      <w:r>
        <w:t>Below are po</w:t>
      </w:r>
      <w:r w:rsidR="00F161AB">
        <w:t xml:space="preserve">tential </w:t>
      </w:r>
      <w:r>
        <w:t xml:space="preserve">methodologies </w:t>
      </w:r>
      <w:r w:rsidR="0094195E">
        <w:t xml:space="preserve">for subsectors within the financial services, energy, telecommunications, </w:t>
      </w:r>
      <w:r w:rsidR="00A13AAE">
        <w:t xml:space="preserve">and </w:t>
      </w:r>
      <w:r w:rsidR="0094195E">
        <w:t>water</w:t>
      </w:r>
      <w:r w:rsidR="00CA3039">
        <w:t xml:space="preserve"> sectors</w:t>
      </w:r>
      <w:r w:rsidR="0094195E">
        <w:t xml:space="preserve">.  </w:t>
      </w:r>
    </w:p>
    <w:p w14:paraId="45F93811" w14:textId="004734D4" w:rsidR="00F6708C" w:rsidRPr="00BB48C8" w:rsidRDefault="009104FA" w:rsidP="00F914A4">
      <w:pPr>
        <w:pStyle w:val="Style1"/>
        <w:spacing w:before="0" w:after="160"/>
      </w:pPr>
      <w:bookmarkStart w:id="26" w:name="_Toc66209659"/>
      <w:r w:rsidRPr="00BB48C8">
        <w:t xml:space="preserve">Subsectors within the </w:t>
      </w:r>
      <w:r w:rsidR="00F6708C" w:rsidRPr="00BB48C8">
        <w:t>Financial Services</w:t>
      </w:r>
      <w:bookmarkEnd w:id="26"/>
      <w:r w:rsidR="00F6708C" w:rsidRPr="00BB48C8">
        <w:t xml:space="preserve"> sector</w:t>
      </w:r>
    </w:p>
    <w:p w14:paraId="04E8B733" w14:textId="5BF83F71" w:rsidR="00F6708C" w:rsidRDefault="003A1A92" w:rsidP="00E9797A">
      <w:r>
        <w:t xml:space="preserve">Three </w:t>
      </w:r>
      <w:r w:rsidR="00F6708C">
        <w:t xml:space="preserve">approaches are </w:t>
      </w:r>
      <w:r>
        <w:t>outlined</w:t>
      </w:r>
      <w:r w:rsidR="00F6708C">
        <w:t xml:space="preserve"> for subsectors within the financial services sector.</w:t>
      </w:r>
    </w:p>
    <w:p w14:paraId="6EC8DCE4" w14:textId="28C06196" w:rsidR="00F6708C" w:rsidRPr="00446043" w:rsidRDefault="00F6708C" w:rsidP="00F914A4">
      <w:pPr>
        <w:rPr>
          <w:i/>
        </w:rPr>
      </w:pPr>
      <w:r w:rsidRPr="00446043">
        <w:rPr>
          <w:bCs/>
          <w:i/>
        </w:rPr>
        <w:t>Method 1:</w:t>
      </w:r>
      <w:r w:rsidRPr="00446043">
        <w:rPr>
          <w:i/>
        </w:rPr>
        <w:t xml:space="preserve"> </w:t>
      </w:r>
      <w:r w:rsidR="00E838F1" w:rsidRPr="00DC133C">
        <w:rPr>
          <w:i/>
        </w:rPr>
        <w:t>Australian Financial Complaints Authority</w:t>
      </w:r>
      <w:r w:rsidR="00E838F1" w:rsidRPr="00446043">
        <w:rPr>
          <w:i/>
        </w:rPr>
        <w:t xml:space="preserve"> </w:t>
      </w:r>
      <w:r w:rsidR="00E838F1">
        <w:rPr>
          <w:i/>
        </w:rPr>
        <w:t>(</w:t>
      </w:r>
      <w:r w:rsidRPr="00446043">
        <w:rPr>
          <w:i/>
        </w:rPr>
        <w:t>AFCA</w:t>
      </w:r>
      <w:r w:rsidR="00E838F1">
        <w:rPr>
          <w:i/>
        </w:rPr>
        <w:t>)</w:t>
      </w:r>
      <w:r w:rsidRPr="00446043">
        <w:rPr>
          <w:i/>
        </w:rPr>
        <w:t xml:space="preserve"> Membership Levy</w:t>
      </w:r>
    </w:p>
    <w:p w14:paraId="0E243D21" w14:textId="0786A685" w:rsidR="00F6708C" w:rsidRDefault="00F6708C" w:rsidP="00F914A4">
      <w:r w:rsidRPr="00894B09">
        <w:t>Th</w:t>
      </w:r>
      <w:r w:rsidR="00285194">
        <w:t xml:space="preserve">is </w:t>
      </w:r>
      <w:r w:rsidRPr="00894B09">
        <w:t xml:space="preserve">approach </w:t>
      </w:r>
      <w:r w:rsidR="00285194">
        <w:t xml:space="preserve">would </w:t>
      </w:r>
      <w:r w:rsidRPr="00894B09">
        <w:t xml:space="preserve">utilise size categories calculated for the AFCA membership levy. </w:t>
      </w:r>
      <w:r w:rsidRPr="00EE57BB">
        <w:t>These fees use metrics such as loan book size, funds held in deposits, and gross written premium on insurance to create a standard set of size</w:t>
      </w:r>
      <w:r>
        <w:t xml:space="preserve"> categories</w:t>
      </w:r>
      <w:r w:rsidRPr="00EE57BB">
        <w:t xml:space="preserve"> that are comparable across </w:t>
      </w:r>
      <w:r w:rsidR="00EC386F">
        <w:t xml:space="preserve">subsectors within </w:t>
      </w:r>
      <w:r w:rsidR="00F97A84">
        <w:t>f</w:t>
      </w:r>
      <w:r w:rsidRPr="00EE57BB">
        <w:t xml:space="preserve">inancial </w:t>
      </w:r>
      <w:r w:rsidR="00F97A84">
        <w:t>s</w:t>
      </w:r>
      <w:r w:rsidRPr="00EE57BB">
        <w:t>ervices subsectors.</w:t>
      </w:r>
    </w:p>
    <w:p w14:paraId="6F3D28FC" w14:textId="41B05CFC" w:rsidR="00F6708C" w:rsidRDefault="00F97A84" w:rsidP="00F914A4">
      <w:r>
        <w:t>Suggested c</w:t>
      </w:r>
      <w:r w:rsidR="00F6708C">
        <w:t xml:space="preserve">ontributions for businesses could be </w:t>
      </w:r>
      <w:r>
        <w:t>based on the p</w:t>
      </w:r>
      <w:r w:rsidR="00F6708C">
        <w:t>roportion</w:t>
      </w:r>
      <w:r>
        <w:t xml:space="preserve">s for </w:t>
      </w:r>
      <w:r w:rsidR="00F6708C">
        <w:t>average AFCA membership levy payable at each size category.</w:t>
      </w:r>
    </w:p>
    <w:p w14:paraId="0FFC26A9" w14:textId="633CBDE8" w:rsidR="00F6708C" w:rsidRPr="00446043" w:rsidRDefault="00F6708C" w:rsidP="00F914A4">
      <w:pPr>
        <w:rPr>
          <w:i/>
        </w:rPr>
      </w:pPr>
      <w:r w:rsidRPr="00446043">
        <w:rPr>
          <w:bCs/>
          <w:i/>
        </w:rPr>
        <w:t>Method 2:</w:t>
      </w:r>
      <w:r w:rsidRPr="00446043">
        <w:rPr>
          <w:i/>
        </w:rPr>
        <w:t xml:space="preserve"> </w:t>
      </w:r>
      <w:r>
        <w:rPr>
          <w:i/>
        </w:rPr>
        <w:t>ASIC Cost Recovery Implementation Statement: ASIC Industry Funding Model</w:t>
      </w:r>
    </w:p>
    <w:p w14:paraId="2A43B3B2" w14:textId="20E5245E" w:rsidR="00F6708C" w:rsidRPr="00807037" w:rsidRDefault="00F6708C" w:rsidP="00F914A4">
      <w:pPr>
        <w:rPr>
          <w:rFonts w:ascii="Times New Roman" w:hAnsi="Times New Roman" w:cs="Times New Roman"/>
          <w:color w:val="000000"/>
        </w:rPr>
      </w:pPr>
      <w:r w:rsidRPr="00807037">
        <w:t xml:space="preserve">Each year, </w:t>
      </w:r>
      <w:r w:rsidR="008D316B">
        <w:t>ASIC</w:t>
      </w:r>
      <w:r w:rsidRPr="00807037">
        <w:t xml:space="preserve"> publish</w:t>
      </w:r>
      <w:r>
        <w:t>es</w:t>
      </w:r>
      <w:r w:rsidRPr="00807037">
        <w:t xml:space="preserve"> a Cost Recovery Implementation Statement (CRIS)</w:t>
      </w:r>
      <w:r w:rsidR="007D1C84">
        <w:t>,</w:t>
      </w:r>
      <w:r w:rsidRPr="00807037">
        <w:t xml:space="preserve"> </w:t>
      </w:r>
      <w:r>
        <w:t xml:space="preserve">which </w:t>
      </w:r>
      <w:r w:rsidRPr="00656EEE">
        <w:t>provides industry with estimates of the regulatory costs to be recovered through industry funding</w:t>
      </w:r>
      <w:r w:rsidR="00387851">
        <w:rPr>
          <w:rStyle w:val="FootnoteReference"/>
        </w:rPr>
        <w:footnoteReference w:id="16"/>
      </w:r>
      <w:r w:rsidRPr="00656EEE">
        <w:t>.</w:t>
      </w:r>
      <w:r>
        <w:t xml:space="preserve"> </w:t>
      </w:r>
    </w:p>
    <w:p w14:paraId="0251850A" w14:textId="3C24E9F0" w:rsidR="00F6708C" w:rsidRDefault="00C01D2A" w:rsidP="00F914A4">
      <w:r>
        <w:t>The methodology for determining</w:t>
      </w:r>
      <w:r w:rsidR="00F6708C">
        <w:t xml:space="preserve"> industry levies set out in the CRIS</w:t>
      </w:r>
      <w:r w:rsidR="007D1C84">
        <w:t xml:space="preserve"> could be adopted for the model</w:t>
      </w:r>
      <w:r w:rsidR="00F6708C">
        <w:t xml:space="preserve">. Subsectors would need to adjust the values referred to in </w:t>
      </w:r>
      <w:r w:rsidR="007D1C84">
        <w:t>the CRIS,</w:t>
      </w:r>
      <w:r w:rsidR="00F6708C">
        <w:t xml:space="preserve"> to account for the suggested quantum of contributions and the number of contributing businesses. </w:t>
      </w:r>
      <w:r w:rsidR="007D1C84">
        <w:t>A limitation of this approach is t</w:t>
      </w:r>
      <w:r w:rsidR="00F6708C">
        <w:t>he CRIS does not provide indicative levies for the Buy Now Pay Later and Debt Collector or Buyer categories.</w:t>
      </w:r>
    </w:p>
    <w:p w14:paraId="716F1829" w14:textId="0CAA0F19" w:rsidR="00F6708C" w:rsidRPr="00A01650" w:rsidRDefault="00F6708C" w:rsidP="00E9797A">
      <w:pPr>
        <w:rPr>
          <w:i/>
        </w:rPr>
      </w:pPr>
      <w:bookmarkStart w:id="27" w:name="_Toc66209660"/>
      <w:r w:rsidRPr="00A01650">
        <w:rPr>
          <w:i/>
        </w:rPr>
        <w:lastRenderedPageBreak/>
        <w:t>Method 3: Apportion contributions between individual businesses based on business size</w:t>
      </w:r>
    </w:p>
    <w:p w14:paraId="4DFEE26B" w14:textId="54DFD897" w:rsidR="00F6708C" w:rsidRDefault="00F6708C" w:rsidP="00F914A4">
      <w:r>
        <w:t>A third po</w:t>
      </w:r>
      <w:r w:rsidR="006D5B30">
        <w:t>tential</w:t>
      </w:r>
      <w:r>
        <w:t xml:space="preserve"> method for apportioning the suggested quantum within financial services subsectors</w:t>
      </w:r>
      <w:r w:rsidR="003222C1">
        <w:t xml:space="preserve"> is</w:t>
      </w:r>
      <w:r>
        <w:t xml:space="preserve"> based on business size, as measured by an appropriate size metric. </w:t>
      </w:r>
      <w:r w:rsidRPr="00A01650">
        <w:t xml:space="preserve">Due to the considerable variation in the nature and size of </w:t>
      </w:r>
      <w:r>
        <w:t>sub</w:t>
      </w:r>
      <w:r w:rsidRPr="00A01650">
        <w:t xml:space="preserve">sectors and businesses, the method to allocate contributions to individual businesses will likely be different for each </w:t>
      </w:r>
      <w:r w:rsidR="007D1C84">
        <w:t>sub</w:t>
      </w:r>
      <w:r w:rsidRPr="00A01650">
        <w:t>sector.</w:t>
      </w:r>
      <w:r>
        <w:t xml:space="preserve"> </w:t>
      </w:r>
      <w:r w:rsidR="006D5B30">
        <w:t xml:space="preserve">Potential </w:t>
      </w:r>
      <w:r>
        <w:t xml:space="preserve">size metrics include but are not limited to: </w:t>
      </w:r>
    </w:p>
    <w:p w14:paraId="4640F0B9" w14:textId="670AB7D4" w:rsidR="00F6708C" w:rsidRPr="00BB48C8" w:rsidRDefault="00D95076" w:rsidP="00F914A4">
      <w:pPr>
        <w:numPr>
          <w:ilvl w:val="0"/>
          <w:numId w:val="7"/>
        </w:numPr>
        <w:tabs>
          <w:tab w:val="left" w:pos="720"/>
        </w:tabs>
        <w:rPr>
          <w:rFonts w:cs="Arial"/>
          <w:lang w:bidi="en-US"/>
        </w:rPr>
      </w:pPr>
      <w:r w:rsidRPr="00BB48C8">
        <w:rPr>
          <w:rFonts w:cs="Arial"/>
          <w:lang w:bidi="en-US"/>
        </w:rPr>
        <w:t>m</w:t>
      </w:r>
      <w:r w:rsidR="00F6708C" w:rsidRPr="00BB48C8">
        <w:rPr>
          <w:rFonts w:cs="Arial"/>
          <w:lang w:bidi="en-US"/>
        </w:rPr>
        <w:t>arket share;</w:t>
      </w:r>
    </w:p>
    <w:p w14:paraId="445FB87B" w14:textId="0E13EF1B" w:rsidR="00F6708C" w:rsidRPr="00BB48C8" w:rsidRDefault="00D95076" w:rsidP="00F914A4">
      <w:pPr>
        <w:numPr>
          <w:ilvl w:val="0"/>
          <w:numId w:val="7"/>
        </w:numPr>
        <w:tabs>
          <w:tab w:val="left" w:pos="720"/>
        </w:tabs>
        <w:rPr>
          <w:rFonts w:cs="Arial"/>
          <w:lang w:bidi="en-US"/>
        </w:rPr>
      </w:pPr>
      <w:r w:rsidRPr="00BB48C8">
        <w:rPr>
          <w:rFonts w:cs="Arial"/>
          <w:lang w:bidi="en-US"/>
        </w:rPr>
        <w:t>a</w:t>
      </w:r>
      <w:r w:rsidR="00F6708C" w:rsidRPr="00BB48C8">
        <w:rPr>
          <w:rFonts w:cs="Arial"/>
          <w:lang w:bidi="en-US"/>
        </w:rPr>
        <w:t>nnual revenue; and</w:t>
      </w:r>
    </w:p>
    <w:p w14:paraId="27352745" w14:textId="7427CF0C" w:rsidR="00F6708C" w:rsidRPr="00BB48C8" w:rsidRDefault="00D95076" w:rsidP="00F914A4">
      <w:pPr>
        <w:numPr>
          <w:ilvl w:val="0"/>
          <w:numId w:val="7"/>
        </w:numPr>
        <w:tabs>
          <w:tab w:val="left" w:pos="720"/>
        </w:tabs>
        <w:rPr>
          <w:rFonts w:cs="Arial"/>
          <w:lang w:bidi="en-US"/>
        </w:rPr>
      </w:pPr>
      <w:r w:rsidRPr="00BB48C8">
        <w:rPr>
          <w:rFonts w:cs="Arial"/>
          <w:lang w:bidi="en-US"/>
        </w:rPr>
        <w:t>n</w:t>
      </w:r>
      <w:r w:rsidR="00F6708C" w:rsidRPr="00BB48C8">
        <w:rPr>
          <w:rFonts w:cs="Arial"/>
          <w:lang w:bidi="en-US"/>
        </w:rPr>
        <w:t>umber of customers.</w:t>
      </w:r>
    </w:p>
    <w:p w14:paraId="3D303AB6" w14:textId="77777777" w:rsidR="00F6708C" w:rsidRPr="00BB48C8" w:rsidRDefault="00F6708C" w:rsidP="00F914A4">
      <w:pPr>
        <w:pStyle w:val="Style1"/>
        <w:spacing w:before="0" w:after="160"/>
      </w:pPr>
      <w:r w:rsidRPr="00BB48C8">
        <w:t>Energy sector</w:t>
      </w:r>
    </w:p>
    <w:p w14:paraId="7E493E3E" w14:textId="48E30BAB" w:rsidR="00F6708C" w:rsidRPr="004F0E8A" w:rsidRDefault="00F6708C" w:rsidP="00F914A4">
      <w:r w:rsidRPr="004F0E8A">
        <w:t xml:space="preserve">The number of small customers (residential and small business) attributed to each </w:t>
      </w:r>
      <w:r w:rsidR="00CA2FC8">
        <w:t>energy</w:t>
      </w:r>
      <w:r w:rsidR="00CA2FC8" w:rsidRPr="004F0E8A">
        <w:t xml:space="preserve"> </w:t>
      </w:r>
      <w:r w:rsidRPr="004F0E8A">
        <w:t>retailer could be used to apportion contributions between individual retailers. This is in line with how the Australian Energy Market Operator (AEMO) collects contributions from energy retailers. AEMO operates on a user-pays cost recovery basis and recovers all operating costs through fees paid by industry participants.</w:t>
      </w:r>
    </w:p>
    <w:p w14:paraId="5AE5C077" w14:textId="0CB716C2" w:rsidR="00F6708C" w:rsidRPr="004F0E8A" w:rsidRDefault="00F6708C" w:rsidP="00F914A4">
      <w:r w:rsidRPr="004F0E8A">
        <w:t>The Australian Energy Regulator has energy retailer client numbers for all states and territories</w:t>
      </w:r>
      <w:r w:rsidR="00B4608B">
        <w:t>,</w:t>
      </w:r>
      <w:r w:rsidRPr="004F0E8A">
        <w:t xml:space="preserve"> except Victoria</w:t>
      </w:r>
      <w:r w:rsidR="00CA3039">
        <w:t>, the Northern Territory</w:t>
      </w:r>
      <w:r w:rsidRPr="004F0E8A">
        <w:t xml:space="preserve"> and Western Australia</w:t>
      </w:r>
      <w:r w:rsidR="0063502E">
        <w:t xml:space="preserve">. The </w:t>
      </w:r>
      <w:r w:rsidRPr="004F0E8A">
        <w:t>Essential Services Commission Victoria</w:t>
      </w:r>
      <w:r w:rsidR="0063502E">
        <w:t>, Utilities Commission, and Economic Regulation Authority hold energy retailer data for Victoria, the Northern Territory and Western Australia respectively.</w:t>
      </w:r>
      <w:r w:rsidRPr="004F0E8A">
        <w:t xml:space="preserve"> </w:t>
      </w:r>
    </w:p>
    <w:p w14:paraId="3B157D75" w14:textId="066045C3" w:rsidR="00F6708C" w:rsidRPr="004F0E8A" w:rsidRDefault="00F6708C" w:rsidP="00F914A4">
      <w:pPr>
        <w:rPr>
          <w:rFonts w:ascii="Calibri" w:hAnsi="Calibri"/>
        </w:rPr>
      </w:pPr>
      <w:r w:rsidRPr="004F0E8A">
        <w:t xml:space="preserve">The suggested quantum could be apportioned to </w:t>
      </w:r>
      <w:r w:rsidR="00CA2FC8">
        <w:t>energy</w:t>
      </w:r>
      <w:r w:rsidR="00CA2FC8" w:rsidRPr="004F0E8A">
        <w:t xml:space="preserve"> </w:t>
      </w:r>
      <w:r w:rsidRPr="004F0E8A">
        <w:t>retailers based on their share of total electricity small customers</w:t>
      </w:r>
      <w:r w:rsidR="00CA2FC8">
        <w:t xml:space="preserve"> for electricity retailers and total gas small customers for gas retailers.</w:t>
      </w:r>
    </w:p>
    <w:p w14:paraId="427ABE61" w14:textId="5CB70372" w:rsidR="00F6708C" w:rsidRPr="00BB48C8" w:rsidRDefault="00F6708C" w:rsidP="00F914A4">
      <w:pPr>
        <w:pStyle w:val="Style1"/>
        <w:spacing w:before="0" w:after="160"/>
      </w:pPr>
      <w:r w:rsidRPr="00BB48C8">
        <w:t>Telecommunications</w:t>
      </w:r>
      <w:bookmarkEnd w:id="27"/>
      <w:r w:rsidRPr="00BB48C8">
        <w:t xml:space="preserve"> sector</w:t>
      </w:r>
    </w:p>
    <w:p w14:paraId="79E67703" w14:textId="0CF0CFAF" w:rsidR="00F6708C" w:rsidRPr="004F0E8A" w:rsidRDefault="00F6708C" w:rsidP="00E9797A">
      <w:r w:rsidRPr="004F0E8A">
        <w:t xml:space="preserve">A number of approaches could be used to determine Carriage Service Providers (CSPs) contribution towards the suggested quantum. </w:t>
      </w:r>
      <w:r>
        <w:t xml:space="preserve">The </w:t>
      </w:r>
      <w:r w:rsidR="00E25748">
        <w:t>split for the telecommunications sector</w:t>
      </w:r>
      <w:r>
        <w:t xml:space="preserve"> could be apportioned between individual CSPs in accordance with business size as measured by an </w:t>
      </w:r>
      <w:r w:rsidRPr="004F0E8A">
        <w:t>appropriate size metric</w:t>
      </w:r>
      <w:r>
        <w:t>.</w:t>
      </w:r>
    </w:p>
    <w:p w14:paraId="19709DE3" w14:textId="159175F8" w:rsidR="00F6708C" w:rsidRPr="004F0E8A" w:rsidRDefault="00625CB9" w:rsidP="00F914A4">
      <w:r>
        <w:t>Previous c</w:t>
      </w:r>
      <w:r w:rsidR="00F6708C" w:rsidRPr="004F0E8A">
        <w:t xml:space="preserve">onsultation undertaken with the telecommunications sector suggested that </w:t>
      </w:r>
      <w:r w:rsidR="00F6708C">
        <w:t>a</w:t>
      </w:r>
      <w:r w:rsidR="00F6708C" w:rsidRPr="004F0E8A">
        <w:t xml:space="preserve"> subset</w:t>
      </w:r>
      <w:r w:rsidR="00F6708C">
        <w:t xml:space="preserve"> of CSPs</w:t>
      </w:r>
      <w:r w:rsidR="00F6708C" w:rsidRPr="004F0E8A">
        <w:t xml:space="preserve"> could be captured</w:t>
      </w:r>
      <w:r w:rsidR="00F6708C">
        <w:t>.</w:t>
      </w:r>
      <w:r w:rsidR="00F6708C" w:rsidRPr="004F0E8A">
        <w:t xml:space="preserve"> C</w:t>
      </w:r>
      <w:r w:rsidR="003222C1">
        <w:t>SPs</w:t>
      </w:r>
      <w:r w:rsidR="00F6708C" w:rsidRPr="004F0E8A">
        <w:t xml:space="preserve"> (as defined in s87 of the Telecommunications Act 1997) are ‘qualifying retail carriage service providers’ under ‘the Telecommunications (Consumer Complaints) Record-Keeping Rules 2018 (RKRs). These are CSPs that supply 30,000 or more ‘services in operation’ in accordance with s7 of the RKRs.</w:t>
      </w:r>
      <w:r w:rsidR="00F6708C">
        <w:t xml:space="preserve"> T</w:t>
      </w:r>
      <w:r w:rsidR="00F6708C" w:rsidRPr="00A01650">
        <w:t>h</w:t>
      </w:r>
      <w:r w:rsidR="00F6708C">
        <w:t>is subset</w:t>
      </w:r>
      <w:r w:rsidR="00F6708C" w:rsidRPr="00A01650">
        <w:t xml:space="preserve"> could also be the focus </w:t>
      </w:r>
      <w:r w:rsidR="00C1622F">
        <w:t>t</w:t>
      </w:r>
      <w:r w:rsidR="00F6708C" w:rsidRPr="00A01650">
        <w:t>o encourage contributions for a voluntary industry funding model.</w:t>
      </w:r>
    </w:p>
    <w:p w14:paraId="1065C13E" w14:textId="3CE536A0" w:rsidR="00F6708C" w:rsidRPr="004F0E8A" w:rsidRDefault="00F6708C" w:rsidP="00F914A4">
      <w:pPr>
        <w:pStyle w:val="Style1"/>
        <w:spacing w:before="0" w:after="160"/>
      </w:pPr>
      <w:r w:rsidRPr="004F0E8A">
        <w:t>Water sector</w:t>
      </w:r>
    </w:p>
    <w:p w14:paraId="2AB32EB5" w14:textId="3DB39F3E" w:rsidR="00F6708C" w:rsidRDefault="00F6708C" w:rsidP="00E9797A">
      <w:pPr>
        <w:rPr>
          <w:rFonts w:cstheme="minorHAnsi"/>
        </w:rPr>
      </w:pPr>
      <w:r>
        <w:rPr>
          <w:rFonts w:cstheme="minorHAnsi"/>
        </w:rPr>
        <w:t>The</w:t>
      </w:r>
      <w:r w:rsidRPr="004F0E8A">
        <w:rPr>
          <w:rFonts w:cstheme="minorHAnsi"/>
        </w:rPr>
        <w:t xml:space="preserve"> suggested quantum for water utilities providers could be apportioned between individual </w:t>
      </w:r>
      <w:r>
        <w:rPr>
          <w:rFonts w:cstheme="minorHAnsi"/>
        </w:rPr>
        <w:t>businesses in accordance with business size as measured by an appropriate metric.</w:t>
      </w:r>
    </w:p>
    <w:p w14:paraId="37139EA9" w14:textId="1E654E94" w:rsidR="00F6708C" w:rsidRDefault="001C3DDC" w:rsidP="00F6708C">
      <w:pPr>
        <w:spacing w:after="0"/>
        <w:rPr>
          <w:rFonts w:ascii="Georgia" w:eastAsiaTheme="majorEastAsia" w:hAnsi="Georgia" w:cstheme="majorBidi"/>
          <w:bCs/>
          <w:color w:val="005A70"/>
        </w:rPr>
      </w:pPr>
      <w:r>
        <w:rPr>
          <w:rFonts w:cstheme="minorHAnsi"/>
          <w:noProof/>
          <w:lang w:eastAsia="en-AU"/>
        </w:rPr>
        <w:lastRenderedPageBreak/>
        <mc:AlternateContent>
          <mc:Choice Requires="wps">
            <w:drawing>
              <wp:inline distT="0" distB="0" distL="0" distR="0" wp14:anchorId="3B0475A1" wp14:editId="3521781B">
                <wp:extent cx="6189260" cy="1333500"/>
                <wp:effectExtent l="0" t="0" r="21590" b="19050"/>
                <wp:docPr id="4" name="Rounded Rectangle 4"/>
                <wp:cNvGraphicFramePr/>
                <a:graphic xmlns:a="http://schemas.openxmlformats.org/drawingml/2006/main">
                  <a:graphicData uri="http://schemas.microsoft.com/office/word/2010/wordprocessingShape">
                    <wps:wsp>
                      <wps:cNvSpPr/>
                      <wps:spPr>
                        <a:xfrm>
                          <a:off x="0" y="0"/>
                          <a:ext cx="6189260" cy="1333500"/>
                        </a:xfrm>
                        <a:prstGeom prst="roundRect">
                          <a:avLst/>
                        </a:prstGeom>
                        <a:solidFill>
                          <a:schemeClr val="bg1">
                            <a:lumMod val="95000"/>
                          </a:schemeClr>
                        </a:solidFill>
                        <a:ln w="26425" cap="flat" cmpd="sng" algn="ctr">
                          <a:solidFill>
                            <a:srgbClr val="B1E4E3">
                              <a:shade val="50000"/>
                            </a:srgbClr>
                          </a:solidFill>
                          <a:prstDash val="solid"/>
                        </a:ln>
                        <a:effectLst/>
                      </wps:spPr>
                      <wps:txbx>
                        <w:txbxContent>
                          <w:p w14:paraId="09BDEDE0" w14:textId="77777777" w:rsidR="00FF3618" w:rsidRPr="0001440C" w:rsidRDefault="00FF3618" w:rsidP="00F6708C">
                            <w:pPr>
                              <w:spacing w:after="60"/>
                              <w:rPr>
                                <w:color w:val="000000" w:themeColor="text2"/>
                              </w:rPr>
                            </w:pPr>
                            <w:r w:rsidRPr="0001440C">
                              <w:rPr>
                                <w:color w:val="000000" w:themeColor="text2"/>
                              </w:rPr>
                              <w:t>Discussion Questions:</w:t>
                            </w:r>
                          </w:p>
                          <w:p w14:paraId="2A5D0462" w14:textId="3DD5C0A8" w:rsidR="00FF3618" w:rsidRDefault="00FF3618" w:rsidP="001721B0">
                            <w:pPr>
                              <w:pStyle w:val="ListParagraph"/>
                              <w:numPr>
                                <w:ilvl w:val="0"/>
                                <w:numId w:val="4"/>
                              </w:numPr>
                              <w:spacing w:after="120"/>
                              <w:ind w:left="357" w:hanging="357"/>
                              <w:contextualSpacing w:val="0"/>
                              <w:rPr>
                                <w:color w:val="000000" w:themeColor="text2"/>
                              </w:rPr>
                            </w:pPr>
                            <w:r w:rsidRPr="00821EED">
                              <w:rPr>
                                <w:color w:val="000000" w:themeColor="text2"/>
                              </w:rPr>
                              <w:t xml:space="preserve">Should any businesses within a subsector be excluded (e.g. small businesses)? </w:t>
                            </w:r>
                            <w:r w:rsidRPr="00953983">
                              <w:rPr>
                                <w:color w:val="000000" w:themeColor="text2"/>
                                <w:highlight w:val="yellow"/>
                              </w:rPr>
                              <w:t xml:space="preserve"> </w:t>
                            </w:r>
                            <w:r>
                              <w:rPr>
                                <w:color w:val="000000" w:themeColor="text2"/>
                              </w:rPr>
                              <w:t xml:space="preserve"> </w:t>
                            </w:r>
                          </w:p>
                          <w:p w14:paraId="20ADD438" w14:textId="6569E402" w:rsidR="00FF3618" w:rsidRDefault="00FF3618" w:rsidP="001721B0">
                            <w:pPr>
                              <w:pStyle w:val="ListParagraph"/>
                              <w:numPr>
                                <w:ilvl w:val="0"/>
                                <w:numId w:val="4"/>
                              </w:numPr>
                              <w:spacing w:after="120"/>
                              <w:ind w:left="357" w:hanging="357"/>
                              <w:contextualSpacing w:val="0"/>
                              <w:rPr>
                                <w:color w:val="000000" w:themeColor="text2"/>
                              </w:rPr>
                            </w:pPr>
                            <w:r>
                              <w:rPr>
                                <w:color w:val="000000" w:themeColor="text2"/>
                              </w:rPr>
                              <w:t xml:space="preserve">What are your views on options 1 and 2 for determining the split within subsectors for voluntary contributions? </w:t>
                            </w:r>
                          </w:p>
                          <w:p w14:paraId="565B523A" w14:textId="2BD27699" w:rsidR="00FF3618" w:rsidRDefault="00FF3618" w:rsidP="001721B0">
                            <w:pPr>
                              <w:pStyle w:val="ListParagraph"/>
                              <w:numPr>
                                <w:ilvl w:val="0"/>
                                <w:numId w:val="4"/>
                              </w:numPr>
                              <w:spacing w:after="120"/>
                              <w:ind w:left="357" w:hanging="357"/>
                              <w:contextualSpacing w:val="0"/>
                              <w:rPr>
                                <w:color w:val="000000" w:themeColor="text2"/>
                              </w:rPr>
                            </w:pPr>
                            <w:r>
                              <w:rPr>
                                <w:color w:val="000000" w:themeColor="text2"/>
                              </w:rPr>
                              <w:t>What is your view on the different methods for within subsector splits, for your subsector?</w:t>
                            </w:r>
                          </w:p>
                          <w:p w14:paraId="5E7C2EFD" w14:textId="77777777" w:rsidR="00FF3618" w:rsidRPr="0001440C" w:rsidRDefault="00FF3618" w:rsidP="00FE094E">
                            <w:pPr>
                              <w:pStyle w:val="ListParagraph"/>
                              <w:spacing w:after="120"/>
                              <w:ind w:left="357"/>
                              <w:contextualSpacing w:val="0"/>
                              <w:rPr>
                                <w:color w:val="000000" w:themeColor="text2"/>
                              </w:rPr>
                            </w:pPr>
                          </w:p>
                          <w:p w14:paraId="5D237D7E" w14:textId="77777777" w:rsidR="00FF3618" w:rsidRPr="0001440C" w:rsidRDefault="00FF3618" w:rsidP="00F6708C">
                            <w:pPr>
                              <w:rPr>
                                <w:color w:val="00838A" w:themeColor="accent2" w:themeShade="BF"/>
                              </w:rPr>
                            </w:pPr>
                          </w:p>
                          <w:p w14:paraId="359245F5" w14:textId="77777777" w:rsidR="00FF3618" w:rsidRPr="0001440C" w:rsidRDefault="00FF3618" w:rsidP="00F6708C">
                            <w:pPr>
                              <w:jc w:val="center"/>
                              <w:rPr>
                                <w:color w:val="00838A"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B0475A1" id="Rounded Rectangle 4" o:spid="_x0000_s1031" style="width:487.35pt;height: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" fillcolor="#f2f2f2 [3052]" strokecolor="#81a7a7" strokeweight=".73403mm">
                <v:textbox>
                  <w:txbxContent>
                    <w:p w14:paraId="09BDEDE0" w14:textId="77777777" w:rsidR="00FF3618" w:rsidRPr="0001440C" w:rsidRDefault="00FF3618" w:rsidP="00F6708C">
                      <w:pPr>
                        <w:spacing w:after="60"/>
                        <w:rPr>
                          <w:color w:val="000000" w:themeColor="text2"/>
                        </w:rPr>
                      </w:pPr>
                      <w:r w:rsidRPr="0001440C">
                        <w:rPr>
                          <w:color w:val="000000" w:themeColor="text2"/>
                        </w:rPr>
                        <w:t>Discussion Questions:</w:t>
                      </w:r>
                    </w:p>
                    <w:p w14:paraId="2A5D0462" w14:textId="3DD5C0A8" w:rsidR="00FF3618" w:rsidRDefault="00FF3618" w:rsidP="001721B0">
                      <w:pPr>
                        <w:pStyle w:val="ListParagraph"/>
                        <w:numPr>
                          <w:ilvl w:val="0"/>
                          <w:numId w:val="4"/>
                        </w:numPr>
                        <w:spacing w:after="120"/>
                        <w:ind w:left="357" w:hanging="357"/>
                        <w:contextualSpacing w:val="0"/>
                        <w:rPr>
                          <w:color w:val="000000" w:themeColor="text2"/>
                        </w:rPr>
                      </w:pPr>
                      <w:r w:rsidRPr="00821EED">
                        <w:rPr>
                          <w:color w:val="000000" w:themeColor="text2"/>
                        </w:rPr>
                        <w:t xml:space="preserve">Should any businesses within a subsector be excluded (e.g. small businesses)? </w:t>
                      </w:r>
                      <w:r w:rsidRPr="00953983">
                        <w:rPr>
                          <w:color w:val="000000" w:themeColor="text2"/>
                          <w:highlight w:val="yellow"/>
                        </w:rPr>
                        <w:t xml:space="preserve"> </w:t>
                      </w:r>
                      <w:r>
                        <w:rPr>
                          <w:color w:val="000000" w:themeColor="text2"/>
                        </w:rPr>
                        <w:t xml:space="preserve"> </w:t>
                      </w:r>
                    </w:p>
                    <w:p w14:paraId="20ADD438" w14:textId="6569E402" w:rsidR="00FF3618" w:rsidRDefault="00FF3618" w:rsidP="001721B0">
                      <w:pPr>
                        <w:pStyle w:val="ListParagraph"/>
                        <w:numPr>
                          <w:ilvl w:val="0"/>
                          <w:numId w:val="4"/>
                        </w:numPr>
                        <w:spacing w:after="120"/>
                        <w:ind w:left="357" w:hanging="357"/>
                        <w:contextualSpacing w:val="0"/>
                        <w:rPr>
                          <w:color w:val="000000" w:themeColor="text2"/>
                        </w:rPr>
                      </w:pPr>
                      <w:r>
                        <w:rPr>
                          <w:color w:val="000000" w:themeColor="text2"/>
                        </w:rPr>
                        <w:t xml:space="preserve">What are your views on options 1 and 2 for determining the split within subsectors for voluntary contributions? </w:t>
                      </w:r>
                    </w:p>
                    <w:p w14:paraId="565B523A" w14:textId="2BD27699" w:rsidR="00FF3618" w:rsidRDefault="00FF3618" w:rsidP="001721B0">
                      <w:pPr>
                        <w:pStyle w:val="ListParagraph"/>
                        <w:numPr>
                          <w:ilvl w:val="0"/>
                          <w:numId w:val="4"/>
                        </w:numPr>
                        <w:spacing w:after="120"/>
                        <w:ind w:left="357" w:hanging="357"/>
                        <w:contextualSpacing w:val="0"/>
                        <w:rPr>
                          <w:color w:val="000000" w:themeColor="text2"/>
                        </w:rPr>
                      </w:pPr>
                      <w:r>
                        <w:rPr>
                          <w:color w:val="000000" w:themeColor="text2"/>
                        </w:rPr>
                        <w:t>What is your view on the different methods for within subsector splits, for your subsector?</w:t>
                      </w:r>
                    </w:p>
                    <w:p w14:paraId="5E7C2EFD" w14:textId="77777777" w:rsidR="00FF3618" w:rsidRPr="0001440C" w:rsidRDefault="00FF3618" w:rsidP="00FE094E">
                      <w:pPr>
                        <w:pStyle w:val="ListParagraph"/>
                        <w:spacing w:after="120"/>
                        <w:ind w:left="357"/>
                        <w:contextualSpacing w:val="0"/>
                        <w:rPr>
                          <w:color w:val="000000" w:themeColor="text2"/>
                        </w:rPr>
                      </w:pPr>
                    </w:p>
                    <w:p w14:paraId="5D237D7E" w14:textId="77777777" w:rsidR="00FF3618" w:rsidRPr="0001440C" w:rsidRDefault="00FF3618" w:rsidP="00F6708C">
                      <w:pPr>
                        <w:rPr>
                          <w:color w:val="00838A" w:themeColor="accent2" w:themeShade="BF"/>
                        </w:rPr>
                      </w:pPr>
                    </w:p>
                    <w:p w14:paraId="359245F5" w14:textId="77777777" w:rsidR="00FF3618" w:rsidRPr="0001440C" w:rsidRDefault="00FF3618" w:rsidP="00F6708C">
                      <w:pPr>
                        <w:jc w:val="center"/>
                        <w:rPr>
                          <w:color w:val="00838A" w:themeColor="accent2" w:themeShade="BF"/>
                        </w:rPr>
                      </w:pPr>
                    </w:p>
                  </w:txbxContent>
                </v:textbox>
                <w10:anchorlock/>
              </v:roundrect>
            </w:pict>
          </mc:Fallback>
        </mc:AlternateContent>
      </w:r>
    </w:p>
    <w:p w14:paraId="3266D9F6" w14:textId="171D12D6" w:rsidR="00C464CD" w:rsidRDefault="00C464CD" w:rsidP="00DC133C">
      <w:pPr>
        <w:pStyle w:val="Heading2"/>
      </w:pPr>
      <w:bookmarkStart w:id="28" w:name="_Toc118288274"/>
      <w:r>
        <w:t xml:space="preserve">Securing </w:t>
      </w:r>
      <w:r w:rsidR="00172041">
        <w:t>c</w:t>
      </w:r>
      <w:r>
        <w:t xml:space="preserve">ommitments from </w:t>
      </w:r>
      <w:r w:rsidR="00172041">
        <w:t>s</w:t>
      </w:r>
      <w:r>
        <w:t xml:space="preserve">ectors and </w:t>
      </w:r>
      <w:r w:rsidR="00172041">
        <w:t>s</w:t>
      </w:r>
      <w:r>
        <w:t>ubsectors</w:t>
      </w:r>
      <w:bookmarkEnd w:id="28"/>
      <w:r>
        <w:t xml:space="preserve"> </w:t>
      </w:r>
    </w:p>
    <w:p w14:paraId="36F21778" w14:textId="5FF3E93B" w:rsidR="00726589" w:rsidRDefault="00726589" w:rsidP="00E545D3">
      <w:pPr>
        <w:pStyle w:val="Style1"/>
        <w:rPr>
          <w:rFonts w:eastAsiaTheme="majorEastAsia"/>
        </w:rPr>
      </w:pPr>
      <w:r>
        <w:rPr>
          <w:rFonts w:eastAsiaTheme="majorEastAsia"/>
        </w:rPr>
        <w:t xml:space="preserve">What commitment is being sought from sectors and subsectors? </w:t>
      </w:r>
    </w:p>
    <w:p w14:paraId="27BD3629" w14:textId="48C6E673" w:rsidR="00FD3C6C" w:rsidRPr="00F914A4" w:rsidRDefault="00726589" w:rsidP="00F914A4">
      <w:r w:rsidRPr="00E9797A">
        <w:t xml:space="preserve">The Department will be seeking formal </w:t>
      </w:r>
      <w:r w:rsidR="007A5C8C" w:rsidRPr="00E9797A">
        <w:t xml:space="preserve">funding </w:t>
      </w:r>
      <w:r w:rsidRPr="00F914A4">
        <w:t>commitments</w:t>
      </w:r>
      <w:r w:rsidR="00B36A29" w:rsidRPr="00F914A4">
        <w:t xml:space="preserve"> for financial counselling</w:t>
      </w:r>
      <w:r w:rsidRPr="00F914A4">
        <w:t xml:space="preserve"> from the sectors and subsectors identified as contributing to demand for, and benefit from, the availability of financial counselling services. </w:t>
      </w:r>
    </w:p>
    <w:p w14:paraId="61D2970B" w14:textId="39306099" w:rsidR="00FD3C6C" w:rsidRPr="00F914A4" w:rsidRDefault="009B3E6F" w:rsidP="00F914A4">
      <w:r w:rsidRPr="00F914A4">
        <w:t>As part of the initial set up of the model, i</w:t>
      </w:r>
      <w:r w:rsidR="00D664F6" w:rsidRPr="00F914A4">
        <w:t>t is suggested t</w:t>
      </w:r>
      <w:r w:rsidR="00094AAF" w:rsidRPr="00F914A4">
        <w:t xml:space="preserve">he formal commitment </w:t>
      </w:r>
      <w:r w:rsidR="00D664F6" w:rsidRPr="00F914A4">
        <w:t>is</w:t>
      </w:r>
      <w:r w:rsidR="00094AAF" w:rsidRPr="00F914A4">
        <w:t xml:space="preserve"> sought from the peak organisation for a subsector</w:t>
      </w:r>
      <w:r w:rsidR="00B91F8D" w:rsidRPr="00F914A4">
        <w:t>/s</w:t>
      </w:r>
      <w:r w:rsidR="00094AAF" w:rsidRPr="00F914A4">
        <w:t>, on behalf of their members</w:t>
      </w:r>
      <w:r w:rsidR="00413755" w:rsidRPr="00C078EC">
        <w:rPr>
          <w:vertAlign w:val="superscript"/>
        </w:rPr>
        <w:footnoteReference w:id="17"/>
      </w:r>
      <w:r w:rsidR="00094AAF" w:rsidRPr="00E9797A">
        <w:t xml:space="preserve">. </w:t>
      </w:r>
      <w:r w:rsidR="00FD3C6C" w:rsidRPr="00E9797A">
        <w:t xml:space="preserve">The formal commitment would involve </w:t>
      </w:r>
      <w:r w:rsidR="00094AAF" w:rsidRPr="00F914A4">
        <w:t xml:space="preserve">endorsement of </w:t>
      </w:r>
      <w:r w:rsidR="00FD3C6C" w:rsidRPr="00F914A4">
        <w:t xml:space="preserve">the </w:t>
      </w:r>
      <w:r w:rsidR="00B96F6D" w:rsidRPr="00F914A4">
        <w:t xml:space="preserve">overall </w:t>
      </w:r>
      <w:r w:rsidR="00FD3C6C" w:rsidRPr="00F914A4">
        <w:t xml:space="preserve">design of the model, </w:t>
      </w:r>
      <w:r w:rsidR="00B96F6D" w:rsidRPr="00F914A4">
        <w:t xml:space="preserve">and </w:t>
      </w:r>
      <w:r w:rsidR="00094AAF" w:rsidRPr="00F914A4">
        <w:t>a commitment from members to provide</w:t>
      </w:r>
      <w:r w:rsidR="00FD3C6C" w:rsidRPr="00F914A4">
        <w:t xml:space="preserve"> the suggested contribution </w:t>
      </w:r>
      <w:r w:rsidR="00094AAF" w:rsidRPr="00F914A4">
        <w:t>amount</w:t>
      </w:r>
      <w:r w:rsidR="00AD7E7A" w:rsidRPr="00F914A4">
        <w:t>s</w:t>
      </w:r>
      <w:r w:rsidR="00094AAF" w:rsidRPr="00F914A4">
        <w:t xml:space="preserve"> for the subsector</w:t>
      </w:r>
      <w:r w:rsidR="001C4C69" w:rsidRPr="00F914A4">
        <w:t>, for three years from 1 July 2023</w:t>
      </w:r>
      <w:r w:rsidR="00094AAF" w:rsidRPr="00F914A4">
        <w:t xml:space="preserve">. </w:t>
      </w:r>
    </w:p>
    <w:p w14:paraId="5D7E9B2A" w14:textId="0CD19B97" w:rsidR="00726589" w:rsidRPr="00263E6D" w:rsidRDefault="00726589" w:rsidP="00F914A4">
      <w:r w:rsidRPr="00263E6D">
        <w:t xml:space="preserve">These commitments will be sought once the model is finalised, following completion of the consultation process. </w:t>
      </w:r>
    </w:p>
    <w:p w14:paraId="604AAA99" w14:textId="6C1AA5C8" w:rsidR="00437570" w:rsidRPr="00E9797A" w:rsidRDefault="00603553" w:rsidP="00F914A4">
      <w:r w:rsidRPr="00821EED">
        <w:t>This proposed approach does</w:t>
      </w:r>
      <w:r w:rsidR="00AE3E32" w:rsidRPr="00821EED">
        <w:t xml:space="preserve"> not mean only m</w:t>
      </w:r>
      <w:r w:rsidR="00953983" w:rsidRPr="00821EED">
        <w:t>embers of peak organisations will be</w:t>
      </w:r>
      <w:r w:rsidR="00AE3E32" w:rsidRPr="00821EED">
        <w:t xml:space="preserve"> encouraged to contribute to the model. </w:t>
      </w:r>
      <w:r w:rsidR="00437570" w:rsidRPr="00821EED">
        <w:t xml:space="preserve">In apportioning funding contributions </w:t>
      </w:r>
      <w:r w:rsidR="00DA4F58" w:rsidRPr="00821EED">
        <w:t>at</w:t>
      </w:r>
      <w:r w:rsidR="00437570" w:rsidRPr="00821EED">
        <w:t xml:space="preserve"> the </w:t>
      </w:r>
      <w:r w:rsidR="00DA4F58" w:rsidRPr="00821EED">
        <w:t xml:space="preserve">individual </w:t>
      </w:r>
      <w:r w:rsidR="00437570" w:rsidRPr="00821EED">
        <w:t>business level, the Department will look at wh</w:t>
      </w:r>
      <w:r w:rsidR="00DA4F58" w:rsidRPr="00821EED">
        <w:t>ich businesses</w:t>
      </w:r>
      <w:r w:rsidR="00437570" w:rsidRPr="00821EED">
        <w:t xml:space="preserve"> </w:t>
      </w:r>
      <w:r w:rsidR="00DA4F58" w:rsidRPr="00821EED">
        <w:t xml:space="preserve">in a subsector </w:t>
      </w:r>
      <w:r w:rsidR="00437570" w:rsidRPr="00821EED">
        <w:t xml:space="preserve">should be </w:t>
      </w:r>
      <w:r w:rsidR="00DA4F58" w:rsidRPr="00821EED">
        <w:t>encouraged to contribute (e.g. based on size)</w:t>
      </w:r>
      <w:r w:rsidRPr="00821EED">
        <w:t xml:space="preserve">, and an </w:t>
      </w:r>
      <w:r w:rsidR="00953983" w:rsidRPr="00821EED">
        <w:t xml:space="preserve">appropriate </w:t>
      </w:r>
      <w:r w:rsidRPr="00821EED">
        <w:t>apportioning method, following feedback received on Section 5 of this paper</w:t>
      </w:r>
      <w:r w:rsidR="00DA4F58" w:rsidRPr="00821EED">
        <w:t xml:space="preserve">. </w:t>
      </w:r>
      <w:r w:rsidR="00437570" w:rsidRPr="00821EED">
        <w:t>The Department will look at ways to engage</w:t>
      </w:r>
      <w:r w:rsidRPr="00821EED">
        <w:t xml:space="preserve"> </w:t>
      </w:r>
      <w:r w:rsidR="00437570" w:rsidRPr="00821EED">
        <w:t xml:space="preserve">businesses and encourage contributions who are not </w:t>
      </w:r>
      <w:r w:rsidR="00DA4F58" w:rsidRPr="00821EED">
        <w:t xml:space="preserve">members of </w:t>
      </w:r>
      <w:r w:rsidR="00437570" w:rsidRPr="00821EED">
        <w:t xml:space="preserve">peak </w:t>
      </w:r>
      <w:r w:rsidR="00DA4F58" w:rsidRPr="00821EED">
        <w:t>organisations</w:t>
      </w:r>
      <w:r w:rsidR="00437570" w:rsidRPr="00821EED">
        <w:t>.</w:t>
      </w:r>
      <w:bookmarkStart w:id="29" w:name="_GoBack"/>
      <w:bookmarkEnd w:id="29"/>
    </w:p>
    <w:p w14:paraId="49E0153C" w14:textId="77777777" w:rsidR="00AD7E7A" w:rsidRDefault="001C4C69" w:rsidP="001C4C69">
      <w:r>
        <w:t>Seed funding for the establishment of a new independent body to collect and distribute industry funding will be unlocked on</w:t>
      </w:r>
      <w:r w:rsidRPr="001C4C69">
        <w:t xml:space="preserve">ce </w:t>
      </w:r>
      <w:r w:rsidRPr="00DC133C">
        <w:t>70</w:t>
      </w:r>
      <w:r>
        <w:t xml:space="preserve"> per cent</w:t>
      </w:r>
      <w:r w:rsidRPr="001C4C69">
        <w:t xml:space="preserve"> o</w:t>
      </w:r>
      <w:r>
        <w:t>f the total quantum of industry contributions are committed.</w:t>
      </w:r>
    </w:p>
    <w:p w14:paraId="2619C50F" w14:textId="733B728D" w:rsidR="00AB0453" w:rsidRDefault="00AD7E7A" w:rsidP="0011784B">
      <w:r>
        <w:t xml:space="preserve">The respective roles and responsibilities of peak organisations and the Department </w:t>
      </w:r>
      <w:r w:rsidR="00EB6C3F">
        <w:t xml:space="preserve">in the process to secure formal commitments </w:t>
      </w:r>
      <w:r>
        <w:t xml:space="preserve">is </w:t>
      </w:r>
      <w:r w:rsidR="00EB6C3F">
        <w:t>outlined below</w:t>
      </w:r>
      <w:r>
        <w:t xml:space="preserve">. </w:t>
      </w:r>
      <w:r w:rsidR="009B3E6F" w:rsidRPr="007D6DA7">
        <w:t>The role of peak organisations in obtaining commitments on behalf of their subsector is</w:t>
      </w:r>
      <w:r w:rsidR="00E467C6" w:rsidRPr="007D6DA7">
        <w:t xml:space="preserve"> only</w:t>
      </w:r>
      <w:r w:rsidR="009B3E6F" w:rsidRPr="007D6DA7">
        <w:t xml:space="preserve"> proposed for the initial set up of the model</w:t>
      </w:r>
      <w:r w:rsidR="00F06B8F" w:rsidRPr="007D6DA7">
        <w:t xml:space="preserve"> as an efficient mechanism to confirm support</w:t>
      </w:r>
      <w:r w:rsidR="00E467C6" w:rsidRPr="007D6DA7">
        <w:t xml:space="preserve"> for, and establish, </w:t>
      </w:r>
      <w:r w:rsidR="00F06B8F" w:rsidRPr="007D6DA7">
        <w:t>the proposed model</w:t>
      </w:r>
      <w:r w:rsidR="00E467C6" w:rsidRPr="007D6DA7">
        <w:t>. This role</w:t>
      </w:r>
      <w:r w:rsidR="009B3E6F" w:rsidRPr="007D6DA7">
        <w:t xml:space="preserve"> </w:t>
      </w:r>
      <w:r w:rsidR="00F06B8F" w:rsidRPr="007D6DA7">
        <w:t xml:space="preserve">would not be </w:t>
      </w:r>
      <w:r w:rsidR="009B3E6F" w:rsidRPr="007D6DA7">
        <w:t xml:space="preserve">ongoing </w:t>
      </w:r>
      <w:r w:rsidR="00F06B8F" w:rsidRPr="007D6DA7">
        <w:t>for peak organisations</w:t>
      </w:r>
      <w:r w:rsidR="009B3E6F" w:rsidRPr="007D6DA7">
        <w:t>.</w:t>
      </w:r>
      <w:r w:rsidR="009B3E6F">
        <w:t xml:space="preserve"> </w:t>
      </w:r>
    </w:p>
    <w:p w14:paraId="4AA679D1" w14:textId="77777777" w:rsidR="00AB0453" w:rsidRDefault="00AB0453">
      <w:r>
        <w:br w:type="page"/>
      </w:r>
    </w:p>
    <w:p w14:paraId="45A995D5" w14:textId="77777777" w:rsidR="0011784B" w:rsidRDefault="0011784B" w:rsidP="0011784B">
      <w:pPr>
        <w:spacing w:after="0"/>
      </w:pPr>
      <w:r>
        <w:rPr>
          <w:noProof/>
          <w:lang w:eastAsia="en-AU"/>
        </w:rPr>
        <w:lastRenderedPageBreak/>
        <mc:AlternateContent>
          <mc:Choice Requires="wps">
            <w:drawing>
              <wp:inline distT="0" distB="0" distL="0" distR="0" wp14:anchorId="47BB9A0E" wp14:editId="0311DF4F">
                <wp:extent cx="5724000" cy="360000"/>
                <wp:effectExtent l="0" t="0" r="10160" b="21590"/>
                <wp:docPr id="2" name="Rounded Rectangle 2"/>
                <wp:cNvGraphicFramePr/>
                <a:graphic xmlns:a="http://schemas.openxmlformats.org/drawingml/2006/main">
                  <a:graphicData uri="http://schemas.microsoft.com/office/word/2010/wordprocessingShape">
                    <wps:wsp>
                      <wps:cNvSpPr/>
                      <wps:spPr>
                        <a:xfrm>
                          <a:off x="0" y="0"/>
                          <a:ext cx="5724000" cy="3600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2181FCA" w14:textId="7683DFD4" w:rsidR="00FF3618" w:rsidRDefault="00FF3618" w:rsidP="0011784B">
                            <w:pPr>
                              <w:spacing w:after="0"/>
                              <w:jc w:val="center"/>
                            </w:pPr>
                            <w:r>
                              <w:t xml:space="preserve">Design Phase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7BB9A0E" id="Rounded Rectangle 2" o:spid="_x0000_s1032" style="width:450.7pt;height:28.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" fillcolor="#005a70 [3207]" strokecolor="#002c37 [1607]" strokeweight=".73403mm">
                <v:textbox>
                  <w:txbxContent>
                    <w:p w14:paraId="12181FCA" w14:textId="7683DFD4" w:rsidR="00FF3618" w:rsidRDefault="00FF3618" w:rsidP="0011784B">
                      <w:pPr>
                        <w:spacing w:after="0"/>
                        <w:jc w:val="center"/>
                      </w:pPr>
                      <w:r>
                        <w:t xml:space="preserve">Design Phase </w:t>
                      </w:r>
                    </w:p>
                  </w:txbxContent>
                </v:textbox>
                <w10:anchorlock/>
              </v:roundrect>
            </w:pict>
          </mc:Fallback>
        </mc:AlternateContent>
      </w:r>
      <w:r>
        <w:rPr>
          <w:noProof/>
          <w:lang w:eastAsia="en-AU"/>
        </w:rPr>
        <mc:AlternateContent>
          <mc:Choice Requires="wps">
            <w:drawing>
              <wp:inline distT="0" distB="0" distL="0" distR="0" wp14:anchorId="5FB09378" wp14:editId="14163E29">
                <wp:extent cx="2844000" cy="720000"/>
                <wp:effectExtent l="0" t="0" r="13970" b="23495"/>
                <wp:docPr id="16" name="Rounded Rectangle 16"/>
                <wp:cNvGraphicFramePr/>
                <a:graphic xmlns:a="http://schemas.openxmlformats.org/drawingml/2006/main">
                  <a:graphicData uri="http://schemas.microsoft.com/office/word/2010/wordprocessingShape">
                    <wps:wsp>
                      <wps:cNvSpPr/>
                      <wps:spPr>
                        <a:xfrm>
                          <a:off x="0" y="0"/>
                          <a:ext cx="2844000" cy="720000"/>
                        </a:xfrm>
                        <a:prstGeom prst="roundRect">
                          <a:avLst/>
                        </a:prstGeom>
                        <a:solidFill>
                          <a:srgbClr val="B07BD7"/>
                        </a:solidFill>
                        <a:ln>
                          <a:solidFill>
                            <a:srgbClr val="9855CB"/>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F72F855" w14:textId="7747997E" w:rsidR="00FF3618" w:rsidRPr="00CC7F0A" w:rsidRDefault="00FF3618" w:rsidP="0011784B">
                            <w:pPr>
                              <w:spacing w:after="0"/>
                              <w:jc w:val="center"/>
                              <w:rPr>
                                <w:color w:val="000000" w:themeColor="text1"/>
                              </w:rPr>
                            </w:pPr>
                            <w:r w:rsidRPr="00CC7F0A">
                              <w:rPr>
                                <w:color w:val="000000" w:themeColor="text1"/>
                                <w:lang w:val="en-US"/>
                              </w:rPr>
                              <w:t>Peak organisations work with their subsector/s to inform design of the industry funding model</w:t>
                            </w:r>
                          </w:p>
                          <w:p w14:paraId="78ADCC63" w14:textId="77777777" w:rsidR="00FF3618" w:rsidRDefault="00FF3618" w:rsidP="00117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B09378" id="Rounded Rectangle 16" o:spid="_x0000_s1033" style="width:223.9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" fillcolor="#b07bd7" strokecolor="#9855cb" strokeweight=".73403mm">
                <v:textbox>
                  <w:txbxContent>
                    <w:p w14:paraId="7F72F855" w14:textId="7747997E" w:rsidR="00FF3618" w:rsidRPr="00CC7F0A" w:rsidRDefault="00FF3618" w:rsidP="0011784B">
                      <w:pPr>
                        <w:spacing w:after="0"/>
                        <w:jc w:val="center"/>
                        <w:rPr>
                          <w:color w:val="000000" w:themeColor="text1"/>
                        </w:rPr>
                      </w:pPr>
                      <w:r w:rsidRPr="00CC7F0A">
                        <w:rPr>
                          <w:color w:val="000000" w:themeColor="text1"/>
                          <w:lang w:val="en-US"/>
                        </w:rPr>
                        <w:t>Peak organisations work with their subsector/s to inform design of the industry funding model</w:t>
                      </w:r>
                    </w:p>
                    <w:p w14:paraId="78ADCC63" w14:textId="77777777" w:rsidR="00FF3618" w:rsidRDefault="00FF3618" w:rsidP="0011784B">
                      <w:pPr>
                        <w:jc w:val="center"/>
                      </w:pPr>
                    </w:p>
                  </w:txbxContent>
                </v:textbox>
                <w10:anchorlock/>
              </v:roundrect>
            </w:pict>
          </mc:Fallback>
        </mc:AlternateContent>
      </w:r>
      <w:r>
        <w:t xml:space="preserve"> </w:t>
      </w:r>
      <w:r>
        <w:rPr>
          <w:noProof/>
          <w:lang w:eastAsia="en-AU"/>
        </w:rPr>
        <mc:AlternateContent>
          <mc:Choice Requires="wps">
            <w:drawing>
              <wp:inline distT="0" distB="0" distL="0" distR="0" wp14:anchorId="345B7407" wp14:editId="337EEECF">
                <wp:extent cx="2844000" cy="720000"/>
                <wp:effectExtent l="0" t="0" r="13970" b="23495"/>
                <wp:docPr id="15" name="Rounded Rectangle 15"/>
                <wp:cNvGraphicFramePr/>
                <a:graphic xmlns:a="http://schemas.openxmlformats.org/drawingml/2006/main">
                  <a:graphicData uri="http://schemas.microsoft.com/office/word/2010/wordprocessingShape">
                    <wps:wsp>
                      <wps:cNvSpPr/>
                      <wps:spPr>
                        <a:xfrm>
                          <a:off x="0" y="0"/>
                          <a:ext cx="2844000" cy="720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73FFD" w14:textId="7896D180" w:rsidR="00FF3618" w:rsidRPr="00CC7F0A" w:rsidRDefault="00FF3618" w:rsidP="0011784B">
                            <w:pPr>
                              <w:spacing w:after="0"/>
                              <w:jc w:val="center"/>
                              <w:rPr>
                                <w:color w:val="000000" w:themeColor="text1"/>
                              </w:rPr>
                            </w:pPr>
                            <w:r w:rsidRPr="00CC7F0A">
                              <w:rPr>
                                <w:color w:val="000000" w:themeColor="text1"/>
                                <w:lang w:val="en-US"/>
                              </w:rPr>
                              <w:t>The Department provides support to workshop and develop subsector-specific design aspects</w:t>
                            </w:r>
                          </w:p>
                          <w:p w14:paraId="0C0EBF41" w14:textId="77777777" w:rsidR="00FF3618" w:rsidRDefault="00FF3618" w:rsidP="00117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5B7407" id="Rounded Rectangle 15" o:spid="_x0000_s1034" style="width:223.9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" fillcolor="#00b0b9 [3205]" strokecolor="#00575c [1605]" strokeweight=".73403mm">
                <v:textbox>
                  <w:txbxContent>
                    <w:p w14:paraId="58673FFD" w14:textId="7896D180" w:rsidR="00FF3618" w:rsidRPr="00CC7F0A" w:rsidRDefault="00FF3618" w:rsidP="0011784B">
                      <w:pPr>
                        <w:spacing w:after="0"/>
                        <w:jc w:val="center"/>
                        <w:rPr>
                          <w:color w:val="000000" w:themeColor="text1"/>
                        </w:rPr>
                      </w:pPr>
                      <w:r w:rsidRPr="00CC7F0A">
                        <w:rPr>
                          <w:color w:val="000000" w:themeColor="text1"/>
                          <w:lang w:val="en-US"/>
                        </w:rPr>
                        <w:t>The Department provides support to workshop and develop subsector-specific design aspects</w:t>
                      </w:r>
                    </w:p>
                    <w:p w14:paraId="0C0EBF41" w14:textId="77777777" w:rsidR="00FF3618" w:rsidRDefault="00FF3618" w:rsidP="0011784B">
                      <w:pPr>
                        <w:jc w:val="center"/>
                      </w:pPr>
                    </w:p>
                  </w:txbxContent>
                </v:textbox>
                <w10:anchorlock/>
              </v:roundrect>
            </w:pict>
          </mc:Fallback>
        </mc:AlternateContent>
      </w:r>
    </w:p>
    <w:p w14:paraId="15E5EDDD" w14:textId="77777777" w:rsidR="0011784B" w:rsidRDefault="0011784B" w:rsidP="0011784B">
      <w:pPr>
        <w:spacing w:after="120"/>
        <w:ind w:left="3600" w:firstLine="720"/>
      </w:pPr>
      <w:r>
        <w:t xml:space="preserve">    </w:t>
      </w:r>
      <w:r>
        <w:rPr>
          <w:noProof/>
          <w:lang w:eastAsia="en-AU"/>
        </w:rPr>
        <mc:AlternateContent>
          <mc:Choice Requires="wps">
            <w:drawing>
              <wp:inline distT="0" distB="0" distL="0" distR="0" wp14:anchorId="279C52DE" wp14:editId="3323D60E">
                <wp:extent cx="2844000" cy="720000"/>
                <wp:effectExtent l="0" t="0" r="13970" b="23495"/>
                <wp:docPr id="19" name="Rounded Rectangle 19"/>
                <wp:cNvGraphicFramePr/>
                <a:graphic xmlns:a="http://schemas.openxmlformats.org/drawingml/2006/main">
                  <a:graphicData uri="http://schemas.microsoft.com/office/word/2010/wordprocessingShape">
                    <wps:wsp>
                      <wps:cNvSpPr/>
                      <wps:spPr>
                        <a:xfrm>
                          <a:off x="0" y="0"/>
                          <a:ext cx="2844000" cy="720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3A27BDF" w14:textId="29DC504F" w:rsidR="00FF3618" w:rsidRPr="00CC7F0A" w:rsidRDefault="00FF3618" w:rsidP="0011784B">
                            <w:pPr>
                              <w:spacing w:after="0"/>
                              <w:jc w:val="center"/>
                              <w:rPr>
                                <w:color w:val="000000" w:themeColor="text1"/>
                              </w:rPr>
                            </w:pPr>
                            <w:r w:rsidRPr="00CC7F0A">
                              <w:rPr>
                                <w:color w:val="000000" w:themeColor="text1"/>
                                <w:lang w:val="en-US"/>
                              </w:rPr>
                              <w:t>The Department finalises the model, following the consultation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79C52DE" id="Rounded Rectangle 19" o:spid="_x0000_s1035" style="width:223.9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" fillcolor="#00b0b9 [3205]" strokecolor="#00575c [1605]" strokeweight=".73403mm">
                <v:textbox>
                  <w:txbxContent>
                    <w:p w14:paraId="23A27BDF" w14:textId="29DC504F" w:rsidR="00FF3618" w:rsidRPr="00CC7F0A" w:rsidRDefault="00FF3618" w:rsidP="0011784B">
                      <w:pPr>
                        <w:spacing w:after="0"/>
                        <w:jc w:val="center"/>
                        <w:rPr>
                          <w:color w:val="000000" w:themeColor="text1"/>
                        </w:rPr>
                      </w:pPr>
                      <w:r w:rsidRPr="00CC7F0A">
                        <w:rPr>
                          <w:color w:val="000000" w:themeColor="text1"/>
                          <w:lang w:val="en-US"/>
                        </w:rPr>
                        <w:t>The Department finalises the model, following the consultation process</w:t>
                      </w:r>
                    </w:p>
                  </w:txbxContent>
                </v:textbox>
                <w10:anchorlock/>
              </v:roundrect>
            </w:pict>
          </mc:Fallback>
        </mc:AlternateContent>
      </w:r>
    </w:p>
    <w:p w14:paraId="30E2F6D3" w14:textId="77777777" w:rsidR="0011784B" w:rsidRDefault="0011784B" w:rsidP="0011784B">
      <w:pPr>
        <w:spacing w:after="120"/>
        <w:ind w:left="2880" w:firstLine="720"/>
      </w:pPr>
      <w:r>
        <w:t xml:space="preserve">           </w:t>
      </w:r>
      <w:r>
        <w:rPr>
          <w:noProof/>
          <w:lang w:eastAsia="en-AU"/>
        </w:rPr>
        <mc:AlternateContent>
          <mc:Choice Requires="wps">
            <w:drawing>
              <wp:inline distT="0" distB="0" distL="0" distR="0" wp14:anchorId="00D7B4E6" wp14:editId="6E439EEA">
                <wp:extent cx="316230" cy="292100"/>
                <wp:effectExtent l="38100" t="0" r="7620" b="45085"/>
                <wp:docPr id="25" name="Down Arrow 25"/>
                <wp:cNvGraphicFramePr/>
                <a:graphic xmlns:a="http://schemas.openxmlformats.org/drawingml/2006/main">
                  <a:graphicData uri="http://schemas.microsoft.com/office/word/2010/wordprocessingShape">
                    <wps:wsp>
                      <wps:cNvSpPr/>
                      <wps:spPr>
                        <a:xfrm>
                          <a:off x="0" y="0"/>
                          <a:ext cx="316230" cy="292100"/>
                        </a:xfrm>
                        <a:prstGeom prst="downArrow">
                          <a:avLst>
                            <a:gd name="adj1" fmla="val 21579"/>
                            <a:gd name="adj2" fmla="val 4869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67C5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width:24.9pt;height: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" adj="11082,8469" fillcolor="#005a70 [3204]" strokecolor="#002c37 [1604]" strokeweight=".73403mm">
                <w10:anchorlock/>
              </v:shape>
            </w:pict>
          </mc:Fallback>
        </mc:AlternateContent>
      </w:r>
    </w:p>
    <w:p w14:paraId="0E23D7B2" w14:textId="77777777" w:rsidR="0011784B" w:rsidRDefault="0011784B" w:rsidP="0011784B">
      <w:pPr>
        <w:spacing w:after="0"/>
      </w:pPr>
      <w:r>
        <w:rPr>
          <w:noProof/>
          <w:lang w:eastAsia="en-AU"/>
        </w:rPr>
        <mc:AlternateContent>
          <mc:Choice Requires="wps">
            <w:drawing>
              <wp:inline distT="0" distB="0" distL="0" distR="0" wp14:anchorId="33345C2A" wp14:editId="7AC07E83">
                <wp:extent cx="5724000" cy="360000"/>
                <wp:effectExtent l="0" t="0" r="10160" b="21590"/>
                <wp:docPr id="20" name="Rounded Rectangle 20"/>
                <wp:cNvGraphicFramePr/>
                <a:graphic xmlns:a="http://schemas.openxmlformats.org/drawingml/2006/main">
                  <a:graphicData uri="http://schemas.microsoft.com/office/word/2010/wordprocessingShape">
                    <wps:wsp>
                      <wps:cNvSpPr/>
                      <wps:spPr>
                        <a:xfrm>
                          <a:off x="0" y="0"/>
                          <a:ext cx="5724000" cy="3600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CD4CB1D" w14:textId="47A2696A" w:rsidR="00FF3618" w:rsidRDefault="00FF3618" w:rsidP="0011784B">
                            <w:pPr>
                              <w:spacing w:after="0"/>
                              <w:jc w:val="center"/>
                            </w:pPr>
                            <w:r>
                              <w:t>Commitment Phase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345C2A" id="Rounded Rectangle 20" o:spid="_x0000_s1036" style="width:450.7pt;height:28.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" fillcolor="#005a70 [3207]" strokecolor="#002c37 [1607]" strokeweight=".73403mm">
                <v:textbox>
                  <w:txbxContent>
                    <w:p w14:paraId="0CD4CB1D" w14:textId="47A2696A" w:rsidR="00FF3618" w:rsidRDefault="00FF3618" w:rsidP="0011784B">
                      <w:pPr>
                        <w:spacing w:after="0"/>
                        <w:jc w:val="center"/>
                      </w:pPr>
                      <w:r>
                        <w:t>Commitment Phase</w:t>
                      </w:r>
                    </w:p>
                  </w:txbxContent>
                </v:textbox>
                <w10:anchorlock/>
              </v:roundrect>
            </w:pict>
          </mc:Fallback>
        </mc:AlternateContent>
      </w:r>
      <w:r>
        <w:rPr>
          <w:noProof/>
          <w:lang w:eastAsia="en-AU"/>
        </w:rPr>
        <mc:AlternateContent>
          <mc:Choice Requires="wps">
            <w:drawing>
              <wp:inline distT="0" distB="0" distL="0" distR="0" wp14:anchorId="45C25DD4" wp14:editId="4C9659C5">
                <wp:extent cx="2844000" cy="720000"/>
                <wp:effectExtent l="0" t="0" r="13970" b="23495"/>
                <wp:docPr id="21" name="Rounded Rectangle 21"/>
                <wp:cNvGraphicFramePr/>
                <a:graphic xmlns:a="http://schemas.openxmlformats.org/drawingml/2006/main">
                  <a:graphicData uri="http://schemas.microsoft.com/office/word/2010/wordprocessingShape">
                    <wps:wsp>
                      <wps:cNvSpPr/>
                      <wps:spPr>
                        <a:xfrm>
                          <a:off x="0" y="0"/>
                          <a:ext cx="2844000" cy="720000"/>
                        </a:xfrm>
                        <a:prstGeom prst="roundRect">
                          <a:avLst/>
                        </a:prstGeom>
                        <a:solidFill>
                          <a:srgbClr val="B07BD7"/>
                        </a:solidFill>
                        <a:ln>
                          <a:solidFill>
                            <a:srgbClr val="9855CB"/>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19FEC381" w14:textId="35944450" w:rsidR="00FF3618" w:rsidRPr="00CC7F0A" w:rsidRDefault="00FF3618" w:rsidP="0011784B">
                            <w:pPr>
                              <w:spacing w:after="0"/>
                              <w:jc w:val="center"/>
                              <w:rPr>
                                <w:color w:val="000000" w:themeColor="text1"/>
                              </w:rPr>
                            </w:pPr>
                            <w:r w:rsidRPr="00CC7F0A">
                              <w:rPr>
                                <w:color w:val="000000" w:themeColor="text1"/>
                                <w:lang w:val="en-US"/>
                              </w:rPr>
                              <w:t>Peak organisations work with their subsector/s to secure formal commitment to the model</w:t>
                            </w:r>
                          </w:p>
                          <w:p w14:paraId="5D9EFD02" w14:textId="77777777" w:rsidR="00FF3618" w:rsidRDefault="00FF3618" w:rsidP="00117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5C25DD4" id="Rounded Rectangle 21" o:spid="_x0000_s1037" style="width:223.9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" fillcolor="#b07bd7" strokecolor="#9855cb" strokeweight=".73403mm">
                <v:textbox>
                  <w:txbxContent>
                    <w:p w14:paraId="19FEC381" w14:textId="35944450" w:rsidR="00FF3618" w:rsidRPr="00CC7F0A" w:rsidRDefault="00FF3618" w:rsidP="0011784B">
                      <w:pPr>
                        <w:spacing w:after="0"/>
                        <w:jc w:val="center"/>
                        <w:rPr>
                          <w:color w:val="000000" w:themeColor="text1"/>
                        </w:rPr>
                      </w:pPr>
                      <w:r w:rsidRPr="00CC7F0A">
                        <w:rPr>
                          <w:color w:val="000000" w:themeColor="text1"/>
                          <w:lang w:val="en-US"/>
                        </w:rPr>
                        <w:t>Peak organisations work with their subsector/s to secure formal commitment to the model</w:t>
                      </w:r>
                    </w:p>
                    <w:p w14:paraId="5D9EFD02" w14:textId="77777777" w:rsidR="00FF3618" w:rsidRDefault="00FF3618" w:rsidP="0011784B">
                      <w:pPr>
                        <w:jc w:val="center"/>
                      </w:pPr>
                    </w:p>
                  </w:txbxContent>
                </v:textbox>
                <w10:anchorlock/>
              </v:roundrect>
            </w:pict>
          </mc:Fallback>
        </mc:AlternateContent>
      </w:r>
      <w:r>
        <w:t xml:space="preserve"> </w:t>
      </w:r>
      <w:r>
        <w:rPr>
          <w:noProof/>
          <w:lang w:eastAsia="en-AU"/>
        </w:rPr>
        <mc:AlternateContent>
          <mc:Choice Requires="wps">
            <w:drawing>
              <wp:inline distT="0" distB="0" distL="0" distR="0" wp14:anchorId="3EFEA68B" wp14:editId="4A480361">
                <wp:extent cx="2844000" cy="720000"/>
                <wp:effectExtent l="0" t="0" r="13970" b="23495"/>
                <wp:docPr id="22" name="Rounded Rectangle 22"/>
                <wp:cNvGraphicFramePr/>
                <a:graphic xmlns:a="http://schemas.openxmlformats.org/drawingml/2006/main">
                  <a:graphicData uri="http://schemas.microsoft.com/office/word/2010/wordprocessingShape">
                    <wps:wsp>
                      <wps:cNvSpPr/>
                      <wps:spPr>
                        <a:xfrm>
                          <a:off x="0" y="0"/>
                          <a:ext cx="2844000" cy="720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C49EFE3" w14:textId="1E38F58D" w:rsidR="00FF3618" w:rsidRPr="00CC7F0A" w:rsidRDefault="00FF3618" w:rsidP="0011784B">
                            <w:pPr>
                              <w:spacing w:after="0"/>
                              <w:jc w:val="center"/>
                              <w:rPr>
                                <w:color w:val="000000" w:themeColor="text1"/>
                              </w:rPr>
                            </w:pPr>
                            <w:r w:rsidRPr="00CC7F0A">
                              <w:rPr>
                                <w:color w:val="000000" w:themeColor="text1"/>
                              </w:rPr>
                              <w:t>The Department supports peak organisations to secure formal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EFEA68B" id="Rounded Rectangle 22" o:spid="_x0000_s1038" style="width:223.9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" fillcolor="#00b0b9 [3205]" strokecolor="#00575c [1605]" strokeweight=".73403mm">
                <v:textbox>
                  <w:txbxContent>
                    <w:p w14:paraId="0C49EFE3" w14:textId="1E38F58D" w:rsidR="00FF3618" w:rsidRPr="00CC7F0A" w:rsidRDefault="00FF3618" w:rsidP="0011784B">
                      <w:pPr>
                        <w:spacing w:after="0"/>
                        <w:jc w:val="center"/>
                        <w:rPr>
                          <w:color w:val="000000" w:themeColor="text1"/>
                        </w:rPr>
                      </w:pPr>
                      <w:r w:rsidRPr="00CC7F0A">
                        <w:rPr>
                          <w:color w:val="000000" w:themeColor="text1"/>
                        </w:rPr>
                        <w:t>The Department supports peak organisations to secure formal commitment</w:t>
                      </w:r>
                    </w:p>
                  </w:txbxContent>
                </v:textbox>
                <w10:anchorlock/>
              </v:roundrect>
            </w:pict>
          </mc:Fallback>
        </mc:AlternateContent>
      </w:r>
    </w:p>
    <w:p w14:paraId="10166F61" w14:textId="7D306593" w:rsidR="0011784B" w:rsidRDefault="0011784B" w:rsidP="0011784B">
      <w:r>
        <w:rPr>
          <w:noProof/>
          <w:lang w:eastAsia="en-AU"/>
        </w:rPr>
        <mc:AlternateContent>
          <mc:Choice Requires="wps">
            <w:drawing>
              <wp:inline distT="0" distB="0" distL="0" distR="0" wp14:anchorId="47B674C2" wp14:editId="3DAA0C1F">
                <wp:extent cx="2844000" cy="720000"/>
                <wp:effectExtent l="0" t="0" r="13970" b="23495"/>
                <wp:docPr id="26" name="Rounded Rectangle 26"/>
                <wp:cNvGraphicFramePr/>
                <a:graphic xmlns:a="http://schemas.openxmlformats.org/drawingml/2006/main">
                  <a:graphicData uri="http://schemas.microsoft.com/office/word/2010/wordprocessingShape">
                    <wps:wsp>
                      <wps:cNvSpPr/>
                      <wps:spPr>
                        <a:xfrm>
                          <a:off x="0" y="0"/>
                          <a:ext cx="2844000" cy="720000"/>
                        </a:xfrm>
                        <a:prstGeom prst="roundRect">
                          <a:avLst/>
                        </a:prstGeom>
                        <a:solidFill>
                          <a:srgbClr val="B07BD7"/>
                        </a:solidFill>
                        <a:ln>
                          <a:solidFill>
                            <a:srgbClr val="9855CB"/>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A11CBD8" w14:textId="4B14FA7D" w:rsidR="00FF3618" w:rsidRPr="00CC7F0A" w:rsidRDefault="00FF3618" w:rsidP="0011784B">
                            <w:pPr>
                              <w:spacing w:after="0"/>
                              <w:jc w:val="center"/>
                              <w:rPr>
                                <w:color w:val="000000" w:themeColor="text1"/>
                              </w:rPr>
                            </w:pPr>
                            <w:r w:rsidRPr="00CC7F0A">
                              <w:rPr>
                                <w:color w:val="000000" w:themeColor="text1"/>
                                <w:lang w:val="en-US"/>
                              </w:rPr>
                              <w:t>Peak organisations submit formal commitments to the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7B674C2" id="Rounded Rectangle 26" o:spid="_x0000_s1039" style="width:223.9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" fillcolor="#b07bd7" strokecolor="#9855cb" strokeweight=".73403mm">
                <v:textbox>
                  <w:txbxContent>
                    <w:p w14:paraId="7A11CBD8" w14:textId="4B14FA7D" w:rsidR="00FF3618" w:rsidRPr="00CC7F0A" w:rsidRDefault="00FF3618" w:rsidP="0011784B">
                      <w:pPr>
                        <w:spacing w:after="0"/>
                        <w:jc w:val="center"/>
                        <w:rPr>
                          <w:color w:val="000000" w:themeColor="text1"/>
                        </w:rPr>
                      </w:pPr>
                      <w:r w:rsidRPr="00CC7F0A">
                        <w:rPr>
                          <w:color w:val="000000" w:themeColor="text1"/>
                          <w:lang w:val="en-US"/>
                        </w:rPr>
                        <w:t>Peak organisations submit formal commitments to the Department</w:t>
                      </w:r>
                    </w:p>
                  </w:txbxContent>
                </v:textbox>
                <w10:anchorlock/>
              </v:roundrect>
            </w:pict>
          </mc:Fallback>
        </mc:AlternateContent>
      </w:r>
    </w:p>
    <w:p w14:paraId="44B5A3D9" w14:textId="15668A7A" w:rsidR="009E52C8" w:rsidRDefault="009E52C8" w:rsidP="0011784B"/>
    <w:p w14:paraId="5A121997" w14:textId="4AA4BEF8" w:rsidR="002D5FF3" w:rsidRDefault="009E52C8" w:rsidP="009E52C8">
      <w:r w:rsidRPr="007D6DA7">
        <w:t xml:space="preserve">If peak bodies are unable to undertake the role outlined above, </w:t>
      </w:r>
      <w:r w:rsidR="0050664B">
        <w:t>an</w:t>
      </w:r>
      <w:r w:rsidR="0050664B" w:rsidRPr="007D6DA7">
        <w:t xml:space="preserve"> </w:t>
      </w:r>
      <w:r w:rsidR="00B7310C" w:rsidRPr="007D6DA7">
        <w:t xml:space="preserve">alternative option may be that the </w:t>
      </w:r>
      <w:r w:rsidRPr="007D6DA7">
        <w:t xml:space="preserve">Department consult directly and seek formal commitments from </w:t>
      </w:r>
      <w:r w:rsidR="00B7310C" w:rsidRPr="007D6DA7">
        <w:t xml:space="preserve">only </w:t>
      </w:r>
      <w:r w:rsidR="009B3E6F" w:rsidRPr="007D6DA7">
        <w:t xml:space="preserve">the </w:t>
      </w:r>
      <w:r w:rsidRPr="007D6DA7">
        <w:t>large</w:t>
      </w:r>
      <w:r w:rsidR="009B3E6F" w:rsidRPr="007D6DA7">
        <w:t>st</w:t>
      </w:r>
      <w:r w:rsidRPr="007D6DA7">
        <w:t xml:space="preserve"> businesses within each subsector</w:t>
      </w:r>
      <w:r w:rsidR="009B3E6F" w:rsidRPr="007D6DA7">
        <w:t xml:space="preserve"> (maximum 3-4 per subsector)</w:t>
      </w:r>
      <w:r w:rsidRPr="007D6DA7">
        <w:t xml:space="preserve">, to </w:t>
      </w:r>
      <w:r w:rsidR="00E467C6" w:rsidRPr="007D6DA7">
        <w:t xml:space="preserve">ensure </w:t>
      </w:r>
      <w:r w:rsidRPr="007D6DA7">
        <w:t xml:space="preserve">certainty </w:t>
      </w:r>
      <w:r w:rsidR="00E467C6" w:rsidRPr="007D6DA7">
        <w:t xml:space="preserve">in </w:t>
      </w:r>
      <w:r w:rsidRPr="007D6DA7">
        <w:t>industry contributions under the model</w:t>
      </w:r>
      <w:r w:rsidR="00E467C6" w:rsidRPr="007D6DA7">
        <w:t>. It would not be feasible for</w:t>
      </w:r>
      <w:r w:rsidR="00F776C6">
        <w:t xml:space="preserve"> the D</w:t>
      </w:r>
      <w:r w:rsidR="004078D9" w:rsidRPr="007D6DA7">
        <w:t>epartment to seek commitments from all individual businesses in the subsectors that are the focus of the model</w:t>
      </w:r>
      <w:r w:rsidRPr="007D6DA7">
        <w:t>.</w:t>
      </w:r>
    </w:p>
    <w:p w14:paraId="496B64C0" w14:textId="5FA3F077" w:rsidR="00D31DE9" w:rsidRPr="00DC133C" w:rsidRDefault="00D31DE9" w:rsidP="00E9797A">
      <w:pPr>
        <w:rPr>
          <w:rFonts w:eastAsiaTheme="majorEastAsia" w:cs="Arial"/>
          <w:b/>
          <w:lang w:bidi="en-US"/>
        </w:rPr>
      </w:pPr>
      <w:r w:rsidRPr="00DC133C">
        <w:rPr>
          <w:rFonts w:eastAsiaTheme="majorEastAsia" w:cs="Arial"/>
          <w:b/>
          <w:lang w:bidi="en-US"/>
        </w:rPr>
        <w:t xml:space="preserve">How long will participating </w:t>
      </w:r>
      <w:r w:rsidR="00D50D14" w:rsidRPr="00DC133C">
        <w:rPr>
          <w:rFonts w:eastAsiaTheme="majorEastAsia" w:cs="Arial"/>
          <w:b/>
          <w:lang w:bidi="en-US"/>
        </w:rPr>
        <w:t>subsectors</w:t>
      </w:r>
      <w:r w:rsidRPr="00DC133C">
        <w:rPr>
          <w:rFonts w:eastAsiaTheme="majorEastAsia" w:cs="Arial"/>
          <w:b/>
          <w:lang w:bidi="en-US"/>
        </w:rPr>
        <w:t xml:space="preserve"> need to commit funding for?</w:t>
      </w:r>
    </w:p>
    <w:p w14:paraId="2B4AE21C" w14:textId="66B77D0C" w:rsidR="007710FE" w:rsidRDefault="007710FE" w:rsidP="00F914A4">
      <w:r>
        <w:t xml:space="preserve">To ensure the ongoing and long term success of the industry funding model, the </w:t>
      </w:r>
      <w:r w:rsidR="00F50082">
        <w:t>D</w:t>
      </w:r>
      <w:r>
        <w:t>epartment is proposing that participating businesses commit to providing funding over an initial three years. A</w:t>
      </w:r>
      <w:r w:rsidR="001F3B29">
        <w:t> </w:t>
      </w:r>
      <w:r w:rsidR="00F50082">
        <w:t>three-year</w:t>
      </w:r>
      <w:r>
        <w:t xml:space="preserve"> commitment is proposed as it provides the greatest balance between short</w:t>
      </w:r>
      <w:r w:rsidR="00B54C72">
        <w:t>-</w:t>
      </w:r>
      <w:r>
        <w:t xml:space="preserve">term flexibility, long-term predictability and accuracy of demand modelling. </w:t>
      </w:r>
    </w:p>
    <w:p w14:paraId="72D11930" w14:textId="53C5F327" w:rsidR="007710FE" w:rsidRDefault="007710FE">
      <w:r>
        <w:t>An industry funding model, aim</w:t>
      </w:r>
      <w:r w:rsidR="00F20377">
        <w:t>ed</w:t>
      </w:r>
      <w:r>
        <w:t xml:space="preserve"> at </w:t>
      </w:r>
      <w:r w:rsidR="00F20377">
        <w:t xml:space="preserve">addressing </w:t>
      </w:r>
      <w:r>
        <w:t xml:space="preserve">unmet demand, must be flexible. Unmet demand </w:t>
      </w:r>
      <w:r w:rsidR="009123CA">
        <w:t xml:space="preserve">can change </w:t>
      </w:r>
      <w:r>
        <w:t>and is sensitive to a number of factors. When funding commitments are shorter, funding levels can be updated more frequently to match unmet demand</w:t>
      </w:r>
      <w:r w:rsidR="001C329F">
        <w:t xml:space="preserve"> modelling</w:t>
      </w:r>
      <w:r>
        <w:t>. Shorter commitments also allow for more accurate demand modelling. The further ahead the model estimates, the less confident we can be about the accuracy of the model.</w:t>
      </w:r>
    </w:p>
    <w:p w14:paraId="5AC02CE7" w14:textId="41BC068B" w:rsidR="007710FE" w:rsidRDefault="007710FE">
      <w:r>
        <w:t>To balance this, funding commitments must ensure that the sector is being provided with appropriate stability and predictability of funding. The longer the commitment, the further ahead a provider can plan for, and it gives them (among other benefits) opportunity to undertake projects that ensure the long term viability of their operation. It</w:t>
      </w:r>
      <w:r w:rsidR="001B1AA9">
        <w:t xml:space="preserve"> also</w:t>
      </w:r>
      <w:r>
        <w:t xml:space="preserve"> reduces </w:t>
      </w:r>
      <w:r w:rsidR="001B1AA9">
        <w:t xml:space="preserve">the </w:t>
      </w:r>
      <w:r>
        <w:t xml:space="preserve">administrative burden when providers and funders need to implement fewer grant agreements. </w:t>
      </w:r>
    </w:p>
    <w:p w14:paraId="19876FB7" w14:textId="318AF4AC" w:rsidR="007710FE" w:rsidRDefault="007710FE">
      <w:r>
        <w:lastRenderedPageBreak/>
        <w:t xml:space="preserve">The </w:t>
      </w:r>
      <w:r w:rsidR="009A57AF">
        <w:t>D</w:t>
      </w:r>
      <w:r>
        <w:t xml:space="preserve">epartment proposes that three years is an appropriate length to balance these needs. Any shorter than this time period is unlikely to give </w:t>
      </w:r>
      <w:r w:rsidR="00641C64">
        <w:t xml:space="preserve">financial counselling agencies </w:t>
      </w:r>
      <w:r>
        <w:t xml:space="preserve">enough time to properly utilise the funding. </w:t>
      </w:r>
    </w:p>
    <w:p w14:paraId="7BD57221" w14:textId="77777777" w:rsidR="007710FE" w:rsidRDefault="007710FE">
      <w:r>
        <w:t xml:space="preserve">Funding is proposed to begin in July 2023, lasting for three years to June 2026. </w:t>
      </w:r>
    </w:p>
    <w:p w14:paraId="41E70B60" w14:textId="24B50A46" w:rsidR="00D31DE9" w:rsidRPr="00DC133C" w:rsidRDefault="00D31DE9">
      <w:pPr>
        <w:rPr>
          <w:rFonts w:cs="Arial"/>
          <w:b/>
          <w:lang w:bidi="en-US"/>
        </w:rPr>
      </w:pPr>
      <w:r w:rsidRPr="00DC133C">
        <w:rPr>
          <w:rFonts w:cs="Arial"/>
          <w:b/>
          <w:lang w:bidi="en-US"/>
        </w:rPr>
        <w:t>When will a review of subsequent funding commitment occur?</w:t>
      </w:r>
    </w:p>
    <w:p w14:paraId="770F2383" w14:textId="13CDC66F" w:rsidR="007710FE" w:rsidRPr="002A3B93" w:rsidRDefault="007710FE">
      <w:pPr>
        <w:rPr>
          <w:rFonts w:cs="Arial"/>
          <w:lang w:bidi="en-US"/>
        </w:rPr>
      </w:pPr>
      <w:r>
        <w:t>A review would be undertaken in year two of the commitment (2024</w:t>
      </w:r>
      <w:r w:rsidR="00D01C06">
        <w:t>-</w:t>
      </w:r>
      <w:r>
        <w:t xml:space="preserve">25) that would inform any subsequent </w:t>
      </w:r>
      <w:r w:rsidR="00D01C06">
        <w:t xml:space="preserve">funding </w:t>
      </w:r>
      <w:r>
        <w:t>commitments. The review would involve:</w:t>
      </w:r>
    </w:p>
    <w:p w14:paraId="7CA28B89" w14:textId="4DC72579" w:rsidR="00A1145F" w:rsidRDefault="00A03A8D" w:rsidP="00F914A4">
      <w:pPr>
        <w:numPr>
          <w:ilvl w:val="0"/>
          <w:numId w:val="7"/>
        </w:numPr>
        <w:tabs>
          <w:tab w:val="left" w:pos="720"/>
        </w:tabs>
        <w:rPr>
          <w:rFonts w:cs="Arial"/>
          <w:lang w:bidi="en-US"/>
        </w:rPr>
      </w:pPr>
      <w:r>
        <w:rPr>
          <w:rFonts w:cs="Arial"/>
          <w:lang w:bidi="en-US"/>
        </w:rPr>
        <w:t>r</w:t>
      </w:r>
      <w:r w:rsidR="00A1145F">
        <w:rPr>
          <w:rFonts w:cs="Arial"/>
          <w:lang w:bidi="en-US"/>
        </w:rPr>
        <w:t>eviewing demand modelling methodology, including updating demand modelling to determine the new quantum of unmet demand; and</w:t>
      </w:r>
    </w:p>
    <w:p w14:paraId="4ABC8A93" w14:textId="5A74DC20" w:rsidR="0049609C" w:rsidRPr="00B47592" w:rsidRDefault="007710FE" w:rsidP="00F914A4">
      <w:pPr>
        <w:numPr>
          <w:ilvl w:val="0"/>
          <w:numId w:val="7"/>
        </w:numPr>
        <w:tabs>
          <w:tab w:val="left" w:pos="720"/>
        </w:tabs>
        <w:rPr>
          <w:rFonts w:cs="Arial"/>
          <w:lang w:bidi="en-US"/>
        </w:rPr>
      </w:pPr>
      <w:r w:rsidRPr="002A3B93">
        <w:rPr>
          <w:rFonts w:cs="Arial"/>
          <w:lang w:bidi="en-US"/>
        </w:rPr>
        <w:t>seeking recommitment from funders.</w:t>
      </w:r>
    </w:p>
    <w:p w14:paraId="24AE5F43" w14:textId="416F7721" w:rsidR="0049609C" w:rsidRPr="002A3B93" w:rsidRDefault="0049609C" w:rsidP="00F914A4">
      <w:pPr>
        <w:tabs>
          <w:tab w:val="left" w:pos="720"/>
        </w:tabs>
        <w:rPr>
          <w:rFonts w:cs="Arial"/>
          <w:lang w:bidi="en-US"/>
        </w:rPr>
      </w:pPr>
      <w:r>
        <w:rPr>
          <w:rFonts w:cs="Arial"/>
          <w:lang w:bidi="en-US"/>
        </w:rPr>
        <w:t>It is anticipated the independent body would undertake the above, noting it may engage an independent party to validate or undertake the revised demand modelling.</w:t>
      </w:r>
    </w:p>
    <w:p w14:paraId="3DA2A57C" w14:textId="6E77C605" w:rsidR="0029601A" w:rsidRDefault="003222C1" w:rsidP="0029601A">
      <w:r>
        <w:rPr>
          <w:rFonts w:cstheme="minorHAnsi"/>
          <w:noProof/>
          <w:lang w:eastAsia="en-AU"/>
        </w:rPr>
        <mc:AlternateContent>
          <mc:Choice Requires="wps">
            <w:drawing>
              <wp:inline distT="0" distB="0" distL="0" distR="0" wp14:anchorId="3B4DD371" wp14:editId="6166E831">
                <wp:extent cx="5668010" cy="2142699"/>
                <wp:effectExtent l="0" t="0" r="27940" b="10160"/>
                <wp:docPr id="5" name="Rounded Rectangle 5"/>
                <wp:cNvGraphicFramePr/>
                <a:graphic xmlns:a="http://schemas.openxmlformats.org/drawingml/2006/main">
                  <a:graphicData uri="http://schemas.microsoft.com/office/word/2010/wordprocessingShape">
                    <wps:wsp>
                      <wps:cNvSpPr/>
                      <wps:spPr>
                        <a:xfrm>
                          <a:off x="0" y="0"/>
                          <a:ext cx="5668010" cy="2142699"/>
                        </a:xfrm>
                        <a:prstGeom prst="roundRect">
                          <a:avLst/>
                        </a:prstGeom>
                        <a:solidFill>
                          <a:schemeClr val="bg1">
                            <a:lumMod val="95000"/>
                          </a:schemeClr>
                        </a:solidFill>
                        <a:ln w="26425" cap="flat" cmpd="sng" algn="ctr">
                          <a:solidFill>
                            <a:srgbClr val="B1E4E3">
                              <a:shade val="50000"/>
                            </a:srgbClr>
                          </a:solidFill>
                          <a:prstDash val="solid"/>
                        </a:ln>
                        <a:effectLst/>
                      </wps:spPr>
                      <wps:txbx>
                        <w:txbxContent>
                          <w:p w14:paraId="719A6B68" w14:textId="77777777" w:rsidR="00FF3618" w:rsidRPr="008D7B6F" w:rsidRDefault="00FF3618" w:rsidP="003222C1">
                            <w:pPr>
                              <w:spacing w:after="60"/>
                            </w:pPr>
                            <w:r w:rsidRPr="008D7B6F">
                              <w:t>Discussion Questions:</w:t>
                            </w:r>
                          </w:p>
                          <w:p w14:paraId="4C176E17" w14:textId="496CA28A" w:rsidR="00FF3618" w:rsidRDefault="00FF3618" w:rsidP="003222C1">
                            <w:pPr>
                              <w:pStyle w:val="ListParagraph"/>
                              <w:numPr>
                                <w:ilvl w:val="0"/>
                                <w:numId w:val="4"/>
                              </w:numPr>
                              <w:spacing w:after="120"/>
                              <w:ind w:left="357" w:hanging="357"/>
                              <w:contextualSpacing w:val="0"/>
                            </w:pPr>
                            <w:r>
                              <w:t>What is your view on the proposed initial three-year commitment? Is this an appropriate length to ensure flexibility and stability of funding?</w:t>
                            </w:r>
                          </w:p>
                          <w:p w14:paraId="39E74531" w14:textId="5364690F" w:rsidR="00FF3618" w:rsidRDefault="00FF3618" w:rsidP="003222C1">
                            <w:pPr>
                              <w:pStyle w:val="ListParagraph"/>
                              <w:numPr>
                                <w:ilvl w:val="0"/>
                                <w:numId w:val="4"/>
                              </w:numPr>
                              <w:spacing w:after="120"/>
                              <w:ind w:left="357" w:hanging="357"/>
                              <w:contextualSpacing w:val="0"/>
                            </w:pPr>
                            <w:r>
                              <w:t>When would an appropriate time be to review the functioning of the model?</w:t>
                            </w:r>
                          </w:p>
                          <w:p w14:paraId="785644A9" w14:textId="6B7AE230" w:rsidR="00FF3618" w:rsidRPr="007D6DA7" w:rsidRDefault="00FF3618" w:rsidP="007D6DA7">
                            <w:pPr>
                              <w:pStyle w:val="ListParagraph"/>
                              <w:numPr>
                                <w:ilvl w:val="0"/>
                                <w:numId w:val="4"/>
                              </w:numPr>
                              <w:spacing w:after="120"/>
                              <w:ind w:left="357" w:hanging="357"/>
                              <w:contextualSpacing w:val="0"/>
                            </w:pPr>
                            <w:r w:rsidRPr="007D6DA7">
                              <w:t xml:space="preserve">Are peak organisations an appropriate mechanism to obtain a formal commitment from subsectors as part of the initial set up of the model? Are there alternative methods to secure commitments that could be undertaken in a timely manner? </w:t>
                            </w:r>
                          </w:p>
                          <w:p w14:paraId="2094FBC3" w14:textId="77777777" w:rsidR="00FF3618" w:rsidRPr="0001440C" w:rsidRDefault="00FF3618" w:rsidP="003222C1">
                            <w:pPr>
                              <w:jc w:val="center"/>
                              <w:rPr>
                                <w:color w:val="00838A" w:themeColor="accen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B4DD371" id="Rounded Rectangle 5" o:spid="_x0000_s1040" style="width:446.3pt;height:16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" fillcolor="#f2f2f2 [3052]" strokecolor="#81a7a7" strokeweight=".73403mm">
                <v:textbox>
                  <w:txbxContent>
                    <w:p w14:paraId="719A6B68" w14:textId="77777777" w:rsidR="00FF3618" w:rsidRPr="008D7B6F" w:rsidRDefault="00FF3618" w:rsidP="003222C1">
                      <w:pPr>
                        <w:spacing w:after="60"/>
                      </w:pPr>
                      <w:r w:rsidRPr="008D7B6F">
                        <w:t>Discussion Questions:</w:t>
                      </w:r>
                    </w:p>
                    <w:p w14:paraId="4C176E17" w14:textId="496CA28A" w:rsidR="00FF3618" w:rsidRDefault="00FF3618" w:rsidP="003222C1">
                      <w:pPr>
                        <w:pStyle w:val="ListParagraph"/>
                        <w:numPr>
                          <w:ilvl w:val="0"/>
                          <w:numId w:val="4"/>
                        </w:numPr>
                        <w:spacing w:after="120"/>
                        <w:ind w:left="357" w:hanging="357"/>
                        <w:contextualSpacing w:val="0"/>
                      </w:pPr>
                      <w:r>
                        <w:t>What is your view on the proposed initial three-year commitment? Is this an appropriate length to ensure flexibility and stability of funding?</w:t>
                      </w:r>
                    </w:p>
                    <w:p w14:paraId="39E74531" w14:textId="5364690F" w:rsidR="00FF3618" w:rsidRDefault="00FF3618" w:rsidP="003222C1">
                      <w:pPr>
                        <w:pStyle w:val="ListParagraph"/>
                        <w:numPr>
                          <w:ilvl w:val="0"/>
                          <w:numId w:val="4"/>
                        </w:numPr>
                        <w:spacing w:after="120"/>
                        <w:ind w:left="357" w:hanging="357"/>
                        <w:contextualSpacing w:val="0"/>
                      </w:pPr>
                      <w:r>
                        <w:t>When would an appropriate time be to review the functioning of the model?</w:t>
                      </w:r>
                    </w:p>
                    <w:p w14:paraId="785644A9" w14:textId="6B7AE230" w:rsidR="00FF3618" w:rsidRPr="007D6DA7" w:rsidRDefault="00FF3618" w:rsidP="007D6DA7">
                      <w:pPr>
                        <w:pStyle w:val="ListParagraph"/>
                        <w:numPr>
                          <w:ilvl w:val="0"/>
                          <w:numId w:val="4"/>
                        </w:numPr>
                        <w:spacing w:after="120"/>
                        <w:ind w:left="357" w:hanging="357"/>
                        <w:contextualSpacing w:val="0"/>
                      </w:pPr>
                      <w:r w:rsidRPr="007D6DA7">
                        <w:t xml:space="preserve">Are peak organisations an appropriate mechanism to obtain a formal commitment from subsectors as part of the initial set up of the model? Are there alternative methods to secure commitments that could be undertaken in a timely manner? </w:t>
                      </w:r>
                    </w:p>
                    <w:p w14:paraId="2094FBC3" w14:textId="77777777" w:rsidR="00FF3618" w:rsidRPr="0001440C" w:rsidRDefault="00FF3618" w:rsidP="003222C1">
                      <w:pPr>
                        <w:jc w:val="center"/>
                        <w:rPr>
                          <w:color w:val="00838A" w:themeColor="accent2" w:themeShade="BF"/>
                        </w:rPr>
                      </w:pPr>
                    </w:p>
                  </w:txbxContent>
                </v:textbox>
                <w10:anchorlock/>
              </v:roundrect>
            </w:pict>
          </mc:Fallback>
        </mc:AlternateContent>
      </w:r>
    </w:p>
    <w:p w14:paraId="03F49359" w14:textId="2CF8BDD7" w:rsidR="004E10EE" w:rsidRDefault="004E10EE">
      <w:r>
        <w:br w:type="page"/>
      </w:r>
    </w:p>
    <w:p w14:paraId="7368CEAE" w14:textId="408264FB" w:rsidR="00F93794" w:rsidRPr="00D504CE" w:rsidRDefault="00803599" w:rsidP="004E1899">
      <w:pPr>
        <w:pStyle w:val="Heading1"/>
        <w:spacing w:before="0"/>
      </w:pPr>
      <w:bookmarkStart w:id="30" w:name="_Toc116638262"/>
      <w:bookmarkStart w:id="31" w:name="_Toc116638263"/>
      <w:bookmarkStart w:id="32" w:name="_Toc118288275"/>
      <w:bookmarkEnd w:id="30"/>
      <w:bookmarkEnd w:id="31"/>
      <w:r>
        <w:lastRenderedPageBreak/>
        <w:t xml:space="preserve">Design of </w:t>
      </w:r>
      <w:r w:rsidR="00DA3FA0">
        <w:t>the</w:t>
      </w:r>
      <w:r w:rsidR="00C456A1">
        <w:t xml:space="preserve"> </w:t>
      </w:r>
      <w:r w:rsidR="00172041">
        <w:t>i</w:t>
      </w:r>
      <w:r>
        <w:t xml:space="preserve">ndependent </w:t>
      </w:r>
      <w:r w:rsidR="00172041">
        <w:t>b</w:t>
      </w:r>
      <w:r>
        <w:t>ody</w:t>
      </w:r>
      <w:bookmarkEnd w:id="32"/>
    </w:p>
    <w:p w14:paraId="16CDF0E9" w14:textId="71496AEF" w:rsidR="00F93794" w:rsidRPr="00700764" w:rsidRDefault="00C64552" w:rsidP="00F914A4">
      <w:pPr>
        <w:pStyle w:val="Style1"/>
        <w:spacing w:before="0" w:after="160"/>
      </w:pPr>
      <w:r>
        <w:rPr>
          <w:rFonts w:eastAsiaTheme="majorEastAsia"/>
        </w:rPr>
        <w:t xml:space="preserve">What is the </w:t>
      </w:r>
      <w:r w:rsidR="001E6B88">
        <w:rPr>
          <w:rFonts w:eastAsiaTheme="majorEastAsia"/>
        </w:rPr>
        <w:t xml:space="preserve">proposed </w:t>
      </w:r>
      <w:r>
        <w:rPr>
          <w:rFonts w:eastAsiaTheme="majorEastAsia"/>
        </w:rPr>
        <w:t xml:space="preserve">role and characteristics of the </w:t>
      </w:r>
      <w:r w:rsidR="00172041">
        <w:rPr>
          <w:rFonts w:eastAsiaTheme="majorEastAsia"/>
        </w:rPr>
        <w:t>i</w:t>
      </w:r>
      <w:r>
        <w:rPr>
          <w:rFonts w:eastAsiaTheme="majorEastAsia"/>
        </w:rPr>
        <w:t xml:space="preserve">ndependent </w:t>
      </w:r>
      <w:r w:rsidR="00172041">
        <w:rPr>
          <w:rFonts w:eastAsiaTheme="majorEastAsia"/>
        </w:rPr>
        <w:t>b</w:t>
      </w:r>
      <w:r>
        <w:rPr>
          <w:rFonts w:eastAsiaTheme="majorEastAsia"/>
        </w:rPr>
        <w:t xml:space="preserve">ody? </w:t>
      </w:r>
    </w:p>
    <w:p w14:paraId="759FCC52" w14:textId="5D566977" w:rsidR="00F93794" w:rsidRPr="00F93794" w:rsidRDefault="00E26B78" w:rsidP="00E9797A">
      <w:pPr>
        <w:rPr>
          <w:rFonts w:eastAsiaTheme="majorEastAsia"/>
        </w:rPr>
      </w:pPr>
      <w:r>
        <w:rPr>
          <w:rFonts w:eastAsiaTheme="majorEastAsia"/>
        </w:rPr>
        <w:t xml:space="preserve">It is proposed </w:t>
      </w:r>
      <w:r w:rsidR="00F93794" w:rsidRPr="00F93794">
        <w:rPr>
          <w:rFonts w:eastAsiaTheme="majorEastAsia"/>
        </w:rPr>
        <w:t xml:space="preserve">a </w:t>
      </w:r>
      <w:r>
        <w:rPr>
          <w:rFonts w:eastAsiaTheme="majorEastAsia"/>
        </w:rPr>
        <w:t>new independent not-for-profit</w:t>
      </w:r>
      <w:r w:rsidRPr="00F93794">
        <w:rPr>
          <w:rFonts w:eastAsiaTheme="majorEastAsia"/>
        </w:rPr>
        <w:t xml:space="preserve"> </w:t>
      </w:r>
      <w:r w:rsidR="00F93794" w:rsidRPr="00F93794">
        <w:rPr>
          <w:rFonts w:eastAsiaTheme="majorEastAsia"/>
        </w:rPr>
        <w:t>body</w:t>
      </w:r>
      <w:r>
        <w:rPr>
          <w:rFonts w:eastAsiaTheme="majorEastAsia"/>
        </w:rPr>
        <w:t xml:space="preserve"> is established</w:t>
      </w:r>
      <w:r w:rsidR="00F93794" w:rsidRPr="00F93794">
        <w:rPr>
          <w:rFonts w:eastAsiaTheme="majorEastAsia"/>
        </w:rPr>
        <w:t>, which would collect and distribute</w:t>
      </w:r>
      <w:r w:rsidR="000E1CE5">
        <w:rPr>
          <w:rFonts w:eastAsiaTheme="majorEastAsia"/>
        </w:rPr>
        <w:t xml:space="preserve"> funding it receives for financial counselling services</w:t>
      </w:r>
      <w:r w:rsidR="00F93794" w:rsidRPr="00F93794">
        <w:rPr>
          <w:rFonts w:eastAsiaTheme="majorEastAsia"/>
        </w:rPr>
        <w:t xml:space="preserve"> </w:t>
      </w:r>
      <w:r w:rsidR="00700764">
        <w:rPr>
          <w:rFonts w:eastAsiaTheme="majorEastAsia"/>
        </w:rPr>
        <w:t xml:space="preserve">under the industry funding model. </w:t>
      </w:r>
    </w:p>
    <w:p w14:paraId="4840D5E1" w14:textId="6DC52D8F" w:rsidR="00D84243" w:rsidRDefault="00D84243" w:rsidP="00F914A4">
      <w:pPr>
        <w:rPr>
          <w:rFonts w:eastAsiaTheme="majorEastAsia"/>
        </w:rPr>
      </w:pPr>
      <w:r>
        <w:rPr>
          <w:rFonts w:eastAsiaTheme="majorEastAsia"/>
        </w:rPr>
        <w:t>It is proposed the body:</w:t>
      </w:r>
    </w:p>
    <w:p w14:paraId="7A59EB3B" w14:textId="28D43175" w:rsidR="00D84243" w:rsidRDefault="00D84243" w:rsidP="00F914A4">
      <w:pPr>
        <w:pStyle w:val="ListParagraph"/>
        <w:numPr>
          <w:ilvl w:val="0"/>
          <w:numId w:val="42"/>
        </w:numPr>
        <w:contextualSpacing w:val="0"/>
        <w:rPr>
          <w:rFonts w:eastAsiaTheme="majorEastAsia"/>
        </w:rPr>
      </w:pPr>
      <w:r>
        <w:rPr>
          <w:rFonts w:eastAsiaTheme="majorEastAsia"/>
        </w:rPr>
        <w:t xml:space="preserve">be a not-for-profit company limited by guarantee that can receive and distribute </w:t>
      </w:r>
      <w:r w:rsidR="0053752B">
        <w:rPr>
          <w:rFonts w:eastAsiaTheme="majorEastAsia"/>
        </w:rPr>
        <w:t>contributions</w:t>
      </w:r>
      <w:r>
        <w:rPr>
          <w:rFonts w:eastAsiaTheme="majorEastAsia"/>
        </w:rPr>
        <w:t xml:space="preserve">, and could seek </w:t>
      </w:r>
      <w:r w:rsidR="001B1AA9">
        <w:rPr>
          <w:rFonts w:eastAsiaTheme="majorEastAsia"/>
        </w:rPr>
        <w:t xml:space="preserve">Deductible </w:t>
      </w:r>
      <w:r w:rsidR="004F4C76">
        <w:rPr>
          <w:rFonts w:eastAsiaTheme="majorEastAsia"/>
        </w:rPr>
        <w:t>Gift Recipient status;</w:t>
      </w:r>
    </w:p>
    <w:p w14:paraId="66A2361C" w14:textId="2E2FA6FD" w:rsidR="00D84243" w:rsidRDefault="00D84243" w:rsidP="00F914A4">
      <w:pPr>
        <w:pStyle w:val="ListParagraph"/>
        <w:numPr>
          <w:ilvl w:val="0"/>
          <w:numId w:val="42"/>
        </w:numPr>
        <w:contextualSpacing w:val="0"/>
        <w:rPr>
          <w:rFonts w:eastAsiaTheme="majorEastAsia"/>
        </w:rPr>
      </w:pPr>
      <w:r>
        <w:rPr>
          <w:rFonts w:eastAsiaTheme="majorEastAsia"/>
        </w:rPr>
        <w:t>conduct grant or grant like processes, procure services and activities, cease funding and require reporting of activities and outcomes</w:t>
      </w:r>
      <w:r w:rsidR="004F4C76">
        <w:rPr>
          <w:rFonts w:eastAsiaTheme="majorEastAsia"/>
        </w:rPr>
        <w:t>;</w:t>
      </w:r>
    </w:p>
    <w:p w14:paraId="7802BDCA" w14:textId="5F40F43A" w:rsidR="00D84243" w:rsidRDefault="00D84243" w:rsidP="00F914A4">
      <w:pPr>
        <w:pStyle w:val="ListParagraph"/>
        <w:numPr>
          <w:ilvl w:val="0"/>
          <w:numId w:val="42"/>
        </w:numPr>
        <w:contextualSpacing w:val="0"/>
        <w:rPr>
          <w:rFonts w:eastAsiaTheme="majorEastAsia"/>
        </w:rPr>
      </w:pPr>
      <w:r>
        <w:rPr>
          <w:rFonts w:eastAsiaTheme="majorEastAsia"/>
        </w:rPr>
        <w:t>collect and analyse data and reports</w:t>
      </w:r>
      <w:r w:rsidR="004F4C76">
        <w:rPr>
          <w:rFonts w:eastAsiaTheme="majorEastAsia"/>
        </w:rPr>
        <w:t>;</w:t>
      </w:r>
      <w:r w:rsidR="00D17E79">
        <w:rPr>
          <w:rFonts w:eastAsiaTheme="majorEastAsia"/>
        </w:rPr>
        <w:t xml:space="preserve"> and</w:t>
      </w:r>
    </w:p>
    <w:p w14:paraId="1C37E49F" w14:textId="3B7B9038" w:rsidR="00D84243" w:rsidRPr="00C64552" w:rsidRDefault="00D84243" w:rsidP="00F914A4">
      <w:pPr>
        <w:pStyle w:val="ListParagraph"/>
        <w:numPr>
          <w:ilvl w:val="0"/>
          <w:numId w:val="42"/>
        </w:numPr>
        <w:contextualSpacing w:val="0"/>
        <w:rPr>
          <w:rFonts w:eastAsiaTheme="majorEastAsia"/>
        </w:rPr>
      </w:pPr>
      <w:r>
        <w:rPr>
          <w:rFonts w:eastAsiaTheme="majorEastAsia"/>
        </w:rPr>
        <w:t>engage with other funders of financial counselling on coordination and innovation of funding and services</w:t>
      </w:r>
      <w:r w:rsidR="003222C1">
        <w:rPr>
          <w:rFonts w:eastAsiaTheme="majorEastAsia"/>
        </w:rPr>
        <w:t>.</w:t>
      </w:r>
    </w:p>
    <w:p w14:paraId="4864133E" w14:textId="1AA18799" w:rsidR="00921A18" w:rsidRDefault="009E0C4E" w:rsidP="00E9797A">
      <w:pPr>
        <w:rPr>
          <w:rFonts w:eastAsiaTheme="majorEastAsia"/>
        </w:rPr>
      </w:pPr>
      <w:r>
        <w:rPr>
          <w:rFonts w:eastAsiaTheme="majorEastAsia"/>
        </w:rPr>
        <w:t>T</w:t>
      </w:r>
      <w:r w:rsidR="004663CF">
        <w:rPr>
          <w:rFonts w:eastAsiaTheme="majorEastAsia"/>
        </w:rPr>
        <w:t xml:space="preserve">he </w:t>
      </w:r>
      <w:r w:rsidR="006F5509">
        <w:rPr>
          <w:rFonts w:eastAsiaTheme="majorEastAsia"/>
        </w:rPr>
        <w:t>body would</w:t>
      </w:r>
      <w:r w:rsidR="006F5509" w:rsidRPr="00F93794">
        <w:rPr>
          <w:rFonts w:eastAsiaTheme="majorEastAsia"/>
        </w:rPr>
        <w:t xml:space="preserve"> receive and distribute voluntary </w:t>
      </w:r>
      <w:r w:rsidR="004663CF">
        <w:rPr>
          <w:rFonts w:eastAsiaTheme="majorEastAsia"/>
        </w:rPr>
        <w:t xml:space="preserve">industry </w:t>
      </w:r>
      <w:r w:rsidR="006F5509" w:rsidRPr="00F93794">
        <w:rPr>
          <w:rFonts w:eastAsiaTheme="majorEastAsia"/>
        </w:rPr>
        <w:t>contributions</w:t>
      </w:r>
      <w:r w:rsidR="006F5509">
        <w:rPr>
          <w:rFonts w:eastAsiaTheme="majorEastAsia"/>
        </w:rPr>
        <w:t xml:space="preserve"> to ensure the </w:t>
      </w:r>
      <w:r w:rsidR="006F5509" w:rsidRPr="00F93794">
        <w:rPr>
          <w:rFonts w:eastAsiaTheme="majorEastAsia"/>
        </w:rPr>
        <w:t xml:space="preserve">coordination </w:t>
      </w:r>
      <w:r w:rsidR="006F5509">
        <w:rPr>
          <w:rFonts w:eastAsiaTheme="majorEastAsia"/>
        </w:rPr>
        <w:t xml:space="preserve">of industry funding and avoid administrative burden on financial counselling agencies. </w:t>
      </w:r>
      <w:r w:rsidR="00921A18">
        <w:t>It may take time for the financial counselling sector to build capacity to be able to deliver additional services with the funding provided, as the sector will need to train and hire additional counsellors.</w:t>
      </w:r>
    </w:p>
    <w:p w14:paraId="0E6E500A" w14:textId="59FDB2B7" w:rsidR="006F5509" w:rsidRDefault="006F5509" w:rsidP="00F914A4">
      <w:pPr>
        <w:rPr>
          <w:rFonts w:eastAsiaTheme="majorEastAsia"/>
        </w:rPr>
      </w:pPr>
      <w:r>
        <w:rPr>
          <w:rFonts w:eastAsiaTheme="majorEastAsia"/>
        </w:rPr>
        <w:t xml:space="preserve">A single point of </w:t>
      </w:r>
      <w:r w:rsidR="00700764">
        <w:rPr>
          <w:rFonts w:eastAsiaTheme="majorEastAsia"/>
        </w:rPr>
        <w:t>distribution</w:t>
      </w:r>
      <w:r w:rsidR="00C43240">
        <w:rPr>
          <w:rFonts w:eastAsiaTheme="majorEastAsia"/>
        </w:rPr>
        <w:t xml:space="preserve"> would</w:t>
      </w:r>
      <w:r w:rsidR="00D84243">
        <w:rPr>
          <w:rFonts w:eastAsiaTheme="majorEastAsia"/>
        </w:rPr>
        <w:t xml:space="preserve"> </w:t>
      </w:r>
      <w:r>
        <w:rPr>
          <w:rFonts w:eastAsiaTheme="majorEastAsia"/>
        </w:rPr>
        <w:t xml:space="preserve">remove potential risks, complexities and inefficiencies that would occur if </w:t>
      </w:r>
      <w:r w:rsidR="00B54C72">
        <w:rPr>
          <w:rFonts w:eastAsiaTheme="majorEastAsia"/>
        </w:rPr>
        <w:t xml:space="preserve">industries </w:t>
      </w:r>
      <w:r w:rsidR="000E1CE5">
        <w:rPr>
          <w:rFonts w:eastAsiaTheme="majorEastAsia"/>
        </w:rPr>
        <w:t>set up</w:t>
      </w:r>
      <w:r>
        <w:rPr>
          <w:rFonts w:eastAsiaTheme="majorEastAsia"/>
        </w:rPr>
        <w:t xml:space="preserve"> their own </w:t>
      </w:r>
      <w:r w:rsidR="001B1AA9">
        <w:rPr>
          <w:rFonts w:eastAsiaTheme="majorEastAsia"/>
        </w:rPr>
        <w:t xml:space="preserve">independent </w:t>
      </w:r>
      <w:r>
        <w:rPr>
          <w:rFonts w:eastAsiaTheme="majorEastAsia"/>
        </w:rPr>
        <w:t xml:space="preserve">arrangements for providing contributions. Without a central mechanism to coordinate industry funding, there is a risk funding is not distributed to the financial counselling agencies based on a needs basis, potentially resulting in unmet demand continuing. </w:t>
      </w:r>
    </w:p>
    <w:p w14:paraId="390158FD" w14:textId="3D7714A4" w:rsidR="006F5509" w:rsidRDefault="006F5509">
      <w:pPr>
        <w:rPr>
          <w:rFonts w:eastAsiaTheme="majorEastAsia"/>
        </w:rPr>
      </w:pPr>
      <w:r>
        <w:rPr>
          <w:rFonts w:eastAsiaTheme="majorEastAsia"/>
        </w:rPr>
        <w:t xml:space="preserve">Further, the Sylvan Review highlighted the current landscape of multiple funding sources for financial counselling creates a burden for service providers when applying for and acquitting grants and takes the focus away from core business. A centralised body would avoid adding </w:t>
      </w:r>
      <w:r w:rsidR="001B1AA9">
        <w:rPr>
          <w:rFonts w:eastAsiaTheme="majorEastAsia"/>
        </w:rPr>
        <w:t xml:space="preserve">further administrative </w:t>
      </w:r>
      <w:r>
        <w:rPr>
          <w:rFonts w:eastAsiaTheme="majorEastAsia"/>
        </w:rPr>
        <w:t xml:space="preserve">on financial counselling agencies. </w:t>
      </w:r>
    </w:p>
    <w:p w14:paraId="27756861" w14:textId="010B126E" w:rsidR="00500A56" w:rsidRDefault="0050664B">
      <w:pPr>
        <w:rPr>
          <w:rFonts w:eastAsiaTheme="majorEastAsia"/>
        </w:rPr>
      </w:pPr>
      <w:r>
        <w:rPr>
          <w:rFonts w:eastAsiaTheme="majorEastAsia"/>
        </w:rPr>
        <w:t>Table 4 below outlines t</w:t>
      </w:r>
      <w:r w:rsidR="00500A56" w:rsidRPr="00F93794">
        <w:rPr>
          <w:rFonts w:eastAsiaTheme="majorEastAsia"/>
        </w:rPr>
        <w:t xml:space="preserve">he proposed </w:t>
      </w:r>
      <w:r w:rsidR="00500A56">
        <w:rPr>
          <w:rFonts w:eastAsiaTheme="majorEastAsia"/>
        </w:rPr>
        <w:t xml:space="preserve">role and </w:t>
      </w:r>
      <w:r w:rsidR="00500A56" w:rsidRPr="00F93794">
        <w:rPr>
          <w:rFonts w:eastAsiaTheme="majorEastAsia"/>
        </w:rPr>
        <w:t xml:space="preserve">characteristics of the body </w:t>
      </w:r>
      <w:r w:rsidR="009E0C4E">
        <w:rPr>
          <w:rFonts w:eastAsiaTheme="majorEastAsia"/>
        </w:rPr>
        <w:t xml:space="preserve">and </w:t>
      </w:r>
      <w:r>
        <w:rPr>
          <w:rFonts w:eastAsiaTheme="majorEastAsia"/>
        </w:rPr>
        <w:t xml:space="preserve">accompanying </w:t>
      </w:r>
      <w:r w:rsidR="009E0C4E">
        <w:rPr>
          <w:rFonts w:eastAsiaTheme="majorEastAsia"/>
        </w:rPr>
        <w:t>rationale</w:t>
      </w:r>
      <w:r>
        <w:rPr>
          <w:rFonts w:eastAsiaTheme="majorEastAsia"/>
        </w:rPr>
        <w:t>.</w:t>
      </w:r>
    </w:p>
    <w:p w14:paraId="0EEE5EC3" w14:textId="7C2EB0B3" w:rsidR="00A833EA" w:rsidRDefault="00A833EA">
      <w:pPr>
        <w:rPr>
          <w:rFonts w:eastAsiaTheme="majorEastAsia"/>
        </w:rPr>
      </w:pPr>
      <w:r w:rsidRPr="00F93794">
        <w:rPr>
          <w:rFonts w:eastAsiaTheme="majorEastAsia"/>
        </w:rPr>
        <w:t>The establishment of a body would be a collaboration between Government, industry and the financial counselling sector.</w:t>
      </w:r>
    </w:p>
    <w:p w14:paraId="219587C3" w14:textId="276DF974" w:rsidR="002E0F02" w:rsidRDefault="001E6B88">
      <w:pPr>
        <w:rPr>
          <w:rFonts w:eastAsiaTheme="majorEastAsia"/>
        </w:rPr>
      </w:pPr>
      <w:r>
        <w:rPr>
          <w:rFonts w:eastAsiaTheme="majorEastAsia"/>
        </w:rPr>
        <w:t xml:space="preserve">It is proposed the </w:t>
      </w:r>
      <w:r w:rsidR="0050664B">
        <w:rPr>
          <w:rFonts w:eastAsiaTheme="majorEastAsia"/>
        </w:rPr>
        <w:t xml:space="preserve">size of the </w:t>
      </w:r>
      <w:r>
        <w:rPr>
          <w:rFonts w:eastAsiaTheme="majorEastAsia"/>
        </w:rPr>
        <w:t xml:space="preserve">independent body </w:t>
      </w:r>
      <w:r w:rsidR="0050664B">
        <w:rPr>
          <w:rFonts w:eastAsiaTheme="majorEastAsia"/>
        </w:rPr>
        <w:t>reflects</w:t>
      </w:r>
      <w:r w:rsidR="0053752B">
        <w:rPr>
          <w:rFonts w:eastAsiaTheme="majorEastAsia"/>
        </w:rPr>
        <w:t xml:space="preserve"> the scale of</w:t>
      </w:r>
      <w:r>
        <w:rPr>
          <w:rFonts w:eastAsiaTheme="majorEastAsia"/>
        </w:rPr>
        <w:t xml:space="preserve"> funding commitments. It is anticipated the </w:t>
      </w:r>
      <w:r w:rsidR="00693279">
        <w:rPr>
          <w:rFonts w:eastAsiaTheme="majorEastAsia"/>
        </w:rPr>
        <w:t xml:space="preserve">staffing of the </w:t>
      </w:r>
      <w:r>
        <w:rPr>
          <w:rFonts w:eastAsiaTheme="majorEastAsia"/>
        </w:rPr>
        <w:t>body will likely start small and be scaled up as required</w:t>
      </w:r>
      <w:r w:rsidR="00693279">
        <w:rPr>
          <w:rFonts w:eastAsiaTheme="majorEastAsia"/>
        </w:rPr>
        <w:t xml:space="preserve"> to respond to increasing funding and </w:t>
      </w:r>
      <w:r w:rsidR="001B1AA9">
        <w:rPr>
          <w:rFonts w:eastAsiaTheme="majorEastAsia"/>
        </w:rPr>
        <w:t xml:space="preserve">additional </w:t>
      </w:r>
      <w:r w:rsidR="00693279">
        <w:rPr>
          <w:rFonts w:eastAsiaTheme="majorEastAsia"/>
        </w:rPr>
        <w:t>grant processes</w:t>
      </w:r>
      <w:r w:rsidR="00E961CE">
        <w:rPr>
          <w:rFonts w:eastAsiaTheme="majorEastAsia"/>
        </w:rPr>
        <w:t>.</w:t>
      </w:r>
      <w:r>
        <w:rPr>
          <w:rFonts w:eastAsiaTheme="majorEastAsia"/>
        </w:rPr>
        <w:t xml:space="preserve"> </w:t>
      </w:r>
      <w:r w:rsidR="002E0F02" w:rsidRPr="002E0F02">
        <w:rPr>
          <w:rFonts w:eastAsiaTheme="majorEastAsia"/>
        </w:rPr>
        <w:t xml:space="preserve"> </w:t>
      </w:r>
    </w:p>
    <w:p w14:paraId="274A6F42" w14:textId="5E08B465" w:rsidR="005C6BA1" w:rsidRDefault="002E302A">
      <w:pPr>
        <w:rPr>
          <w:rFonts w:eastAsiaTheme="majorEastAsia"/>
        </w:rPr>
      </w:pPr>
      <w:r>
        <w:rPr>
          <w:rFonts w:eastAsiaTheme="majorEastAsia"/>
        </w:rPr>
        <w:t xml:space="preserve">Policies and procedures of the independent body, including </w:t>
      </w:r>
      <w:r w:rsidR="0029601A">
        <w:rPr>
          <w:rFonts w:eastAsiaTheme="majorEastAsia"/>
        </w:rPr>
        <w:t>funding allocation and prioritisation</w:t>
      </w:r>
      <w:r>
        <w:rPr>
          <w:rFonts w:eastAsiaTheme="majorEastAsia"/>
        </w:rPr>
        <w:t>,</w:t>
      </w:r>
      <w:r w:rsidR="0029601A">
        <w:rPr>
          <w:rFonts w:eastAsiaTheme="majorEastAsia"/>
        </w:rPr>
        <w:t xml:space="preserve"> will be a decision for the independent body and are out-of-scope for this discussion paper. </w:t>
      </w:r>
      <w:r w:rsidR="0050664B">
        <w:rPr>
          <w:rFonts w:eastAsiaTheme="majorEastAsia"/>
        </w:rPr>
        <w:t>The body will develop p</w:t>
      </w:r>
      <w:r>
        <w:rPr>
          <w:rFonts w:eastAsiaTheme="majorEastAsia"/>
        </w:rPr>
        <w:t xml:space="preserve">olicies and procedures following its establishment, and </w:t>
      </w:r>
      <w:r w:rsidR="00373A80">
        <w:rPr>
          <w:rFonts w:eastAsiaTheme="majorEastAsia"/>
        </w:rPr>
        <w:t xml:space="preserve">it is anticipated </w:t>
      </w:r>
      <w:r>
        <w:rPr>
          <w:rFonts w:eastAsiaTheme="majorEastAsia"/>
        </w:rPr>
        <w:t xml:space="preserve">the body will consult on funding allocation and prioritisation. </w:t>
      </w:r>
    </w:p>
    <w:p w14:paraId="5722237C" w14:textId="7DEA2C96" w:rsidR="005C6BA1" w:rsidRDefault="00AF6135">
      <w:pPr>
        <w:rPr>
          <w:rFonts w:eastAsiaTheme="majorEastAsia"/>
        </w:rPr>
      </w:pPr>
      <w:r>
        <w:rPr>
          <w:rFonts w:eastAsiaTheme="majorEastAsia"/>
        </w:rPr>
        <w:lastRenderedPageBreak/>
        <w:t xml:space="preserve">To encourage contribution to the industry funding model and provide recognition of contribution, </w:t>
      </w:r>
      <w:r w:rsidR="005C6BA1">
        <w:rPr>
          <w:rFonts w:eastAsiaTheme="majorEastAsia"/>
        </w:rPr>
        <w:t xml:space="preserve">the body </w:t>
      </w:r>
      <w:r w:rsidR="003E43B4">
        <w:rPr>
          <w:rFonts w:eastAsiaTheme="majorEastAsia"/>
        </w:rPr>
        <w:t>may choose to acknowledge and</w:t>
      </w:r>
      <w:r w:rsidR="005C6BA1">
        <w:rPr>
          <w:rFonts w:eastAsiaTheme="majorEastAsia"/>
        </w:rPr>
        <w:t xml:space="preserve"> publish the names of </w:t>
      </w:r>
      <w:r w:rsidR="003E43B4">
        <w:rPr>
          <w:rFonts w:eastAsiaTheme="majorEastAsia"/>
        </w:rPr>
        <w:t xml:space="preserve">organisations contributing funding </w:t>
      </w:r>
      <w:r w:rsidR="0004445D">
        <w:rPr>
          <w:rFonts w:eastAsiaTheme="majorEastAsia"/>
        </w:rPr>
        <w:t xml:space="preserve">(with permission). </w:t>
      </w:r>
    </w:p>
    <w:p w14:paraId="0D9C9B2E" w14:textId="36F6997A" w:rsidR="00A833EA" w:rsidRDefault="006F5509">
      <w:pPr>
        <w:rPr>
          <w:rFonts w:eastAsiaTheme="majorEastAsia"/>
        </w:rPr>
      </w:pPr>
      <w:r>
        <w:rPr>
          <w:rFonts w:eastAsiaTheme="majorEastAsia"/>
        </w:rPr>
        <w:t>DSS</w:t>
      </w:r>
      <w:r w:rsidRPr="00F93794">
        <w:rPr>
          <w:rFonts w:eastAsiaTheme="majorEastAsia"/>
        </w:rPr>
        <w:t xml:space="preserve"> is </w:t>
      </w:r>
      <w:r w:rsidR="00543AC9">
        <w:rPr>
          <w:rFonts w:eastAsiaTheme="majorEastAsia"/>
        </w:rPr>
        <w:t xml:space="preserve">interested </w:t>
      </w:r>
      <w:r w:rsidR="00A833EA">
        <w:rPr>
          <w:rFonts w:eastAsiaTheme="majorEastAsia"/>
        </w:rPr>
        <w:t>i</w:t>
      </w:r>
      <w:r w:rsidR="00543AC9">
        <w:rPr>
          <w:rFonts w:eastAsiaTheme="majorEastAsia"/>
        </w:rPr>
        <w:t xml:space="preserve">n stakeholder views </w:t>
      </w:r>
      <w:r w:rsidR="00A833EA">
        <w:rPr>
          <w:rFonts w:eastAsiaTheme="majorEastAsia"/>
        </w:rPr>
        <w:t xml:space="preserve">about the desirable or priority characteristics of </w:t>
      </w:r>
      <w:r w:rsidR="0029601A">
        <w:rPr>
          <w:rFonts w:eastAsiaTheme="majorEastAsia"/>
        </w:rPr>
        <w:t xml:space="preserve">the </w:t>
      </w:r>
      <w:r w:rsidR="00A833EA">
        <w:rPr>
          <w:rFonts w:eastAsiaTheme="majorEastAsia"/>
        </w:rPr>
        <w:t>body and whether the proposed characteris</w:t>
      </w:r>
      <w:r w:rsidR="00C43240">
        <w:rPr>
          <w:rFonts w:eastAsiaTheme="majorEastAsia"/>
        </w:rPr>
        <w:t>tics would achieve the objective</w:t>
      </w:r>
      <w:r w:rsidR="00A833EA">
        <w:rPr>
          <w:rFonts w:eastAsiaTheme="majorEastAsia"/>
        </w:rPr>
        <w:t xml:space="preserve"> of the industry funding model. </w:t>
      </w:r>
    </w:p>
    <w:p w14:paraId="0BDCB0DE" w14:textId="7E5C9A8C" w:rsidR="007F02C0" w:rsidRDefault="008340D4" w:rsidP="00F93794">
      <w:pPr>
        <w:rPr>
          <w:rFonts w:eastAsiaTheme="majorEastAsia"/>
        </w:rPr>
      </w:pPr>
      <w:r>
        <w:rPr>
          <w:rFonts w:cstheme="minorHAnsi"/>
          <w:noProof/>
          <w:lang w:eastAsia="en-AU"/>
        </w:rPr>
        <mc:AlternateContent>
          <mc:Choice Requires="wps">
            <w:drawing>
              <wp:inline distT="0" distB="0" distL="0" distR="0" wp14:anchorId="73ACEF43" wp14:editId="4C63E137">
                <wp:extent cx="5950424" cy="850833"/>
                <wp:effectExtent l="0" t="0" r="12700" b="26035"/>
                <wp:docPr id="11" name="Rounded Rectangle 11"/>
                <wp:cNvGraphicFramePr/>
                <a:graphic xmlns:a="http://schemas.openxmlformats.org/drawingml/2006/main">
                  <a:graphicData uri="http://schemas.microsoft.com/office/word/2010/wordprocessingShape">
                    <wps:wsp>
                      <wps:cNvSpPr/>
                      <wps:spPr>
                        <a:xfrm>
                          <a:off x="0" y="0"/>
                          <a:ext cx="5950424" cy="850833"/>
                        </a:xfrm>
                        <a:prstGeom prst="roundRect">
                          <a:avLst/>
                        </a:prstGeom>
                        <a:solidFill>
                          <a:schemeClr val="bg1">
                            <a:lumMod val="95000"/>
                          </a:schemeClr>
                        </a:solidFill>
                        <a:ln w="26425" cap="flat" cmpd="sng" algn="ctr">
                          <a:solidFill>
                            <a:srgbClr val="B1E4E3">
                              <a:shade val="50000"/>
                            </a:srgbClr>
                          </a:solidFill>
                          <a:prstDash val="solid"/>
                        </a:ln>
                        <a:effectLst/>
                      </wps:spPr>
                      <wps:txbx>
                        <w:txbxContent>
                          <w:p w14:paraId="199DF66B" w14:textId="77777777" w:rsidR="00FF3618" w:rsidRPr="0001440C" w:rsidRDefault="00FF3618" w:rsidP="00CE57E6">
                            <w:pPr>
                              <w:spacing w:after="60"/>
                              <w:rPr>
                                <w:color w:val="000000" w:themeColor="text2"/>
                              </w:rPr>
                            </w:pPr>
                            <w:r w:rsidRPr="0001440C">
                              <w:rPr>
                                <w:color w:val="000000" w:themeColor="text2"/>
                              </w:rPr>
                              <w:t>Discussion Questions:</w:t>
                            </w:r>
                          </w:p>
                          <w:p w14:paraId="7F1C2E3B" w14:textId="06A23FE9" w:rsidR="00FF3618" w:rsidRPr="001D2B63" w:rsidRDefault="00FF3618" w:rsidP="001721B0">
                            <w:pPr>
                              <w:pStyle w:val="ListParagraph"/>
                              <w:numPr>
                                <w:ilvl w:val="0"/>
                                <w:numId w:val="4"/>
                              </w:numPr>
                              <w:spacing w:after="120"/>
                              <w:ind w:left="357" w:hanging="357"/>
                              <w:contextualSpacing w:val="0"/>
                              <w:rPr>
                                <w:color w:val="000000" w:themeColor="text2"/>
                              </w:rPr>
                            </w:pPr>
                            <w:r>
                              <w:rPr>
                                <w:color w:val="000000" w:themeColor="text2"/>
                              </w:rPr>
                              <w:t>What are your views on the proposed characteristics of the independent body as set out in Table 4? Are there other characteristics that should be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3ACEF43" id="Rounded Rectangle 11" o:spid="_x0000_s1041" style="width:468.55pt;height: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" fillcolor="#f2f2f2 [3052]" strokecolor="#81a7a7" strokeweight=".73403mm">
                <v:textbox>
                  <w:txbxContent>
                    <w:p w14:paraId="199DF66B" w14:textId="77777777" w:rsidR="00FF3618" w:rsidRPr="0001440C" w:rsidRDefault="00FF3618" w:rsidP="00CE57E6">
                      <w:pPr>
                        <w:spacing w:after="60"/>
                        <w:rPr>
                          <w:color w:val="000000" w:themeColor="text2"/>
                        </w:rPr>
                      </w:pPr>
                      <w:r w:rsidRPr="0001440C">
                        <w:rPr>
                          <w:color w:val="000000" w:themeColor="text2"/>
                        </w:rPr>
                        <w:t>Discussion Questions:</w:t>
                      </w:r>
                    </w:p>
                    <w:p w14:paraId="7F1C2E3B" w14:textId="06A23FE9" w:rsidR="00FF3618" w:rsidRPr="001D2B63" w:rsidRDefault="00FF3618" w:rsidP="001721B0">
                      <w:pPr>
                        <w:pStyle w:val="ListParagraph"/>
                        <w:numPr>
                          <w:ilvl w:val="0"/>
                          <w:numId w:val="4"/>
                        </w:numPr>
                        <w:spacing w:after="120"/>
                        <w:ind w:left="357" w:hanging="357"/>
                        <w:contextualSpacing w:val="0"/>
                        <w:rPr>
                          <w:color w:val="000000" w:themeColor="text2"/>
                        </w:rPr>
                      </w:pPr>
                      <w:r>
                        <w:rPr>
                          <w:color w:val="000000" w:themeColor="text2"/>
                        </w:rPr>
                        <w:t>What are your views on the proposed characteristics of the independent body as set out in Table 4? Are there other characteristics that should be considered?</w:t>
                      </w:r>
                    </w:p>
                  </w:txbxContent>
                </v:textbox>
                <w10:anchorlock/>
              </v:roundrect>
            </w:pict>
          </mc:Fallback>
        </mc:AlternateContent>
      </w:r>
    </w:p>
    <w:p w14:paraId="125E2B8E" w14:textId="77777777" w:rsidR="004E10EE" w:rsidRDefault="004E10EE" w:rsidP="00E25DE8">
      <w:pPr>
        <w:spacing w:after="200" w:line="276" w:lineRule="auto"/>
        <w:sectPr w:rsidR="004E10EE" w:rsidSect="002747A0">
          <w:pgSz w:w="11906" w:h="16838"/>
          <w:pgMar w:top="1134" w:right="1418" w:bottom="1418" w:left="1134" w:header="284" w:footer="459" w:gutter="0"/>
          <w:cols w:space="708"/>
          <w:titlePg/>
          <w:docGrid w:linePitch="360"/>
        </w:sectPr>
      </w:pPr>
    </w:p>
    <w:p w14:paraId="76222341" w14:textId="4F7E0219" w:rsidR="009E0C4E" w:rsidRDefault="009E0C4E" w:rsidP="00D57446">
      <w:pPr>
        <w:pStyle w:val="TableHeading"/>
        <w:numPr>
          <w:ilvl w:val="0"/>
          <w:numId w:val="2"/>
        </w:numPr>
        <w:spacing w:before="240"/>
        <w:sectPr w:rsidR="009E0C4E" w:rsidSect="004E10EE">
          <w:type w:val="continuous"/>
          <w:pgSz w:w="11906" w:h="16838"/>
          <w:pgMar w:top="1134" w:right="1418" w:bottom="1418" w:left="1134" w:header="284" w:footer="459" w:gutter="0"/>
          <w:cols w:space="708"/>
          <w:titlePg/>
          <w:docGrid w:linePitch="360"/>
        </w:sectPr>
      </w:pPr>
    </w:p>
    <w:p w14:paraId="5C8E5C80" w14:textId="1E1AA810" w:rsidR="00F93794" w:rsidRPr="00AF14AE" w:rsidRDefault="001466C2" w:rsidP="00D57446">
      <w:pPr>
        <w:pStyle w:val="TableHeading"/>
        <w:numPr>
          <w:ilvl w:val="0"/>
          <w:numId w:val="2"/>
        </w:numPr>
        <w:spacing w:before="240"/>
        <w:rPr>
          <w:rFonts w:eastAsiaTheme="majorEastAsia" w:cstheme="minorBidi"/>
          <w:caps w:val="0"/>
          <w:color w:val="auto"/>
          <w:sz w:val="22"/>
        </w:rPr>
      </w:pPr>
      <w:r w:rsidRPr="00AF14AE">
        <w:rPr>
          <w:rFonts w:eastAsiaTheme="majorEastAsia" w:cstheme="minorBidi"/>
          <w:caps w:val="0"/>
          <w:color w:val="auto"/>
          <w:sz w:val="22"/>
        </w:rPr>
        <w:lastRenderedPageBreak/>
        <w:t xml:space="preserve">Proposed </w:t>
      </w:r>
      <w:r w:rsidR="001845F2" w:rsidRPr="00AF14AE">
        <w:rPr>
          <w:rFonts w:eastAsiaTheme="majorEastAsia" w:cstheme="minorBidi"/>
          <w:caps w:val="0"/>
          <w:color w:val="auto"/>
          <w:sz w:val="22"/>
        </w:rPr>
        <w:t xml:space="preserve">role and </w:t>
      </w:r>
      <w:r w:rsidRPr="00AF14AE">
        <w:rPr>
          <w:rFonts w:eastAsiaTheme="majorEastAsia" w:cstheme="minorBidi"/>
          <w:caps w:val="0"/>
          <w:color w:val="auto"/>
          <w:sz w:val="22"/>
        </w:rPr>
        <w:t xml:space="preserve">characteristics of </w:t>
      </w:r>
      <w:r w:rsidR="001B1AA9" w:rsidRPr="00AF14AE">
        <w:rPr>
          <w:rFonts w:eastAsiaTheme="majorEastAsia" w:cstheme="minorBidi"/>
          <w:caps w:val="0"/>
          <w:color w:val="auto"/>
          <w:sz w:val="22"/>
        </w:rPr>
        <w:t>the Independent</w:t>
      </w:r>
      <w:r w:rsidRPr="00AF14AE">
        <w:rPr>
          <w:rFonts w:eastAsiaTheme="majorEastAsia" w:cstheme="minorBidi"/>
          <w:caps w:val="0"/>
          <w:color w:val="auto"/>
          <w:sz w:val="22"/>
        </w:rPr>
        <w:t xml:space="preserve"> body</w:t>
      </w:r>
    </w:p>
    <w:tbl>
      <w:tblPr>
        <w:tblStyle w:val="DSSTableStyleB"/>
        <w:tblW w:w="1490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6262"/>
        <w:gridCol w:w="6616"/>
      </w:tblGrid>
      <w:tr w:rsidR="00F93794" w:rsidRPr="009E0C4E" w14:paraId="31992045" w14:textId="77777777" w:rsidTr="00DC133C">
        <w:trPr>
          <w:cnfStyle w:val="100000000000" w:firstRow="1" w:lastRow="0" w:firstColumn="0" w:lastColumn="0" w:oddVBand="0" w:evenVBand="0" w:oddHBand="0" w:evenHBand="0" w:firstRowFirstColumn="0" w:firstRowLastColumn="0" w:lastRowFirstColumn="0" w:lastRowLastColumn="0"/>
          <w:trHeight w:val="1055"/>
        </w:trPr>
        <w:tc>
          <w:tcPr>
            <w:tcW w:w="2030" w:type="dxa"/>
          </w:tcPr>
          <w:p w14:paraId="5C7F8E90" w14:textId="77777777" w:rsidR="00F93794" w:rsidRPr="00FE094E" w:rsidDel="00BC7482" w:rsidRDefault="00F93794" w:rsidP="007F02C0">
            <w:pPr>
              <w:spacing w:line="276" w:lineRule="auto"/>
              <w:rPr>
                <w:sz w:val="20"/>
                <w:szCs w:val="20"/>
              </w:rPr>
            </w:pPr>
          </w:p>
        </w:tc>
        <w:tc>
          <w:tcPr>
            <w:tcW w:w="6262" w:type="dxa"/>
          </w:tcPr>
          <w:p w14:paraId="248D1204" w14:textId="77777777" w:rsidR="00F93794" w:rsidRPr="00FE094E" w:rsidDel="006E110C" w:rsidRDefault="00F93794" w:rsidP="001845F2">
            <w:pPr>
              <w:spacing w:before="240" w:line="276" w:lineRule="auto"/>
              <w:jc w:val="center"/>
              <w:rPr>
                <w:sz w:val="20"/>
                <w:szCs w:val="20"/>
              </w:rPr>
            </w:pPr>
            <w:r w:rsidRPr="00FE094E">
              <w:rPr>
                <w:sz w:val="20"/>
                <w:szCs w:val="20"/>
              </w:rPr>
              <w:t xml:space="preserve">Proposed </w:t>
            </w:r>
            <w:r w:rsidR="001845F2" w:rsidRPr="00FE094E">
              <w:rPr>
                <w:sz w:val="20"/>
                <w:szCs w:val="20"/>
              </w:rPr>
              <w:t>Role and C</w:t>
            </w:r>
            <w:r w:rsidRPr="00FE094E">
              <w:rPr>
                <w:sz w:val="20"/>
                <w:szCs w:val="20"/>
              </w:rPr>
              <w:t>haracteristics</w:t>
            </w:r>
          </w:p>
        </w:tc>
        <w:tc>
          <w:tcPr>
            <w:tcW w:w="6616" w:type="dxa"/>
          </w:tcPr>
          <w:p w14:paraId="52F8E5EA" w14:textId="77777777" w:rsidR="00F93794" w:rsidRPr="00FE094E" w:rsidRDefault="00F93794" w:rsidP="007F02C0">
            <w:pPr>
              <w:spacing w:before="240" w:line="276" w:lineRule="auto"/>
              <w:jc w:val="center"/>
              <w:rPr>
                <w:sz w:val="20"/>
                <w:szCs w:val="20"/>
              </w:rPr>
            </w:pPr>
            <w:r w:rsidRPr="00FE094E">
              <w:rPr>
                <w:sz w:val="20"/>
                <w:szCs w:val="20"/>
              </w:rPr>
              <w:t>Rationale</w:t>
            </w:r>
          </w:p>
        </w:tc>
      </w:tr>
      <w:tr w:rsidR="00F93794" w:rsidRPr="009E0C4E" w14:paraId="7F39FCA0" w14:textId="77777777" w:rsidTr="00CC7F0A">
        <w:trPr>
          <w:trHeight w:val="1258"/>
        </w:trPr>
        <w:tc>
          <w:tcPr>
            <w:tcW w:w="2030" w:type="dxa"/>
          </w:tcPr>
          <w:p w14:paraId="5A77BDDF" w14:textId="77777777" w:rsidR="00F93794" w:rsidRPr="00FE094E" w:rsidRDefault="00F93794" w:rsidP="007F02C0">
            <w:pPr>
              <w:spacing w:line="276" w:lineRule="auto"/>
              <w:rPr>
                <w:b/>
                <w:sz w:val="20"/>
                <w:szCs w:val="20"/>
              </w:rPr>
            </w:pPr>
            <w:r w:rsidRPr="00FE094E">
              <w:rPr>
                <w:b/>
                <w:sz w:val="20"/>
                <w:szCs w:val="20"/>
              </w:rPr>
              <w:t>Focus/objective</w:t>
            </w:r>
          </w:p>
        </w:tc>
        <w:tc>
          <w:tcPr>
            <w:tcW w:w="6262" w:type="dxa"/>
          </w:tcPr>
          <w:p w14:paraId="3EBC06CD" w14:textId="62F4F5EB" w:rsidR="00F93794" w:rsidRPr="00FE094E" w:rsidRDefault="00F93794">
            <w:pPr>
              <w:pStyle w:val="ListParagraph"/>
              <w:numPr>
                <w:ilvl w:val="0"/>
                <w:numId w:val="3"/>
              </w:numPr>
              <w:spacing w:line="276" w:lineRule="auto"/>
              <w:ind w:hanging="372"/>
              <w:rPr>
                <w:sz w:val="20"/>
                <w:szCs w:val="20"/>
              </w:rPr>
            </w:pPr>
            <w:r w:rsidRPr="00FE094E">
              <w:rPr>
                <w:sz w:val="20"/>
                <w:szCs w:val="20"/>
              </w:rPr>
              <w:t xml:space="preserve">Distribution of funding for financial counselling services to </w:t>
            </w:r>
            <w:r w:rsidR="00661D7E">
              <w:rPr>
                <w:sz w:val="20"/>
                <w:szCs w:val="20"/>
              </w:rPr>
              <w:t xml:space="preserve">help address </w:t>
            </w:r>
            <w:r w:rsidRPr="00FE094E">
              <w:rPr>
                <w:sz w:val="20"/>
                <w:szCs w:val="20"/>
              </w:rPr>
              <w:t xml:space="preserve">unmet demand in the sector. </w:t>
            </w:r>
          </w:p>
        </w:tc>
        <w:tc>
          <w:tcPr>
            <w:tcW w:w="6616" w:type="dxa"/>
          </w:tcPr>
          <w:p w14:paraId="4E5DCACD" w14:textId="58A709E1" w:rsidR="00F93794" w:rsidRPr="00FE094E" w:rsidRDefault="00F93794" w:rsidP="001B1AA9">
            <w:pPr>
              <w:pStyle w:val="ListParagraph"/>
              <w:numPr>
                <w:ilvl w:val="0"/>
                <w:numId w:val="3"/>
              </w:numPr>
              <w:spacing w:line="276" w:lineRule="auto"/>
              <w:ind w:hanging="372"/>
              <w:rPr>
                <w:sz w:val="20"/>
                <w:szCs w:val="20"/>
              </w:rPr>
            </w:pPr>
            <w:r w:rsidRPr="00FE094E">
              <w:rPr>
                <w:sz w:val="20"/>
                <w:szCs w:val="20"/>
              </w:rPr>
              <w:t xml:space="preserve">Distribution will enable equitable funding </w:t>
            </w:r>
            <w:r w:rsidR="001B1AA9">
              <w:rPr>
                <w:sz w:val="20"/>
                <w:szCs w:val="20"/>
              </w:rPr>
              <w:t>to</w:t>
            </w:r>
            <w:r w:rsidR="001B1AA9" w:rsidRPr="00FE094E">
              <w:rPr>
                <w:sz w:val="20"/>
                <w:szCs w:val="20"/>
              </w:rPr>
              <w:t xml:space="preserve"> </w:t>
            </w:r>
            <w:r w:rsidRPr="00FE094E">
              <w:rPr>
                <w:sz w:val="20"/>
                <w:szCs w:val="20"/>
              </w:rPr>
              <w:t xml:space="preserve">financial counselling agencies to </w:t>
            </w:r>
            <w:r w:rsidR="00661D7E">
              <w:rPr>
                <w:sz w:val="20"/>
                <w:szCs w:val="20"/>
              </w:rPr>
              <w:t>help address</w:t>
            </w:r>
            <w:r w:rsidR="00661D7E" w:rsidRPr="00FE094E">
              <w:rPr>
                <w:sz w:val="20"/>
                <w:szCs w:val="20"/>
              </w:rPr>
              <w:t xml:space="preserve"> </w:t>
            </w:r>
            <w:r w:rsidRPr="00FE094E">
              <w:rPr>
                <w:sz w:val="20"/>
                <w:szCs w:val="20"/>
              </w:rPr>
              <w:t>unmet demand.</w:t>
            </w:r>
            <w:r w:rsidR="0041331B" w:rsidRPr="00FE094E">
              <w:rPr>
                <w:sz w:val="20"/>
                <w:szCs w:val="20"/>
              </w:rPr>
              <w:t xml:space="preserve"> Single distribution point provides opportunities for efficiencies and innovation</w:t>
            </w:r>
            <w:r w:rsidR="001845F2" w:rsidRPr="00FE094E">
              <w:rPr>
                <w:sz w:val="20"/>
                <w:szCs w:val="20"/>
              </w:rPr>
              <w:t>.</w:t>
            </w:r>
          </w:p>
        </w:tc>
      </w:tr>
      <w:tr w:rsidR="00F93794" w:rsidRPr="009E0C4E" w:rsidDel="00BC7482" w14:paraId="44795CC6" w14:textId="77777777" w:rsidTr="00CC7F0A">
        <w:trPr>
          <w:trHeight w:val="1546"/>
        </w:trPr>
        <w:tc>
          <w:tcPr>
            <w:tcW w:w="2030" w:type="dxa"/>
          </w:tcPr>
          <w:p w14:paraId="6E9D8460" w14:textId="77777777" w:rsidR="00F93794" w:rsidRPr="00FE094E" w:rsidRDefault="00F93794" w:rsidP="007F02C0">
            <w:pPr>
              <w:spacing w:line="276" w:lineRule="auto"/>
              <w:rPr>
                <w:b/>
                <w:sz w:val="20"/>
                <w:szCs w:val="20"/>
              </w:rPr>
            </w:pPr>
            <w:r w:rsidRPr="00FE094E">
              <w:rPr>
                <w:b/>
                <w:sz w:val="20"/>
                <w:szCs w:val="20"/>
              </w:rPr>
              <w:t>Structure/ Governance</w:t>
            </w:r>
          </w:p>
        </w:tc>
        <w:tc>
          <w:tcPr>
            <w:tcW w:w="6262" w:type="dxa"/>
          </w:tcPr>
          <w:p w14:paraId="2BEC59A0" w14:textId="7829068A" w:rsidR="00F93794" w:rsidRPr="00FE094E" w:rsidRDefault="00F93794" w:rsidP="001721B0">
            <w:pPr>
              <w:pStyle w:val="ListParagraph"/>
              <w:numPr>
                <w:ilvl w:val="0"/>
                <w:numId w:val="3"/>
              </w:numPr>
              <w:spacing w:line="276" w:lineRule="auto"/>
              <w:ind w:hanging="372"/>
              <w:rPr>
                <w:sz w:val="20"/>
                <w:szCs w:val="20"/>
              </w:rPr>
            </w:pPr>
            <w:r w:rsidRPr="00FE094E">
              <w:rPr>
                <w:sz w:val="20"/>
                <w:szCs w:val="20"/>
              </w:rPr>
              <w:t>Not-for-profit</w:t>
            </w:r>
            <w:r w:rsidR="00152CF7">
              <w:rPr>
                <w:sz w:val="20"/>
                <w:szCs w:val="20"/>
              </w:rPr>
              <w:t xml:space="preserve"> company limited by guarantee.</w:t>
            </w:r>
          </w:p>
          <w:p w14:paraId="2FA7E59C" w14:textId="085EBD71" w:rsidR="00F105B5" w:rsidRPr="00FE094E" w:rsidRDefault="001B1AA9" w:rsidP="001721B0">
            <w:pPr>
              <w:pStyle w:val="ListParagraph"/>
              <w:numPr>
                <w:ilvl w:val="0"/>
                <w:numId w:val="3"/>
              </w:numPr>
              <w:spacing w:line="276" w:lineRule="auto"/>
              <w:ind w:hanging="372"/>
              <w:rPr>
                <w:sz w:val="20"/>
                <w:szCs w:val="20"/>
              </w:rPr>
            </w:pPr>
            <w:r>
              <w:rPr>
                <w:sz w:val="20"/>
                <w:szCs w:val="20"/>
              </w:rPr>
              <w:t>May</w:t>
            </w:r>
            <w:r w:rsidRPr="00FE094E">
              <w:rPr>
                <w:sz w:val="20"/>
                <w:szCs w:val="20"/>
              </w:rPr>
              <w:t xml:space="preserve"> </w:t>
            </w:r>
            <w:r w:rsidR="00F105B5" w:rsidRPr="00FE094E">
              <w:rPr>
                <w:sz w:val="20"/>
                <w:szCs w:val="20"/>
              </w:rPr>
              <w:t xml:space="preserve">seek </w:t>
            </w:r>
            <w:r>
              <w:rPr>
                <w:sz w:val="20"/>
                <w:szCs w:val="20"/>
              </w:rPr>
              <w:t>Deductible</w:t>
            </w:r>
            <w:r w:rsidRPr="00FE094E">
              <w:rPr>
                <w:sz w:val="20"/>
                <w:szCs w:val="20"/>
              </w:rPr>
              <w:t xml:space="preserve"> </w:t>
            </w:r>
            <w:r w:rsidR="00F105B5" w:rsidRPr="00FE094E">
              <w:rPr>
                <w:sz w:val="20"/>
                <w:szCs w:val="20"/>
              </w:rPr>
              <w:t xml:space="preserve">Gift </w:t>
            </w:r>
            <w:r w:rsidR="00CE51EA" w:rsidRPr="00FE094E">
              <w:rPr>
                <w:sz w:val="20"/>
                <w:szCs w:val="20"/>
              </w:rPr>
              <w:t>Recipient status</w:t>
            </w:r>
            <w:r w:rsidR="001F3B29">
              <w:rPr>
                <w:sz w:val="20"/>
                <w:szCs w:val="20"/>
              </w:rPr>
              <w:t>.</w:t>
            </w:r>
          </w:p>
          <w:p w14:paraId="2537279E" w14:textId="7F81C015" w:rsidR="00F93794" w:rsidRPr="00FE094E" w:rsidRDefault="00F93794" w:rsidP="001721B0">
            <w:pPr>
              <w:pStyle w:val="ListParagraph"/>
              <w:numPr>
                <w:ilvl w:val="0"/>
                <w:numId w:val="3"/>
              </w:numPr>
              <w:spacing w:line="276" w:lineRule="auto"/>
              <w:ind w:hanging="372"/>
              <w:rPr>
                <w:sz w:val="20"/>
                <w:szCs w:val="20"/>
              </w:rPr>
            </w:pPr>
            <w:r w:rsidRPr="00FE094E">
              <w:rPr>
                <w:sz w:val="20"/>
                <w:szCs w:val="20"/>
              </w:rPr>
              <w:t>Supported by a</w:t>
            </w:r>
            <w:r w:rsidR="00930CE1" w:rsidRPr="00FE094E">
              <w:rPr>
                <w:sz w:val="20"/>
                <w:szCs w:val="20"/>
              </w:rPr>
              <w:t xml:space="preserve"> reference or </w:t>
            </w:r>
            <w:r w:rsidR="00B15886">
              <w:rPr>
                <w:sz w:val="20"/>
                <w:szCs w:val="20"/>
              </w:rPr>
              <w:t>advisory committee.</w:t>
            </w:r>
            <w:r w:rsidRPr="00FE094E">
              <w:rPr>
                <w:sz w:val="20"/>
                <w:szCs w:val="20"/>
              </w:rPr>
              <w:t xml:space="preserve"> </w:t>
            </w:r>
          </w:p>
          <w:p w14:paraId="4FF79FBB" w14:textId="255307F9" w:rsidR="00F93794" w:rsidRPr="00FE094E" w:rsidRDefault="00F93794" w:rsidP="001721B0">
            <w:pPr>
              <w:pStyle w:val="ListParagraph"/>
              <w:numPr>
                <w:ilvl w:val="0"/>
                <w:numId w:val="3"/>
              </w:numPr>
              <w:spacing w:line="276" w:lineRule="auto"/>
              <w:rPr>
                <w:sz w:val="20"/>
                <w:szCs w:val="20"/>
              </w:rPr>
            </w:pPr>
            <w:r w:rsidRPr="00FE094E">
              <w:rPr>
                <w:sz w:val="20"/>
                <w:szCs w:val="20"/>
              </w:rPr>
              <w:t>Flexibility to expand its focus</w:t>
            </w:r>
            <w:r w:rsidR="006E6190">
              <w:rPr>
                <w:sz w:val="20"/>
                <w:szCs w:val="20"/>
              </w:rPr>
              <w:t xml:space="preserve"> (e.g. flexibility to fund capability initiatives)</w:t>
            </w:r>
            <w:r w:rsidRPr="00FE094E">
              <w:rPr>
                <w:sz w:val="20"/>
                <w:szCs w:val="20"/>
              </w:rPr>
              <w:t xml:space="preserve"> and governance arrangements.</w:t>
            </w:r>
          </w:p>
        </w:tc>
        <w:tc>
          <w:tcPr>
            <w:tcW w:w="6616" w:type="dxa"/>
          </w:tcPr>
          <w:p w14:paraId="69B79FC6" w14:textId="35964B14" w:rsidR="00F93794" w:rsidRPr="00FE094E" w:rsidDel="00BC7482" w:rsidRDefault="00F93794" w:rsidP="001B1AA9">
            <w:pPr>
              <w:pStyle w:val="ListParagraph"/>
              <w:numPr>
                <w:ilvl w:val="0"/>
                <w:numId w:val="3"/>
              </w:numPr>
              <w:spacing w:line="276" w:lineRule="auto"/>
              <w:ind w:hanging="372"/>
              <w:rPr>
                <w:sz w:val="20"/>
                <w:szCs w:val="20"/>
              </w:rPr>
            </w:pPr>
            <w:r w:rsidRPr="00FE094E">
              <w:rPr>
                <w:sz w:val="20"/>
                <w:szCs w:val="20"/>
              </w:rPr>
              <w:t>Clear governance arrangements will allow for</w:t>
            </w:r>
            <w:r w:rsidR="001B1AA9">
              <w:rPr>
                <w:sz w:val="20"/>
                <w:szCs w:val="20"/>
              </w:rPr>
              <w:t xml:space="preserve"> better decision-making and</w:t>
            </w:r>
            <w:r w:rsidRPr="00FE094E">
              <w:rPr>
                <w:sz w:val="20"/>
                <w:szCs w:val="20"/>
              </w:rPr>
              <w:t xml:space="preserve"> accountability.</w:t>
            </w:r>
          </w:p>
        </w:tc>
      </w:tr>
      <w:tr w:rsidR="00F93794" w:rsidRPr="009E0C4E" w:rsidDel="007862AC" w14:paraId="30809A0E" w14:textId="77777777" w:rsidTr="00DC133C">
        <w:trPr>
          <w:trHeight w:val="838"/>
        </w:trPr>
        <w:tc>
          <w:tcPr>
            <w:tcW w:w="2030" w:type="dxa"/>
          </w:tcPr>
          <w:p w14:paraId="7EE8FCB4" w14:textId="77777777" w:rsidR="00F93794" w:rsidRPr="00FE094E" w:rsidRDefault="00F93794" w:rsidP="007F02C0">
            <w:pPr>
              <w:spacing w:line="276" w:lineRule="auto"/>
              <w:rPr>
                <w:b/>
                <w:sz w:val="20"/>
                <w:szCs w:val="20"/>
              </w:rPr>
            </w:pPr>
            <w:r w:rsidRPr="00FE094E">
              <w:rPr>
                <w:b/>
                <w:sz w:val="20"/>
                <w:szCs w:val="20"/>
              </w:rPr>
              <w:t>Grant activities</w:t>
            </w:r>
          </w:p>
        </w:tc>
        <w:tc>
          <w:tcPr>
            <w:tcW w:w="6262" w:type="dxa"/>
          </w:tcPr>
          <w:p w14:paraId="4B33915B" w14:textId="77777777" w:rsidR="00F93794" w:rsidRPr="00FE094E" w:rsidRDefault="00F93794" w:rsidP="001721B0">
            <w:pPr>
              <w:pStyle w:val="ListParagraph"/>
              <w:numPr>
                <w:ilvl w:val="0"/>
                <w:numId w:val="3"/>
              </w:numPr>
              <w:spacing w:line="276" w:lineRule="auto"/>
              <w:rPr>
                <w:sz w:val="20"/>
                <w:szCs w:val="20"/>
              </w:rPr>
            </w:pPr>
            <w:r w:rsidRPr="00FE094E">
              <w:rPr>
                <w:sz w:val="20"/>
                <w:szCs w:val="20"/>
              </w:rPr>
              <w:t xml:space="preserve">Conduct grant or grant-like processes, to fund services and </w:t>
            </w:r>
            <w:r w:rsidR="001D61A1" w:rsidRPr="00FE094E">
              <w:rPr>
                <w:sz w:val="20"/>
                <w:szCs w:val="20"/>
              </w:rPr>
              <w:t xml:space="preserve">procure </w:t>
            </w:r>
            <w:r w:rsidRPr="00FE094E">
              <w:rPr>
                <w:sz w:val="20"/>
                <w:szCs w:val="20"/>
              </w:rPr>
              <w:t xml:space="preserve">activities, and require reporting of activities and outcomes.  </w:t>
            </w:r>
          </w:p>
        </w:tc>
        <w:tc>
          <w:tcPr>
            <w:tcW w:w="6616" w:type="dxa"/>
          </w:tcPr>
          <w:p w14:paraId="145C3597" w14:textId="45AB0987" w:rsidR="00F93794" w:rsidRPr="00FE094E" w:rsidDel="007862AC" w:rsidRDefault="00F93794" w:rsidP="001B1AA9">
            <w:pPr>
              <w:pStyle w:val="ListParagraph"/>
              <w:numPr>
                <w:ilvl w:val="0"/>
                <w:numId w:val="3"/>
              </w:numPr>
              <w:spacing w:line="276" w:lineRule="auto"/>
              <w:rPr>
                <w:sz w:val="20"/>
                <w:szCs w:val="20"/>
              </w:rPr>
            </w:pPr>
            <w:r w:rsidRPr="00FE094E">
              <w:rPr>
                <w:sz w:val="20"/>
                <w:szCs w:val="20"/>
              </w:rPr>
              <w:t xml:space="preserve">Grant activities will enable the </w:t>
            </w:r>
            <w:r w:rsidR="001B1AA9">
              <w:rPr>
                <w:sz w:val="20"/>
                <w:szCs w:val="20"/>
              </w:rPr>
              <w:t>independent</w:t>
            </w:r>
            <w:r w:rsidR="001B1AA9" w:rsidRPr="00FE094E">
              <w:rPr>
                <w:sz w:val="20"/>
                <w:szCs w:val="20"/>
              </w:rPr>
              <w:t xml:space="preserve"> </w:t>
            </w:r>
            <w:r w:rsidRPr="00FE094E">
              <w:rPr>
                <w:sz w:val="20"/>
                <w:szCs w:val="20"/>
              </w:rPr>
              <w:t>body to best target areas of need and allow the body to link targets to outcomes.</w:t>
            </w:r>
          </w:p>
        </w:tc>
      </w:tr>
      <w:tr w:rsidR="00F93794" w:rsidRPr="009E0C4E" w:rsidDel="000D2435" w14:paraId="64186C56" w14:textId="77777777" w:rsidTr="00DC133C">
        <w:trPr>
          <w:trHeight w:val="978"/>
        </w:trPr>
        <w:tc>
          <w:tcPr>
            <w:tcW w:w="2030" w:type="dxa"/>
          </w:tcPr>
          <w:p w14:paraId="50A2C767" w14:textId="77777777" w:rsidR="00F93794" w:rsidRPr="00FE094E" w:rsidRDefault="00F93794" w:rsidP="007F02C0">
            <w:pPr>
              <w:spacing w:line="276" w:lineRule="auto"/>
              <w:rPr>
                <w:b/>
                <w:sz w:val="20"/>
                <w:szCs w:val="20"/>
              </w:rPr>
            </w:pPr>
            <w:r w:rsidRPr="00FE094E">
              <w:rPr>
                <w:b/>
                <w:sz w:val="20"/>
                <w:szCs w:val="20"/>
              </w:rPr>
              <w:t>Data</w:t>
            </w:r>
          </w:p>
        </w:tc>
        <w:tc>
          <w:tcPr>
            <w:tcW w:w="6262" w:type="dxa"/>
          </w:tcPr>
          <w:p w14:paraId="0FC89CBA" w14:textId="77777777" w:rsidR="00F93794" w:rsidRPr="00FE094E" w:rsidRDefault="00F93794" w:rsidP="001721B0">
            <w:pPr>
              <w:pStyle w:val="ListParagraph"/>
              <w:numPr>
                <w:ilvl w:val="0"/>
                <w:numId w:val="3"/>
              </w:numPr>
              <w:spacing w:line="276" w:lineRule="auto"/>
              <w:rPr>
                <w:sz w:val="20"/>
                <w:szCs w:val="20"/>
              </w:rPr>
            </w:pPr>
            <w:r w:rsidRPr="00FE094E">
              <w:rPr>
                <w:sz w:val="20"/>
                <w:szCs w:val="20"/>
              </w:rPr>
              <w:t xml:space="preserve">Have the capability, or ability to build capability, to collect and analyse data from the financial counselling services the body funds. </w:t>
            </w:r>
          </w:p>
        </w:tc>
        <w:tc>
          <w:tcPr>
            <w:tcW w:w="6616" w:type="dxa"/>
          </w:tcPr>
          <w:p w14:paraId="1E314B09" w14:textId="0D063CB4" w:rsidR="00F93794" w:rsidRPr="00FE094E" w:rsidDel="000D2435" w:rsidRDefault="00F93794" w:rsidP="001B1AA9">
            <w:pPr>
              <w:pStyle w:val="ListParagraph"/>
              <w:numPr>
                <w:ilvl w:val="0"/>
                <w:numId w:val="3"/>
              </w:numPr>
              <w:spacing w:line="276" w:lineRule="auto"/>
              <w:rPr>
                <w:sz w:val="20"/>
                <w:szCs w:val="20"/>
              </w:rPr>
            </w:pPr>
            <w:r w:rsidRPr="00FE094E">
              <w:rPr>
                <w:sz w:val="20"/>
                <w:szCs w:val="20"/>
              </w:rPr>
              <w:t xml:space="preserve">Data capability initiatives will empower the </w:t>
            </w:r>
            <w:r w:rsidR="001B1AA9">
              <w:rPr>
                <w:sz w:val="20"/>
                <w:szCs w:val="20"/>
              </w:rPr>
              <w:t>independent</w:t>
            </w:r>
            <w:r w:rsidR="001B1AA9" w:rsidRPr="00FE094E">
              <w:rPr>
                <w:sz w:val="20"/>
                <w:szCs w:val="20"/>
              </w:rPr>
              <w:t xml:space="preserve"> </w:t>
            </w:r>
            <w:r w:rsidRPr="00FE094E">
              <w:rPr>
                <w:sz w:val="20"/>
                <w:szCs w:val="20"/>
              </w:rPr>
              <w:t>body to construct an accurate picture of needs and availability for financial counselling services.</w:t>
            </w:r>
          </w:p>
        </w:tc>
      </w:tr>
      <w:tr w:rsidR="00F93794" w:rsidRPr="009E0C4E" w:rsidDel="000D2435" w14:paraId="2151F439" w14:textId="77777777" w:rsidTr="00DC133C">
        <w:trPr>
          <w:trHeight w:val="1406"/>
        </w:trPr>
        <w:tc>
          <w:tcPr>
            <w:tcW w:w="2030" w:type="dxa"/>
          </w:tcPr>
          <w:p w14:paraId="180117CE" w14:textId="77777777" w:rsidR="00F93794" w:rsidRPr="00FE094E" w:rsidRDefault="00F93794" w:rsidP="007F02C0">
            <w:pPr>
              <w:spacing w:line="276" w:lineRule="auto"/>
              <w:rPr>
                <w:b/>
                <w:sz w:val="20"/>
                <w:szCs w:val="20"/>
              </w:rPr>
            </w:pPr>
            <w:r w:rsidRPr="00FE094E">
              <w:rPr>
                <w:b/>
                <w:sz w:val="20"/>
                <w:szCs w:val="20"/>
              </w:rPr>
              <w:t>Coordination and innovation</w:t>
            </w:r>
          </w:p>
        </w:tc>
        <w:tc>
          <w:tcPr>
            <w:tcW w:w="6262" w:type="dxa"/>
          </w:tcPr>
          <w:p w14:paraId="7CFAF746" w14:textId="65BCBFD3" w:rsidR="00F93794" w:rsidRPr="00FE094E" w:rsidRDefault="00F93794" w:rsidP="00257BDC">
            <w:pPr>
              <w:pStyle w:val="ListParagraph"/>
              <w:numPr>
                <w:ilvl w:val="0"/>
                <w:numId w:val="3"/>
              </w:numPr>
              <w:spacing w:line="276" w:lineRule="auto"/>
              <w:rPr>
                <w:sz w:val="20"/>
                <w:szCs w:val="20"/>
              </w:rPr>
            </w:pPr>
            <w:r w:rsidRPr="00FE094E">
              <w:rPr>
                <w:sz w:val="20"/>
                <w:szCs w:val="20"/>
              </w:rPr>
              <w:t xml:space="preserve">Have the capability to engage with other funders of financial counselling (e.g. </w:t>
            </w:r>
            <w:r w:rsidR="00257BDC">
              <w:rPr>
                <w:sz w:val="20"/>
                <w:szCs w:val="20"/>
              </w:rPr>
              <w:t>Australian Government</w:t>
            </w:r>
            <w:r w:rsidRPr="00FE094E">
              <w:rPr>
                <w:sz w:val="20"/>
                <w:szCs w:val="20"/>
              </w:rPr>
              <w:t xml:space="preserve">, </w:t>
            </w:r>
            <w:r w:rsidR="001F3B29">
              <w:rPr>
                <w:sz w:val="20"/>
                <w:szCs w:val="20"/>
              </w:rPr>
              <w:t>s</w:t>
            </w:r>
            <w:r w:rsidRPr="00FE094E">
              <w:rPr>
                <w:sz w:val="20"/>
                <w:szCs w:val="20"/>
              </w:rPr>
              <w:t xml:space="preserve">tate and </w:t>
            </w:r>
            <w:r w:rsidR="001F3B29">
              <w:rPr>
                <w:sz w:val="20"/>
                <w:szCs w:val="20"/>
              </w:rPr>
              <w:t>t</w:t>
            </w:r>
            <w:r w:rsidRPr="00FE094E">
              <w:rPr>
                <w:sz w:val="20"/>
                <w:szCs w:val="20"/>
              </w:rPr>
              <w:t xml:space="preserve">erritories) on coordination and innovation of funding and services. </w:t>
            </w:r>
          </w:p>
        </w:tc>
        <w:tc>
          <w:tcPr>
            <w:tcW w:w="6616" w:type="dxa"/>
          </w:tcPr>
          <w:p w14:paraId="42ED3689" w14:textId="7E6889BD" w:rsidR="00F93794" w:rsidRPr="00FE094E" w:rsidDel="000D2435" w:rsidRDefault="00F93794" w:rsidP="001721B0">
            <w:pPr>
              <w:pStyle w:val="ListParagraph"/>
              <w:numPr>
                <w:ilvl w:val="0"/>
                <w:numId w:val="3"/>
              </w:numPr>
              <w:spacing w:line="276" w:lineRule="auto"/>
              <w:ind w:left="357" w:hanging="357"/>
              <w:rPr>
                <w:sz w:val="20"/>
                <w:szCs w:val="20"/>
              </w:rPr>
            </w:pPr>
            <w:r w:rsidRPr="00FE094E">
              <w:rPr>
                <w:sz w:val="20"/>
                <w:szCs w:val="20"/>
              </w:rPr>
              <w:t xml:space="preserve">By coordinating activities and engaging with key stakeholders the body will </w:t>
            </w:r>
            <w:r w:rsidR="00E961CE">
              <w:rPr>
                <w:sz w:val="20"/>
                <w:szCs w:val="20"/>
              </w:rPr>
              <w:t xml:space="preserve">be </w:t>
            </w:r>
            <w:r w:rsidRPr="00FE094E">
              <w:rPr>
                <w:sz w:val="20"/>
                <w:szCs w:val="20"/>
              </w:rPr>
              <w:t xml:space="preserve">best place to see return on investment and encourage innovative practices. </w:t>
            </w:r>
          </w:p>
        </w:tc>
      </w:tr>
    </w:tbl>
    <w:p w14:paraId="5EE288A2" w14:textId="169A5783" w:rsidR="009E0C4E" w:rsidRDefault="00265C93">
      <w:pPr>
        <w:spacing w:after="200" w:line="276" w:lineRule="auto"/>
        <w:sectPr w:rsidR="009E0C4E" w:rsidSect="00DA19C8">
          <w:pgSz w:w="16838" w:h="11906" w:orient="landscape"/>
          <w:pgMar w:top="1134" w:right="1134" w:bottom="1418" w:left="1418" w:header="284" w:footer="459" w:gutter="0"/>
          <w:cols w:space="708"/>
          <w:titlePg/>
          <w:docGrid w:linePitch="360"/>
        </w:sectPr>
      </w:pPr>
      <w:r>
        <w:br w:type="page"/>
      </w:r>
    </w:p>
    <w:p w14:paraId="3D2316CB" w14:textId="00AC5085" w:rsidR="00202F6F" w:rsidRPr="00F14F20" w:rsidRDefault="00152CF7" w:rsidP="00BB48C8">
      <w:pPr>
        <w:spacing w:before="240"/>
        <w:rPr>
          <w:rFonts w:eastAsiaTheme="majorEastAsia" w:cs="Arial"/>
          <w:b/>
          <w:bCs/>
          <w:lang w:bidi="en-US"/>
        </w:rPr>
      </w:pPr>
      <w:r>
        <w:rPr>
          <w:rFonts w:eastAsiaTheme="majorEastAsia" w:cs="Arial"/>
          <w:b/>
          <w:bCs/>
          <w:lang w:bidi="en-US"/>
        </w:rPr>
        <w:lastRenderedPageBreak/>
        <w:t xml:space="preserve">How will the </w:t>
      </w:r>
      <w:r w:rsidR="00EF0AB0">
        <w:rPr>
          <w:rFonts w:eastAsiaTheme="majorEastAsia" w:cs="Arial"/>
          <w:b/>
          <w:bCs/>
          <w:lang w:bidi="en-US"/>
        </w:rPr>
        <w:t>i</w:t>
      </w:r>
      <w:r w:rsidR="00B36263">
        <w:rPr>
          <w:rFonts w:eastAsiaTheme="majorEastAsia" w:cs="Arial"/>
          <w:b/>
          <w:bCs/>
          <w:lang w:bidi="en-US"/>
        </w:rPr>
        <w:t xml:space="preserve">ndependent </w:t>
      </w:r>
      <w:r w:rsidR="00D42E52">
        <w:rPr>
          <w:rFonts w:eastAsiaTheme="majorEastAsia" w:cs="Arial"/>
          <w:b/>
          <w:bCs/>
          <w:lang w:bidi="en-US"/>
        </w:rPr>
        <w:t>b</w:t>
      </w:r>
      <w:r w:rsidR="00202F6F">
        <w:rPr>
          <w:rFonts w:eastAsiaTheme="majorEastAsia" w:cs="Arial"/>
          <w:b/>
          <w:bCs/>
          <w:lang w:bidi="en-US"/>
        </w:rPr>
        <w:t>ody</w:t>
      </w:r>
      <w:r>
        <w:rPr>
          <w:rFonts w:eastAsiaTheme="majorEastAsia" w:cs="Arial"/>
          <w:b/>
          <w:bCs/>
          <w:lang w:bidi="en-US"/>
        </w:rPr>
        <w:t xml:space="preserve"> be governed?</w:t>
      </w:r>
      <w:r w:rsidR="00202F6F">
        <w:rPr>
          <w:rFonts w:eastAsiaTheme="majorEastAsia" w:cs="Arial"/>
          <w:b/>
          <w:bCs/>
          <w:lang w:bidi="en-US"/>
        </w:rPr>
        <w:t xml:space="preserve"> </w:t>
      </w:r>
    </w:p>
    <w:p w14:paraId="062E3C19" w14:textId="7A0BC9B0" w:rsidR="00202F6F" w:rsidRDefault="00202F6F" w:rsidP="00E9797A">
      <w:pPr>
        <w:rPr>
          <w:rFonts w:eastAsiaTheme="majorEastAsia"/>
        </w:rPr>
      </w:pPr>
      <w:r>
        <w:rPr>
          <w:rFonts w:eastAsiaTheme="majorEastAsia"/>
        </w:rPr>
        <w:t xml:space="preserve">It is proposed the </w:t>
      </w:r>
      <w:r w:rsidR="00B36263">
        <w:rPr>
          <w:rFonts w:eastAsiaTheme="majorEastAsia"/>
        </w:rPr>
        <w:t>i</w:t>
      </w:r>
      <w:r>
        <w:rPr>
          <w:rFonts w:eastAsiaTheme="majorEastAsia"/>
        </w:rPr>
        <w:t xml:space="preserve">ndependent </w:t>
      </w:r>
      <w:r w:rsidR="00B36263">
        <w:rPr>
          <w:rFonts w:eastAsiaTheme="majorEastAsia"/>
        </w:rPr>
        <w:t>b</w:t>
      </w:r>
      <w:r>
        <w:rPr>
          <w:rFonts w:eastAsiaTheme="majorEastAsia"/>
        </w:rPr>
        <w:t xml:space="preserve">ody be governed by a board (the board), which is responsible for making key decisions, guided by a strategic plan. The board will </w:t>
      </w:r>
      <w:r w:rsidR="001B1AA9">
        <w:rPr>
          <w:rFonts w:eastAsiaTheme="majorEastAsia"/>
        </w:rPr>
        <w:t xml:space="preserve">be comprised of a </w:t>
      </w:r>
      <w:r>
        <w:rPr>
          <w:rFonts w:eastAsiaTheme="majorEastAsia"/>
        </w:rPr>
        <w:t>chair</w:t>
      </w:r>
      <w:r w:rsidR="001B1AA9">
        <w:rPr>
          <w:rFonts w:eastAsiaTheme="majorEastAsia"/>
        </w:rPr>
        <w:t xml:space="preserve"> and</w:t>
      </w:r>
      <w:r>
        <w:rPr>
          <w:rFonts w:eastAsiaTheme="majorEastAsia"/>
        </w:rPr>
        <w:t xml:space="preserve"> directors. </w:t>
      </w:r>
    </w:p>
    <w:p w14:paraId="36C43019" w14:textId="5CB08E93" w:rsidR="00202F6F" w:rsidRDefault="00202F6F" w:rsidP="00F914A4">
      <w:pPr>
        <w:rPr>
          <w:rFonts w:eastAsiaTheme="majorEastAsia"/>
        </w:rPr>
      </w:pPr>
      <w:r>
        <w:rPr>
          <w:rFonts w:eastAsiaTheme="majorEastAsia"/>
        </w:rPr>
        <w:t>There are two options for the composition of the board.</w:t>
      </w:r>
      <w:r w:rsidR="00B36263">
        <w:rPr>
          <w:rFonts w:eastAsiaTheme="majorEastAsia"/>
        </w:rPr>
        <w:t xml:space="preserve"> </w:t>
      </w:r>
      <w:r>
        <w:rPr>
          <w:rFonts w:eastAsiaTheme="majorEastAsia"/>
        </w:rPr>
        <w:t>This</w:t>
      </w:r>
      <w:r w:rsidR="008B63B8">
        <w:rPr>
          <w:rFonts w:eastAsiaTheme="majorEastAsia"/>
        </w:rPr>
        <w:t xml:space="preserve"> </w:t>
      </w:r>
      <w:r>
        <w:rPr>
          <w:rFonts w:eastAsiaTheme="majorEastAsia"/>
        </w:rPr>
        <w:t>includes</w:t>
      </w:r>
      <w:r w:rsidR="00880F38">
        <w:rPr>
          <w:rFonts w:eastAsiaTheme="majorEastAsia"/>
        </w:rPr>
        <w:t>:</w:t>
      </w:r>
      <w:r>
        <w:rPr>
          <w:rFonts w:eastAsiaTheme="majorEastAsia"/>
        </w:rPr>
        <w:t xml:space="preserve"> </w:t>
      </w:r>
    </w:p>
    <w:p w14:paraId="1F75FE95" w14:textId="28614B1C" w:rsidR="00202F6F" w:rsidRDefault="00BC5B19" w:rsidP="00F914A4">
      <w:pPr>
        <w:pStyle w:val="ListParagraph"/>
        <w:numPr>
          <w:ilvl w:val="0"/>
          <w:numId w:val="18"/>
        </w:numPr>
        <w:contextualSpacing w:val="0"/>
        <w:rPr>
          <w:rFonts w:eastAsiaTheme="majorEastAsia"/>
        </w:rPr>
      </w:pPr>
      <w:r>
        <w:rPr>
          <w:rFonts w:eastAsiaTheme="majorEastAsia"/>
        </w:rPr>
        <w:t>i</w:t>
      </w:r>
      <w:r w:rsidR="002C147D">
        <w:rPr>
          <w:rFonts w:eastAsiaTheme="majorEastAsia"/>
        </w:rPr>
        <w:t xml:space="preserve">ndependent chair, </w:t>
      </w:r>
      <w:r w:rsidR="00202F6F" w:rsidRPr="009F2971">
        <w:rPr>
          <w:rFonts w:eastAsiaTheme="majorEastAsia"/>
        </w:rPr>
        <w:t>fixed</w:t>
      </w:r>
      <w:r w:rsidR="008B63B8">
        <w:rPr>
          <w:rFonts w:eastAsiaTheme="majorEastAsia"/>
        </w:rPr>
        <w:t xml:space="preserve"> </w:t>
      </w:r>
      <w:r w:rsidR="00202F6F" w:rsidRPr="009F2971">
        <w:rPr>
          <w:rFonts w:eastAsiaTheme="majorEastAsia"/>
        </w:rPr>
        <w:t>term appointments, with the board members</w:t>
      </w:r>
      <w:r w:rsidR="001B1AA9">
        <w:rPr>
          <w:rFonts w:eastAsiaTheme="majorEastAsia"/>
        </w:rPr>
        <w:t xml:space="preserve"> selected on the basis of specific skills and knowledge, for example, </w:t>
      </w:r>
      <w:r w:rsidR="00202F6F" w:rsidRPr="009F2971">
        <w:rPr>
          <w:rFonts w:eastAsiaTheme="majorEastAsia"/>
        </w:rPr>
        <w:t>industry, the community and financial counselling sector, data, and finance</w:t>
      </w:r>
      <w:r w:rsidR="00E961CE">
        <w:rPr>
          <w:rFonts w:eastAsiaTheme="majorEastAsia"/>
        </w:rPr>
        <w:t>;</w:t>
      </w:r>
      <w:r w:rsidR="00202F6F" w:rsidRPr="009F2971">
        <w:rPr>
          <w:rFonts w:eastAsiaTheme="majorEastAsia"/>
        </w:rPr>
        <w:t xml:space="preserve"> or </w:t>
      </w:r>
      <w:r w:rsidR="00880F38">
        <w:rPr>
          <w:rFonts w:eastAsiaTheme="majorEastAsia"/>
        </w:rPr>
        <w:br/>
      </w:r>
    </w:p>
    <w:p w14:paraId="0CB46942" w14:textId="653EAEEE" w:rsidR="00202F6F" w:rsidRDefault="00971DC9" w:rsidP="00F914A4">
      <w:pPr>
        <w:pStyle w:val="ListParagraph"/>
        <w:numPr>
          <w:ilvl w:val="0"/>
          <w:numId w:val="18"/>
        </w:numPr>
        <w:ind w:left="714" w:hanging="357"/>
        <w:contextualSpacing w:val="0"/>
        <w:rPr>
          <w:rFonts w:eastAsiaTheme="majorEastAsia"/>
        </w:rPr>
      </w:pPr>
      <w:r>
        <w:rPr>
          <w:rFonts w:eastAsiaTheme="majorEastAsia"/>
        </w:rPr>
        <w:t xml:space="preserve">independent chair, </w:t>
      </w:r>
      <w:r w:rsidR="00202F6F">
        <w:rPr>
          <w:rFonts w:eastAsiaTheme="majorEastAsia"/>
        </w:rPr>
        <w:t xml:space="preserve">fixed-term appointments with </w:t>
      </w:r>
      <w:r w:rsidR="00202F6F" w:rsidRPr="009F2971">
        <w:rPr>
          <w:rFonts w:eastAsiaTheme="majorEastAsia"/>
        </w:rPr>
        <w:t xml:space="preserve">equal representation between </w:t>
      </w:r>
      <w:r w:rsidR="002349AC">
        <w:rPr>
          <w:rFonts w:eastAsiaTheme="majorEastAsia"/>
        </w:rPr>
        <w:t xml:space="preserve">members with specific skills and knowledge of </w:t>
      </w:r>
      <w:r w:rsidR="00CE1776">
        <w:rPr>
          <w:rFonts w:eastAsiaTheme="majorEastAsia"/>
        </w:rPr>
        <w:t xml:space="preserve">the </w:t>
      </w:r>
      <w:r w:rsidR="00020070">
        <w:rPr>
          <w:rFonts w:eastAsiaTheme="majorEastAsia"/>
        </w:rPr>
        <w:t>community sector</w:t>
      </w:r>
      <w:r w:rsidR="00202F6F" w:rsidRPr="009F2971">
        <w:rPr>
          <w:rFonts w:eastAsiaTheme="majorEastAsia"/>
        </w:rPr>
        <w:t xml:space="preserve"> and industry representatives on the board. </w:t>
      </w:r>
      <w:r w:rsidR="00202F6F">
        <w:rPr>
          <w:rFonts w:eastAsiaTheme="majorEastAsia"/>
        </w:rPr>
        <w:t>This is a structure utilised by external dispute resolution schemes</w:t>
      </w:r>
      <w:r w:rsidR="002C147D">
        <w:rPr>
          <w:rFonts w:eastAsiaTheme="majorEastAsia"/>
        </w:rPr>
        <w:t>, like the Australian Financial Complaints Authority</w:t>
      </w:r>
      <w:r w:rsidR="00202F6F">
        <w:rPr>
          <w:rFonts w:eastAsiaTheme="majorEastAsia"/>
        </w:rPr>
        <w:t xml:space="preserve">. </w:t>
      </w:r>
    </w:p>
    <w:p w14:paraId="4DD48C3A" w14:textId="2C6CD1AF" w:rsidR="00202F6F" w:rsidRDefault="0050664B" w:rsidP="00E9797A">
      <w:pPr>
        <w:rPr>
          <w:rFonts w:eastAsiaTheme="majorEastAsia"/>
        </w:rPr>
      </w:pPr>
      <w:r>
        <w:rPr>
          <w:rFonts w:eastAsiaTheme="majorEastAsia"/>
        </w:rPr>
        <w:t>An</w:t>
      </w:r>
      <w:r w:rsidR="00202F6F">
        <w:rPr>
          <w:rFonts w:eastAsiaTheme="majorEastAsia"/>
        </w:rPr>
        <w:t xml:space="preserve"> executive director or chief executive officer and staff</w:t>
      </w:r>
      <w:r>
        <w:rPr>
          <w:rFonts w:eastAsiaTheme="majorEastAsia"/>
        </w:rPr>
        <w:t xml:space="preserve"> will support the board</w:t>
      </w:r>
      <w:r w:rsidR="00DE2A86">
        <w:rPr>
          <w:rFonts w:eastAsiaTheme="majorEastAsia"/>
        </w:rPr>
        <w:t>. The number of staff required would initially be small, but could expand as funding commitments increase. Staff</w:t>
      </w:r>
      <w:r w:rsidR="00202F6F">
        <w:rPr>
          <w:rFonts w:eastAsiaTheme="majorEastAsia"/>
        </w:rPr>
        <w:t xml:space="preserve"> will be responsible for:</w:t>
      </w:r>
    </w:p>
    <w:p w14:paraId="6E147273" w14:textId="1A0E8CD3" w:rsidR="00202F6F" w:rsidRPr="00BB48C8" w:rsidRDefault="00202F6F" w:rsidP="00F914A4">
      <w:pPr>
        <w:numPr>
          <w:ilvl w:val="0"/>
          <w:numId w:val="7"/>
        </w:numPr>
        <w:tabs>
          <w:tab w:val="left" w:pos="720"/>
        </w:tabs>
        <w:rPr>
          <w:rFonts w:cs="Arial"/>
          <w:lang w:bidi="en-US"/>
        </w:rPr>
      </w:pPr>
      <w:r w:rsidRPr="00BB48C8">
        <w:rPr>
          <w:rFonts w:cs="Arial"/>
          <w:lang w:bidi="en-US"/>
        </w:rPr>
        <w:t>implementing board decisions</w:t>
      </w:r>
      <w:r w:rsidR="001F3B29" w:rsidRPr="00BB48C8">
        <w:rPr>
          <w:rFonts w:cs="Arial"/>
          <w:lang w:bidi="en-US"/>
        </w:rPr>
        <w:t>;</w:t>
      </w:r>
    </w:p>
    <w:p w14:paraId="217784CA" w14:textId="3B3D3AB7" w:rsidR="00202F6F" w:rsidRPr="00BB48C8" w:rsidRDefault="00202F6F" w:rsidP="00F914A4">
      <w:pPr>
        <w:numPr>
          <w:ilvl w:val="0"/>
          <w:numId w:val="7"/>
        </w:numPr>
        <w:tabs>
          <w:tab w:val="left" w:pos="720"/>
        </w:tabs>
        <w:rPr>
          <w:rFonts w:cs="Arial"/>
          <w:lang w:bidi="en-US"/>
        </w:rPr>
      </w:pPr>
      <w:r w:rsidRPr="00BB48C8">
        <w:rPr>
          <w:rFonts w:cs="Arial"/>
          <w:lang w:bidi="en-US"/>
        </w:rPr>
        <w:t>ensuring requirements are met, such as legal requirements and operating rules</w:t>
      </w:r>
      <w:r w:rsidR="001F3B29" w:rsidRPr="00BB48C8">
        <w:rPr>
          <w:rFonts w:cs="Arial"/>
          <w:lang w:bidi="en-US"/>
        </w:rPr>
        <w:t>;</w:t>
      </w:r>
    </w:p>
    <w:p w14:paraId="012DF927" w14:textId="370263EF" w:rsidR="00202F6F" w:rsidRPr="00BB48C8" w:rsidRDefault="00202F6F" w:rsidP="00F914A4">
      <w:pPr>
        <w:numPr>
          <w:ilvl w:val="0"/>
          <w:numId w:val="7"/>
        </w:numPr>
        <w:tabs>
          <w:tab w:val="left" w:pos="720"/>
        </w:tabs>
        <w:rPr>
          <w:rFonts w:cs="Arial"/>
          <w:lang w:bidi="en-US"/>
        </w:rPr>
      </w:pPr>
      <w:r w:rsidRPr="00BB48C8">
        <w:rPr>
          <w:rFonts w:cs="Arial"/>
          <w:lang w:bidi="en-US"/>
        </w:rPr>
        <w:t>administering processes, including grants management, data and reporting</w:t>
      </w:r>
      <w:r w:rsidR="001F3B29" w:rsidRPr="00BB48C8">
        <w:rPr>
          <w:rFonts w:cs="Arial"/>
          <w:lang w:bidi="en-US"/>
        </w:rPr>
        <w:t>;</w:t>
      </w:r>
    </w:p>
    <w:p w14:paraId="1071FA3B" w14:textId="3CCAC478" w:rsidR="00EF0AB0" w:rsidRPr="00BB48C8" w:rsidRDefault="00202F6F" w:rsidP="00F914A4">
      <w:pPr>
        <w:numPr>
          <w:ilvl w:val="0"/>
          <w:numId w:val="7"/>
        </w:numPr>
        <w:tabs>
          <w:tab w:val="left" w:pos="720"/>
        </w:tabs>
        <w:rPr>
          <w:rFonts w:cs="Arial"/>
          <w:lang w:bidi="en-US"/>
        </w:rPr>
      </w:pPr>
      <w:r w:rsidRPr="00BB48C8">
        <w:rPr>
          <w:rFonts w:cs="Arial"/>
          <w:lang w:bidi="en-US"/>
        </w:rPr>
        <w:t>collecting and distributing funding to the financial counselling sector</w:t>
      </w:r>
      <w:r w:rsidR="001F3B29" w:rsidRPr="00BB48C8">
        <w:rPr>
          <w:rFonts w:cs="Arial"/>
          <w:lang w:bidi="en-US"/>
        </w:rPr>
        <w:t>; and</w:t>
      </w:r>
    </w:p>
    <w:p w14:paraId="0B6186C5" w14:textId="30FC6DB1" w:rsidR="00EF0AB0" w:rsidRPr="00EF0AB0" w:rsidRDefault="00202F6F" w:rsidP="00F914A4">
      <w:pPr>
        <w:pStyle w:val="ListParagraph"/>
        <w:numPr>
          <w:ilvl w:val="0"/>
          <w:numId w:val="7"/>
        </w:numPr>
        <w:tabs>
          <w:tab w:val="left" w:pos="720"/>
        </w:tabs>
        <w:contextualSpacing w:val="0"/>
        <w:rPr>
          <w:rFonts w:eastAsiaTheme="majorEastAsia"/>
        </w:rPr>
      </w:pPr>
      <w:r w:rsidRPr="00EF0AB0">
        <w:rPr>
          <w:rFonts w:cs="Arial"/>
          <w:lang w:bidi="en-US"/>
        </w:rPr>
        <w:t xml:space="preserve">providing reports and updates to key stakeholders. </w:t>
      </w:r>
    </w:p>
    <w:p w14:paraId="6356289D" w14:textId="2166476D" w:rsidR="00202F6F" w:rsidRPr="00EF0AB0" w:rsidRDefault="004763FD" w:rsidP="00F914A4">
      <w:pPr>
        <w:tabs>
          <w:tab w:val="left" w:pos="720"/>
        </w:tabs>
        <w:rPr>
          <w:rFonts w:eastAsiaTheme="majorEastAsia"/>
        </w:rPr>
      </w:pPr>
      <w:r w:rsidRPr="00EF0AB0">
        <w:rPr>
          <w:rFonts w:eastAsiaTheme="majorEastAsia"/>
        </w:rPr>
        <w:t>The Sylvan Review noted there should be ‘an independent body capable of receiving funds from a variety of sources, and crucially, supported by an advisory body of financial counsellors, government and industry’</w:t>
      </w:r>
      <w:r w:rsidR="000772DF">
        <w:rPr>
          <w:rFonts w:eastAsiaTheme="majorEastAsia"/>
        </w:rPr>
        <w:t>.</w:t>
      </w:r>
      <w:r w:rsidRPr="00DC133C">
        <w:rPr>
          <w:rFonts w:eastAsiaTheme="majorEastAsia"/>
          <w:vertAlign w:val="superscript"/>
        </w:rPr>
        <w:footnoteReference w:id="18"/>
      </w:r>
      <w:r w:rsidR="00971DC9" w:rsidRPr="00EF0AB0">
        <w:rPr>
          <w:rFonts w:eastAsiaTheme="majorEastAsia"/>
        </w:rPr>
        <w:t xml:space="preserve"> </w:t>
      </w:r>
      <w:r w:rsidR="00C61EFD">
        <w:rPr>
          <w:rFonts w:eastAsiaTheme="majorEastAsia"/>
        </w:rPr>
        <w:t>An optional advisory c</w:t>
      </w:r>
      <w:r w:rsidR="00202F6F" w:rsidRPr="00EF0AB0">
        <w:rPr>
          <w:rFonts w:eastAsiaTheme="majorEastAsia"/>
        </w:rPr>
        <w:t>ommittee</w:t>
      </w:r>
      <w:r w:rsidR="00C61EFD">
        <w:rPr>
          <w:rFonts w:eastAsiaTheme="majorEastAsia"/>
        </w:rPr>
        <w:t>/s are</w:t>
      </w:r>
      <w:r w:rsidR="00202F6F" w:rsidRPr="00EF0AB0">
        <w:rPr>
          <w:rFonts w:eastAsiaTheme="majorEastAsia"/>
        </w:rPr>
        <w:t xml:space="preserve"> also proposed, which woul</w:t>
      </w:r>
      <w:r w:rsidR="004A2AE3">
        <w:rPr>
          <w:rFonts w:eastAsiaTheme="majorEastAsia"/>
        </w:rPr>
        <w:t>d provide information and insights to the board on their respective sectors</w:t>
      </w:r>
      <w:r w:rsidR="00202F6F" w:rsidRPr="00EF0AB0">
        <w:rPr>
          <w:rFonts w:eastAsiaTheme="majorEastAsia"/>
        </w:rPr>
        <w:t xml:space="preserve">. The formation of </w:t>
      </w:r>
      <w:r w:rsidR="00E67349">
        <w:rPr>
          <w:rFonts w:eastAsiaTheme="majorEastAsia"/>
        </w:rPr>
        <w:t>any</w:t>
      </w:r>
      <w:r w:rsidR="00C61EFD">
        <w:rPr>
          <w:rFonts w:eastAsiaTheme="majorEastAsia"/>
        </w:rPr>
        <w:t xml:space="preserve"> advisory c</w:t>
      </w:r>
      <w:r w:rsidR="00202F6F" w:rsidRPr="00EF0AB0">
        <w:rPr>
          <w:rFonts w:eastAsiaTheme="majorEastAsia"/>
        </w:rPr>
        <w:t>ommittee</w:t>
      </w:r>
      <w:r w:rsidR="00E67349">
        <w:rPr>
          <w:rFonts w:eastAsiaTheme="majorEastAsia"/>
        </w:rPr>
        <w:t>/s</w:t>
      </w:r>
      <w:r w:rsidR="00202F6F" w:rsidRPr="00EF0AB0">
        <w:rPr>
          <w:rFonts w:eastAsiaTheme="majorEastAsia"/>
        </w:rPr>
        <w:t xml:space="preserve"> would be at the discretion of the </w:t>
      </w:r>
      <w:r w:rsidR="00971DC9" w:rsidRPr="00EF0AB0">
        <w:rPr>
          <w:rFonts w:eastAsiaTheme="majorEastAsia"/>
        </w:rPr>
        <w:t>i</w:t>
      </w:r>
      <w:r w:rsidR="00202F6F" w:rsidRPr="00EF0AB0">
        <w:rPr>
          <w:rFonts w:eastAsiaTheme="majorEastAsia"/>
        </w:rPr>
        <w:t xml:space="preserve">ndependent </w:t>
      </w:r>
      <w:r w:rsidR="00971DC9" w:rsidRPr="00EF0AB0">
        <w:rPr>
          <w:rFonts w:eastAsiaTheme="majorEastAsia"/>
        </w:rPr>
        <w:t>b</w:t>
      </w:r>
      <w:r w:rsidR="00202F6F" w:rsidRPr="00EF0AB0">
        <w:rPr>
          <w:rFonts w:eastAsiaTheme="majorEastAsia"/>
        </w:rPr>
        <w:t xml:space="preserve">ody and its board.  </w:t>
      </w:r>
    </w:p>
    <w:p w14:paraId="1F82AAE9" w14:textId="7FF5C84D" w:rsidR="008A16BC" w:rsidRDefault="008A16BC" w:rsidP="00E9797A">
      <w:pPr>
        <w:rPr>
          <w:rFonts w:eastAsiaTheme="majorEastAsia"/>
        </w:rPr>
      </w:pPr>
      <w:r>
        <w:rPr>
          <w:rFonts w:eastAsiaTheme="majorEastAsia"/>
        </w:rPr>
        <w:t xml:space="preserve">Diagram </w:t>
      </w:r>
      <w:r w:rsidR="006F6A74">
        <w:rPr>
          <w:rFonts w:eastAsiaTheme="majorEastAsia"/>
        </w:rPr>
        <w:t>3</w:t>
      </w:r>
      <w:r>
        <w:rPr>
          <w:rFonts w:eastAsiaTheme="majorEastAsia"/>
        </w:rPr>
        <w:t xml:space="preserve"> </w:t>
      </w:r>
      <w:r w:rsidR="00891DE9">
        <w:rPr>
          <w:rFonts w:eastAsiaTheme="majorEastAsia"/>
        </w:rPr>
        <w:t xml:space="preserve">below </w:t>
      </w:r>
      <w:r>
        <w:rPr>
          <w:rFonts w:eastAsiaTheme="majorEastAsia"/>
        </w:rPr>
        <w:t>provides an overview of how the governance for the independent body could work.</w:t>
      </w:r>
    </w:p>
    <w:p w14:paraId="604FDEC4" w14:textId="209E30C8" w:rsidR="002046CA" w:rsidRDefault="00EF0AB0" w:rsidP="008A16BC">
      <w:pPr>
        <w:rPr>
          <w:rFonts w:eastAsiaTheme="majorEastAsia"/>
        </w:rPr>
      </w:pPr>
      <w:r w:rsidRPr="00EB7A8A">
        <w:rPr>
          <w:rFonts w:eastAsiaTheme="majorEastAsia"/>
          <w:noProof/>
          <w:lang w:eastAsia="en-AU"/>
        </w:rPr>
        <mc:AlternateContent>
          <mc:Choice Requires="wps">
            <w:drawing>
              <wp:anchor distT="0" distB="0" distL="114300" distR="114300" simplePos="0" relativeHeight="251719680" behindDoc="0" locked="0" layoutInCell="1" allowOverlap="1" wp14:anchorId="61D4A9F9" wp14:editId="0A64912B">
                <wp:simplePos x="0" y="0"/>
                <wp:positionH relativeFrom="page">
                  <wp:posOffset>681836</wp:posOffset>
                </wp:positionH>
                <wp:positionV relativeFrom="paragraph">
                  <wp:posOffset>23256</wp:posOffset>
                </wp:positionV>
                <wp:extent cx="5950424" cy="935543"/>
                <wp:effectExtent l="0" t="0" r="12700" b="17145"/>
                <wp:wrapNone/>
                <wp:docPr id="57" name="Rounded Rectangle 57"/>
                <wp:cNvGraphicFramePr/>
                <a:graphic xmlns:a="http://schemas.openxmlformats.org/drawingml/2006/main">
                  <a:graphicData uri="http://schemas.microsoft.com/office/word/2010/wordprocessingShape">
                    <wps:wsp>
                      <wps:cNvSpPr/>
                      <wps:spPr>
                        <a:xfrm>
                          <a:off x="0" y="0"/>
                          <a:ext cx="5950424" cy="935543"/>
                        </a:xfrm>
                        <a:prstGeom prst="roundRect">
                          <a:avLst/>
                        </a:prstGeom>
                        <a:solidFill>
                          <a:schemeClr val="bg1">
                            <a:lumMod val="95000"/>
                          </a:schemeClr>
                        </a:solidFill>
                        <a:ln w="26425" cap="flat" cmpd="sng" algn="ctr">
                          <a:solidFill>
                            <a:srgbClr val="B1E4E3">
                              <a:shade val="50000"/>
                            </a:srgbClr>
                          </a:solidFill>
                          <a:prstDash val="solid"/>
                        </a:ln>
                        <a:effectLst/>
                      </wps:spPr>
                      <wps:txbx>
                        <w:txbxContent>
                          <w:p w14:paraId="6C4BFCC8" w14:textId="77777777" w:rsidR="00FF3618" w:rsidRPr="0001440C" w:rsidRDefault="00FF3618" w:rsidP="00891DE9">
                            <w:pPr>
                              <w:spacing w:after="60"/>
                              <w:rPr>
                                <w:color w:val="000000" w:themeColor="text2"/>
                              </w:rPr>
                            </w:pPr>
                            <w:r w:rsidRPr="0001440C">
                              <w:rPr>
                                <w:color w:val="000000" w:themeColor="text2"/>
                              </w:rPr>
                              <w:t>Discussion Questions:</w:t>
                            </w:r>
                          </w:p>
                          <w:p w14:paraId="7C4D9B20" w14:textId="74A69964" w:rsidR="00FF3618" w:rsidRPr="007D0B25" w:rsidRDefault="00FF3618" w:rsidP="007D0B25">
                            <w:pPr>
                              <w:pStyle w:val="ListParagraph"/>
                              <w:numPr>
                                <w:ilvl w:val="0"/>
                                <w:numId w:val="4"/>
                              </w:numPr>
                              <w:spacing w:after="120"/>
                              <w:ind w:left="357" w:hanging="357"/>
                              <w:contextualSpacing w:val="0"/>
                              <w:rPr>
                                <w:color w:val="000000" w:themeColor="text2"/>
                              </w:rPr>
                            </w:pPr>
                            <w:r>
                              <w:rPr>
                                <w:color w:val="000000" w:themeColor="text2"/>
                              </w:rPr>
                              <w:t>Which board composition option do you prefer and why? Are there other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4A9F9" id="Rounded Rectangle 57" o:spid="_x0000_s1042" style="position:absolute;margin-left:53.7pt;margin-top:1.85pt;width:468.55pt;height:73.6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" fillcolor="#f2f2f2 [3052]" strokecolor="#81a7a7" strokeweight=".73403mm">
                <v:textbox>
                  <w:txbxContent>
                    <w:p w14:paraId="6C4BFCC8" w14:textId="77777777" w:rsidR="00FF3618" w:rsidRPr="0001440C" w:rsidRDefault="00FF3618" w:rsidP="00891DE9">
                      <w:pPr>
                        <w:spacing w:after="60"/>
                        <w:rPr>
                          <w:color w:val="000000" w:themeColor="text2"/>
                        </w:rPr>
                      </w:pPr>
                      <w:r w:rsidRPr="0001440C">
                        <w:rPr>
                          <w:color w:val="000000" w:themeColor="text2"/>
                        </w:rPr>
                        <w:t>Discussion Questions:</w:t>
                      </w:r>
                    </w:p>
                    <w:p w14:paraId="7C4D9B20" w14:textId="74A69964" w:rsidR="00FF3618" w:rsidRPr="007D0B25" w:rsidRDefault="00FF3618" w:rsidP="007D0B25">
                      <w:pPr>
                        <w:pStyle w:val="ListParagraph"/>
                        <w:numPr>
                          <w:ilvl w:val="0"/>
                          <w:numId w:val="4"/>
                        </w:numPr>
                        <w:spacing w:after="120"/>
                        <w:ind w:left="357" w:hanging="357"/>
                        <w:contextualSpacing w:val="0"/>
                        <w:rPr>
                          <w:color w:val="000000" w:themeColor="text2"/>
                        </w:rPr>
                      </w:pPr>
                      <w:r>
                        <w:rPr>
                          <w:color w:val="000000" w:themeColor="text2"/>
                        </w:rPr>
                        <w:t>Which board composition option do you prefer and why? Are there other options?</w:t>
                      </w:r>
                    </w:p>
                  </w:txbxContent>
                </v:textbox>
                <w10:wrap anchorx="page"/>
              </v:roundrect>
            </w:pict>
          </mc:Fallback>
        </mc:AlternateContent>
      </w:r>
    </w:p>
    <w:p w14:paraId="56D2C4EA" w14:textId="3CCC6381" w:rsidR="004A72CD" w:rsidRDefault="004A72CD">
      <w:pPr>
        <w:rPr>
          <w:rFonts w:eastAsiaTheme="majorEastAsia"/>
        </w:rPr>
      </w:pPr>
      <w:r>
        <w:rPr>
          <w:rFonts w:eastAsiaTheme="majorEastAsia"/>
        </w:rPr>
        <w:br w:type="page"/>
      </w:r>
    </w:p>
    <w:p w14:paraId="6F853DC7" w14:textId="77777777" w:rsidR="00971DC9" w:rsidRDefault="00971DC9" w:rsidP="00202F6F">
      <w:pPr>
        <w:rPr>
          <w:rFonts w:eastAsiaTheme="majorEastAsia"/>
        </w:rPr>
        <w:sectPr w:rsidR="00971DC9" w:rsidSect="00DA19C8">
          <w:pgSz w:w="11906" w:h="16838"/>
          <w:pgMar w:top="1134" w:right="1418" w:bottom="1418" w:left="1134" w:header="284" w:footer="459" w:gutter="0"/>
          <w:cols w:space="708"/>
          <w:titlePg/>
          <w:docGrid w:linePitch="360"/>
        </w:sectPr>
      </w:pPr>
    </w:p>
    <w:p w14:paraId="794F00BB" w14:textId="17F1A598" w:rsidR="00E67349" w:rsidRDefault="006F6A74" w:rsidP="004A72CD">
      <w:pPr>
        <w:rPr>
          <w:rFonts w:eastAsiaTheme="majorEastAsia"/>
          <w:b/>
        </w:rPr>
      </w:pPr>
      <w:r>
        <w:rPr>
          <w:rFonts w:eastAsiaTheme="majorEastAsia"/>
          <w:b/>
        </w:rPr>
        <w:lastRenderedPageBreak/>
        <w:t>DIAGRAM</w:t>
      </w:r>
      <w:r w:rsidRPr="00803599">
        <w:rPr>
          <w:rFonts w:eastAsiaTheme="majorEastAsia"/>
          <w:b/>
        </w:rPr>
        <w:t xml:space="preserve"> </w:t>
      </w:r>
      <w:r>
        <w:rPr>
          <w:rFonts w:eastAsiaTheme="majorEastAsia"/>
          <w:b/>
        </w:rPr>
        <w:t>3</w:t>
      </w:r>
      <w:r w:rsidR="00A01A21">
        <w:rPr>
          <w:rFonts w:eastAsiaTheme="majorEastAsia"/>
          <w:b/>
        </w:rPr>
        <w:t>:</w:t>
      </w:r>
      <w:r w:rsidR="004A72CD" w:rsidRPr="00803599">
        <w:rPr>
          <w:rFonts w:eastAsiaTheme="majorEastAsia"/>
          <w:b/>
        </w:rPr>
        <w:t xml:space="preserve"> </w:t>
      </w:r>
      <w:r w:rsidR="004A72CD" w:rsidRPr="00803599">
        <w:rPr>
          <w:rFonts w:eastAsiaTheme="majorEastAsia"/>
          <w:b/>
        </w:rPr>
        <w:tab/>
        <w:t xml:space="preserve">Proposed Governance Structure to </w:t>
      </w:r>
      <w:r w:rsidR="00172041">
        <w:rPr>
          <w:rFonts w:eastAsiaTheme="majorEastAsia"/>
          <w:b/>
        </w:rPr>
        <w:t>s</w:t>
      </w:r>
      <w:r w:rsidR="004A72CD" w:rsidRPr="00803599">
        <w:rPr>
          <w:rFonts w:eastAsiaTheme="majorEastAsia"/>
          <w:b/>
        </w:rPr>
        <w:t xml:space="preserve">upport the </w:t>
      </w:r>
      <w:r w:rsidR="00172041">
        <w:rPr>
          <w:rFonts w:eastAsiaTheme="majorEastAsia"/>
          <w:b/>
        </w:rPr>
        <w:t>i</w:t>
      </w:r>
      <w:r w:rsidR="004A72CD" w:rsidRPr="00803599">
        <w:rPr>
          <w:rFonts w:eastAsiaTheme="majorEastAsia"/>
          <w:b/>
        </w:rPr>
        <w:t xml:space="preserve">ndustry </w:t>
      </w:r>
      <w:r w:rsidR="00172041">
        <w:rPr>
          <w:rFonts w:eastAsiaTheme="majorEastAsia"/>
          <w:b/>
        </w:rPr>
        <w:t>f</w:t>
      </w:r>
      <w:r w:rsidR="004A72CD" w:rsidRPr="00803599">
        <w:rPr>
          <w:rFonts w:eastAsiaTheme="majorEastAsia"/>
          <w:b/>
        </w:rPr>
        <w:t xml:space="preserve">unding </w:t>
      </w:r>
      <w:r w:rsidR="00172041">
        <w:rPr>
          <w:rFonts w:eastAsiaTheme="majorEastAsia"/>
          <w:b/>
        </w:rPr>
        <w:t>m</w:t>
      </w:r>
      <w:r w:rsidR="004A72CD" w:rsidRPr="00803599">
        <w:rPr>
          <w:rFonts w:eastAsiaTheme="majorEastAsia"/>
          <w:b/>
        </w:rPr>
        <w:t xml:space="preserve">odel and </w:t>
      </w:r>
      <w:r w:rsidR="00172041">
        <w:rPr>
          <w:rFonts w:eastAsiaTheme="majorEastAsia"/>
          <w:b/>
        </w:rPr>
        <w:t>i</w:t>
      </w:r>
      <w:r w:rsidR="004A72CD">
        <w:rPr>
          <w:rFonts w:eastAsiaTheme="majorEastAsia"/>
          <w:b/>
        </w:rPr>
        <w:t>ndependent</w:t>
      </w:r>
      <w:r w:rsidR="004A72CD" w:rsidRPr="00803599">
        <w:rPr>
          <w:rFonts w:eastAsiaTheme="majorEastAsia"/>
          <w:b/>
        </w:rPr>
        <w:t xml:space="preserve"> </w:t>
      </w:r>
      <w:r w:rsidR="00172041">
        <w:rPr>
          <w:rFonts w:eastAsiaTheme="majorEastAsia"/>
          <w:b/>
        </w:rPr>
        <w:t>b</w:t>
      </w:r>
      <w:r w:rsidR="004A72CD" w:rsidRPr="00803599">
        <w:rPr>
          <w:rFonts w:eastAsiaTheme="majorEastAsia"/>
          <w:b/>
        </w:rPr>
        <w:t>ody</w:t>
      </w:r>
    </w:p>
    <w:p w14:paraId="5C95B51D" w14:textId="07519527" w:rsidR="00735CEE" w:rsidRDefault="00735CEE" w:rsidP="004A72CD">
      <w:pPr>
        <w:rPr>
          <w:rFonts w:eastAsiaTheme="majorEastAsia"/>
          <w:b/>
        </w:rPr>
      </w:pPr>
      <w:r>
        <w:rPr>
          <w:noProof/>
          <w:lang w:eastAsia="en-AU"/>
        </w:rPr>
        <w:drawing>
          <wp:inline distT="0" distB="0" distL="0" distR="0" wp14:anchorId="1DF1EFAC" wp14:editId="19B6F87B">
            <wp:extent cx="8203842" cy="473073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223869" cy="4742282"/>
                    </a:xfrm>
                    <a:prstGeom prst="rect">
                      <a:avLst/>
                    </a:prstGeom>
                  </pic:spPr>
                </pic:pic>
              </a:graphicData>
            </a:graphic>
          </wp:inline>
        </w:drawing>
      </w:r>
    </w:p>
    <w:p w14:paraId="0C80E533" w14:textId="4D2FC79F" w:rsidR="0064714D" w:rsidRDefault="0064714D" w:rsidP="004A72CD">
      <w:pPr>
        <w:rPr>
          <w:noProof/>
          <w:lang w:eastAsia="en-AU"/>
        </w:rPr>
      </w:pPr>
    </w:p>
    <w:p w14:paraId="2D44721F" w14:textId="2BF359C5" w:rsidR="00AD595F" w:rsidRDefault="00AD595F" w:rsidP="004A72CD">
      <w:pPr>
        <w:rPr>
          <w:rFonts w:eastAsiaTheme="majorEastAsia"/>
          <w:b/>
        </w:rPr>
        <w:sectPr w:rsidR="00AD595F" w:rsidSect="00DA19C8">
          <w:pgSz w:w="16838" w:h="11906" w:orient="landscape"/>
          <w:pgMar w:top="1134" w:right="1134" w:bottom="1418" w:left="1418" w:header="284" w:footer="459" w:gutter="0"/>
          <w:cols w:space="708"/>
          <w:titlePg/>
          <w:docGrid w:linePitch="360"/>
        </w:sectPr>
      </w:pPr>
    </w:p>
    <w:p w14:paraId="7CBE055E" w14:textId="77C11B33" w:rsidR="00A216D9" w:rsidRPr="00DC133C" w:rsidRDefault="00EF3490" w:rsidP="00AD595F">
      <w:pPr>
        <w:rPr>
          <w:rFonts w:eastAsiaTheme="majorEastAsia" w:cs="Arial"/>
          <w:b/>
          <w:bCs/>
          <w:lang w:bidi="en-US"/>
        </w:rPr>
      </w:pPr>
      <w:r w:rsidRPr="00DC133C">
        <w:rPr>
          <w:rFonts w:eastAsiaTheme="majorEastAsia" w:cs="Arial"/>
          <w:b/>
          <w:bCs/>
          <w:lang w:bidi="en-US"/>
        </w:rPr>
        <w:lastRenderedPageBreak/>
        <w:t>How will businesses make their funding contribution to the body?</w:t>
      </w:r>
    </w:p>
    <w:p w14:paraId="601EA65C" w14:textId="45D5A4C3" w:rsidR="00EF3490" w:rsidRDefault="00EF3490" w:rsidP="00EF3490">
      <w:pPr>
        <w:rPr>
          <w:rFonts w:eastAsiaTheme="majorEastAsia"/>
        </w:rPr>
      </w:pPr>
      <w:r>
        <w:rPr>
          <w:rFonts w:eastAsiaTheme="majorEastAsia"/>
        </w:rPr>
        <w:t>It is proposed that industry peak bodies will have a role in working with the Department to secure initial industry funding commitments</w:t>
      </w:r>
      <w:r w:rsidR="00E06CE5">
        <w:rPr>
          <w:rFonts w:eastAsiaTheme="majorEastAsia"/>
        </w:rPr>
        <w:t xml:space="preserve"> from their members</w:t>
      </w:r>
      <w:r>
        <w:rPr>
          <w:rFonts w:eastAsiaTheme="majorEastAsia"/>
        </w:rPr>
        <w:t xml:space="preserve">. The ongoing role of securing commitments would be the responsibility of the independent body. </w:t>
      </w:r>
      <w:r w:rsidR="00406BF5">
        <w:rPr>
          <w:rFonts w:eastAsiaTheme="majorEastAsia"/>
        </w:rPr>
        <w:t>While it is expected industry peaks will work with the Department to secure formal commitments from their subsec</w:t>
      </w:r>
      <w:r w:rsidR="00C94C42">
        <w:rPr>
          <w:rFonts w:eastAsiaTheme="majorEastAsia"/>
        </w:rPr>
        <w:t>tors, b</w:t>
      </w:r>
      <w:r w:rsidR="00406BF5">
        <w:rPr>
          <w:rFonts w:eastAsiaTheme="majorEastAsia"/>
        </w:rPr>
        <w:t>usinesses could make their contribution direct</w:t>
      </w:r>
      <w:r w:rsidR="00C94C42">
        <w:rPr>
          <w:rFonts w:eastAsiaTheme="majorEastAsia"/>
        </w:rPr>
        <w:t xml:space="preserve">ly to the body. The body could advise peak bodies how their subsector is tracking with their contributions. </w:t>
      </w:r>
    </w:p>
    <w:p w14:paraId="71177DFB" w14:textId="2E3941DE" w:rsidR="00EF3490" w:rsidRDefault="00EF3490" w:rsidP="006F5509">
      <w:pPr>
        <w:rPr>
          <w:rFonts w:eastAsiaTheme="majorEastAsia"/>
          <w:b/>
        </w:rPr>
      </w:pPr>
      <w:r w:rsidRPr="00FE094E">
        <w:rPr>
          <w:rFonts w:eastAsiaTheme="majorEastAsia"/>
        </w:rPr>
        <w:t xml:space="preserve">Diagram </w:t>
      </w:r>
      <w:r w:rsidR="006F6A74">
        <w:rPr>
          <w:rFonts w:eastAsiaTheme="majorEastAsia"/>
        </w:rPr>
        <w:t>4</w:t>
      </w:r>
      <w:r w:rsidRPr="00FE094E">
        <w:rPr>
          <w:rFonts w:eastAsiaTheme="majorEastAsia"/>
        </w:rPr>
        <w:t xml:space="preserve"> below </w:t>
      </w:r>
      <w:r>
        <w:rPr>
          <w:rFonts w:eastAsiaTheme="majorEastAsia"/>
        </w:rPr>
        <w:t xml:space="preserve">outlines the proposed roles and responsibilities for businesses, the independent body and financial counselling agencies.  </w:t>
      </w:r>
    </w:p>
    <w:p w14:paraId="76753DD2" w14:textId="25E03CA3" w:rsidR="002046CA" w:rsidRDefault="006F6A74" w:rsidP="006F5509">
      <w:pPr>
        <w:rPr>
          <w:rFonts w:eastAsiaTheme="majorEastAsia"/>
          <w:b/>
        </w:rPr>
      </w:pPr>
      <w:r>
        <w:rPr>
          <w:rFonts w:eastAsiaTheme="majorEastAsia"/>
          <w:b/>
        </w:rPr>
        <w:t>DIAGRAM 4</w:t>
      </w:r>
      <w:r w:rsidR="00A216D9">
        <w:rPr>
          <w:rFonts w:eastAsiaTheme="majorEastAsia"/>
          <w:b/>
        </w:rPr>
        <w:t>:</w:t>
      </w:r>
      <w:r w:rsidR="00A216D9" w:rsidRPr="00803599">
        <w:rPr>
          <w:rFonts w:eastAsiaTheme="majorEastAsia"/>
          <w:b/>
        </w:rPr>
        <w:t xml:space="preserve"> </w:t>
      </w:r>
      <w:r w:rsidR="00A216D9" w:rsidRPr="00803599">
        <w:rPr>
          <w:rFonts w:eastAsiaTheme="majorEastAsia"/>
          <w:b/>
        </w:rPr>
        <w:tab/>
        <w:t xml:space="preserve">Proposed </w:t>
      </w:r>
      <w:r w:rsidR="00D85909">
        <w:rPr>
          <w:rFonts w:eastAsiaTheme="majorEastAsia"/>
          <w:b/>
        </w:rPr>
        <w:t>roles and responsibilities for funding pathway</w:t>
      </w:r>
    </w:p>
    <w:p w14:paraId="12DA5A5D" w14:textId="54007BE7" w:rsidR="00603B57" w:rsidRDefault="0009610C" w:rsidP="006F5509">
      <w:pPr>
        <w:rPr>
          <w:rFonts w:eastAsiaTheme="majorEastAsia"/>
        </w:rPr>
      </w:pPr>
      <w:r w:rsidRPr="007D0B25">
        <w:rPr>
          <w:rFonts w:eastAsiaTheme="majorEastAsia"/>
          <w:noProof/>
          <w:lang w:eastAsia="en-AU"/>
        </w:rPr>
        <mc:AlternateContent>
          <mc:Choice Requires="wps">
            <w:drawing>
              <wp:anchor distT="45720" distB="45720" distL="114300" distR="114300" simplePos="0" relativeHeight="251729920" behindDoc="0" locked="0" layoutInCell="1" allowOverlap="1" wp14:anchorId="16645A54" wp14:editId="48A652EB">
                <wp:simplePos x="0" y="0"/>
                <wp:positionH relativeFrom="column">
                  <wp:posOffset>4064000</wp:posOffset>
                </wp:positionH>
                <wp:positionV relativeFrom="paragraph">
                  <wp:posOffset>1527810</wp:posOffset>
                </wp:positionV>
                <wp:extent cx="1116000" cy="252000"/>
                <wp:effectExtent l="0" t="0" r="273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252000"/>
                        </a:xfrm>
                        <a:prstGeom prst="rect">
                          <a:avLst/>
                        </a:prstGeom>
                        <a:solidFill>
                          <a:srgbClr val="FFFFFF"/>
                        </a:solidFill>
                        <a:ln w="9525">
                          <a:solidFill>
                            <a:srgbClr val="000000"/>
                          </a:solidFill>
                          <a:miter lim="800000"/>
                          <a:headEnd/>
                          <a:tailEnd/>
                        </a:ln>
                      </wps:spPr>
                      <wps:txbx>
                        <w:txbxContent>
                          <w:p w14:paraId="277C1E0E" w14:textId="08C02D38" w:rsidR="00FF3618" w:rsidRPr="00EE1ABE" w:rsidRDefault="00FF3618" w:rsidP="00914C1A">
                            <w:pPr>
                              <w:spacing w:after="0"/>
                              <w:jc w:val="center"/>
                              <w:rPr>
                                <w:sz w:val="18"/>
                                <w:szCs w:val="18"/>
                              </w:rPr>
                            </w:pPr>
                            <w:r w:rsidRPr="00EE1ABE">
                              <w:rPr>
                                <w:sz w:val="18"/>
                                <w:szCs w:val="18"/>
                              </w:rPr>
                              <w:t>Independent body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645A54" id="_x0000_t202" coordsize="21600,21600" o:spt="202" path="m,l,21600r21600,l21600,xe">
                <v:stroke joinstyle="miter"/>
                <v:path gradientshapeok="t" o:connecttype="rect"/>
              </v:shapetype>
              <v:shape id="_x0000_s1043" type="#_x0000_t202" style="position:absolute;margin-left:320pt;margin-top:120.3pt;width:87.85pt;height:19.8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">
                <v:textbox>
                  <w:txbxContent>
                    <w:p w14:paraId="277C1E0E" w14:textId="08C02D38" w:rsidR="00FF3618" w:rsidRPr="00EE1ABE" w:rsidRDefault="00FF3618" w:rsidP="00914C1A">
                      <w:pPr>
                        <w:spacing w:after="0"/>
                        <w:jc w:val="center"/>
                        <w:rPr>
                          <w:sz w:val="18"/>
                          <w:szCs w:val="18"/>
                        </w:rPr>
                      </w:pPr>
                      <w:r w:rsidRPr="00EE1ABE">
                        <w:rPr>
                          <w:sz w:val="18"/>
                          <w:szCs w:val="18"/>
                        </w:rPr>
                        <w:t>Independent body</w:t>
                      </w:r>
                    </w:p>
                  </w:txbxContent>
                </v:textbox>
                <w10:wrap type="square"/>
              </v:shape>
            </w:pict>
          </mc:Fallback>
        </mc:AlternateContent>
      </w:r>
      <w:r>
        <w:rPr>
          <w:noProof/>
          <w:lang w:eastAsia="en-AU"/>
        </w:rPr>
        <mc:AlternateContent>
          <mc:Choice Requires="wpg">
            <w:drawing>
              <wp:anchor distT="0" distB="0" distL="114300" distR="114300" simplePos="0" relativeHeight="251725824" behindDoc="0" locked="0" layoutInCell="1" allowOverlap="1" wp14:anchorId="21C12D16" wp14:editId="44319776">
                <wp:simplePos x="0" y="0"/>
                <wp:positionH relativeFrom="column">
                  <wp:posOffset>58979</wp:posOffset>
                </wp:positionH>
                <wp:positionV relativeFrom="paragraph">
                  <wp:posOffset>54026</wp:posOffset>
                </wp:positionV>
                <wp:extent cx="5831840" cy="3187700"/>
                <wp:effectExtent l="0" t="0" r="16510" b="12700"/>
                <wp:wrapNone/>
                <wp:docPr id="1076396" name="Group 1076396"/>
                <wp:cNvGraphicFramePr/>
                <a:graphic xmlns:a="http://schemas.openxmlformats.org/drawingml/2006/main">
                  <a:graphicData uri="http://schemas.microsoft.com/office/word/2010/wordprocessingGroup">
                    <wpg:wgp>
                      <wpg:cNvGrpSpPr/>
                      <wpg:grpSpPr>
                        <a:xfrm>
                          <a:off x="0" y="0"/>
                          <a:ext cx="5831840" cy="3187700"/>
                          <a:chOff x="0" y="0"/>
                          <a:chExt cx="4546600" cy="2664248"/>
                        </a:xfrm>
                      </wpg:grpSpPr>
                      <wpg:grpSp>
                        <wpg:cNvPr id="1076397" name="Group 1076397"/>
                        <wpg:cNvGrpSpPr/>
                        <wpg:grpSpPr>
                          <a:xfrm>
                            <a:off x="0" y="0"/>
                            <a:ext cx="4546600" cy="2664248"/>
                            <a:chOff x="0" y="249767"/>
                            <a:chExt cx="4546600" cy="2664248"/>
                          </a:xfrm>
                        </wpg:grpSpPr>
                        <wps:wsp>
                          <wps:cNvPr id="1076398" name="Rectangle 1076398"/>
                          <wps:cNvSpPr/>
                          <wps:spPr>
                            <a:xfrm>
                              <a:off x="0" y="249767"/>
                              <a:ext cx="4546600" cy="2664248"/>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6399" name="Group 1076399"/>
                          <wpg:cNvGrpSpPr/>
                          <wpg:grpSpPr>
                            <a:xfrm>
                              <a:off x="2860675" y="559423"/>
                              <a:ext cx="359410" cy="283211"/>
                              <a:chOff x="0" y="22880"/>
                              <a:chExt cx="360000" cy="283613"/>
                            </a:xfrm>
                            <a:solidFill>
                              <a:srgbClr val="00848B"/>
                            </a:solidFill>
                          </wpg:grpSpPr>
                          <wps:wsp>
                            <wps:cNvPr id="1076400" name="Rectangle 1076400"/>
                            <wps:cNvSpPr/>
                            <wps:spPr>
                              <a:xfrm>
                                <a:off x="63270" y="149435"/>
                                <a:ext cx="230864" cy="157058"/>
                              </a:xfrm>
                              <a:prstGeom prst="rect">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01" name="Isosceles Triangle 1076401"/>
                            <wps:cNvSpPr/>
                            <wps:spPr>
                              <a:xfrm>
                                <a:off x="0" y="22880"/>
                                <a:ext cx="360000" cy="126748"/>
                              </a:xfrm>
                              <a:prstGeom prst="triangle">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76402" name="Picture 1076402"/>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984500" y="2275844"/>
                              <a:ext cx="137160" cy="306070"/>
                            </a:xfrm>
                            <a:prstGeom prst="rect">
                              <a:avLst/>
                            </a:prstGeom>
                            <a:noFill/>
                          </pic:spPr>
                        </pic:pic>
                        <pic:pic xmlns:pic="http://schemas.openxmlformats.org/drawingml/2006/picture">
                          <pic:nvPicPr>
                            <pic:cNvPr id="1076403" name="Picture 1076403"/>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484088" y="2311757"/>
                              <a:ext cx="137160" cy="306070"/>
                            </a:xfrm>
                            <a:prstGeom prst="rect">
                              <a:avLst/>
                            </a:prstGeom>
                            <a:noFill/>
                          </pic:spPr>
                        </pic:pic>
                        <pic:pic xmlns:pic="http://schemas.openxmlformats.org/drawingml/2006/picture">
                          <pic:nvPicPr>
                            <pic:cNvPr id="1076404" name="Picture 1076404"/>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966387" y="2275847"/>
                              <a:ext cx="137160" cy="306070"/>
                            </a:xfrm>
                            <a:prstGeom prst="rect">
                              <a:avLst/>
                            </a:prstGeom>
                            <a:noFill/>
                          </pic:spPr>
                        </pic:pic>
                        <wps:wsp>
                          <wps:cNvPr id="1076405" name="Rectangle 1076405"/>
                          <wps:cNvSpPr/>
                          <wps:spPr>
                            <a:xfrm>
                              <a:off x="273050" y="450850"/>
                              <a:ext cx="2443976" cy="229235"/>
                            </a:xfrm>
                            <a:prstGeom prst="rect">
                              <a:avLst/>
                            </a:prstGeom>
                            <a:solidFill>
                              <a:srgbClr val="7030A0"/>
                            </a:solidFill>
                          </wps:spPr>
                          <wps:style>
                            <a:lnRef idx="2">
                              <a:schemeClr val="dk1">
                                <a:shade val="50000"/>
                              </a:schemeClr>
                            </a:lnRef>
                            <a:fillRef idx="1">
                              <a:schemeClr val="dk1"/>
                            </a:fillRef>
                            <a:effectRef idx="0">
                              <a:schemeClr val="dk1"/>
                            </a:effectRef>
                            <a:fontRef idx="minor">
                              <a:schemeClr val="lt1"/>
                            </a:fontRef>
                          </wps:style>
                          <wps:txbx>
                            <w:txbxContent>
                              <w:p w14:paraId="7E9B3ABD" w14:textId="50CB213E" w:rsidR="00FF3618" w:rsidRPr="008F6294" w:rsidRDefault="00FF3618" w:rsidP="00D85909">
                                <w:pPr>
                                  <w:jc w:val="center"/>
                                  <w:rPr>
                                    <w:sz w:val="18"/>
                                    <w:szCs w:val="18"/>
                                  </w:rPr>
                                </w:pPr>
                                <w:r w:rsidRPr="008F6294">
                                  <w:rPr>
                                    <w:sz w:val="18"/>
                                    <w:szCs w:val="18"/>
                                  </w:rPr>
                                  <w:t>BUSINESSES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06" name="Rectangle 1076406"/>
                          <wps:cNvSpPr/>
                          <wps:spPr>
                            <a:xfrm>
                              <a:off x="269875" y="679450"/>
                              <a:ext cx="2446655" cy="358815"/>
                            </a:xfrm>
                            <a:prstGeom prst="rect">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txbx>
                            <w:txbxContent>
                              <w:p w14:paraId="24294E50" w14:textId="3E1CD82B" w:rsidR="00FF3618" w:rsidRPr="00EE1ABE" w:rsidRDefault="00FF3618" w:rsidP="00DC133C">
                                <w:pPr>
                                  <w:pStyle w:val="ListParagraph"/>
                                  <w:numPr>
                                    <w:ilvl w:val="0"/>
                                    <w:numId w:val="45"/>
                                  </w:numPr>
                                  <w:rPr>
                                    <w:sz w:val="18"/>
                                    <w:szCs w:val="18"/>
                                  </w:rPr>
                                </w:pPr>
                                <w:r w:rsidRPr="00EE1ABE">
                                  <w:rPr>
                                    <w:sz w:val="18"/>
                                    <w:szCs w:val="18"/>
                                  </w:rPr>
                                  <w:t>Raise funds and deliver to the independent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07" name="Rectangle 1076407"/>
                          <wps:cNvSpPr/>
                          <wps:spPr>
                            <a:xfrm>
                              <a:off x="269875" y="1177925"/>
                              <a:ext cx="2443976" cy="229235"/>
                            </a:xfrm>
                            <a:prstGeom prst="rect">
                              <a:avLst/>
                            </a:prstGeom>
                            <a:solidFill>
                              <a:srgbClr val="7030A0"/>
                            </a:solidFill>
                          </wps:spPr>
                          <wps:style>
                            <a:lnRef idx="2">
                              <a:schemeClr val="dk1">
                                <a:shade val="50000"/>
                              </a:schemeClr>
                            </a:lnRef>
                            <a:fillRef idx="1">
                              <a:schemeClr val="dk1"/>
                            </a:fillRef>
                            <a:effectRef idx="0">
                              <a:schemeClr val="dk1"/>
                            </a:effectRef>
                            <a:fontRef idx="minor">
                              <a:schemeClr val="lt1"/>
                            </a:fontRef>
                          </wps:style>
                          <wps:txbx>
                            <w:txbxContent>
                              <w:p w14:paraId="5FAE0B08" w14:textId="36D25671" w:rsidR="00FF3618" w:rsidRPr="00EE1ABE" w:rsidRDefault="00FF3618" w:rsidP="00D85909">
                                <w:pPr>
                                  <w:jc w:val="center"/>
                                  <w:rPr>
                                    <w:sz w:val="20"/>
                                    <w:szCs w:val="20"/>
                                  </w:rPr>
                                </w:pPr>
                                <w:r w:rsidRPr="00EE1ABE">
                                  <w:rPr>
                                    <w:sz w:val="20"/>
                                    <w:szCs w:val="20"/>
                                  </w:rPr>
                                  <w:t>INDEPENDENT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08" name="Rectangle 1076408"/>
                          <wps:cNvSpPr/>
                          <wps:spPr>
                            <a:xfrm>
                              <a:off x="266700" y="1409700"/>
                              <a:ext cx="2443480" cy="645458"/>
                            </a:xfrm>
                            <a:prstGeom prst="rect">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txbx>
                            <w:txbxContent>
                              <w:p w14:paraId="32EA260C" w14:textId="3E4AF967" w:rsidR="00FF3618" w:rsidRPr="00EE1ABE" w:rsidRDefault="00FF3618" w:rsidP="00DC133C">
                                <w:pPr>
                                  <w:pStyle w:val="ListParagraph"/>
                                  <w:numPr>
                                    <w:ilvl w:val="0"/>
                                    <w:numId w:val="44"/>
                                  </w:numPr>
                                  <w:rPr>
                                    <w:sz w:val="18"/>
                                    <w:szCs w:val="18"/>
                                  </w:rPr>
                                </w:pPr>
                                <w:r w:rsidRPr="00EE1ABE">
                                  <w:rPr>
                                    <w:sz w:val="18"/>
                                    <w:szCs w:val="18"/>
                                  </w:rPr>
                                  <w:t xml:space="preserve">Receives funds from businesses </w:t>
                                </w:r>
                              </w:p>
                              <w:p w14:paraId="5BC262AA" w14:textId="77777777" w:rsidR="00FF3618" w:rsidRPr="00EE1ABE" w:rsidRDefault="00FF3618" w:rsidP="00DC133C">
                                <w:pPr>
                                  <w:pStyle w:val="ListParagraph"/>
                                  <w:numPr>
                                    <w:ilvl w:val="0"/>
                                    <w:numId w:val="44"/>
                                  </w:numPr>
                                  <w:rPr>
                                    <w:sz w:val="18"/>
                                    <w:szCs w:val="18"/>
                                  </w:rPr>
                                </w:pPr>
                                <w:r w:rsidRPr="00EE1ABE">
                                  <w:rPr>
                                    <w:sz w:val="18"/>
                                    <w:szCs w:val="18"/>
                                  </w:rPr>
                                  <w:t>Holds funds securely until distribution</w:t>
                                </w:r>
                              </w:p>
                              <w:p w14:paraId="4B4FF876" w14:textId="16699A73" w:rsidR="00FF3618" w:rsidRPr="00EE1ABE" w:rsidRDefault="00FF3618" w:rsidP="00DC133C">
                                <w:pPr>
                                  <w:pStyle w:val="ListParagraph"/>
                                  <w:numPr>
                                    <w:ilvl w:val="0"/>
                                    <w:numId w:val="44"/>
                                  </w:numPr>
                                  <w:rPr>
                                    <w:sz w:val="18"/>
                                    <w:szCs w:val="18"/>
                                  </w:rPr>
                                </w:pPr>
                                <w:r w:rsidRPr="00EE1ABE">
                                  <w:rPr>
                                    <w:sz w:val="18"/>
                                    <w:szCs w:val="18"/>
                                  </w:rPr>
                                  <w:t>Distributes funds to financial counselling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09" name="Rectangle 1076409"/>
                          <wps:cNvSpPr/>
                          <wps:spPr>
                            <a:xfrm>
                              <a:off x="273050" y="2143125"/>
                              <a:ext cx="2443480" cy="229235"/>
                            </a:xfrm>
                            <a:prstGeom prst="rect">
                              <a:avLst/>
                            </a:prstGeom>
                            <a:solidFill>
                              <a:srgbClr val="7030A0"/>
                            </a:solidFill>
                          </wps:spPr>
                          <wps:style>
                            <a:lnRef idx="2">
                              <a:schemeClr val="dk1">
                                <a:shade val="50000"/>
                              </a:schemeClr>
                            </a:lnRef>
                            <a:fillRef idx="1">
                              <a:schemeClr val="dk1"/>
                            </a:fillRef>
                            <a:effectRef idx="0">
                              <a:schemeClr val="dk1"/>
                            </a:effectRef>
                            <a:fontRef idx="minor">
                              <a:schemeClr val="lt1"/>
                            </a:fontRef>
                          </wps:style>
                          <wps:txbx>
                            <w:txbxContent>
                              <w:p w14:paraId="55FBA580" w14:textId="719D3D31" w:rsidR="00FF3618" w:rsidRPr="00EE1ABE" w:rsidRDefault="00FF3618" w:rsidP="00D85909">
                                <w:pPr>
                                  <w:jc w:val="center"/>
                                  <w:rPr>
                                    <w:sz w:val="18"/>
                                    <w:szCs w:val="18"/>
                                  </w:rPr>
                                </w:pPr>
                                <w:r w:rsidRPr="00EE1ABE">
                                  <w:rPr>
                                    <w:sz w:val="18"/>
                                    <w:szCs w:val="18"/>
                                  </w:rPr>
                                  <w:t>FINANCIAL COUNSELLING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10" name="Rectangle 1076410"/>
                          <wps:cNvSpPr/>
                          <wps:spPr>
                            <a:xfrm>
                              <a:off x="273050" y="2374900"/>
                              <a:ext cx="2443480" cy="375920"/>
                            </a:xfrm>
                            <a:prstGeom prst="rect">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txbx>
                            <w:txbxContent>
                              <w:p w14:paraId="32090926" w14:textId="374A198E" w:rsidR="00FF3618" w:rsidRPr="00EE1ABE" w:rsidRDefault="00FF3618" w:rsidP="00DC133C">
                                <w:pPr>
                                  <w:pStyle w:val="ListParagraph"/>
                                  <w:numPr>
                                    <w:ilvl w:val="0"/>
                                    <w:numId w:val="46"/>
                                  </w:numPr>
                                  <w:rPr>
                                    <w:sz w:val="18"/>
                                    <w:szCs w:val="18"/>
                                  </w:rPr>
                                </w:pPr>
                                <w:r w:rsidRPr="00EE1ABE">
                                  <w:rPr>
                                    <w:sz w:val="18"/>
                                    <w:szCs w:val="18"/>
                                  </w:rPr>
                                  <w:t>Receive funds from independent body</w:t>
                                </w:r>
                              </w:p>
                              <w:p w14:paraId="1FB0D4FE" w14:textId="77777777" w:rsidR="00FF3618" w:rsidRPr="00EE1ABE" w:rsidRDefault="00FF3618" w:rsidP="00DC133C">
                                <w:pPr>
                                  <w:pStyle w:val="ListParagraph"/>
                                  <w:numPr>
                                    <w:ilvl w:val="0"/>
                                    <w:numId w:val="46"/>
                                  </w:numPr>
                                  <w:rPr>
                                    <w:sz w:val="18"/>
                                    <w:szCs w:val="18"/>
                                  </w:rPr>
                                </w:pPr>
                                <w:r w:rsidRPr="00EE1ABE">
                                  <w:rPr>
                                    <w:sz w:val="18"/>
                                    <w:szCs w:val="18"/>
                                  </w:rPr>
                                  <w:t>Spend funds on approved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6411" name="Group 1076411"/>
                          <wpg:cNvGrpSpPr/>
                          <wpg:grpSpPr>
                            <a:xfrm>
                              <a:off x="3375025" y="559424"/>
                              <a:ext cx="359410" cy="283209"/>
                              <a:chOff x="0" y="22881"/>
                              <a:chExt cx="360000" cy="283611"/>
                            </a:xfrm>
                            <a:solidFill>
                              <a:srgbClr val="00848B"/>
                            </a:solidFill>
                          </wpg:grpSpPr>
                          <wps:wsp>
                            <wps:cNvPr id="1076412" name="Rectangle 1076412"/>
                            <wps:cNvSpPr/>
                            <wps:spPr>
                              <a:xfrm>
                                <a:off x="63270" y="149434"/>
                                <a:ext cx="230864" cy="157058"/>
                              </a:xfrm>
                              <a:prstGeom prst="rect">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13" name="Isosceles Triangle 1076413"/>
                            <wps:cNvSpPr/>
                            <wps:spPr>
                              <a:xfrm>
                                <a:off x="0" y="22881"/>
                                <a:ext cx="360000" cy="126748"/>
                              </a:xfrm>
                              <a:prstGeom prst="triangle">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76414" name="Group 1076414"/>
                          <wpg:cNvGrpSpPr/>
                          <wpg:grpSpPr>
                            <a:xfrm>
                              <a:off x="3898900" y="553074"/>
                              <a:ext cx="359410" cy="283209"/>
                              <a:chOff x="0" y="22881"/>
                              <a:chExt cx="360000" cy="283611"/>
                            </a:xfrm>
                            <a:solidFill>
                              <a:srgbClr val="00848B"/>
                            </a:solidFill>
                          </wpg:grpSpPr>
                          <wps:wsp>
                            <wps:cNvPr id="1076415" name="Rectangle 1076415"/>
                            <wps:cNvSpPr/>
                            <wps:spPr>
                              <a:xfrm>
                                <a:off x="63270" y="149434"/>
                                <a:ext cx="230864" cy="157058"/>
                              </a:xfrm>
                              <a:prstGeom prst="rect">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16" name="Isosceles Triangle 1076416"/>
                            <wps:cNvSpPr/>
                            <wps:spPr>
                              <a:xfrm>
                                <a:off x="0" y="22881"/>
                                <a:ext cx="360000" cy="126748"/>
                              </a:xfrm>
                              <a:prstGeom prst="triangle">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6417" name="Rectangle 1076417"/>
                          <wps:cNvSpPr/>
                          <wps:spPr>
                            <a:xfrm>
                              <a:off x="3003179" y="1371600"/>
                              <a:ext cx="1094582" cy="421238"/>
                            </a:xfrm>
                            <a:prstGeom prst="rect">
                              <a:avLst/>
                            </a:prstGeom>
                            <a:solidFill>
                              <a:srgbClr val="7030A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18" name="Down Arrow 1076418"/>
                          <wps:cNvSpPr/>
                          <wps:spPr>
                            <a:xfrm rot="20904868">
                              <a:off x="3816801" y="1927699"/>
                              <a:ext cx="262255" cy="270510"/>
                            </a:xfrm>
                            <a:prstGeom prst="downArrow">
                              <a:avLst>
                                <a:gd name="adj1" fmla="val 25368"/>
                                <a:gd name="adj2" fmla="val 48560"/>
                              </a:avLst>
                            </a:prstGeom>
                            <a:solidFill>
                              <a:srgbClr val="7030A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19" name="Down Arrow 1076419"/>
                          <wps:cNvSpPr/>
                          <wps:spPr>
                            <a:xfrm rot="964774">
                              <a:off x="3033576" y="1920678"/>
                              <a:ext cx="262800" cy="270000"/>
                            </a:xfrm>
                            <a:prstGeom prst="downArrow">
                              <a:avLst>
                                <a:gd name="adj1" fmla="val 25368"/>
                                <a:gd name="adj2" fmla="val 48560"/>
                              </a:avLst>
                            </a:prstGeom>
                            <a:solidFill>
                              <a:srgbClr val="7030A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20" name="Down Arrow 1076420"/>
                          <wps:cNvSpPr/>
                          <wps:spPr>
                            <a:xfrm flipH="1">
                              <a:off x="3416300" y="1977308"/>
                              <a:ext cx="262800" cy="270000"/>
                            </a:xfrm>
                            <a:prstGeom prst="downArrow">
                              <a:avLst>
                                <a:gd name="adj1" fmla="val 25368"/>
                                <a:gd name="adj2" fmla="val 48560"/>
                              </a:avLst>
                            </a:prstGeom>
                            <a:solidFill>
                              <a:srgbClr val="7030A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6421" name="Down Arrow 1076421"/>
                        <wps:cNvSpPr/>
                        <wps:spPr>
                          <a:xfrm rot="695132" flipH="1">
                            <a:off x="3811509" y="697117"/>
                            <a:ext cx="262255" cy="270467"/>
                          </a:xfrm>
                          <a:prstGeom prst="downArrow">
                            <a:avLst>
                              <a:gd name="adj1" fmla="val 25368"/>
                              <a:gd name="adj2" fmla="val 48560"/>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22" name="Down Arrow 1076422"/>
                        <wps:cNvSpPr/>
                        <wps:spPr>
                          <a:xfrm rot="20635226" flipH="1">
                            <a:off x="3032911" y="688063"/>
                            <a:ext cx="262255" cy="269875"/>
                          </a:xfrm>
                          <a:prstGeom prst="downArrow">
                            <a:avLst>
                              <a:gd name="adj1" fmla="val 25368"/>
                              <a:gd name="adj2" fmla="val 48560"/>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6423" name="Down Arrow 1076423"/>
                        <wps:cNvSpPr/>
                        <wps:spPr>
                          <a:xfrm flipH="1">
                            <a:off x="3413157" y="679010"/>
                            <a:ext cx="262255" cy="269875"/>
                          </a:xfrm>
                          <a:prstGeom prst="downArrow">
                            <a:avLst>
                              <a:gd name="adj1" fmla="val 25368"/>
                              <a:gd name="adj2" fmla="val 48560"/>
                            </a:avLst>
                          </a:prstGeom>
                          <a:solidFill>
                            <a:srgbClr val="005A7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12D16" id="Group 1076396" o:spid="_x0000_s1044" style="position:absolute;margin-left:4.65pt;margin-top:4.25pt;width:459.2pt;height:251pt;z-index:251725824;mso-position-horizontal-relative:text;mso-position-vertical-relative:text;mso-width-relative:margin;mso-height-relative:margin" coordsize="45466,26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">
                <v:group id="Group 1076397" o:spid="_x0000_s1045" style="position:absolute;width:45466;height:26642" coordorigin=",2497" coordsize="45466,2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">
                  <v:rect id="Rectangle 1076398" o:spid="_x0000_s1046" style="position:absolute;top:2497;width:45466;height:2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" fillcolor="white [3212]" strokecolor="black [3200]" strokeweight=".73403mm"/>
                  <v:group id="Group 1076399" o:spid="_x0000_s1047" style="position:absolute;left:28606;top:5594;width:3594;height:2832" coordorigin=",22880" coordsize="360000,28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">
                    <v:rect id="Rectangle 1076400" o:spid="_x0000_s1048" style="position:absolute;left:63270;top:149435;width:230864;height:157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" fillcolor="#005a70" strokecolor="black [1600]" strokeweight=".73403mm"/>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76401" o:spid="_x0000_s1049" type="#_x0000_t5" style="position:absolute;top:22880;width:360000;height:126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" fillcolor="#005a70" strokecolor="black [1600]" strokeweight=".73403mm"/>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6402" o:spid="_x0000_s1050" type="#_x0000_t75" style="position:absolute;left:29845;top:22758;width:1371;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">
                    <v:imagedata r:id="rId31" o:title=""/>
                    <v:path arrowok="t"/>
                  </v:shape>
                  <v:shape id="Picture 1076403" o:spid="_x0000_s1051" type="#_x0000_t75" style="position:absolute;left:34840;top:23117;width:1372;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">
                    <v:imagedata r:id="rId31" o:title=""/>
                    <v:path arrowok="t"/>
                  </v:shape>
                  <v:shape id="Picture 1076404" o:spid="_x0000_s1052" type="#_x0000_t75" style="position:absolute;left:39663;top:22758;width:1372;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">
                    <v:imagedata r:id="rId31" o:title=""/>
                    <v:path arrowok="t"/>
                  </v:shape>
                  <v:rect id="Rectangle 1076405" o:spid="_x0000_s1053" style="position:absolute;left:2730;top:4508;width:24440;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" fillcolor="#7030a0" strokecolor="black [1600]" strokeweight=".73403mm">
                    <v:textbox>
                      <w:txbxContent>
                        <w:p w14:paraId="7E9B3ABD" w14:textId="50CB213E" w:rsidR="00FF3618" w:rsidRPr="008F6294" w:rsidRDefault="00FF3618" w:rsidP="00D85909">
                          <w:pPr>
                            <w:jc w:val="center"/>
                            <w:rPr>
                              <w:sz w:val="18"/>
                              <w:szCs w:val="18"/>
                            </w:rPr>
                          </w:pPr>
                          <w:r w:rsidRPr="008F6294">
                            <w:rPr>
                              <w:sz w:val="18"/>
                              <w:szCs w:val="18"/>
                            </w:rPr>
                            <w:t>BUSINESSES</w:t>
                          </w:r>
                        </w:p>
                      </w:txbxContent>
                    </v:textbox>
                  </v:rect>
                  <v:rect id="Rectangle 1076406" o:spid="_x0000_s1054" style="position:absolute;left:2698;top:6794;width:24467;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" fillcolor="#005a70" strokecolor="black [1600]" strokeweight=".73403mm">
                    <v:textbox>
                      <w:txbxContent>
                        <w:p w14:paraId="24294E50" w14:textId="3E1CD82B" w:rsidR="00FF3618" w:rsidRPr="00EE1ABE" w:rsidRDefault="00FF3618" w:rsidP="00DC133C">
                          <w:pPr>
                            <w:pStyle w:val="ListParagraph"/>
                            <w:numPr>
                              <w:ilvl w:val="0"/>
                              <w:numId w:val="45"/>
                            </w:numPr>
                            <w:rPr>
                              <w:sz w:val="18"/>
                              <w:szCs w:val="18"/>
                            </w:rPr>
                          </w:pPr>
                          <w:r w:rsidRPr="00EE1ABE">
                            <w:rPr>
                              <w:sz w:val="18"/>
                              <w:szCs w:val="18"/>
                            </w:rPr>
                            <w:t>Raise funds and deliver to the independent body</w:t>
                          </w:r>
                        </w:p>
                      </w:txbxContent>
                    </v:textbox>
                  </v:rect>
                  <v:rect id="Rectangle 1076407" o:spid="_x0000_s1055" style="position:absolute;left:2698;top:11779;width:24440;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" fillcolor="#7030a0" strokecolor="black [1600]" strokeweight=".73403mm">
                    <v:textbox>
                      <w:txbxContent>
                        <w:p w14:paraId="5FAE0B08" w14:textId="36D25671" w:rsidR="00FF3618" w:rsidRPr="00EE1ABE" w:rsidRDefault="00FF3618" w:rsidP="00D85909">
                          <w:pPr>
                            <w:jc w:val="center"/>
                            <w:rPr>
                              <w:sz w:val="20"/>
                              <w:szCs w:val="20"/>
                            </w:rPr>
                          </w:pPr>
                          <w:r w:rsidRPr="00EE1ABE">
                            <w:rPr>
                              <w:sz w:val="20"/>
                              <w:szCs w:val="20"/>
                            </w:rPr>
                            <w:t>INDEPENDENT BODY</w:t>
                          </w:r>
                        </w:p>
                      </w:txbxContent>
                    </v:textbox>
                  </v:rect>
                  <v:rect id="Rectangle 1076408" o:spid="_x0000_s1056" style="position:absolute;left:2667;top:14097;width:24434;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" fillcolor="#005a70" strokecolor="black [1600]" strokeweight=".73403mm">
                    <v:textbox>
                      <w:txbxContent>
                        <w:p w14:paraId="32EA260C" w14:textId="3E4AF967" w:rsidR="00FF3618" w:rsidRPr="00EE1ABE" w:rsidRDefault="00FF3618" w:rsidP="00DC133C">
                          <w:pPr>
                            <w:pStyle w:val="ListParagraph"/>
                            <w:numPr>
                              <w:ilvl w:val="0"/>
                              <w:numId w:val="44"/>
                            </w:numPr>
                            <w:rPr>
                              <w:sz w:val="18"/>
                              <w:szCs w:val="18"/>
                            </w:rPr>
                          </w:pPr>
                          <w:r w:rsidRPr="00EE1ABE">
                            <w:rPr>
                              <w:sz w:val="18"/>
                              <w:szCs w:val="18"/>
                            </w:rPr>
                            <w:t xml:space="preserve">Receives funds from businesses </w:t>
                          </w:r>
                        </w:p>
                        <w:p w14:paraId="5BC262AA" w14:textId="77777777" w:rsidR="00FF3618" w:rsidRPr="00EE1ABE" w:rsidRDefault="00FF3618" w:rsidP="00DC133C">
                          <w:pPr>
                            <w:pStyle w:val="ListParagraph"/>
                            <w:numPr>
                              <w:ilvl w:val="0"/>
                              <w:numId w:val="44"/>
                            </w:numPr>
                            <w:rPr>
                              <w:sz w:val="18"/>
                              <w:szCs w:val="18"/>
                            </w:rPr>
                          </w:pPr>
                          <w:r w:rsidRPr="00EE1ABE">
                            <w:rPr>
                              <w:sz w:val="18"/>
                              <w:szCs w:val="18"/>
                            </w:rPr>
                            <w:t>Holds funds securely until distribution</w:t>
                          </w:r>
                        </w:p>
                        <w:p w14:paraId="4B4FF876" w14:textId="16699A73" w:rsidR="00FF3618" w:rsidRPr="00EE1ABE" w:rsidRDefault="00FF3618" w:rsidP="00DC133C">
                          <w:pPr>
                            <w:pStyle w:val="ListParagraph"/>
                            <w:numPr>
                              <w:ilvl w:val="0"/>
                              <w:numId w:val="44"/>
                            </w:numPr>
                            <w:rPr>
                              <w:sz w:val="18"/>
                              <w:szCs w:val="18"/>
                            </w:rPr>
                          </w:pPr>
                          <w:r w:rsidRPr="00EE1ABE">
                            <w:rPr>
                              <w:sz w:val="18"/>
                              <w:szCs w:val="18"/>
                            </w:rPr>
                            <w:t>Distributes funds to financial counselling agencies</w:t>
                          </w:r>
                        </w:p>
                      </w:txbxContent>
                    </v:textbox>
                  </v:rect>
                  <v:rect id="Rectangle 1076409" o:spid="_x0000_s1057" style="position:absolute;left:2730;top:21431;width:24435;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" fillcolor="#7030a0" strokecolor="black [1600]" strokeweight=".73403mm">
                    <v:textbox>
                      <w:txbxContent>
                        <w:p w14:paraId="55FBA580" w14:textId="719D3D31" w:rsidR="00FF3618" w:rsidRPr="00EE1ABE" w:rsidRDefault="00FF3618" w:rsidP="00D85909">
                          <w:pPr>
                            <w:jc w:val="center"/>
                            <w:rPr>
                              <w:sz w:val="18"/>
                              <w:szCs w:val="18"/>
                            </w:rPr>
                          </w:pPr>
                          <w:r w:rsidRPr="00EE1ABE">
                            <w:rPr>
                              <w:sz w:val="18"/>
                              <w:szCs w:val="18"/>
                            </w:rPr>
                            <w:t>FINANCIAL COUNSELLING AGENCIES</w:t>
                          </w:r>
                        </w:p>
                      </w:txbxContent>
                    </v:textbox>
                  </v:rect>
                  <v:rect id="Rectangle 1076410" o:spid="_x0000_s1058" style="position:absolute;left:2730;top:23749;width:24435;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" fillcolor="#005a70" strokecolor="black [1600]" strokeweight=".73403mm">
                    <v:textbox>
                      <w:txbxContent>
                        <w:p w14:paraId="32090926" w14:textId="374A198E" w:rsidR="00FF3618" w:rsidRPr="00EE1ABE" w:rsidRDefault="00FF3618" w:rsidP="00DC133C">
                          <w:pPr>
                            <w:pStyle w:val="ListParagraph"/>
                            <w:numPr>
                              <w:ilvl w:val="0"/>
                              <w:numId w:val="46"/>
                            </w:numPr>
                            <w:rPr>
                              <w:sz w:val="18"/>
                              <w:szCs w:val="18"/>
                            </w:rPr>
                          </w:pPr>
                          <w:r w:rsidRPr="00EE1ABE">
                            <w:rPr>
                              <w:sz w:val="18"/>
                              <w:szCs w:val="18"/>
                            </w:rPr>
                            <w:t>Receive funds from independent body</w:t>
                          </w:r>
                        </w:p>
                        <w:p w14:paraId="1FB0D4FE" w14:textId="77777777" w:rsidR="00FF3618" w:rsidRPr="00EE1ABE" w:rsidRDefault="00FF3618" w:rsidP="00DC133C">
                          <w:pPr>
                            <w:pStyle w:val="ListParagraph"/>
                            <w:numPr>
                              <w:ilvl w:val="0"/>
                              <w:numId w:val="46"/>
                            </w:numPr>
                            <w:rPr>
                              <w:sz w:val="18"/>
                              <w:szCs w:val="18"/>
                            </w:rPr>
                          </w:pPr>
                          <w:r w:rsidRPr="00EE1ABE">
                            <w:rPr>
                              <w:sz w:val="18"/>
                              <w:szCs w:val="18"/>
                            </w:rPr>
                            <w:t>Spend funds on approved activities</w:t>
                          </w:r>
                        </w:p>
                      </w:txbxContent>
                    </v:textbox>
                  </v:rect>
                  <v:group id="Group 1076411" o:spid="_x0000_s1059" style="position:absolute;left:33750;top:5594;width:3594;height:2832" coordorigin=",22881" coordsize="360000,28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">
                    <v:rect id="Rectangle 1076412" o:spid="_x0000_s1060" style="position:absolute;left:63270;top:149434;width:230864;height:157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" fillcolor="#005a70" strokecolor="black [1600]" strokeweight=".73403mm"/>
                    <v:shape id="Isosceles Triangle 1076413" o:spid="_x0000_s1061" type="#_x0000_t5" style="position:absolute;top:22881;width:360000;height:126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" fillcolor="#005a70" strokecolor="black [1600]" strokeweight=".73403mm"/>
                  </v:group>
                  <v:group id="Group 1076414" o:spid="_x0000_s1062" style="position:absolute;left:38989;top:5530;width:3594;height:2832" coordorigin=",22881" coordsize="360000,28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">
                    <v:rect id="Rectangle 1076415" o:spid="_x0000_s1063" style="position:absolute;left:63270;top:149434;width:230864;height:157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" fillcolor="#005a70" strokecolor="black [1600]" strokeweight=".73403mm"/>
                    <v:shape id="Isosceles Triangle 1076416" o:spid="_x0000_s1064" type="#_x0000_t5" style="position:absolute;top:22881;width:360000;height:126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" fillcolor="#005a70" strokecolor="black [1600]" strokeweight=".73403mm"/>
                  </v:group>
                  <v:rect id="Rectangle 1076417" o:spid="_x0000_s1065" style="position:absolute;left:30031;top:13716;width:10946;height:4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" fillcolor="#7030a0" strokecolor="black [1600]" strokeweight=".73403mm"/>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76418" o:spid="_x0000_s1066" type="#_x0000_t67" style="position:absolute;left:38168;top:19276;width:2622;height:2706;rotation:-7592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" adj="11431,8060" fillcolor="#7030a0" strokecolor="black [1600]" strokeweight=".73403mm"/>
                  <v:shape id="Down Arrow 1076419" o:spid="_x0000_s1067" type="#_x0000_t67" style="position:absolute;left:30335;top:19206;width:2628;height:2700;rotation:10537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" adj="11391,8060" fillcolor="#7030a0" strokecolor="black [1600]" strokeweight=".73403mm"/>
                  <v:shape id="Down Arrow 1076420" o:spid="_x0000_s1068" type="#_x0000_t67" style="position:absolute;left:34163;top:19773;width:2628;height:27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" adj="11391,8060" fillcolor="#7030a0" strokecolor="black [1600]" strokeweight=".73403mm"/>
                </v:group>
                <v:shape id="Down Arrow 1076421" o:spid="_x0000_s1069" type="#_x0000_t67" style="position:absolute;left:38115;top:6971;width:2622;height:2704;rotation:-75927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" adj="11430,8060" fillcolor="#005a70" strokecolor="black [1600]" strokeweight=".73403mm"/>
                <v:shape id="Down Arrow 1076422" o:spid="_x0000_s1070" type="#_x0000_t67" style="position:absolute;left:30329;top:6880;width:2622;height:2699;rotation:105379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" adj="11407,8060" fillcolor="#005a70" strokecolor="black [1600]" strokeweight=".73403mm"/>
                <v:shape id="Down Arrow 1076423" o:spid="_x0000_s1071" type="#_x0000_t67" style="position:absolute;left:34131;top:6790;width:2623;height:26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" adj="11407,8060" fillcolor="#005a70" strokecolor="black [1600]" strokeweight=".73403mm"/>
              </v:group>
            </w:pict>
          </mc:Fallback>
        </mc:AlternateContent>
      </w:r>
      <w:r w:rsidR="000772DF">
        <w:rPr>
          <w:rFonts w:eastAsiaTheme="majorEastAsia"/>
          <w:noProof/>
          <w:lang w:eastAsia="en-AU"/>
        </w:rPr>
        <mc:AlternateContent>
          <mc:Choice Requires="wps">
            <w:drawing>
              <wp:anchor distT="0" distB="0" distL="114300" distR="114300" simplePos="0" relativeHeight="251731968" behindDoc="0" locked="0" layoutInCell="1" allowOverlap="1" wp14:anchorId="5F88732C" wp14:editId="28AD0F4D">
                <wp:simplePos x="0" y="0"/>
                <wp:positionH relativeFrom="column">
                  <wp:posOffset>3695012</wp:posOffset>
                </wp:positionH>
                <wp:positionV relativeFrom="paragraph">
                  <wp:posOffset>2929662</wp:posOffset>
                </wp:positionV>
                <wp:extent cx="1828800" cy="227439"/>
                <wp:effectExtent l="0" t="0" r="19050" b="20320"/>
                <wp:wrapNone/>
                <wp:docPr id="27" name="Text Box 27"/>
                <wp:cNvGraphicFramePr/>
                <a:graphic xmlns:a="http://schemas.openxmlformats.org/drawingml/2006/main">
                  <a:graphicData uri="http://schemas.microsoft.com/office/word/2010/wordprocessingShape">
                    <wps:wsp>
                      <wps:cNvSpPr txBox="1"/>
                      <wps:spPr>
                        <a:xfrm>
                          <a:off x="0" y="0"/>
                          <a:ext cx="1828800" cy="227439"/>
                        </a:xfrm>
                        <a:prstGeom prst="rect">
                          <a:avLst/>
                        </a:prstGeom>
                        <a:solidFill>
                          <a:schemeClr val="lt1"/>
                        </a:solidFill>
                        <a:ln w="6350">
                          <a:solidFill>
                            <a:prstClr val="black"/>
                          </a:solidFill>
                        </a:ln>
                      </wps:spPr>
                      <wps:txbx>
                        <w:txbxContent>
                          <w:p w14:paraId="45AA8500" w14:textId="28FFFBD6" w:rsidR="00FF3618" w:rsidRPr="00EE1ABE" w:rsidRDefault="00FF3618" w:rsidP="00914C1A">
                            <w:pPr>
                              <w:spacing w:after="0"/>
                              <w:jc w:val="center"/>
                              <w:rPr>
                                <w:sz w:val="18"/>
                                <w:szCs w:val="18"/>
                              </w:rPr>
                            </w:pPr>
                            <w:r w:rsidRPr="00EE1ABE">
                              <w:rPr>
                                <w:sz w:val="18"/>
                                <w:szCs w:val="18"/>
                              </w:rPr>
                              <w:t>Financial Counselling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732C" id="Text Box 27" o:spid="_x0000_s1072" type="#_x0000_t202" style="position:absolute;margin-left:290.95pt;margin-top:230.7pt;width:2in;height:1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" fillcolor="white [3201]" strokeweight=".5pt">
                <v:textbox>
                  <w:txbxContent>
                    <w:p w14:paraId="45AA8500" w14:textId="28FFFBD6" w:rsidR="00FF3618" w:rsidRPr="00EE1ABE" w:rsidRDefault="00FF3618" w:rsidP="00914C1A">
                      <w:pPr>
                        <w:spacing w:after="0"/>
                        <w:jc w:val="center"/>
                        <w:rPr>
                          <w:sz w:val="18"/>
                          <w:szCs w:val="18"/>
                        </w:rPr>
                      </w:pPr>
                      <w:r w:rsidRPr="00EE1ABE">
                        <w:rPr>
                          <w:sz w:val="18"/>
                          <w:szCs w:val="18"/>
                        </w:rPr>
                        <w:t>Financial Counselling Agencies</w:t>
                      </w:r>
                    </w:p>
                  </w:txbxContent>
                </v:textbox>
              </v:shape>
            </w:pict>
          </mc:Fallback>
        </mc:AlternateContent>
      </w:r>
      <w:r w:rsidR="000772DF">
        <w:rPr>
          <w:rFonts w:eastAsiaTheme="majorEastAsia"/>
          <w:noProof/>
          <w:lang w:eastAsia="en-AU"/>
        </w:rPr>
        <mc:AlternateContent>
          <mc:Choice Requires="wps">
            <w:drawing>
              <wp:anchor distT="0" distB="0" distL="114300" distR="114300" simplePos="0" relativeHeight="251730944" behindDoc="0" locked="0" layoutInCell="1" allowOverlap="1" wp14:anchorId="24FD76EF" wp14:editId="755640DD">
                <wp:simplePos x="0" y="0"/>
                <wp:positionH relativeFrom="column">
                  <wp:posOffset>3867785</wp:posOffset>
                </wp:positionH>
                <wp:positionV relativeFrom="paragraph">
                  <wp:posOffset>133350</wp:posOffset>
                </wp:positionV>
                <wp:extent cx="1443355" cy="227330"/>
                <wp:effectExtent l="0" t="0" r="23495" b="20320"/>
                <wp:wrapNone/>
                <wp:docPr id="24" name="Text Box 24"/>
                <wp:cNvGraphicFramePr/>
                <a:graphic xmlns:a="http://schemas.openxmlformats.org/drawingml/2006/main">
                  <a:graphicData uri="http://schemas.microsoft.com/office/word/2010/wordprocessingShape">
                    <wps:wsp>
                      <wps:cNvSpPr txBox="1"/>
                      <wps:spPr>
                        <a:xfrm>
                          <a:off x="0" y="0"/>
                          <a:ext cx="1443355" cy="227330"/>
                        </a:xfrm>
                        <a:prstGeom prst="rect">
                          <a:avLst/>
                        </a:prstGeom>
                        <a:solidFill>
                          <a:schemeClr val="lt1"/>
                        </a:solidFill>
                        <a:ln w="6350">
                          <a:solidFill>
                            <a:prstClr val="black"/>
                          </a:solidFill>
                        </a:ln>
                      </wps:spPr>
                      <wps:txbx>
                        <w:txbxContent>
                          <w:p w14:paraId="61ACCC1D" w14:textId="339D1F7B" w:rsidR="00FF3618" w:rsidRPr="008F6294" w:rsidRDefault="00FF3618" w:rsidP="00360120">
                            <w:pPr>
                              <w:jc w:val="center"/>
                              <w:rPr>
                                <w:sz w:val="18"/>
                                <w:szCs w:val="18"/>
                              </w:rPr>
                            </w:pPr>
                            <w:r w:rsidRPr="008F6294">
                              <w:rPr>
                                <w:sz w:val="18"/>
                                <w:szCs w:val="18"/>
                              </w:rPr>
                              <w:t>Businesses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D76EF" id="Text Box 24" o:spid="_x0000_s1073" type="#_x0000_t202" style="position:absolute;margin-left:304.55pt;margin-top:10.5pt;width:113.65pt;height:1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" fillcolor="white [3201]" strokeweight=".5pt">
                <v:textbox>
                  <w:txbxContent>
                    <w:p w14:paraId="61ACCC1D" w14:textId="339D1F7B" w:rsidR="00FF3618" w:rsidRPr="008F6294" w:rsidRDefault="00FF3618" w:rsidP="00360120">
                      <w:pPr>
                        <w:jc w:val="center"/>
                        <w:rPr>
                          <w:sz w:val="18"/>
                          <w:szCs w:val="18"/>
                        </w:rPr>
                      </w:pPr>
                      <w:r w:rsidRPr="008F6294">
                        <w:rPr>
                          <w:sz w:val="18"/>
                          <w:szCs w:val="18"/>
                        </w:rPr>
                        <w:t>Businesses</w:t>
                      </w:r>
                    </w:p>
                  </w:txbxContent>
                </v:textbox>
              </v:shape>
            </w:pict>
          </mc:Fallback>
        </mc:AlternateContent>
      </w:r>
      <w:r w:rsidR="00A216D9">
        <w:rPr>
          <w:rFonts w:eastAsiaTheme="majorEastAsia"/>
          <w:b/>
        </w:rPr>
        <w:br/>
      </w:r>
    </w:p>
    <w:p w14:paraId="56CBB960" w14:textId="60EC229D" w:rsidR="00CE3799" w:rsidRDefault="00CE3799" w:rsidP="00BA0BD7">
      <w:pPr>
        <w:rPr>
          <w:rFonts w:eastAsiaTheme="majorEastAsia"/>
        </w:rPr>
        <w:sectPr w:rsidR="00CE3799" w:rsidSect="00AD595F">
          <w:pgSz w:w="11906" w:h="16838"/>
          <w:pgMar w:top="1134" w:right="1418" w:bottom="1418" w:left="1134" w:header="284" w:footer="459" w:gutter="0"/>
          <w:cols w:space="708"/>
          <w:titlePg/>
          <w:docGrid w:linePitch="360"/>
        </w:sectPr>
      </w:pPr>
    </w:p>
    <w:p w14:paraId="3A2FF37C" w14:textId="5DF8BC99" w:rsidR="00DC1F29" w:rsidRDefault="00803599" w:rsidP="004E1899">
      <w:pPr>
        <w:pStyle w:val="Heading1"/>
        <w:spacing w:before="0"/>
      </w:pPr>
      <w:bookmarkStart w:id="33" w:name="_Toc118288276"/>
      <w:r>
        <w:lastRenderedPageBreak/>
        <w:t>Evaluation</w:t>
      </w:r>
      <w:bookmarkEnd w:id="33"/>
    </w:p>
    <w:p w14:paraId="1C43B558" w14:textId="1105D6BB" w:rsidR="00BE59D3" w:rsidRPr="00DC133C" w:rsidRDefault="00BE59D3" w:rsidP="00E9797A">
      <w:pPr>
        <w:rPr>
          <w:rFonts w:cstheme="minorHAnsi"/>
          <w:b/>
        </w:rPr>
      </w:pPr>
      <w:r w:rsidRPr="00D6289E">
        <w:rPr>
          <w:rFonts w:cstheme="minorHAnsi"/>
          <w:b/>
        </w:rPr>
        <w:t>How will we know the industry funding model is working</w:t>
      </w:r>
      <w:r w:rsidRPr="00DC133C">
        <w:rPr>
          <w:rFonts w:cstheme="minorHAnsi"/>
          <w:b/>
        </w:rPr>
        <w:t>?</w:t>
      </w:r>
    </w:p>
    <w:p w14:paraId="63DBA3A7" w14:textId="2A16D78A" w:rsidR="00E03A8C" w:rsidRDefault="00CC236C" w:rsidP="00F914A4">
      <w:pPr>
        <w:rPr>
          <w:rFonts w:cstheme="minorHAnsi"/>
        </w:rPr>
      </w:pPr>
      <w:r w:rsidRPr="0028096D">
        <w:rPr>
          <w:rFonts w:cstheme="minorHAnsi"/>
        </w:rPr>
        <w:t xml:space="preserve">It is envisaged that </w:t>
      </w:r>
      <w:r w:rsidR="004534A4">
        <w:rPr>
          <w:rFonts w:cstheme="minorHAnsi"/>
        </w:rPr>
        <w:t xml:space="preserve">an </w:t>
      </w:r>
      <w:r w:rsidRPr="0028096D">
        <w:rPr>
          <w:rFonts w:cstheme="minorHAnsi"/>
        </w:rPr>
        <w:t>evaluation</w:t>
      </w:r>
      <w:r w:rsidR="0028096D" w:rsidRPr="0028096D">
        <w:rPr>
          <w:rFonts w:cstheme="minorHAnsi"/>
        </w:rPr>
        <w:t xml:space="preserve"> of the industry funding model</w:t>
      </w:r>
      <w:r w:rsidRPr="0028096D">
        <w:rPr>
          <w:rFonts w:cstheme="minorHAnsi"/>
        </w:rPr>
        <w:t xml:space="preserve"> </w:t>
      </w:r>
      <w:r w:rsidR="0077543C">
        <w:rPr>
          <w:rFonts w:cstheme="minorHAnsi"/>
        </w:rPr>
        <w:t>w</w:t>
      </w:r>
      <w:r w:rsidRPr="0028096D">
        <w:rPr>
          <w:rFonts w:cstheme="minorHAnsi"/>
        </w:rPr>
        <w:t>ould occur after tw</w:t>
      </w:r>
      <w:r w:rsidR="00E03A8C">
        <w:rPr>
          <w:rFonts w:cstheme="minorHAnsi"/>
        </w:rPr>
        <w:t xml:space="preserve">o years of the model </w:t>
      </w:r>
      <w:r w:rsidR="004534A4">
        <w:rPr>
          <w:rFonts w:cstheme="minorHAnsi"/>
        </w:rPr>
        <w:t>operating</w:t>
      </w:r>
      <w:r w:rsidR="00E03A8C" w:rsidRPr="00E03A8C">
        <w:rPr>
          <w:rFonts w:cstheme="minorHAnsi"/>
        </w:rPr>
        <w:t>.</w:t>
      </w:r>
    </w:p>
    <w:p w14:paraId="3385CE82" w14:textId="1A5C7568" w:rsidR="00735DDC" w:rsidRDefault="00735DDC">
      <w:pPr>
        <w:rPr>
          <w:rFonts w:cstheme="minorHAnsi"/>
        </w:rPr>
      </w:pPr>
      <w:r w:rsidRPr="00735DDC">
        <w:rPr>
          <w:rFonts w:cstheme="minorHAnsi"/>
        </w:rPr>
        <w:t xml:space="preserve">A key consideration in the evaluation will be whether the voluntary model appropriately contributes to the </w:t>
      </w:r>
      <w:r w:rsidR="0077543C" w:rsidRPr="00735DDC">
        <w:rPr>
          <w:rFonts w:cstheme="minorHAnsi"/>
        </w:rPr>
        <w:t>long-term</w:t>
      </w:r>
      <w:r w:rsidRPr="00735DDC">
        <w:rPr>
          <w:rFonts w:cstheme="minorHAnsi"/>
        </w:rPr>
        <w:t xml:space="preserve"> viability of the financial counselling sector or if other mechanisms including </w:t>
      </w:r>
      <w:r>
        <w:rPr>
          <w:rFonts w:cstheme="minorHAnsi"/>
        </w:rPr>
        <w:t xml:space="preserve">a </w:t>
      </w:r>
      <w:r w:rsidRPr="00735DDC">
        <w:rPr>
          <w:rFonts w:cstheme="minorHAnsi"/>
        </w:rPr>
        <w:t>compulsory</w:t>
      </w:r>
      <w:r>
        <w:rPr>
          <w:rFonts w:cstheme="minorHAnsi"/>
        </w:rPr>
        <w:t xml:space="preserve"> model</w:t>
      </w:r>
      <w:r w:rsidRPr="00735DDC">
        <w:rPr>
          <w:rFonts w:cstheme="minorHAnsi"/>
        </w:rPr>
        <w:t xml:space="preserve"> should be considered.</w:t>
      </w:r>
    </w:p>
    <w:p w14:paraId="118CF887" w14:textId="7B3E440D" w:rsidR="00BF2F80" w:rsidRDefault="001B6578">
      <w:pPr>
        <w:rPr>
          <w:rFonts w:cstheme="minorHAnsi"/>
        </w:rPr>
      </w:pPr>
      <w:r>
        <w:rPr>
          <w:rFonts w:cstheme="minorHAnsi"/>
        </w:rPr>
        <w:t xml:space="preserve">Consistent with the principles proposed to guide the development of the model, the evaluation could assess </w:t>
      </w:r>
      <w:r w:rsidR="002C4D28">
        <w:rPr>
          <w:rFonts w:cstheme="minorHAnsi"/>
        </w:rPr>
        <w:t>the following questions, whether</w:t>
      </w:r>
      <w:r>
        <w:rPr>
          <w:rFonts w:cstheme="minorHAnsi"/>
        </w:rPr>
        <w:t xml:space="preserve">: </w:t>
      </w:r>
    </w:p>
    <w:p w14:paraId="4417AFE3" w14:textId="77777777" w:rsidR="00BF2F80" w:rsidRPr="00E45624" w:rsidRDefault="00BF2F80" w:rsidP="00F914A4">
      <w:pPr>
        <w:pStyle w:val="ListParagraph"/>
        <w:numPr>
          <w:ilvl w:val="0"/>
          <w:numId w:val="52"/>
        </w:numPr>
        <w:contextualSpacing w:val="0"/>
        <w:rPr>
          <w:rFonts w:eastAsia="Times New Roman" w:cstheme="minorHAnsi"/>
        </w:rPr>
      </w:pPr>
      <w:r w:rsidRPr="00E45624">
        <w:rPr>
          <w:rFonts w:eastAsia="Times New Roman" w:cstheme="minorHAnsi"/>
        </w:rPr>
        <w:t>Industry funding helps to address unmet demand and improves the predictability and stability of funding for financial counselling services</w:t>
      </w:r>
      <w:r>
        <w:rPr>
          <w:rFonts w:eastAsia="Times New Roman" w:cstheme="minorHAnsi"/>
        </w:rPr>
        <w:t>.</w:t>
      </w:r>
      <w:r w:rsidRPr="00E45624">
        <w:rPr>
          <w:rFonts w:eastAsia="Times New Roman" w:cstheme="minorHAnsi"/>
        </w:rPr>
        <w:t xml:space="preserve"> </w:t>
      </w:r>
    </w:p>
    <w:p w14:paraId="7420AC08" w14:textId="4F3705AA" w:rsidR="00BF2F80" w:rsidRPr="001B6578" w:rsidRDefault="00BF2F80" w:rsidP="00F914A4">
      <w:pPr>
        <w:pStyle w:val="ListParagraph"/>
        <w:numPr>
          <w:ilvl w:val="0"/>
          <w:numId w:val="52"/>
        </w:numPr>
        <w:ind w:left="714" w:hanging="357"/>
        <w:contextualSpacing w:val="0"/>
        <w:rPr>
          <w:rFonts w:eastAsia="Times New Roman" w:cstheme="minorHAnsi"/>
        </w:rPr>
      </w:pPr>
      <w:r w:rsidRPr="00E45624">
        <w:rPr>
          <w:rFonts w:eastAsia="Times New Roman" w:cstheme="minorHAnsi"/>
        </w:rPr>
        <w:t>Industries that contribute to the demand</w:t>
      </w:r>
      <w:r w:rsidR="006D5B30">
        <w:rPr>
          <w:rFonts w:eastAsia="Times New Roman" w:cstheme="minorHAnsi"/>
        </w:rPr>
        <w:t xml:space="preserve"> for</w:t>
      </w:r>
      <w:r w:rsidRPr="00E45624">
        <w:rPr>
          <w:rFonts w:eastAsia="Times New Roman" w:cstheme="minorHAnsi"/>
        </w:rPr>
        <w:t>, and benefit from, financial counselling, contribute to the funding of the services</w:t>
      </w:r>
      <w:r>
        <w:rPr>
          <w:rFonts w:eastAsia="Times New Roman" w:cstheme="minorHAnsi"/>
        </w:rPr>
        <w:t>.</w:t>
      </w:r>
    </w:p>
    <w:p w14:paraId="66AD8ADD" w14:textId="77777777" w:rsidR="00BF2F80" w:rsidRPr="0039369B" w:rsidRDefault="00BF2F80" w:rsidP="00F914A4">
      <w:pPr>
        <w:pStyle w:val="ListParagraph"/>
        <w:numPr>
          <w:ilvl w:val="0"/>
          <w:numId w:val="52"/>
        </w:numPr>
        <w:ind w:left="714" w:hanging="357"/>
        <w:contextualSpacing w:val="0"/>
        <w:rPr>
          <w:rFonts w:eastAsia="Times New Roman" w:cstheme="minorHAnsi"/>
        </w:rPr>
      </w:pPr>
      <w:r w:rsidRPr="00E45624">
        <w:rPr>
          <w:rFonts w:eastAsia="Times New Roman" w:cstheme="minorHAnsi"/>
        </w:rPr>
        <w:t xml:space="preserve">The model contributes to improved coordination, innovation and enhanced service delivery across the sector. </w:t>
      </w:r>
    </w:p>
    <w:p w14:paraId="28BB5432" w14:textId="312BECD9" w:rsidR="00735DDC" w:rsidRDefault="00735DDC" w:rsidP="00E9797A">
      <w:pPr>
        <w:rPr>
          <w:rFonts w:cstheme="minorHAnsi"/>
        </w:rPr>
      </w:pPr>
      <w:r w:rsidRPr="00735DDC">
        <w:rPr>
          <w:rFonts w:cstheme="minorHAnsi"/>
        </w:rPr>
        <w:t xml:space="preserve">The </w:t>
      </w:r>
      <w:r w:rsidR="007F1643">
        <w:rPr>
          <w:rFonts w:cstheme="minorHAnsi"/>
        </w:rPr>
        <w:t>D</w:t>
      </w:r>
      <w:r w:rsidRPr="00735DDC">
        <w:rPr>
          <w:rFonts w:cstheme="minorHAnsi"/>
        </w:rPr>
        <w:t xml:space="preserve">epartment </w:t>
      </w:r>
      <w:r w:rsidR="001C1FEB">
        <w:rPr>
          <w:rFonts w:cstheme="minorHAnsi"/>
        </w:rPr>
        <w:t>will develop a</w:t>
      </w:r>
      <w:r w:rsidRPr="00735DDC">
        <w:rPr>
          <w:rFonts w:cstheme="minorHAnsi"/>
        </w:rPr>
        <w:t xml:space="preserve"> monitoring and evaluation framework for the industry funding model</w:t>
      </w:r>
      <w:r w:rsidR="001C1FEB">
        <w:rPr>
          <w:rFonts w:cstheme="minorHAnsi"/>
        </w:rPr>
        <w:t>,</w:t>
      </w:r>
      <w:r>
        <w:rPr>
          <w:rFonts w:cstheme="minorHAnsi"/>
        </w:rPr>
        <w:t xml:space="preserve"> informed by feedback received from this discussion paper process</w:t>
      </w:r>
      <w:r w:rsidRPr="00735DDC">
        <w:rPr>
          <w:rFonts w:cstheme="minorHAnsi"/>
        </w:rPr>
        <w:t>.</w:t>
      </w:r>
      <w:r>
        <w:rPr>
          <w:rFonts w:cstheme="minorHAnsi"/>
        </w:rPr>
        <w:t xml:space="preserve"> </w:t>
      </w:r>
    </w:p>
    <w:p w14:paraId="4CF84BC8" w14:textId="70282590" w:rsidR="003D5D14" w:rsidRDefault="00735DDC" w:rsidP="00F914A4">
      <w:pPr>
        <w:rPr>
          <w:rFonts w:cstheme="minorHAnsi"/>
        </w:rPr>
      </w:pPr>
      <w:r>
        <w:rPr>
          <w:rFonts w:cstheme="minorHAnsi"/>
        </w:rPr>
        <w:t xml:space="preserve">The framework would include the planned monitoring and evaluation approach including </w:t>
      </w:r>
      <w:r w:rsidRPr="00735DDC">
        <w:rPr>
          <w:rFonts w:cstheme="minorHAnsi"/>
        </w:rPr>
        <w:t>identification of stakeholders who will be engaged throughout the process, evaluation questions, activities and associated timelines, as well as an overview of the data sources which will be used to measure program outcomes</w:t>
      </w:r>
      <w:r>
        <w:rPr>
          <w:rFonts w:cstheme="minorHAnsi"/>
        </w:rPr>
        <w:t>.</w:t>
      </w:r>
    </w:p>
    <w:p w14:paraId="59555BCE" w14:textId="53C1C21B" w:rsidR="0077543C" w:rsidRDefault="003D171A" w:rsidP="007E7D28">
      <w:pPr>
        <w:rPr>
          <w:rFonts w:cstheme="minorHAnsi"/>
        </w:rPr>
      </w:pPr>
      <w:r>
        <w:rPr>
          <w:rFonts w:cstheme="minorHAnsi"/>
          <w:noProof/>
          <w:lang w:eastAsia="en-AU"/>
        </w:rPr>
        <mc:AlternateContent>
          <mc:Choice Requires="wps">
            <w:drawing>
              <wp:anchor distT="0" distB="0" distL="114300" distR="114300" simplePos="0" relativeHeight="251721728" behindDoc="0" locked="0" layoutInCell="1" allowOverlap="1" wp14:anchorId="1F66D695" wp14:editId="6A15D028">
                <wp:simplePos x="0" y="0"/>
                <wp:positionH relativeFrom="margin">
                  <wp:posOffset>-17036</wp:posOffset>
                </wp:positionH>
                <wp:positionV relativeFrom="paragraph">
                  <wp:posOffset>21420</wp:posOffset>
                </wp:positionV>
                <wp:extent cx="5950424" cy="850833"/>
                <wp:effectExtent l="0" t="0" r="12700" b="26035"/>
                <wp:wrapNone/>
                <wp:docPr id="58" name="Rounded Rectangle 58"/>
                <wp:cNvGraphicFramePr/>
                <a:graphic xmlns:a="http://schemas.openxmlformats.org/drawingml/2006/main">
                  <a:graphicData uri="http://schemas.microsoft.com/office/word/2010/wordprocessingShape">
                    <wps:wsp>
                      <wps:cNvSpPr/>
                      <wps:spPr>
                        <a:xfrm>
                          <a:off x="0" y="0"/>
                          <a:ext cx="5950424" cy="850833"/>
                        </a:xfrm>
                        <a:prstGeom prst="roundRect">
                          <a:avLst/>
                        </a:prstGeom>
                        <a:solidFill>
                          <a:schemeClr val="bg1">
                            <a:lumMod val="95000"/>
                          </a:schemeClr>
                        </a:solidFill>
                        <a:ln w="26425" cap="flat" cmpd="sng" algn="ctr">
                          <a:solidFill>
                            <a:srgbClr val="B1E4E3">
                              <a:shade val="50000"/>
                            </a:srgbClr>
                          </a:solidFill>
                          <a:prstDash val="solid"/>
                        </a:ln>
                        <a:effectLst/>
                      </wps:spPr>
                      <wps:txbx>
                        <w:txbxContent>
                          <w:p w14:paraId="57D82200" w14:textId="4FA726AA" w:rsidR="00FF3618" w:rsidRPr="0001440C" w:rsidRDefault="00FF3618" w:rsidP="0077543C">
                            <w:pPr>
                              <w:spacing w:after="60"/>
                              <w:rPr>
                                <w:color w:val="000000" w:themeColor="text2"/>
                              </w:rPr>
                            </w:pPr>
                            <w:r w:rsidRPr="0001440C">
                              <w:rPr>
                                <w:color w:val="000000" w:themeColor="text2"/>
                              </w:rPr>
                              <w:t>Discussion Question:</w:t>
                            </w:r>
                          </w:p>
                          <w:p w14:paraId="3259C871" w14:textId="48FCE635" w:rsidR="00FF3618" w:rsidRPr="001D2B63" w:rsidRDefault="00FF3618" w:rsidP="001721B0">
                            <w:pPr>
                              <w:pStyle w:val="ListParagraph"/>
                              <w:numPr>
                                <w:ilvl w:val="0"/>
                                <w:numId w:val="4"/>
                              </w:numPr>
                              <w:spacing w:after="120"/>
                              <w:ind w:left="357" w:hanging="357"/>
                              <w:contextualSpacing w:val="0"/>
                              <w:rPr>
                                <w:color w:val="000000" w:themeColor="text2"/>
                              </w:rPr>
                            </w:pPr>
                            <w:r>
                              <w:rPr>
                                <w:color w:val="000000" w:themeColor="text2"/>
                              </w:rPr>
                              <w:t>What are your views on the proposed questions the evaluation could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6D695" id="Rounded Rectangle 58" o:spid="_x0000_s1074" style="position:absolute;margin-left:-1.35pt;margin-top:1.7pt;width:468.55pt;height:6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" fillcolor="#f2f2f2 [3052]" strokecolor="#81a7a7" strokeweight=".73403mm">
                <v:textbox>
                  <w:txbxContent>
                    <w:p w14:paraId="57D82200" w14:textId="4FA726AA" w:rsidR="00FF3618" w:rsidRPr="0001440C" w:rsidRDefault="00FF3618" w:rsidP="0077543C">
                      <w:pPr>
                        <w:spacing w:after="60"/>
                        <w:rPr>
                          <w:color w:val="000000" w:themeColor="text2"/>
                        </w:rPr>
                      </w:pPr>
                      <w:r w:rsidRPr="0001440C">
                        <w:rPr>
                          <w:color w:val="000000" w:themeColor="text2"/>
                        </w:rPr>
                        <w:t>Discussion Question:</w:t>
                      </w:r>
                    </w:p>
                    <w:p w14:paraId="3259C871" w14:textId="48FCE635" w:rsidR="00FF3618" w:rsidRPr="001D2B63" w:rsidRDefault="00FF3618" w:rsidP="001721B0">
                      <w:pPr>
                        <w:pStyle w:val="ListParagraph"/>
                        <w:numPr>
                          <w:ilvl w:val="0"/>
                          <w:numId w:val="4"/>
                        </w:numPr>
                        <w:spacing w:after="120"/>
                        <w:ind w:left="357" w:hanging="357"/>
                        <w:contextualSpacing w:val="0"/>
                        <w:rPr>
                          <w:color w:val="000000" w:themeColor="text2"/>
                        </w:rPr>
                      </w:pPr>
                      <w:r>
                        <w:rPr>
                          <w:color w:val="000000" w:themeColor="text2"/>
                        </w:rPr>
                        <w:t>What are your views on the proposed questions the evaluation could test?</w:t>
                      </w:r>
                    </w:p>
                  </w:txbxContent>
                </v:textbox>
                <w10:wrap anchorx="margin"/>
              </v:roundrect>
            </w:pict>
          </mc:Fallback>
        </mc:AlternateContent>
      </w:r>
    </w:p>
    <w:p w14:paraId="733B6E33" w14:textId="2407A13F" w:rsidR="0077543C" w:rsidRDefault="0077543C" w:rsidP="007E7D28">
      <w:pPr>
        <w:rPr>
          <w:rFonts w:cstheme="minorHAnsi"/>
        </w:rPr>
      </w:pPr>
    </w:p>
    <w:p w14:paraId="690134EC" w14:textId="2A95858A" w:rsidR="00735DDC" w:rsidRDefault="00735DDC" w:rsidP="007E7D28">
      <w:pPr>
        <w:rPr>
          <w:rFonts w:cstheme="minorHAnsi"/>
        </w:rPr>
      </w:pPr>
    </w:p>
    <w:p w14:paraId="5FB027AB" w14:textId="73C22115" w:rsidR="0028096D" w:rsidRPr="00E03A8C" w:rsidRDefault="0028096D" w:rsidP="00DC1F29">
      <w:pPr>
        <w:rPr>
          <w:rFonts w:cstheme="minorHAnsi"/>
        </w:rPr>
      </w:pPr>
    </w:p>
    <w:p w14:paraId="400FBF66" w14:textId="3122E2B8" w:rsidR="00CC236C" w:rsidRDefault="00CC236C" w:rsidP="00D31CE6"/>
    <w:p w14:paraId="22607620" w14:textId="2B077E2F" w:rsidR="00CC236C" w:rsidRDefault="00CC236C" w:rsidP="00D31CE6"/>
    <w:p w14:paraId="60B752B2" w14:textId="77777777" w:rsidR="00CC236C" w:rsidRPr="00DC1F29" w:rsidRDefault="00CC236C" w:rsidP="00D31CE6">
      <w:pPr>
        <w:sectPr w:rsidR="00CC236C" w:rsidRPr="00DC1F29" w:rsidSect="00DA19C8">
          <w:pgSz w:w="11906" w:h="16838"/>
          <w:pgMar w:top="1134" w:right="1418" w:bottom="1418" w:left="1134" w:header="284" w:footer="459" w:gutter="0"/>
          <w:cols w:space="708"/>
          <w:titlePg/>
          <w:docGrid w:linePitch="360"/>
        </w:sectPr>
      </w:pPr>
    </w:p>
    <w:p w14:paraId="2A9985B5" w14:textId="303C9CB8" w:rsidR="00803599" w:rsidRPr="00C1470B" w:rsidRDefault="00803599" w:rsidP="004E1899">
      <w:pPr>
        <w:pStyle w:val="Heading1"/>
        <w:spacing w:before="0"/>
      </w:pPr>
      <w:bookmarkStart w:id="34" w:name="_Toc118288277"/>
      <w:r w:rsidRPr="00C1470B">
        <w:lastRenderedPageBreak/>
        <w:t xml:space="preserve">Data </w:t>
      </w:r>
      <w:r w:rsidR="00632395">
        <w:t>improvements</w:t>
      </w:r>
      <w:bookmarkEnd w:id="34"/>
    </w:p>
    <w:p w14:paraId="1A341A2D" w14:textId="092138AE" w:rsidR="00BE59D3" w:rsidRPr="00DC133C" w:rsidRDefault="00BE59D3" w:rsidP="00FE094E">
      <w:pPr>
        <w:rPr>
          <w:rFonts w:cstheme="minorHAnsi"/>
          <w:b/>
        </w:rPr>
      </w:pPr>
      <w:r w:rsidRPr="00DC133C">
        <w:rPr>
          <w:rFonts w:cstheme="minorHAnsi"/>
          <w:b/>
        </w:rPr>
        <w:t>What other initiatives will support the model?</w:t>
      </w:r>
    </w:p>
    <w:p w14:paraId="181BB949" w14:textId="3251177C" w:rsidR="00FC115C" w:rsidRDefault="00D83032" w:rsidP="00FE094E">
      <w:pPr>
        <w:rPr>
          <w:rFonts w:cstheme="minorHAnsi"/>
        </w:rPr>
      </w:pPr>
      <w:r>
        <w:rPr>
          <w:rFonts w:cstheme="minorHAnsi"/>
        </w:rPr>
        <w:t>The Department is</w:t>
      </w:r>
      <w:r w:rsidR="00AB7694">
        <w:rPr>
          <w:rFonts w:cstheme="minorHAnsi"/>
        </w:rPr>
        <w:t xml:space="preserve"> current</w:t>
      </w:r>
      <w:r w:rsidR="00072B85">
        <w:rPr>
          <w:rFonts w:cstheme="minorHAnsi"/>
        </w:rPr>
        <w:t>ly</w:t>
      </w:r>
      <w:r w:rsidR="00AB7694">
        <w:rPr>
          <w:rFonts w:cstheme="minorHAnsi"/>
        </w:rPr>
        <w:t xml:space="preserve"> undertaking key work to improve</w:t>
      </w:r>
      <w:r>
        <w:rPr>
          <w:rFonts w:cstheme="minorHAnsi"/>
        </w:rPr>
        <w:t xml:space="preserve"> data </w:t>
      </w:r>
      <w:r w:rsidR="00AB7694">
        <w:rPr>
          <w:rFonts w:cstheme="minorHAnsi"/>
        </w:rPr>
        <w:t xml:space="preserve">collection and analysis </w:t>
      </w:r>
      <w:r>
        <w:rPr>
          <w:rFonts w:cstheme="minorHAnsi"/>
        </w:rPr>
        <w:t>in the financial counselling sector, which will support and/or have benefits for the industry funding</w:t>
      </w:r>
      <w:r w:rsidR="00D70B88">
        <w:rPr>
          <w:rFonts w:cstheme="minorHAnsi"/>
        </w:rPr>
        <w:t xml:space="preserve"> </w:t>
      </w:r>
      <w:r>
        <w:rPr>
          <w:rFonts w:cstheme="minorHAnsi"/>
        </w:rPr>
        <w:t xml:space="preserve">modeI. </w:t>
      </w:r>
    </w:p>
    <w:p w14:paraId="4C8DF821" w14:textId="1BA20C1D" w:rsidR="00EF3E71" w:rsidRPr="005514ED" w:rsidRDefault="00D83032" w:rsidP="00FE094E">
      <w:pPr>
        <w:rPr>
          <w:rFonts w:cstheme="minorHAnsi"/>
        </w:rPr>
      </w:pPr>
      <w:r>
        <w:rPr>
          <w:rFonts w:cstheme="minorHAnsi"/>
        </w:rPr>
        <w:t>In</w:t>
      </w:r>
      <w:r w:rsidR="000F5322" w:rsidRPr="005514ED">
        <w:rPr>
          <w:rFonts w:cstheme="minorHAnsi"/>
        </w:rPr>
        <w:t xml:space="preserve"> the 2022-23 Budget process, </w:t>
      </w:r>
      <w:r w:rsidR="000F5322" w:rsidRPr="00FE094E">
        <w:rPr>
          <w:rFonts w:cstheme="minorHAnsi"/>
        </w:rPr>
        <w:t xml:space="preserve">$3.4 million </w:t>
      </w:r>
      <w:r w:rsidR="000F5322" w:rsidRPr="005514ED">
        <w:rPr>
          <w:rFonts w:cstheme="minorHAnsi"/>
        </w:rPr>
        <w:t xml:space="preserve">over three years, from 2022-23 to 2024-25, was received for initiatives to improve data capture, consistency and availability, to build a robust evidence base for measuring demand for services and improving outcomes for clients and services. </w:t>
      </w:r>
      <w:r w:rsidR="00AC54E0">
        <w:rPr>
          <w:rFonts w:cstheme="minorHAnsi"/>
        </w:rPr>
        <w:t>In addition to demand modelling, t</w:t>
      </w:r>
      <w:r w:rsidR="002B208E">
        <w:rPr>
          <w:rFonts w:cstheme="minorHAnsi"/>
        </w:rPr>
        <w:t>he initiatives are:</w:t>
      </w:r>
    </w:p>
    <w:p w14:paraId="089CEA75" w14:textId="426B7DC3" w:rsidR="00EF3E71" w:rsidRPr="00F914A4" w:rsidRDefault="002B208E" w:rsidP="00D57446">
      <w:pPr>
        <w:numPr>
          <w:ilvl w:val="0"/>
          <w:numId w:val="7"/>
        </w:numPr>
        <w:tabs>
          <w:tab w:val="left" w:pos="720"/>
        </w:tabs>
        <w:spacing w:before="60" w:afterLines="60" w:after="144"/>
        <w:rPr>
          <w:rFonts w:cstheme="minorHAnsi"/>
        </w:rPr>
      </w:pPr>
      <w:r w:rsidRPr="00E9797A">
        <w:rPr>
          <w:rFonts w:cstheme="minorHAnsi"/>
        </w:rPr>
        <w:t>scoping</w:t>
      </w:r>
      <w:r w:rsidR="000F5322" w:rsidRPr="00F914A4">
        <w:rPr>
          <w:rFonts w:cstheme="minorHAnsi"/>
        </w:rPr>
        <w:t xml:space="preserve"> and design</w:t>
      </w:r>
      <w:r w:rsidRPr="00F914A4">
        <w:rPr>
          <w:rFonts w:cstheme="minorHAnsi"/>
        </w:rPr>
        <w:t>ing</w:t>
      </w:r>
      <w:r w:rsidR="000F5322" w:rsidRPr="00F914A4">
        <w:rPr>
          <w:rFonts w:cstheme="minorHAnsi"/>
        </w:rPr>
        <w:t xml:space="preserve"> a new data</w:t>
      </w:r>
      <w:r w:rsidR="000B22CB" w:rsidRPr="00F914A4">
        <w:rPr>
          <w:rFonts w:cstheme="minorHAnsi"/>
        </w:rPr>
        <w:t xml:space="preserve"> strategy</w:t>
      </w:r>
      <w:r w:rsidR="001F3B29" w:rsidRPr="00F914A4">
        <w:rPr>
          <w:rFonts w:cstheme="minorHAnsi"/>
        </w:rPr>
        <w:t>;</w:t>
      </w:r>
    </w:p>
    <w:p w14:paraId="06DB49AC" w14:textId="30C4698C" w:rsidR="00EF3E71" w:rsidRPr="00B0759F" w:rsidRDefault="000F5322" w:rsidP="00D57446">
      <w:pPr>
        <w:numPr>
          <w:ilvl w:val="0"/>
          <w:numId w:val="7"/>
        </w:numPr>
        <w:tabs>
          <w:tab w:val="left" w:pos="720"/>
        </w:tabs>
        <w:spacing w:before="60" w:afterLines="60" w:after="144"/>
        <w:rPr>
          <w:rFonts w:cstheme="minorHAnsi"/>
        </w:rPr>
      </w:pPr>
      <w:r w:rsidRPr="00263E6D">
        <w:rPr>
          <w:rFonts w:cstheme="minorHAnsi"/>
        </w:rPr>
        <w:t>develop</w:t>
      </w:r>
      <w:r w:rsidR="002B208E" w:rsidRPr="00B5127F">
        <w:rPr>
          <w:rFonts w:cstheme="minorHAnsi"/>
        </w:rPr>
        <w:t>ing</w:t>
      </w:r>
      <w:r w:rsidRPr="0060585A">
        <w:rPr>
          <w:rFonts w:cstheme="minorHAnsi"/>
        </w:rPr>
        <w:t xml:space="preserve"> a </w:t>
      </w:r>
      <w:r w:rsidR="000B22CB" w:rsidRPr="0060585A">
        <w:rPr>
          <w:rFonts w:cstheme="minorHAnsi"/>
        </w:rPr>
        <w:t>national overview/</w:t>
      </w:r>
      <w:r w:rsidRPr="0060585A">
        <w:rPr>
          <w:rFonts w:cstheme="minorHAnsi"/>
        </w:rPr>
        <w:t>report on financial counselling across Australia</w:t>
      </w:r>
      <w:r w:rsidR="001F3B29" w:rsidRPr="00B0759F">
        <w:rPr>
          <w:rFonts w:cstheme="minorHAnsi"/>
        </w:rPr>
        <w:t>; and</w:t>
      </w:r>
    </w:p>
    <w:p w14:paraId="4211F8C9" w14:textId="44E9C501" w:rsidR="005514ED" w:rsidRPr="00BB48C8" w:rsidRDefault="000F5322" w:rsidP="00D57446">
      <w:pPr>
        <w:numPr>
          <w:ilvl w:val="0"/>
          <w:numId w:val="7"/>
        </w:numPr>
        <w:tabs>
          <w:tab w:val="left" w:pos="720"/>
        </w:tabs>
        <w:spacing w:before="60" w:afterLines="60" w:after="144"/>
        <w:rPr>
          <w:rFonts w:cstheme="minorHAnsi"/>
        </w:rPr>
      </w:pPr>
      <w:r w:rsidRPr="003D060B">
        <w:rPr>
          <w:rFonts w:cstheme="minorHAnsi"/>
        </w:rPr>
        <w:t>build</w:t>
      </w:r>
      <w:r w:rsidR="002B208E" w:rsidRPr="003D060B">
        <w:rPr>
          <w:rFonts w:cstheme="minorHAnsi"/>
        </w:rPr>
        <w:t>ing</w:t>
      </w:r>
      <w:r w:rsidRPr="003D060B">
        <w:rPr>
          <w:rFonts w:cstheme="minorHAnsi"/>
        </w:rPr>
        <w:t xml:space="preserve"> the capacity of financial counselling agencies to collect and report on data</w:t>
      </w:r>
      <w:r w:rsidR="00E00DAE" w:rsidRPr="003D060B">
        <w:rPr>
          <w:rFonts w:cstheme="minorHAnsi"/>
        </w:rPr>
        <w:t>.</w:t>
      </w:r>
    </w:p>
    <w:p w14:paraId="40BC8CB4" w14:textId="09F567A0" w:rsidR="00EF3E71" w:rsidRPr="00E9797A" w:rsidRDefault="000F5322" w:rsidP="00FE094E">
      <w:pPr>
        <w:rPr>
          <w:rFonts w:cstheme="minorHAnsi"/>
        </w:rPr>
      </w:pPr>
      <w:r w:rsidRPr="005514ED">
        <w:rPr>
          <w:rFonts w:cstheme="minorHAnsi"/>
        </w:rPr>
        <w:t xml:space="preserve">A </w:t>
      </w:r>
      <w:r w:rsidRPr="00E9797A">
        <w:rPr>
          <w:rFonts w:cstheme="minorHAnsi"/>
        </w:rPr>
        <w:t xml:space="preserve">data </w:t>
      </w:r>
      <w:r w:rsidR="00F14AE2" w:rsidRPr="00F914A4">
        <w:rPr>
          <w:rFonts w:cstheme="minorHAnsi"/>
        </w:rPr>
        <w:t>strategy</w:t>
      </w:r>
      <w:r w:rsidRPr="00F914A4">
        <w:rPr>
          <w:rFonts w:cstheme="minorHAnsi"/>
        </w:rPr>
        <w:t xml:space="preserve"> </w:t>
      </w:r>
      <w:r w:rsidRPr="005514ED">
        <w:rPr>
          <w:rFonts w:cstheme="minorHAnsi"/>
        </w:rPr>
        <w:t xml:space="preserve">will provide a </w:t>
      </w:r>
      <w:r w:rsidRPr="00E9797A">
        <w:rPr>
          <w:rFonts w:cstheme="minorHAnsi"/>
        </w:rPr>
        <w:t>roadmap</w:t>
      </w:r>
      <w:r w:rsidRPr="005514ED">
        <w:rPr>
          <w:rFonts w:cstheme="minorHAnsi"/>
        </w:rPr>
        <w:t xml:space="preserve"> for work towards improving data in the sector</w:t>
      </w:r>
      <w:r w:rsidR="005514ED">
        <w:rPr>
          <w:rFonts w:cstheme="minorHAnsi"/>
        </w:rPr>
        <w:t xml:space="preserve">. </w:t>
      </w:r>
      <w:r w:rsidR="00E8701B" w:rsidRPr="00E9797A">
        <w:rPr>
          <w:rFonts w:cstheme="minorHAnsi"/>
        </w:rPr>
        <w:t>Th</w:t>
      </w:r>
      <w:r w:rsidR="00E8701B" w:rsidRPr="00F914A4">
        <w:rPr>
          <w:rFonts w:cstheme="minorHAnsi"/>
        </w:rPr>
        <w:t>e</w:t>
      </w:r>
      <w:r w:rsidR="00C1470B" w:rsidRPr="00F914A4">
        <w:rPr>
          <w:rFonts w:cstheme="minorHAnsi"/>
        </w:rPr>
        <w:t> </w:t>
      </w:r>
      <w:r w:rsidR="00E8701B" w:rsidRPr="00F914A4">
        <w:rPr>
          <w:rFonts w:cstheme="minorHAnsi"/>
        </w:rPr>
        <w:t xml:space="preserve">framework would be developed in consultation with key stakeholders (the sector, governments, other funders). </w:t>
      </w:r>
      <w:r w:rsidRPr="005514ED">
        <w:rPr>
          <w:rFonts w:cstheme="minorHAnsi"/>
        </w:rPr>
        <w:t xml:space="preserve">The framework could outline </w:t>
      </w:r>
      <w:r w:rsidRPr="00E9797A">
        <w:rPr>
          <w:rFonts w:cstheme="minorHAnsi"/>
        </w:rPr>
        <w:t>key themes</w:t>
      </w:r>
      <w:r w:rsidRPr="0081392E">
        <w:rPr>
          <w:rFonts w:cstheme="minorHAnsi"/>
        </w:rPr>
        <w:t xml:space="preserve"> </w:t>
      </w:r>
      <w:r w:rsidRPr="005514ED">
        <w:rPr>
          <w:rFonts w:cstheme="minorHAnsi"/>
        </w:rPr>
        <w:t>and</w:t>
      </w:r>
      <w:r w:rsidRPr="0081392E">
        <w:rPr>
          <w:rFonts w:cstheme="minorHAnsi"/>
        </w:rPr>
        <w:t xml:space="preserve"> </w:t>
      </w:r>
      <w:r w:rsidRPr="00E9797A">
        <w:rPr>
          <w:rFonts w:cstheme="minorHAnsi"/>
        </w:rPr>
        <w:t>potential actions</w:t>
      </w:r>
      <w:r w:rsidRPr="0081392E">
        <w:rPr>
          <w:rFonts w:cstheme="minorHAnsi"/>
        </w:rPr>
        <w:t xml:space="preserve"> </w:t>
      </w:r>
      <w:r w:rsidRPr="005514ED">
        <w:rPr>
          <w:rFonts w:cstheme="minorHAnsi"/>
        </w:rPr>
        <w:t>for improving data in the sector</w:t>
      </w:r>
      <w:r w:rsidR="00DE2D05">
        <w:rPr>
          <w:rFonts w:cstheme="minorHAnsi"/>
        </w:rPr>
        <w:t xml:space="preserve">. </w:t>
      </w:r>
    </w:p>
    <w:p w14:paraId="5C1518A1" w14:textId="4639AF41" w:rsidR="005514ED" w:rsidRPr="00EA706C" w:rsidRDefault="001B2A65" w:rsidP="00FE094E">
      <w:pPr>
        <w:pStyle w:val="NoSpacing"/>
        <w:rPr>
          <w:rFonts w:cstheme="minorHAnsi"/>
        </w:rPr>
      </w:pPr>
      <w:r w:rsidRPr="00FE094E">
        <w:rPr>
          <w:rFonts w:cstheme="minorHAnsi"/>
        </w:rPr>
        <w:t xml:space="preserve">The </w:t>
      </w:r>
      <w:r w:rsidR="00F14AE2">
        <w:rPr>
          <w:rFonts w:cstheme="minorHAnsi"/>
        </w:rPr>
        <w:t>national overview/report</w:t>
      </w:r>
      <w:r w:rsidRPr="00FE094E">
        <w:rPr>
          <w:rFonts w:cstheme="minorHAnsi"/>
        </w:rPr>
        <w:t xml:space="preserve"> could be </w:t>
      </w:r>
      <w:r w:rsidR="005514ED" w:rsidRPr="001B2A65">
        <w:rPr>
          <w:rFonts w:cstheme="minorHAnsi"/>
        </w:rPr>
        <w:t xml:space="preserve">an annual or biennial data and research report providing a picture </w:t>
      </w:r>
      <w:r w:rsidR="00E961CE">
        <w:rPr>
          <w:rFonts w:cstheme="minorHAnsi"/>
        </w:rPr>
        <w:t>of financi</w:t>
      </w:r>
      <w:r w:rsidR="00117341">
        <w:rPr>
          <w:rFonts w:cstheme="minorHAnsi"/>
        </w:rPr>
        <w:t xml:space="preserve">al counselling across Australia. </w:t>
      </w:r>
      <w:r w:rsidR="005514ED" w:rsidRPr="001B2A65">
        <w:rPr>
          <w:rFonts w:cstheme="minorHAnsi"/>
        </w:rPr>
        <w:t>The report could provide insights to financial counselling organisations and other stakeholders about key statistics, trends, challenges and opportunities.</w:t>
      </w:r>
      <w:r>
        <w:rPr>
          <w:rFonts w:cstheme="minorHAnsi"/>
        </w:rPr>
        <w:t xml:space="preserve"> </w:t>
      </w:r>
      <w:r w:rsidR="005514ED" w:rsidRPr="001B2A65">
        <w:rPr>
          <w:rFonts w:cstheme="minorHAnsi"/>
        </w:rPr>
        <w:t>This would make key insights more broadly available and result in a better understanding of the needs of clients and improved client outcomes</w:t>
      </w:r>
      <w:r w:rsidRPr="001B2A65">
        <w:rPr>
          <w:rFonts w:cstheme="minorHAnsi"/>
        </w:rPr>
        <w:t>.</w:t>
      </w:r>
      <w:r>
        <w:rPr>
          <w:rFonts w:cstheme="minorHAnsi"/>
        </w:rPr>
        <w:t xml:space="preserve"> </w:t>
      </w:r>
      <w:r w:rsidR="00DE2D05">
        <w:rPr>
          <w:rFonts w:cstheme="minorHAnsi"/>
        </w:rPr>
        <w:br/>
      </w:r>
    </w:p>
    <w:p w14:paraId="4B48FB97" w14:textId="4CE987C9" w:rsidR="005514ED" w:rsidRDefault="0090772E" w:rsidP="00FE094E">
      <w:pPr>
        <w:spacing w:after="120" w:line="240" w:lineRule="auto"/>
        <w:rPr>
          <w:rFonts w:cstheme="minorHAnsi"/>
        </w:rPr>
      </w:pPr>
      <w:r>
        <w:rPr>
          <w:rFonts w:cstheme="minorHAnsi"/>
        </w:rPr>
        <w:t xml:space="preserve">Funding for </w:t>
      </w:r>
      <w:r w:rsidRPr="00301C71">
        <w:rPr>
          <w:rFonts w:cstheme="minorHAnsi"/>
        </w:rPr>
        <w:t xml:space="preserve">data capability initiatives </w:t>
      </w:r>
      <w:r>
        <w:rPr>
          <w:rFonts w:cstheme="minorHAnsi"/>
        </w:rPr>
        <w:t xml:space="preserve">would increase the </w:t>
      </w:r>
      <w:r w:rsidR="005514ED" w:rsidRPr="00301C71">
        <w:rPr>
          <w:rFonts w:cstheme="minorHAnsi"/>
        </w:rPr>
        <w:t xml:space="preserve">data capability of financial counsellors and </w:t>
      </w:r>
      <w:r>
        <w:rPr>
          <w:rFonts w:cstheme="minorHAnsi"/>
        </w:rPr>
        <w:t xml:space="preserve">the </w:t>
      </w:r>
      <w:r w:rsidR="005514ED" w:rsidRPr="00301C71">
        <w:rPr>
          <w:rFonts w:cstheme="minorHAnsi"/>
        </w:rPr>
        <w:t>financial counselling sector.</w:t>
      </w:r>
      <w:r w:rsidR="00E8701B" w:rsidRPr="00301C71">
        <w:rPr>
          <w:rFonts w:cstheme="minorHAnsi"/>
        </w:rPr>
        <w:t xml:space="preserve"> </w:t>
      </w:r>
      <w:r w:rsidR="005514ED" w:rsidRPr="00301C71">
        <w:rPr>
          <w:rFonts w:cstheme="minorHAnsi"/>
        </w:rPr>
        <w:t>Improvements to data capability would enable improvements in data quality, and improve the value derived from collected data.</w:t>
      </w:r>
      <w:r w:rsidR="00F25A7E">
        <w:rPr>
          <w:rFonts w:cstheme="minorHAnsi"/>
        </w:rPr>
        <w:t xml:space="preserve"> </w:t>
      </w:r>
      <w:r w:rsidR="00057248">
        <w:rPr>
          <w:rFonts w:cstheme="minorHAnsi"/>
        </w:rPr>
        <w:t>The Department has undertaken a number of w</w:t>
      </w:r>
      <w:r w:rsidR="00AC36CE">
        <w:rPr>
          <w:rFonts w:cstheme="minorHAnsi"/>
        </w:rPr>
        <w:t xml:space="preserve">orkshops </w:t>
      </w:r>
      <w:r w:rsidR="00057248">
        <w:rPr>
          <w:rFonts w:cstheme="minorHAnsi"/>
        </w:rPr>
        <w:t xml:space="preserve">with the financial counselling sector and state and territory officials on </w:t>
      </w:r>
      <w:r w:rsidR="002B4EBA">
        <w:rPr>
          <w:rFonts w:cstheme="minorHAnsi"/>
        </w:rPr>
        <w:t>possible initiatives</w:t>
      </w:r>
      <w:r w:rsidR="00AC36CE">
        <w:rPr>
          <w:rFonts w:cstheme="minorHAnsi"/>
        </w:rPr>
        <w:t xml:space="preserve">, and </w:t>
      </w:r>
      <w:r w:rsidR="00057248">
        <w:rPr>
          <w:rFonts w:cstheme="minorHAnsi"/>
        </w:rPr>
        <w:t xml:space="preserve">is in the process of </w:t>
      </w:r>
      <w:r w:rsidR="002B4EBA">
        <w:rPr>
          <w:rFonts w:cstheme="minorHAnsi"/>
        </w:rPr>
        <w:t>finalis</w:t>
      </w:r>
      <w:r w:rsidR="00057248">
        <w:rPr>
          <w:rFonts w:cstheme="minorHAnsi"/>
        </w:rPr>
        <w:t>ing</w:t>
      </w:r>
      <w:r w:rsidR="002B4EBA">
        <w:rPr>
          <w:rFonts w:cstheme="minorHAnsi"/>
        </w:rPr>
        <w:t xml:space="preserve"> options</w:t>
      </w:r>
      <w:r w:rsidR="00AC36CE">
        <w:rPr>
          <w:rFonts w:cstheme="minorHAnsi"/>
        </w:rPr>
        <w:t xml:space="preserve">.  </w:t>
      </w:r>
    </w:p>
    <w:p w14:paraId="78D86885" w14:textId="77777777" w:rsidR="008F1C93" w:rsidRDefault="008F1C93">
      <w:pPr>
        <w:rPr>
          <w:rFonts w:cstheme="minorHAnsi"/>
        </w:rPr>
      </w:pPr>
    </w:p>
    <w:p w14:paraId="3A667CC6" w14:textId="75AFEB07" w:rsidR="00EB12DC" w:rsidRDefault="00EB12DC">
      <w:pPr>
        <w:rPr>
          <w:rFonts w:cstheme="minorHAnsi"/>
        </w:rPr>
      </w:pPr>
      <w:r>
        <w:rPr>
          <w:rFonts w:cstheme="minorHAnsi"/>
        </w:rPr>
        <w:br w:type="page"/>
      </w:r>
    </w:p>
    <w:p w14:paraId="0D02BA98" w14:textId="558E5AF2" w:rsidR="00507C12" w:rsidRPr="00100C50" w:rsidDel="00D33A34" w:rsidRDefault="00507C12" w:rsidP="004E1899">
      <w:pPr>
        <w:pStyle w:val="Heading1"/>
        <w:spacing w:before="0"/>
      </w:pPr>
      <w:bookmarkStart w:id="35" w:name="_Toc118288278"/>
      <w:r w:rsidRPr="00100C50" w:rsidDel="00D33A34">
        <w:lastRenderedPageBreak/>
        <w:t>Next steps</w:t>
      </w:r>
      <w:bookmarkEnd w:id="35"/>
      <w:r w:rsidRPr="00100C50" w:rsidDel="00D33A34">
        <w:t xml:space="preserve"> </w:t>
      </w:r>
    </w:p>
    <w:p w14:paraId="3CBD2127" w14:textId="0B2D620E" w:rsidR="002224D2" w:rsidRDefault="00F02DF9" w:rsidP="00E9797A">
      <w:pPr>
        <w:rPr>
          <w:rFonts w:eastAsiaTheme="majorEastAsia"/>
        </w:rPr>
      </w:pPr>
      <w:r>
        <w:rPr>
          <w:rFonts w:eastAsiaTheme="majorEastAsia"/>
        </w:rPr>
        <w:t>This discussion paper invites you to have your say</w:t>
      </w:r>
      <w:r w:rsidR="006A6EA0">
        <w:rPr>
          <w:rFonts w:eastAsiaTheme="majorEastAsia"/>
        </w:rPr>
        <w:t xml:space="preserve"> </w:t>
      </w:r>
      <w:r w:rsidR="00E44ADC">
        <w:rPr>
          <w:rFonts w:eastAsiaTheme="majorEastAsia"/>
        </w:rPr>
        <w:t>and your</w:t>
      </w:r>
      <w:r w:rsidR="002224D2">
        <w:rPr>
          <w:rFonts w:eastAsiaTheme="majorEastAsia"/>
        </w:rPr>
        <w:t xml:space="preserve"> input will help inform the development of the industry funding model. </w:t>
      </w:r>
    </w:p>
    <w:p w14:paraId="3EAD9708" w14:textId="77777777" w:rsidR="00507C12" w:rsidRDefault="002224D2" w:rsidP="00F914A4">
      <w:pPr>
        <w:rPr>
          <w:rFonts w:eastAsiaTheme="majorEastAsia"/>
        </w:rPr>
      </w:pPr>
      <w:r>
        <w:rPr>
          <w:rFonts w:eastAsiaTheme="majorEastAsia"/>
        </w:rPr>
        <w:t xml:space="preserve">To support the discussion paper submissions, </w:t>
      </w:r>
      <w:r w:rsidR="00F02DF9" w:rsidRPr="001C053B">
        <w:rPr>
          <w:rFonts w:eastAsiaTheme="majorEastAsia"/>
        </w:rPr>
        <w:t>DSS intends to undertake a range of consultation activities</w:t>
      </w:r>
      <w:r w:rsidRPr="001C053B">
        <w:rPr>
          <w:rFonts w:eastAsiaTheme="majorEastAsia"/>
        </w:rPr>
        <w:t xml:space="preserve"> to engage directly with:</w:t>
      </w:r>
    </w:p>
    <w:p w14:paraId="2487DAC9" w14:textId="7C1F2423" w:rsidR="002224D2" w:rsidRPr="002A3B93" w:rsidRDefault="002224D2" w:rsidP="0081392E">
      <w:pPr>
        <w:numPr>
          <w:ilvl w:val="0"/>
          <w:numId w:val="7"/>
        </w:numPr>
        <w:tabs>
          <w:tab w:val="left" w:pos="720"/>
        </w:tabs>
        <w:rPr>
          <w:rFonts w:cs="Arial"/>
          <w:lang w:bidi="en-US"/>
        </w:rPr>
      </w:pPr>
      <w:r w:rsidRPr="002A3B93">
        <w:rPr>
          <w:rFonts w:cs="Arial"/>
          <w:lang w:bidi="en-US"/>
        </w:rPr>
        <w:t>Financial Counselling Australia</w:t>
      </w:r>
      <w:r w:rsidR="00A03A8D">
        <w:rPr>
          <w:rFonts w:cs="Arial"/>
          <w:lang w:bidi="en-US"/>
        </w:rPr>
        <w:t xml:space="preserve"> and the state/t</w:t>
      </w:r>
      <w:r w:rsidR="001B1AA9">
        <w:rPr>
          <w:rFonts w:cs="Arial"/>
          <w:lang w:bidi="en-US"/>
        </w:rPr>
        <w:t>erritory financial counselling associations</w:t>
      </w:r>
      <w:r w:rsidR="00B33C0D">
        <w:rPr>
          <w:rFonts w:cs="Arial"/>
          <w:lang w:bidi="en-US"/>
        </w:rPr>
        <w:t>;</w:t>
      </w:r>
      <w:r w:rsidRPr="002A3B93">
        <w:rPr>
          <w:rFonts w:cs="Arial"/>
          <w:lang w:bidi="en-US"/>
        </w:rPr>
        <w:t xml:space="preserve"> </w:t>
      </w:r>
    </w:p>
    <w:p w14:paraId="0AE1126F" w14:textId="4F7D29FC" w:rsidR="002224D2" w:rsidRPr="002A3B93" w:rsidRDefault="00A03A8D" w:rsidP="0081392E">
      <w:pPr>
        <w:numPr>
          <w:ilvl w:val="0"/>
          <w:numId w:val="7"/>
        </w:numPr>
        <w:tabs>
          <w:tab w:val="left" w:pos="720"/>
        </w:tabs>
        <w:rPr>
          <w:rFonts w:cs="Arial"/>
          <w:lang w:bidi="en-US"/>
        </w:rPr>
      </w:pPr>
      <w:r>
        <w:rPr>
          <w:rFonts w:cs="Arial"/>
          <w:lang w:bidi="en-US"/>
        </w:rPr>
        <w:t>p</w:t>
      </w:r>
      <w:r w:rsidR="002224D2" w:rsidRPr="002A3B93">
        <w:rPr>
          <w:rFonts w:cs="Arial"/>
          <w:lang w:bidi="en-US"/>
        </w:rPr>
        <w:t>eak organisations representing industries</w:t>
      </w:r>
      <w:r w:rsidR="00B33C0D">
        <w:rPr>
          <w:rFonts w:cs="Arial"/>
          <w:lang w:bidi="en-US"/>
        </w:rPr>
        <w:t>;</w:t>
      </w:r>
      <w:r w:rsidR="002224D2" w:rsidRPr="002A3B93">
        <w:rPr>
          <w:rFonts w:cs="Arial"/>
          <w:lang w:bidi="en-US"/>
        </w:rPr>
        <w:t xml:space="preserve"> </w:t>
      </w:r>
    </w:p>
    <w:p w14:paraId="778CF5C0" w14:textId="448F9AA1" w:rsidR="002224D2" w:rsidRPr="002A3B93" w:rsidRDefault="00A03A8D" w:rsidP="0081392E">
      <w:pPr>
        <w:numPr>
          <w:ilvl w:val="0"/>
          <w:numId w:val="7"/>
        </w:numPr>
        <w:tabs>
          <w:tab w:val="left" w:pos="720"/>
        </w:tabs>
        <w:rPr>
          <w:rFonts w:cs="Arial"/>
          <w:lang w:bidi="en-US"/>
        </w:rPr>
      </w:pPr>
      <w:r>
        <w:rPr>
          <w:rFonts w:cs="Arial"/>
          <w:lang w:bidi="en-US"/>
        </w:rPr>
        <w:t>r</w:t>
      </w:r>
      <w:r w:rsidR="002224D2" w:rsidRPr="002A3B93">
        <w:rPr>
          <w:rFonts w:cs="Arial"/>
          <w:lang w:bidi="en-US"/>
        </w:rPr>
        <w:t>elevant industry organisations</w:t>
      </w:r>
      <w:r w:rsidR="00B33C0D">
        <w:rPr>
          <w:rFonts w:cs="Arial"/>
          <w:lang w:bidi="en-US"/>
        </w:rPr>
        <w:t>;</w:t>
      </w:r>
    </w:p>
    <w:p w14:paraId="75BCC740" w14:textId="0999599A" w:rsidR="002224D2" w:rsidRPr="002A3B93" w:rsidRDefault="00A03A8D" w:rsidP="0081392E">
      <w:pPr>
        <w:numPr>
          <w:ilvl w:val="0"/>
          <w:numId w:val="7"/>
        </w:numPr>
        <w:tabs>
          <w:tab w:val="left" w:pos="720"/>
        </w:tabs>
        <w:rPr>
          <w:rFonts w:cs="Arial"/>
          <w:lang w:bidi="en-US"/>
        </w:rPr>
      </w:pPr>
      <w:r>
        <w:rPr>
          <w:rFonts w:cs="Arial"/>
          <w:lang w:bidi="en-US"/>
        </w:rPr>
        <w:t>p</w:t>
      </w:r>
      <w:r w:rsidR="002224D2" w:rsidRPr="002A3B93">
        <w:rPr>
          <w:rFonts w:cs="Arial"/>
          <w:lang w:bidi="en-US"/>
        </w:rPr>
        <w:t xml:space="preserve">roviders of financial </w:t>
      </w:r>
      <w:r w:rsidR="002224D2" w:rsidRPr="00AB6C89">
        <w:rPr>
          <w:rFonts w:cs="Arial"/>
          <w:lang w:bidi="en-US"/>
        </w:rPr>
        <w:t>counselling</w:t>
      </w:r>
      <w:r w:rsidR="00B33C0D">
        <w:rPr>
          <w:rFonts w:cs="Arial"/>
          <w:lang w:bidi="en-US"/>
        </w:rPr>
        <w:t>;</w:t>
      </w:r>
      <w:r w:rsidR="00C43240" w:rsidRPr="002A3B93">
        <w:rPr>
          <w:rFonts w:cs="Arial"/>
          <w:lang w:bidi="en-US"/>
        </w:rPr>
        <w:t xml:space="preserve"> and</w:t>
      </w:r>
    </w:p>
    <w:p w14:paraId="13176DF7" w14:textId="3429292F" w:rsidR="00D660CA" w:rsidRPr="002A3B93" w:rsidRDefault="00A03A8D" w:rsidP="0081392E">
      <w:pPr>
        <w:numPr>
          <w:ilvl w:val="0"/>
          <w:numId w:val="7"/>
        </w:numPr>
        <w:tabs>
          <w:tab w:val="left" w:pos="720"/>
        </w:tabs>
        <w:rPr>
          <w:rFonts w:cs="Arial"/>
          <w:lang w:bidi="en-US"/>
        </w:rPr>
      </w:pPr>
      <w:r>
        <w:rPr>
          <w:rFonts w:cs="Arial"/>
          <w:lang w:bidi="en-US"/>
        </w:rPr>
        <w:t>o</w:t>
      </w:r>
      <w:r w:rsidR="002224D2" w:rsidRPr="002A3B93">
        <w:rPr>
          <w:rFonts w:cs="Arial"/>
          <w:lang w:bidi="en-US"/>
        </w:rPr>
        <w:t xml:space="preserve">ther stakeholders identified in consultation with the </w:t>
      </w:r>
      <w:r w:rsidR="00B7019C">
        <w:rPr>
          <w:rFonts w:cs="Arial"/>
          <w:lang w:bidi="en-US"/>
        </w:rPr>
        <w:t>D</w:t>
      </w:r>
      <w:r w:rsidR="002224D2" w:rsidRPr="002A3B93">
        <w:rPr>
          <w:rFonts w:cs="Arial"/>
          <w:lang w:bidi="en-US"/>
        </w:rPr>
        <w:t>epartment.</w:t>
      </w:r>
    </w:p>
    <w:p w14:paraId="727E9119" w14:textId="6DDF8300" w:rsidR="00DC1F29" w:rsidRDefault="006A6EA0" w:rsidP="0081392E">
      <w:pPr>
        <w:pStyle w:val="ListParagraph"/>
        <w:ind w:left="0"/>
        <w:contextualSpacing w:val="0"/>
        <w:rPr>
          <w:snapToGrid w:val="0"/>
        </w:rPr>
      </w:pPr>
      <w:r w:rsidRPr="00A42A3A">
        <w:rPr>
          <w:snapToGrid w:val="0"/>
        </w:rPr>
        <w:t xml:space="preserve">The discussion paper will be supported </w:t>
      </w:r>
      <w:r w:rsidRPr="001C053B">
        <w:rPr>
          <w:snapToGrid w:val="0"/>
        </w:rPr>
        <w:t xml:space="preserve">by targeted </w:t>
      </w:r>
      <w:r w:rsidR="00A03A8D">
        <w:rPr>
          <w:snapToGrid w:val="0"/>
        </w:rPr>
        <w:t>roundtables</w:t>
      </w:r>
      <w:r w:rsidRPr="00A42A3A">
        <w:rPr>
          <w:snapToGrid w:val="0"/>
        </w:rPr>
        <w:t xml:space="preserve"> with relevant stakeholders, to enable engagement on design aspects of the model</w:t>
      </w:r>
      <w:r>
        <w:rPr>
          <w:snapToGrid w:val="0"/>
        </w:rPr>
        <w:t xml:space="preserve"> </w:t>
      </w:r>
      <w:r w:rsidR="00117341">
        <w:rPr>
          <w:snapToGrid w:val="0"/>
        </w:rPr>
        <w:t xml:space="preserve">in </w:t>
      </w:r>
      <w:r w:rsidR="0027166E">
        <w:rPr>
          <w:snapToGrid w:val="0"/>
        </w:rPr>
        <w:t>November and December</w:t>
      </w:r>
      <w:r w:rsidR="00BC5F23">
        <w:rPr>
          <w:snapToGrid w:val="0"/>
        </w:rPr>
        <w:t xml:space="preserve"> </w:t>
      </w:r>
      <w:r>
        <w:rPr>
          <w:snapToGrid w:val="0"/>
        </w:rPr>
        <w:t>2022</w:t>
      </w:r>
      <w:r w:rsidRPr="00A42A3A">
        <w:rPr>
          <w:snapToGrid w:val="0"/>
        </w:rPr>
        <w:t>.</w:t>
      </w:r>
      <w:r w:rsidR="004D61A1">
        <w:rPr>
          <w:snapToGrid w:val="0"/>
        </w:rPr>
        <w:t xml:space="preserve"> </w:t>
      </w:r>
      <w:r w:rsidR="005E468A">
        <w:rPr>
          <w:snapToGrid w:val="0"/>
        </w:rPr>
        <w:t xml:space="preserve">Further information on the design on the </w:t>
      </w:r>
      <w:r w:rsidR="00CE1055">
        <w:rPr>
          <w:snapToGrid w:val="0"/>
        </w:rPr>
        <w:t>model</w:t>
      </w:r>
      <w:r w:rsidR="005E468A">
        <w:rPr>
          <w:snapToGrid w:val="0"/>
        </w:rPr>
        <w:t xml:space="preserve"> will be made available ahead of the anticipated commencement in Ju</w:t>
      </w:r>
      <w:r w:rsidR="00C43240">
        <w:rPr>
          <w:snapToGrid w:val="0"/>
        </w:rPr>
        <w:t>ly</w:t>
      </w:r>
      <w:r w:rsidR="005E468A">
        <w:rPr>
          <w:snapToGrid w:val="0"/>
        </w:rPr>
        <w:t xml:space="preserve"> 202</w:t>
      </w:r>
      <w:r w:rsidR="00C43240">
        <w:rPr>
          <w:snapToGrid w:val="0"/>
        </w:rPr>
        <w:t>3</w:t>
      </w:r>
      <w:r w:rsidR="005E468A">
        <w:rPr>
          <w:snapToGrid w:val="0"/>
        </w:rPr>
        <w:t xml:space="preserve">. </w:t>
      </w:r>
    </w:p>
    <w:p w14:paraId="7814FF78" w14:textId="53D27599" w:rsidR="002224D2" w:rsidRPr="004F08BB" w:rsidRDefault="00BE59D3" w:rsidP="0081392E">
      <w:pPr>
        <w:rPr>
          <w:rFonts w:cs="Arial"/>
          <w:lang w:bidi="en-US"/>
        </w:rPr>
      </w:pPr>
      <w:r>
        <w:rPr>
          <w:rFonts w:eastAsiaTheme="majorEastAsia" w:cs="Arial"/>
          <w:b/>
          <w:bCs/>
          <w:lang w:bidi="en-US"/>
        </w:rPr>
        <w:t>When is the consultation open?</w:t>
      </w:r>
    </w:p>
    <w:p w14:paraId="1506D0F8" w14:textId="1E56311C" w:rsidR="002224D2" w:rsidRPr="004E5A28" w:rsidRDefault="002224D2" w:rsidP="00F914A4">
      <w:pPr>
        <w:rPr>
          <w:rFonts w:eastAsiaTheme="majorEastAsia"/>
        </w:rPr>
      </w:pPr>
      <w:r>
        <w:rPr>
          <w:rFonts w:eastAsiaTheme="majorEastAsia"/>
        </w:rPr>
        <w:t>The consultation paper is open</w:t>
      </w:r>
      <w:r w:rsidR="0027166E">
        <w:rPr>
          <w:rFonts w:eastAsiaTheme="majorEastAsia"/>
        </w:rPr>
        <w:t xml:space="preserve"> for six weeks,</w:t>
      </w:r>
      <w:r>
        <w:rPr>
          <w:rFonts w:eastAsiaTheme="majorEastAsia"/>
        </w:rPr>
        <w:t xml:space="preserve"> from:</w:t>
      </w:r>
      <w:r w:rsidR="004E5A28">
        <w:rPr>
          <w:rFonts w:eastAsiaTheme="majorEastAsia"/>
        </w:rPr>
        <w:t xml:space="preserve"> </w:t>
      </w:r>
      <w:r w:rsidR="004E5A28" w:rsidRPr="004E5A28">
        <w:rPr>
          <w:rFonts w:eastAsiaTheme="majorEastAsia"/>
          <w:b/>
        </w:rPr>
        <w:t>7</w:t>
      </w:r>
      <w:r w:rsidR="004E5A28">
        <w:rPr>
          <w:rFonts w:eastAsiaTheme="majorEastAsia"/>
        </w:rPr>
        <w:t xml:space="preserve"> </w:t>
      </w:r>
      <w:r w:rsidR="00A03A8D" w:rsidRPr="00A03A8D">
        <w:rPr>
          <w:rFonts w:eastAsiaTheme="majorEastAsia"/>
          <w:b/>
        </w:rPr>
        <w:t>November</w:t>
      </w:r>
      <w:r w:rsidR="001C053B" w:rsidRPr="00A03A8D">
        <w:rPr>
          <w:rFonts w:eastAsiaTheme="majorEastAsia"/>
          <w:b/>
        </w:rPr>
        <w:t xml:space="preserve"> </w:t>
      </w:r>
      <w:r w:rsidRPr="00A03A8D">
        <w:rPr>
          <w:rFonts w:eastAsiaTheme="majorEastAsia"/>
          <w:b/>
        </w:rPr>
        <w:t>202</w:t>
      </w:r>
      <w:r w:rsidR="004D61A1" w:rsidRPr="00A03A8D">
        <w:rPr>
          <w:rFonts w:eastAsiaTheme="majorEastAsia"/>
          <w:b/>
        </w:rPr>
        <w:t>2</w:t>
      </w:r>
      <w:r w:rsidRPr="00A03A8D">
        <w:rPr>
          <w:rFonts w:eastAsiaTheme="majorEastAsia"/>
          <w:b/>
        </w:rPr>
        <w:t xml:space="preserve"> to </w:t>
      </w:r>
      <w:r w:rsidR="00A03A8D" w:rsidRPr="00A03A8D">
        <w:rPr>
          <w:rFonts w:eastAsiaTheme="majorEastAsia"/>
          <w:b/>
        </w:rPr>
        <w:t>16</w:t>
      </w:r>
      <w:r w:rsidR="00312B56" w:rsidRPr="00A03A8D">
        <w:rPr>
          <w:rFonts w:eastAsiaTheme="majorEastAsia"/>
          <w:b/>
        </w:rPr>
        <w:t xml:space="preserve"> </w:t>
      </w:r>
      <w:r w:rsidR="0027166E" w:rsidRPr="00A03A8D">
        <w:rPr>
          <w:rFonts w:eastAsiaTheme="majorEastAsia"/>
          <w:b/>
        </w:rPr>
        <w:t xml:space="preserve">December </w:t>
      </w:r>
      <w:r w:rsidRPr="00A03A8D">
        <w:rPr>
          <w:rFonts w:eastAsiaTheme="majorEastAsia"/>
          <w:b/>
        </w:rPr>
        <w:t>2022</w:t>
      </w:r>
    </w:p>
    <w:p w14:paraId="418B822D" w14:textId="2ADA1278" w:rsidR="002224D2" w:rsidRDefault="002224D2">
      <w:pPr>
        <w:rPr>
          <w:rFonts w:eastAsiaTheme="majorEastAsia"/>
        </w:rPr>
      </w:pPr>
      <w:r w:rsidRPr="002224D2">
        <w:rPr>
          <w:rFonts w:eastAsiaTheme="majorEastAsia"/>
        </w:rPr>
        <w:t xml:space="preserve">Interested </w:t>
      </w:r>
      <w:r>
        <w:rPr>
          <w:rFonts w:eastAsiaTheme="majorEastAsia"/>
        </w:rPr>
        <w:t xml:space="preserve">individuals and organisations are invited to provide written submissions to </w:t>
      </w:r>
      <w:r w:rsidR="005E468A">
        <w:rPr>
          <w:rFonts w:eastAsiaTheme="majorEastAsia"/>
        </w:rPr>
        <w:t xml:space="preserve">the </w:t>
      </w:r>
      <w:r w:rsidR="006E23E3">
        <w:rPr>
          <w:rFonts w:eastAsiaTheme="majorEastAsia"/>
        </w:rPr>
        <w:t>D</w:t>
      </w:r>
      <w:r w:rsidR="005E468A">
        <w:rPr>
          <w:rFonts w:eastAsiaTheme="majorEastAsia"/>
        </w:rPr>
        <w:t xml:space="preserve">epartment </w:t>
      </w:r>
      <w:r>
        <w:rPr>
          <w:rFonts w:eastAsiaTheme="majorEastAsia"/>
        </w:rPr>
        <w:t>through engage.dss.gov.au b</w:t>
      </w:r>
      <w:r w:rsidRPr="00A03A8D">
        <w:rPr>
          <w:rFonts w:eastAsiaTheme="majorEastAsia"/>
        </w:rPr>
        <w:t xml:space="preserve">y </w:t>
      </w:r>
      <w:r w:rsidR="00A03A8D" w:rsidRPr="00A03A8D">
        <w:rPr>
          <w:rFonts w:eastAsiaTheme="majorEastAsia"/>
        </w:rPr>
        <w:t xml:space="preserve">16 </w:t>
      </w:r>
      <w:r w:rsidR="0027166E" w:rsidRPr="00A03A8D">
        <w:rPr>
          <w:rFonts w:eastAsiaTheme="majorEastAsia"/>
        </w:rPr>
        <w:t xml:space="preserve">December </w:t>
      </w:r>
      <w:r w:rsidRPr="00A03A8D">
        <w:rPr>
          <w:rFonts w:eastAsiaTheme="majorEastAsia"/>
        </w:rPr>
        <w:t>2022.</w:t>
      </w:r>
      <w:r>
        <w:rPr>
          <w:rFonts w:eastAsiaTheme="majorEastAsia"/>
        </w:rPr>
        <w:t xml:space="preserve"> </w:t>
      </w:r>
    </w:p>
    <w:p w14:paraId="200DC826" w14:textId="2ADDB874" w:rsidR="002224D2" w:rsidRPr="002224D2" w:rsidRDefault="002224D2">
      <w:pPr>
        <w:rPr>
          <w:rFonts w:eastAsiaTheme="majorEastAsia"/>
        </w:rPr>
      </w:pPr>
      <w:r>
        <w:rPr>
          <w:rFonts w:eastAsiaTheme="majorEastAsia"/>
        </w:rPr>
        <w:t xml:space="preserve">The closing date for submissions is </w:t>
      </w:r>
      <w:r w:rsidRPr="00A03A8D">
        <w:rPr>
          <w:rFonts w:eastAsiaTheme="majorEastAsia"/>
          <w:b/>
        </w:rPr>
        <w:t>5.00pm</w:t>
      </w:r>
      <w:r w:rsidR="00B7019C" w:rsidRPr="00A03A8D">
        <w:rPr>
          <w:rFonts w:eastAsiaTheme="majorEastAsia"/>
          <w:b/>
        </w:rPr>
        <w:t xml:space="preserve"> </w:t>
      </w:r>
      <w:r w:rsidR="00A03A8D" w:rsidRPr="00A03A8D">
        <w:rPr>
          <w:rFonts w:eastAsiaTheme="majorEastAsia"/>
          <w:b/>
        </w:rPr>
        <w:t>16</w:t>
      </w:r>
      <w:r w:rsidR="00312B56" w:rsidRPr="00A03A8D">
        <w:rPr>
          <w:rFonts w:eastAsiaTheme="majorEastAsia"/>
          <w:b/>
        </w:rPr>
        <w:t xml:space="preserve"> </w:t>
      </w:r>
      <w:r w:rsidR="0027166E" w:rsidRPr="00A03A8D">
        <w:rPr>
          <w:rFonts w:eastAsiaTheme="majorEastAsia"/>
          <w:b/>
        </w:rPr>
        <w:t xml:space="preserve">December </w:t>
      </w:r>
      <w:r w:rsidR="00C5278C" w:rsidRPr="00A03A8D">
        <w:rPr>
          <w:rFonts w:eastAsiaTheme="majorEastAsia"/>
          <w:b/>
        </w:rPr>
        <w:t>2022</w:t>
      </w:r>
      <w:r w:rsidRPr="00A03A8D">
        <w:rPr>
          <w:rFonts w:eastAsiaTheme="majorEastAsia"/>
          <w:b/>
        </w:rPr>
        <w:t xml:space="preserve"> (AEDT).</w:t>
      </w:r>
      <w:r>
        <w:rPr>
          <w:rFonts w:eastAsiaTheme="majorEastAsia"/>
        </w:rPr>
        <w:t xml:space="preserve"> </w:t>
      </w:r>
    </w:p>
    <w:p w14:paraId="3C5CFB27" w14:textId="77777777" w:rsidR="007C00EB" w:rsidRDefault="007C00EB">
      <w:r>
        <w:br w:type="page"/>
      </w:r>
    </w:p>
    <w:p w14:paraId="6D40072A" w14:textId="77777777" w:rsidR="00D85909" w:rsidRDefault="007C00EB" w:rsidP="004E1899">
      <w:pPr>
        <w:pStyle w:val="Heading1"/>
        <w:numPr>
          <w:ilvl w:val="0"/>
          <w:numId w:val="0"/>
        </w:numPr>
        <w:spacing w:before="0"/>
      </w:pPr>
      <w:bookmarkStart w:id="36" w:name="_Toc118288279"/>
      <w:r>
        <w:lastRenderedPageBreak/>
        <w:t>Glossary</w:t>
      </w:r>
      <w:r w:rsidR="00164647">
        <w:t xml:space="preserve"> of key terms</w:t>
      </w:r>
      <w:bookmarkEnd w:id="36"/>
    </w:p>
    <w:tbl>
      <w:tblPr>
        <w:tblStyle w:val="DSSTableStyleB"/>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825"/>
      </w:tblGrid>
      <w:tr w:rsidR="0031155B" w:rsidRPr="00AB6C89" w14:paraId="4A516C5E" w14:textId="77777777" w:rsidTr="00D70B88">
        <w:trPr>
          <w:cnfStyle w:val="100000000000" w:firstRow="1" w:lastRow="0" w:firstColumn="0" w:lastColumn="0" w:oddVBand="0" w:evenVBand="0" w:oddHBand="0" w:evenHBand="0" w:firstRowFirstColumn="0" w:firstRowLastColumn="0" w:lastRowFirstColumn="0" w:lastRowLastColumn="0"/>
          <w:trHeight w:val="409"/>
        </w:trPr>
        <w:tc>
          <w:tcPr>
            <w:tcW w:w="4274" w:type="dxa"/>
            <w:noWrap/>
          </w:tcPr>
          <w:p w14:paraId="78AF8780" w14:textId="59929BA3" w:rsidR="0031155B" w:rsidRPr="008F6294" w:rsidRDefault="0031155B" w:rsidP="0031155B">
            <w:pPr>
              <w:rPr>
                <w:rFonts w:asciiTheme="minorHAnsi" w:eastAsia="Times New Roman" w:hAnsiTheme="minorHAnsi" w:cstheme="minorHAnsi"/>
                <w:bCs/>
                <w:sz w:val="20"/>
                <w:szCs w:val="20"/>
                <w:lang w:eastAsia="en-AU"/>
              </w:rPr>
            </w:pPr>
            <w:r w:rsidRPr="008F6294">
              <w:rPr>
                <w:rFonts w:asciiTheme="minorHAnsi" w:eastAsia="Times New Roman" w:hAnsiTheme="minorHAnsi" w:cstheme="minorHAnsi"/>
                <w:bCs/>
                <w:sz w:val="20"/>
                <w:szCs w:val="20"/>
                <w:lang w:eastAsia="en-AU"/>
              </w:rPr>
              <w:t>Term</w:t>
            </w:r>
          </w:p>
        </w:tc>
        <w:tc>
          <w:tcPr>
            <w:tcW w:w="4825" w:type="dxa"/>
            <w:noWrap/>
          </w:tcPr>
          <w:p w14:paraId="00EE2015" w14:textId="20C596CD" w:rsidR="0031155B" w:rsidRPr="008F6294" w:rsidRDefault="0031155B" w:rsidP="0031155B">
            <w:pPr>
              <w:rPr>
                <w:rFonts w:asciiTheme="minorHAnsi" w:eastAsia="Times New Roman" w:hAnsiTheme="minorHAnsi" w:cstheme="minorHAnsi"/>
                <w:bCs/>
                <w:sz w:val="20"/>
                <w:szCs w:val="20"/>
                <w:lang w:eastAsia="en-AU"/>
              </w:rPr>
            </w:pPr>
            <w:r w:rsidRPr="008F6294">
              <w:rPr>
                <w:rFonts w:asciiTheme="minorHAnsi" w:eastAsia="Times New Roman" w:hAnsiTheme="minorHAnsi" w:cstheme="minorHAnsi"/>
                <w:bCs/>
                <w:sz w:val="20"/>
                <w:szCs w:val="20"/>
                <w:lang w:eastAsia="en-AU"/>
              </w:rPr>
              <w:t>Definition</w:t>
            </w:r>
          </w:p>
        </w:tc>
      </w:tr>
      <w:tr w:rsidR="004E10EE" w:rsidRPr="00AB6C89" w14:paraId="56AD3ADF" w14:textId="77777777" w:rsidTr="00E25DE8">
        <w:trPr>
          <w:trHeight w:val="20"/>
        </w:trPr>
        <w:tc>
          <w:tcPr>
            <w:tcW w:w="4274" w:type="dxa"/>
            <w:noWrap/>
          </w:tcPr>
          <w:p w14:paraId="30B72878" w14:textId="1A7B60B5" w:rsidR="0031155B" w:rsidRPr="008F6294" w:rsidRDefault="0031155B" w:rsidP="0031155B">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Counsellor</w:t>
            </w:r>
          </w:p>
        </w:tc>
        <w:tc>
          <w:tcPr>
            <w:tcW w:w="4825" w:type="dxa"/>
          </w:tcPr>
          <w:p w14:paraId="655EAD28" w14:textId="459BB600" w:rsidR="0031155B" w:rsidRPr="008F6294" w:rsidRDefault="0031155B"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Financial counsellors provide </w:t>
            </w:r>
            <w:r w:rsidR="00117341" w:rsidRPr="008F6294">
              <w:rPr>
                <w:rFonts w:asciiTheme="minorHAnsi" w:eastAsia="Times New Roman" w:hAnsiTheme="minorHAnsi" w:cstheme="minorHAnsi"/>
                <w:sz w:val="20"/>
                <w:szCs w:val="20"/>
                <w:lang w:eastAsia="en-AU"/>
              </w:rPr>
              <w:t xml:space="preserve">free, </w:t>
            </w:r>
            <w:r w:rsidRPr="008F6294">
              <w:rPr>
                <w:rFonts w:asciiTheme="minorHAnsi" w:eastAsia="Times New Roman" w:hAnsiTheme="minorHAnsi" w:cstheme="minorHAnsi"/>
                <w:sz w:val="20"/>
                <w:szCs w:val="20"/>
                <w:lang w:eastAsia="en-AU"/>
              </w:rPr>
              <w:t xml:space="preserve">independent expert advice and support to individuals in financial hardship. </w:t>
            </w:r>
          </w:p>
          <w:p w14:paraId="7D984C1F" w14:textId="0BA3BAB9" w:rsidR="004E10EE" w:rsidRPr="008F6294" w:rsidRDefault="0031155B">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Financial counsellors hold diploma qualifications and have specific knowledge about credit, bankruptcy and debt collect laws, concession frameworks and industry hardship practices. They are also trained in negotiation and counselling, and offer emotional support. Financial counsellors do not provide services such as financial planning advice, financial lending or endorsement of specific financial products or services. </w:t>
            </w:r>
          </w:p>
        </w:tc>
      </w:tr>
      <w:tr w:rsidR="0031155B" w:rsidRPr="00AB6C89" w14:paraId="37D452F9" w14:textId="77777777" w:rsidTr="00E25DE8">
        <w:trPr>
          <w:trHeight w:val="20"/>
        </w:trPr>
        <w:tc>
          <w:tcPr>
            <w:tcW w:w="4274" w:type="dxa"/>
            <w:noWrap/>
          </w:tcPr>
          <w:p w14:paraId="4EB84F5B" w14:textId="6CF16603" w:rsidR="0031155B" w:rsidRPr="008F6294" w:rsidRDefault="0031155B" w:rsidP="0031155B">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Unmet demand</w:t>
            </w:r>
          </w:p>
        </w:tc>
        <w:tc>
          <w:tcPr>
            <w:tcW w:w="4825" w:type="dxa"/>
          </w:tcPr>
          <w:p w14:paraId="0FC947CE" w14:textId="3FD7BED6" w:rsidR="0031155B" w:rsidRPr="008F6294" w:rsidRDefault="0031155B"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Demand is ‘unmet’ when an eligible individual requests service, but does not receive a session within two weeks.</w:t>
            </w:r>
          </w:p>
        </w:tc>
      </w:tr>
      <w:tr w:rsidR="006A4CE2" w:rsidRPr="00AB6C89" w14:paraId="2D333D56" w14:textId="77777777" w:rsidTr="00E25DE8">
        <w:trPr>
          <w:trHeight w:val="20"/>
        </w:trPr>
        <w:tc>
          <w:tcPr>
            <w:tcW w:w="4274" w:type="dxa"/>
            <w:noWrap/>
          </w:tcPr>
          <w:p w14:paraId="7340C7B4" w14:textId="40E55E92" w:rsidR="006A4CE2" w:rsidRPr="008F6294" w:rsidRDefault="006A4CE2" w:rsidP="006A4CE2">
            <w:pPr>
              <w:rPr>
                <w:rFonts w:eastAsia="Times New Roman" w:cstheme="minorHAnsi"/>
                <w:sz w:val="20"/>
                <w:szCs w:val="20"/>
                <w:lang w:eastAsia="en-AU"/>
              </w:rPr>
            </w:pPr>
            <w:r>
              <w:rPr>
                <w:rFonts w:eastAsia="Times New Roman" w:cstheme="minorHAnsi"/>
                <w:sz w:val="20"/>
                <w:szCs w:val="20"/>
                <w:lang w:eastAsia="en-AU"/>
              </w:rPr>
              <w:t>Unmet need</w:t>
            </w:r>
          </w:p>
        </w:tc>
        <w:tc>
          <w:tcPr>
            <w:tcW w:w="4825" w:type="dxa"/>
          </w:tcPr>
          <w:p w14:paraId="173A2893" w14:textId="60760FB1" w:rsidR="004E10EE" w:rsidRPr="008F6294" w:rsidRDefault="006A4CE2">
            <w:pPr>
              <w:spacing w:after="120"/>
              <w:rPr>
                <w:rFonts w:eastAsia="Times New Roman" w:cstheme="minorHAnsi"/>
                <w:sz w:val="20"/>
                <w:szCs w:val="20"/>
                <w:lang w:eastAsia="en-AU"/>
              </w:rPr>
            </w:pPr>
            <w:r>
              <w:rPr>
                <w:rFonts w:eastAsia="Times New Roman" w:cstheme="minorHAnsi"/>
                <w:sz w:val="20"/>
                <w:szCs w:val="20"/>
                <w:lang w:eastAsia="en-AU"/>
              </w:rPr>
              <w:t>Distinct from unmet demand, unmet need refers to people who would be eligible for and benefit from financial counselling but who do not access services. For example, an individual’s need would be unmet where they could benefit from financial counselling but do not request services as they are unaware of the service or unable to access them.</w:t>
            </w:r>
          </w:p>
        </w:tc>
      </w:tr>
      <w:tr w:rsidR="0031155B" w:rsidRPr="00AB6C89" w14:paraId="3806522F" w14:textId="77777777" w:rsidTr="00E25DE8">
        <w:trPr>
          <w:trHeight w:val="20"/>
        </w:trPr>
        <w:tc>
          <w:tcPr>
            <w:tcW w:w="4274" w:type="dxa"/>
            <w:noWrap/>
          </w:tcPr>
          <w:p w14:paraId="677FE994" w14:textId="27D221B5" w:rsidR="0031155B" w:rsidRPr="008F6294" w:rsidRDefault="0031155B" w:rsidP="0031155B">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Generalist Financial Counselling</w:t>
            </w:r>
          </w:p>
        </w:tc>
        <w:tc>
          <w:tcPr>
            <w:tcW w:w="4825" w:type="dxa"/>
          </w:tcPr>
          <w:p w14:paraId="3130CBC7" w14:textId="426D221B" w:rsidR="0031155B" w:rsidRPr="008F6294" w:rsidRDefault="0031155B"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Generalist financial counselling refers to services not targeted at specific demographics (e.g. Commonwealth Financial Counselling, National Debt Helpline and Money Support Hubs).</w:t>
            </w:r>
          </w:p>
        </w:tc>
      </w:tr>
      <w:tr w:rsidR="0031155B" w:rsidRPr="00AB6C89" w14:paraId="0CC18FBF" w14:textId="77777777" w:rsidTr="00E25DE8">
        <w:trPr>
          <w:trHeight w:val="20"/>
        </w:trPr>
        <w:tc>
          <w:tcPr>
            <w:tcW w:w="4274" w:type="dxa"/>
            <w:noWrap/>
          </w:tcPr>
          <w:p w14:paraId="658B9416" w14:textId="03A2C69A" w:rsidR="0031155B" w:rsidRPr="008F6294" w:rsidRDefault="0031155B" w:rsidP="0031155B">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Grant</w:t>
            </w:r>
          </w:p>
        </w:tc>
        <w:tc>
          <w:tcPr>
            <w:tcW w:w="4825" w:type="dxa"/>
          </w:tcPr>
          <w:p w14:paraId="36BD06FB" w14:textId="32334D46" w:rsidR="0031155B" w:rsidRPr="008F6294" w:rsidRDefault="0031155B"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A grant is defined as the provision of financial assistance to a recipient (the grantee) to undertake activities. The grant conditions will define what activities the funding may or may not be used for. </w:t>
            </w:r>
          </w:p>
        </w:tc>
      </w:tr>
      <w:tr w:rsidR="006A4CE2" w:rsidRPr="00AB6C89" w14:paraId="022B2B36" w14:textId="77777777" w:rsidTr="00E25DE8">
        <w:trPr>
          <w:trHeight w:val="20"/>
        </w:trPr>
        <w:tc>
          <w:tcPr>
            <w:tcW w:w="4274" w:type="dxa"/>
            <w:noWrap/>
          </w:tcPr>
          <w:p w14:paraId="78B44D94" w14:textId="0F438A5C" w:rsidR="006A4CE2" w:rsidRPr="008F6294" w:rsidRDefault="006A4CE2" w:rsidP="006A4CE2">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Session</w:t>
            </w:r>
          </w:p>
        </w:tc>
        <w:tc>
          <w:tcPr>
            <w:tcW w:w="4825" w:type="dxa"/>
          </w:tcPr>
          <w:p w14:paraId="381113A3" w14:textId="623920C9" w:rsidR="006A4CE2" w:rsidRPr="008F6294" w:rsidRDefault="00010E49" w:rsidP="006A4CE2">
            <w:pPr>
              <w:spacing w:after="120"/>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A session refers to an instance of service delivery which may include service provision directly with a client, follow-up actions on behalf of a client, and/or community education. For financial counselling, this may include intake and assessment of clients, provision of financial counselling, advocacy or support on behalf of a client, referrals to other programs and community education activities. </w:t>
            </w:r>
          </w:p>
        </w:tc>
      </w:tr>
      <w:tr w:rsidR="006A4CE2" w:rsidRPr="00AB6C89" w14:paraId="7E3BF45A" w14:textId="77777777" w:rsidTr="00E25DE8">
        <w:trPr>
          <w:trHeight w:val="20"/>
        </w:trPr>
        <w:tc>
          <w:tcPr>
            <w:tcW w:w="4274" w:type="dxa"/>
            <w:noWrap/>
          </w:tcPr>
          <w:p w14:paraId="4AFB573A" w14:textId="2DB15AAF" w:rsidR="006A4CE2" w:rsidRPr="008F6294" w:rsidRDefault="006A4CE2" w:rsidP="006A4CE2">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Demand model</w:t>
            </w:r>
          </w:p>
        </w:tc>
        <w:tc>
          <w:tcPr>
            <w:tcW w:w="4825" w:type="dxa"/>
          </w:tcPr>
          <w:p w14:paraId="274E345F" w14:textId="6F87C5F1" w:rsidR="006A4CE2" w:rsidRPr="008F6294" w:rsidRDefault="006A4CE2" w:rsidP="006A4CE2">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 method used to forecast demand for services.</w:t>
            </w:r>
          </w:p>
        </w:tc>
      </w:tr>
      <w:tr w:rsidR="006A4CE2" w:rsidRPr="00AB6C89" w14:paraId="5B13FD2F" w14:textId="77777777" w:rsidTr="00E25DE8">
        <w:trPr>
          <w:trHeight w:val="20"/>
        </w:trPr>
        <w:tc>
          <w:tcPr>
            <w:tcW w:w="4274" w:type="dxa"/>
            <w:noWrap/>
          </w:tcPr>
          <w:p w14:paraId="24351D64" w14:textId="2F30CE43" w:rsidR="006A4CE2" w:rsidRPr="008F6294" w:rsidRDefault="006A4CE2" w:rsidP="006A4CE2">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Sector</w:t>
            </w:r>
          </w:p>
        </w:tc>
        <w:tc>
          <w:tcPr>
            <w:tcW w:w="4825" w:type="dxa"/>
          </w:tcPr>
          <w:p w14:paraId="24B551E8" w14:textId="7E65B8C5" w:rsidR="006A4CE2" w:rsidRPr="008F6294" w:rsidRDefault="006A4CE2" w:rsidP="006A4CE2">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A sector is a high-level term referring to a category of industries, such as financial services, energy, water, or telecommunications. </w:t>
            </w:r>
          </w:p>
        </w:tc>
      </w:tr>
      <w:tr w:rsidR="006A4CE2" w:rsidRPr="00AB6C89" w14:paraId="68073D0E" w14:textId="77777777" w:rsidTr="00E25DE8">
        <w:trPr>
          <w:trHeight w:val="20"/>
        </w:trPr>
        <w:tc>
          <w:tcPr>
            <w:tcW w:w="4274" w:type="dxa"/>
            <w:noWrap/>
          </w:tcPr>
          <w:p w14:paraId="5A34F247" w14:textId="39C8AD9A" w:rsidR="006A4CE2" w:rsidRPr="008F6294" w:rsidDel="0031155B" w:rsidRDefault="006A4CE2" w:rsidP="006A4CE2">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Subsector</w:t>
            </w:r>
          </w:p>
        </w:tc>
        <w:tc>
          <w:tcPr>
            <w:tcW w:w="4825" w:type="dxa"/>
          </w:tcPr>
          <w:p w14:paraId="3C3F6B61" w14:textId="68D0B7B9" w:rsidR="006A4CE2" w:rsidRPr="008F6294" w:rsidDel="0031155B" w:rsidRDefault="006A4CE2" w:rsidP="006A4CE2">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A subsector is a category of businesses. Each subsector falls within a larger sector. A subsector is specific to the work undertaken by the businesses within it. For example, within the sector ‘financial services’ there is the subsector ‘bank’. </w:t>
            </w:r>
          </w:p>
        </w:tc>
      </w:tr>
    </w:tbl>
    <w:p w14:paraId="3DD09737" w14:textId="3FFD6839" w:rsidR="000C4401" w:rsidRPr="0015161B" w:rsidRDefault="0015161B" w:rsidP="004E1899">
      <w:pPr>
        <w:pStyle w:val="Heading1"/>
        <w:numPr>
          <w:ilvl w:val="0"/>
          <w:numId w:val="0"/>
        </w:numPr>
        <w:spacing w:before="0"/>
      </w:pPr>
      <w:bookmarkStart w:id="37" w:name="_Toc118288280"/>
      <w:r>
        <w:lastRenderedPageBreak/>
        <w:t xml:space="preserve">Appendix A – Background on the </w:t>
      </w:r>
      <w:r w:rsidR="00F40F68">
        <w:t>r</w:t>
      </w:r>
      <w:r>
        <w:t>eview of</w:t>
      </w:r>
      <w:r w:rsidR="00DC7E70">
        <w:t xml:space="preserve"> </w:t>
      </w:r>
      <w:r w:rsidR="00F40F68">
        <w:t>f</w:t>
      </w:r>
      <w:r>
        <w:t xml:space="preserve">inancial </w:t>
      </w:r>
      <w:r w:rsidR="00F40F68">
        <w:t>c</w:t>
      </w:r>
      <w:r>
        <w:t>ounselling</w:t>
      </w:r>
      <w:bookmarkEnd w:id="37"/>
      <w:r>
        <w:t xml:space="preserve"> </w:t>
      </w:r>
    </w:p>
    <w:p w14:paraId="74B82B59" w14:textId="569AE886" w:rsidR="00E0734B" w:rsidRPr="00D15045" w:rsidRDefault="00E0734B" w:rsidP="00D15045">
      <w:pPr>
        <w:rPr>
          <w:rFonts w:eastAsiaTheme="majorEastAsia"/>
        </w:rPr>
      </w:pPr>
      <w:r w:rsidRPr="00D15045">
        <w:rPr>
          <w:rFonts w:eastAsiaTheme="majorEastAsia"/>
        </w:rPr>
        <w:t xml:space="preserve">In response to findings of the Royal Commission into Misconduct in the Banking, Superannuation and Financial Services Industry, a review into the coordination and funding of financial counselling services was undertaken by Ms Louise Sylvan AM in March 2019. </w:t>
      </w:r>
      <w:r w:rsidRPr="00A03A8D">
        <w:rPr>
          <w:rFonts w:eastAsiaTheme="majorEastAsia"/>
          <w:i/>
        </w:rPr>
        <w:t>The Countervailing Power: Review of the coordination and funding for financial counselling services across Australia</w:t>
      </w:r>
      <w:r w:rsidRPr="008F6294">
        <w:rPr>
          <w:rFonts w:eastAsiaTheme="majorEastAsia"/>
          <w:vertAlign w:val="superscript"/>
        </w:rPr>
        <w:footnoteReference w:id="19"/>
      </w:r>
      <w:r w:rsidRPr="00D15045">
        <w:rPr>
          <w:rFonts w:eastAsiaTheme="majorEastAsia"/>
        </w:rPr>
        <w:t xml:space="preserve"> (th</w:t>
      </w:r>
      <w:r w:rsidR="00A03A8D">
        <w:rPr>
          <w:rFonts w:eastAsiaTheme="majorEastAsia"/>
        </w:rPr>
        <w:t>e Sylvan Review), engaged with state and t</w:t>
      </w:r>
      <w:r w:rsidRPr="00D15045">
        <w:rPr>
          <w:rFonts w:eastAsiaTheme="majorEastAsia"/>
        </w:rPr>
        <w:t xml:space="preserve">erritory governments, the private and not-for-profit sector, financial counselling and legal assistance sectors, and relevant </w:t>
      </w:r>
      <w:r w:rsidR="00257BDC">
        <w:rPr>
          <w:rFonts w:eastAsiaTheme="majorEastAsia"/>
        </w:rPr>
        <w:t>Australian Government</w:t>
      </w:r>
      <w:r w:rsidR="00257BDC" w:rsidRPr="00D15045">
        <w:rPr>
          <w:rFonts w:eastAsiaTheme="majorEastAsia"/>
        </w:rPr>
        <w:t xml:space="preserve"> </w:t>
      </w:r>
      <w:r w:rsidRPr="00D15045">
        <w:rPr>
          <w:rFonts w:eastAsiaTheme="majorEastAsia"/>
        </w:rPr>
        <w:t>agencies to:</w:t>
      </w:r>
    </w:p>
    <w:p w14:paraId="5863EFB0" w14:textId="77777777" w:rsidR="00E0734B" w:rsidRPr="00D15045" w:rsidRDefault="00E0734B" w:rsidP="00D15045">
      <w:pPr>
        <w:numPr>
          <w:ilvl w:val="0"/>
          <w:numId w:val="7"/>
        </w:numPr>
        <w:tabs>
          <w:tab w:val="left" w:pos="720"/>
        </w:tabs>
        <w:spacing w:before="60" w:afterLines="60" w:after="144"/>
        <w:rPr>
          <w:rFonts w:cs="Arial"/>
          <w:lang w:bidi="en-US"/>
        </w:rPr>
      </w:pPr>
      <w:r w:rsidRPr="00D15045">
        <w:rPr>
          <w:rFonts w:cs="Arial"/>
          <w:lang w:bidi="en-US"/>
        </w:rPr>
        <w:t xml:space="preserve">assess whether existing financial counselling services adequately support client’s current, emerging or changing needs, including areas such as small business and natural disasters; </w:t>
      </w:r>
    </w:p>
    <w:p w14:paraId="0CEF249B" w14:textId="77777777" w:rsidR="00E0734B" w:rsidRPr="00D15045" w:rsidRDefault="00E0734B" w:rsidP="00D15045">
      <w:pPr>
        <w:numPr>
          <w:ilvl w:val="0"/>
          <w:numId w:val="7"/>
        </w:numPr>
        <w:tabs>
          <w:tab w:val="left" w:pos="720"/>
        </w:tabs>
        <w:spacing w:before="60" w:afterLines="60" w:after="144"/>
        <w:rPr>
          <w:rFonts w:cs="Arial"/>
          <w:lang w:bidi="en-US"/>
        </w:rPr>
      </w:pPr>
      <w:r w:rsidRPr="00D15045">
        <w:rPr>
          <w:rFonts w:cs="Arial"/>
          <w:lang w:bidi="en-US"/>
        </w:rPr>
        <w:t>explore the most efficient and appropriate way to deliver financial counselling services;</w:t>
      </w:r>
    </w:p>
    <w:p w14:paraId="4D5C16D7" w14:textId="77777777" w:rsidR="00E0734B" w:rsidRPr="00D15045" w:rsidRDefault="00E0734B" w:rsidP="00D15045">
      <w:pPr>
        <w:numPr>
          <w:ilvl w:val="0"/>
          <w:numId w:val="7"/>
        </w:numPr>
        <w:tabs>
          <w:tab w:val="left" w:pos="720"/>
        </w:tabs>
        <w:spacing w:before="60" w:afterLines="60" w:after="144"/>
        <w:rPr>
          <w:rFonts w:cs="Arial"/>
          <w:lang w:bidi="en-US"/>
        </w:rPr>
      </w:pPr>
      <w:r w:rsidRPr="00D15045">
        <w:rPr>
          <w:rFonts w:cs="Arial"/>
          <w:lang w:bidi="en-US"/>
        </w:rPr>
        <w:t>consider how to improve the coordination and consistency of delivery of financial counselling services across Australia;</w:t>
      </w:r>
    </w:p>
    <w:p w14:paraId="60E50959" w14:textId="77777777" w:rsidR="00E0734B" w:rsidRPr="00D15045" w:rsidRDefault="00E0734B" w:rsidP="00D15045">
      <w:pPr>
        <w:numPr>
          <w:ilvl w:val="0"/>
          <w:numId w:val="7"/>
        </w:numPr>
        <w:tabs>
          <w:tab w:val="left" w:pos="720"/>
        </w:tabs>
        <w:spacing w:before="60" w:afterLines="60" w:after="144"/>
        <w:rPr>
          <w:rFonts w:cs="Arial"/>
          <w:lang w:bidi="en-US"/>
        </w:rPr>
      </w:pPr>
      <w:r w:rsidRPr="00D15045">
        <w:rPr>
          <w:rFonts w:cs="Arial"/>
          <w:lang w:bidi="en-US"/>
        </w:rPr>
        <w:t>recommend options for improving the predictability and sustainability of funding financial counselling services; and</w:t>
      </w:r>
    </w:p>
    <w:p w14:paraId="61B1C4FE" w14:textId="046FBB79" w:rsidR="00D70F0F" w:rsidRPr="00D15045" w:rsidRDefault="00E0734B" w:rsidP="00D15045">
      <w:pPr>
        <w:numPr>
          <w:ilvl w:val="0"/>
          <w:numId w:val="7"/>
        </w:numPr>
        <w:tabs>
          <w:tab w:val="left" w:pos="720"/>
        </w:tabs>
        <w:spacing w:before="60" w:afterLines="60" w:after="144"/>
        <w:rPr>
          <w:rFonts w:cs="Arial"/>
          <w:lang w:bidi="en-US"/>
        </w:rPr>
      </w:pPr>
      <w:r w:rsidRPr="00D15045">
        <w:rPr>
          <w:rFonts w:cs="Arial"/>
          <w:lang w:bidi="en-US"/>
        </w:rPr>
        <w:t>consider how the use of data can inform policy, service delivery and demand trends.</w:t>
      </w:r>
    </w:p>
    <w:p w14:paraId="62242BB3" w14:textId="77777777" w:rsidR="00174EA4" w:rsidRDefault="00174EA4">
      <w:pPr>
        <w:spacing w:after="200" w:line="276" w:lineRule="auto"/>
        <w:sectPr w:rsidR="00174EA4" w:rsidSect="00DA19C8">
          <w:pgSz w:w="11906" w:h="16838"/>
          <w:pgMar w:top="1134" w:right="1418" w:bottom="1418" w:left="1134" w:header="284" w:footer="459" w:gutter="0"/>
          <w:cols w:space="708"/>
          <w:titlePg/>
          <w:docGrid w:linePitch="360"/>
        </w:sectPr>
      </w:pPr>
    </w:p>
    <w:p w14:paraId="20AD6E69" w14:textId="55C63D91" w:rsidR="00F93639" w:rsidRDefault="00AF089F" w:rsidP="004E1899">
      <w:pPr>
        <w:pStyle w:val="Heading1"/>
        <w:numPr>
          <w:ilvl w:val="0"/>
          <w:numId w:val="0"/>
        </w:numPr>
        <w:spacing w:before="0"/>
        <w:ind w:left="432" w:hanging="432"/>
      </w:pPr>
      <w:bookmarkStart w:id="38" w:name="_Toc118288281"/>
      <w:r>
        <w:lastRenderedPageBreak/>
        <w:t>Appendix B</w:t>
      </w:r>
      <w:r w:rsidR="00F72A5B">
        <w:t xml:space="preserve"> –</w:t>
      </w:r>
      <w:r w:rsidR="00D15045">
        <w:t xml:space="preserve"> </w:t>
      </w:r>
      <w:r w:rsidR="00174EA4">
        <w:t>S</w:t>
      </w:r>
      <w:r w:rsidR="00F72A5B">
        <w:t xml:space="preserve">ectors and </w:t>
      </w:r>
      <w:r w:rsidR="00172041">
        <w:t>s</w:t>
      </w:r>
      <w:r w:rsidR="00D660CA">
        <w:t>ubsectors</w:t>
      </w:r>
      <w:bookmarkEnd w:id="38"/>
      <w:r w:rsidR="00D660CA">
        <w:t xml:space="preserve"> </w:t>
      </w:r>
    </w:p>
    <w:tbl>
      <w:tblPr>
        <w:tblStyle w:val="DSSTableStyleB"/>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4533"/>
        <w:gridCol w:w="7513"/>
      </w:tblGrid>
      <w:tr w:rsidR="0007790E" w:rsidRPr="0007790E" w14:paraId="2F1A7382" w14:textId="77777777" w:rsidTr="00E25DE8">
        <w:trPr>
          <w:cnfStyle w:val="100000000000" w:firstRow="1" w:lastRow="0" w:firstColumn="0" w:lastColumn="0" w:oddVBand="0" w:evenVBand="0" w:oddHBand="0" w:evenHBand="0" w:firstRowFirstColumn="0" w:firstRowLastColumn="0" w:lastRowFirstColumn="0" w:lastRowLastColumn="0"/>
          <w:trHeight w:val="315"/>
          <w:tblHeader/>
        </w:trPr>
        <w:tc>
          <w:tcPr>
            <w:tcW w:w="2300" w:type="dxa"/>
            <w:noWrap/>
            <w:hideMark/>
          </w:tcPr>
          <w:p w14:paraId="4161A8C4" w14:textId="77777777" w:rsidR="0007790E" w:rsidRPr="008F6294" w:rsidRDefault="0007790E" w:rsidP="0007790E">
            <w:pPr>
              <w:rPr>
                <w:rFonts w:asciiTheme="minorHAnsi" w:eastAsia="Times New Roman" w:hAnsiTheme="minorHAnsi" w:cstheme="minorHAnsi"/>
                <w:bCs/>
                <w:sz w:val="20"/>
                <w:szCs w:val="20"/>
                <w:lang w:eastAsia="en-AU"/>
              </w:rPr>
            </w:pPr>
            <w:r w:rsidRPr="008F6294">
              <w:rPr>
                <w:rFonts w:asciiTheme="minorHAnsi" w:eastAsia="Times New Roman" w:hAnsiTheme="minorHAnsi" w:cstheme="minorHAnsi"/>
                <w:bCs/>
                <w:sz w:val="20"/>
                <w:szCs w:val="20"/>
                <w:lang w:eastAsia="en-AU"/>
              </w:rPr>
              <w:t>Sector</w:t>
            </w:r>
          </w:p>
        </w:tc>
        <w:tc>
          <w:tcPr>
            <w:tcW w:w="4533" w:type="dxa"/>
            <w:noWrap/>
            <w:hideMark/>
          </w:tcPr>
          <w:p w14:paraId="5A943341" w14:textId="6BDADD89" w:rsidR="0007790E" w:rsidRPr="008F6294" w:rsidRDefault="00F83997" w:rsidP="0007790E">
            <w:pPr>
              <w:rPr>
                <w:rFonts w:asciiTheme="minorHAnsi" w:eastAsia="Times New Roman" w:hAnsiTheme="minorHAnsi" w:cstheme="minorHAnsi"/>
                <w:bCs/>
                <w:sz w:val="20"/>
                <w:szCs w:val="20"/>
                <w:lang w:eastAsia="en-AU"/>
              </w:rPr>
            </w:pPr>
            <w:r w:rsidRPr="008F6294">
              <w:rPr>
                <w:rFonts w:asciiTheme="minorHAnsi" w:eastAsia="Times New Roman" w:hAnsiTheme="minorHAnsi" w:cstheme="minorHAnsi"/>
                <w:bCs/>
                <w:sz w:val="20"/>
                <w:szCs w:val="20"/>
                <w:lang w:eastAsia="en-AU"/>
              </w:rPr>
              <w:t>Subsector</w:t>
            </w:r>
          </w:p>
        </w:tc>
        <w:tc>
          <w:tcPr>
            <w:tcW w:w="7513" w:type="dxa"/>
            <w:noWrap/>
            <w:hideMark/>
          </w:tcPr>
          <w:p w14:paraId="63D9A1A0" w14:textId="77777777" w:rsidR="0007790E" w:rsidRPr="008F6294" w:rsidRDefault="0007790E" w:rsidP="0007790E">
            <w:pPr>
              <w:rPr>
                <w:rFonts w:asciiTheme="minorHAnsi" w:eastAsia="Times New Roman" w:hAnsiTheme="minorHAnsi" w:cstheme="minorHAnsi"/>
                <w:bCs/>
                <w:sz w:val="20"/>
                <w:szCs w:val="20"/>
                <w:lang w:eastAsia="en-AU"/>
              </w:rPr>
            </w:pPr>
            <w:r w:rsidRPr="008F6294">
              <w:rPr>
                <w:rFonts w:asciiTheme="minorHAnsi" w:eastAsia="Times New Roman" w:hAnsiTheme="minorHAnsi" w:cstheme="minorHAnsi"/>
                <w:bCs/>
                <w:sz w:val="20"/>
                <w:szCs w:val="20"/>
                <w:lang w:eastAsia="en-AU"/>
              </w:rPr>
              <w:t>Description</w:t>
            </w:r>
          </w:p>
        </w:tc>
      </w:tr>
      <w:tr w:rsidR="0007790E" w:rsidRPr="0007790E" w14:paraId="6870EB39" w14:textId="77777777" w:rsidTr="00DC133C">
        <w:trPr>
          <w:trHeight w:val="945"/>
        </w:trPr>
        <w:tc>
          <w:tcPr>
            <w:tcW w:w="2300" w:type="dxa"/>
            <w:noWrap/>
            <w:hideMark/>
          </w:tcPr>
          <w:p w14:paraId="0280E3DA"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25B1DFA3"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Bank</w:t>
            </w:r>
          </w:p>
        </w:tc>
        <w:tc>
          <w:tcPr>
            <w:tcW w:w="7513" w:type="dxa"/>
            <w:hideMark/>
          </w:tcPr>
          <w:p w14:paraId="4B1E6762"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Provides banking and other financial services to its customers; operates a deposit taking/payment systems, offers credit cards, provides consumer loans, housing finance, business finance.</w:t>
            </w:r>
          </w:p>
        </w:tc>
      </w:tr>
      <w:tr w:rsidR="0007790E" w:rsidRPr="0007790E" w14:paraId="0E1D1821" w14:textId="77777777" w:rsidTr="00DC133C">
        <w:trPr>
          <w:trHeight w:val="630"/>
        </w:trPr>
        <w:tc>
          <w:tcPr>
            <w:tcW w:w="2300" w:type="dxa"/>
            <w:noWrap/>
            <w:hideMark/>
          </w:tcPr>
          <w:p w14:paraId="4EFCD4A1"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hideMark/>
          </w:tcPr>
          <w:p w14:paraId="5476060B"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Customer owned bank (mutual bank, credit union, building society)</w:t>
            </w:r>
          </w:p>
        </w:tc>
        <w:tc>
          <w:tcPr>
            <w:tcW w:w="7513" w:type="dxa"/>
            <w:hideMark/>
          </w:tcPr>
          <w:p w14:paraId="063DDB92"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Community-based financial institution often owned by its members that offers traditional banking services like savings accounts and loans.</w:t>
            </w:r>
          </w:p>
        </w:tc>
      </w:tr>
      <w:tr w:rsidR="0007790E" w:rsidRPr="0007790E" w14:paraId="7F6B0C6D" w14:textId="77777777" w:rsidTr="00DC133C">
        <w:trPr>
          <w:trHeight w:val="1260"/>
        </w:trPr>
        <w:tc>
          <w:tcPr>
            <w:tcW w:w="2300" w:type="dxa"/>
            <w:noWrap/>
            <w:hideMark/>
          </w:tcPr>
          <w:p w14:paraId="0D336449"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079B0423"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Buy now pay later</w:t>
            </w:r>
          </w:p>
        </w:tc>
        <w:tc>
          <w:tcPr>
            <w:tcW w:w="7513" w:type="dxa"/>
            <w:hideMark/>
          </w:tcPr>
          <w:p w14:paraId="02688961"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 type of short-term financing that allows consumers to make purchases and pay by instalments over time, instead of paying the full amount upfront. Interest is not payable, but providers charge late fees. Some providers charge account keeping and other fees.</w:t>
            </w:r>
          </w:p>
        </w:tc>
      </w:tr>
      <w:tr w:rsidR="0007790E" w:rsidRPr="0007790E" w14:paraId="6FB47D4A" w14:textId="77777777" w:rsidTr="00DC133C">
        <w:trPr>
          <w:trHeight w:val="630"/>
        </w:trPr>
        <w:tc>
          <w:tcPr>
            <w:tcW w:w="2300" w:type="dxa"/>
            <w:noWrap/>
            <w:hideMark/>
          </w:tcPr>
          <w:p w14:paraId="48C8A8A9"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54FB3DED" w14:textId="1AEF2B3B"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Other credit provider</w:t>
            </w:r>
            <w:r w:rsidR="00283178" w:rsidRPr="008F6294">
              <w:rPr>
                <w:rFonts w:asciiTheme="minorHAnsi" w:eastAsia="Times New Roman" w:hAnsiTheme="minorHAnsi" w:cstheme="minorHAnsi"/>
                <w:sz w:val="20"/>
                <w:szCs w:val="20"/>
                <w:lang w:eastAsia="en-AU"/>
              </w:rPr>
              <w:t xml:space="preserve">, including finance companies </w:t>
            </w:r>
          </w:p>
        </w:tc>
        <w:tc>
          <w:tcPr>
            <w:tcW w:w="7513" w:type="dxa"/>
            <w:hideMark/>
          </w:tcPr>
          <w:p w14:paraId="610AA04C" w14:textId="3A48015D"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Provides credit for goods or services under a credit contract (other than SACCs / MACCs / payday lender / consumer lease).</w:t>
            </w:r>
            <w:r w:rsidR="00283178" w:rsidRPr="008F6294">
              <w:rPr>
                <w:rFonts w:asciiTheme="minorHAnsi" w:eastAsia="Times New Roman" w:hAnsiTheme="minorHAnsi" w:cstheme="minorHAnsi"/>
                <w:sz w:val="20"/>
                <w:szCs w:val="20"/>
                <w:lang w:eastAsia="en-AU"/>
              </w:rPr>
              <w:t xml:space="preserve"> Includes finance companies. A finance company is an organisation that makes loans to individuals and businesses, such as car loans or provides credit cards. Unlike a bank, a finance company does not receive cash deposits from clients and offer transaction accounts.</w:t>
            </w:r>
          </w:p>
        </w:tc>
      </w:tr>
      <w:tr w:rsidR="0007790E" w:rsidRPr="0007790E" w14:paraId="1678B9CE" w14:textId="77777777" w:rsidTr="00DC133C">
        <w:trPr>
          <w:trHeight w:val="1575"/>
        </w:trPr>
        <w:tc>
          <w:tcPr>
            <w:tcW w:w="2300" w:type="dxa"/>
            <w:noWrap/>
            <w:hideMark/>
          </w:tcPr>
          <w:p w14:paraId="7A377F7C"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3E229EC6"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Small or medium amount credit contract (includes payday lenders)</w:t>
            </w:r>
          </w:p>
        </w:tc>
        <w:tc>
          <w:tcPr>
            <w:tcW w:w="7513" w:type="dxa"/>
            <w:hideMark/>
          </w:tcPr>
          <w:p w14:paraId="035CB42C"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 company that provides small amount credit contracts (SACCs) or medium amount credit contracts (MACCs). A SACC is a credit contract under which, in general terms, the amount of the loan is $2000 or less, and the term is 16 days to one year. A MACC may vary in length from 16 days to 2 years and can be from $2,001 to $5,000.</w:t>
            </w:r>
          </w:p>
        </w:tc>
      </w:tr>
      <w:tr w:rsidR="0007790E" w:rsidRPr="0007790E" w14:paraId="0B451E6A" w14:textId="77777777" w:rsidTr="00DC133C">
        <w:trPr>
          <w:trHeight w:val="630"/>
        </w:trPr>
        <w:tc>
          <w:tcPr>
            <w:tcW w:w="2300" w:type="dxa"/>
            <w:noWrap/>
            <w:hideMark/>
          </w:tcPr>
          <w:p w14:paraId="307CC1B1"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3D1F836F"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Consumer lease</w:t>
            </w:r>
          </w:p>
        </w:tc>
        <w:tc>
          <w:tcPr>
            <w:tcW w:w="7513" w:type="dxa"/>
            <w:hideMark/>
          </w:tcPr>
          <w:p w14:paraId="53E820F4"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 consumer lease is a contract for the hire (rental) of goods where the consumer has no right to purchase the goods. Includes car leases and rental goods.</w:t>
            </w:r>
          </w:p>
        </w:tc>
      </w:tr>
      <w:tr w:rsidR="0007790E" w:rsidRPr="0007790E" w14:paraId="031DCBC1" w14:textId="77777777" w:rsidTr="00DC133C">
        <w:trPr>
          <w:trHeight w:val="945"/>
        </w:trPr>
        <w:tc>
          <w:tcPr>
            <w:tcW w:w="2300" w:type="dxa"/>
            <w:noWrap/>
            <w:hideMark/>
          </w:tcPr>
          <w:p w14:paraId="75AC7FF4"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75B59D5D"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Credit reporting agency</w:t>
            </w:r>
          </w:p>
        </w:tc>
        <w:tc>
          <w:tcPr>
            <w:tcW w:w="7513" w:type="dxa"/>
            <w:hideMark/>
          </w:tcPr>
          <w:p w14:paraId="12EC0238"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Maintains historical credit information on individuals and businesses; receives reports from lenders and various other sources which are compiled in a credit report that includes a credit score when issued.</w:t>
            </w:r>
          </w:p>
        </w:tc>
      </w:tr>
      <w:tr w:rsidR="0007790E" w:rsidRPr="0007790E" w14:paraId="6ADF3D81" w14:textId="77777777" w:rsidTr="005747E8">
        <w:trPr>
          <w:trHeight w:val="850"/>
        </w:trPr>
        <w:tc>
          <w:tcPr>
            <w:tcW w:w="2300" w:type="dxa"/>
            <w:noWrap/>
            <w:hideMark/>
          </w:tcPr>
          <w:p w14:paraId="291E6170"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lastRenderedPageBreak/>
              <w:t>Financial services</w:t>
            </w:r>
          </w:p>
        </w:tc>
        <w:tc>
          <w:tcPr>
            <w:tcW w:w="4533" w:type="dxa"/>
            <w:noWrap/>
            <w:hideMark/>
          </w:tcPr>
          <w:p w14:paraId="0D8CD39E"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Debt collector or buyer</w:t>
            </w:r>
          </w:p>
        </w:tc>
        <w:tc>
          <w:tcPr>
            <w:tcW w:w="7513" w:type="dxa"/>
            <w:hideMark/>
          </w:tcPr>
          <w:p w14:paraId="68E66C8D"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Collects overdue debts for themselves, or for a lender (such as a bank), service provider or debt collection agency.  Buyers are companies that purchase debt from the original lender.</w:t>
            </w:r>
          </w:p>
        </w:tc>
      </w:tr>
      <w:tr w:rsidR="0007790E" w:rsidRPr="0007790E" w14:paraId="09B1E884" w14:textId="77777777" w:rsidTr="005747E8">
        <w:trPr>
          <w:trHeight w:val="567"/>
        </w:trPr>
        <w:tc>
          <w:tcPr>
            <w:tcW w:w="2300" w:type="dxa"/>
            <w:noWrap/>
            <w:hideMark/>
          </w:tcPr>
          <w:p w14:paraId="1147675E"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7B552B08"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Debt management firm</w:t>
            </w:r>
          </w:p>
        </w:tc>
        <w:tc>
          <w:tcPr>
            <w:tcW w:w="7513" w:type="dxa"/>
            <w:hideMark/>
          </w:tcPr>
          <w:p w14:paraId="53C00CA5"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Debt management firms offer fee-based services to represent consumers in negotiations with creditors and credit reporting agencies.</w:t>
            </w:r>
          </w:p>
        </w:tc>
      </w:tr>
      <w:tr w:rsidR="0007790E" w:rsidRPr="0007790E" w14:paraId="565E773C" w14:textId="77777777" w:rsidTr="005747E8">
        <w:trPr>
          <w:trHeight w:val="850"/>
        </w:trPr>
        <w:tc>
          <w:tcPr>
            <w:tcW w:w="2300" w:type="dxa"/>
            <w:noWrap/>
            <w:hideMark/>
          </w:tcPr>
          <w:p w14:paraId="0931C9E0"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561A5982"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advisor/planner</w:t>
            </w:r>
          </w:p>
        </w:tc>
        <w:tc>
          <w:tcPr>
            <w:tcW w:w="7513" w:type="dxa"/>
            <w:hideMark/>
          </w:tcPr>
          <w:p w14:paraId="3C20EE30"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Authorised representative of an organisation that provides advice on investing, superannuation, retirement planning, estate planning, risk management, insurance, or taxation. </w:t>
            </w:r>
          </w:p>
        </w:tc>
      </w:tr>
      <w:tr w:rsidR="0007790E" w:rsidRPr="0007790E" w14:paraId="3B3DFE6C" w14:textId="77777777" w:rsidTr="005747E8">
        <w:trPr>
          <w:trHeight w:val="510"/>
        </w:trPr>
        <w:tc>
          <w:tcPr>
            <w:tcW w:w="2300" w:type="dxa"/>
            <w:noWrap/>
            <w:hideMark/>
          </w:tcPr>
          <w:p w14:paraId="011123CC"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09970B46"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Mortgage broker</w:t>
            </w:r>
          </w:p>
        </w:tc>
        <w:tc>
          <w:tcPr>
            <w:tcW w:w="7513" w:type="dxa"/>
            <w:hideMark/>
          </w:tcPr>
          <w:p w14:paraId="25AEBAB8"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Matches borrowers to lenders and arranges mortgage contracts between the two parties.</w:t>
            </w:r>
          </w:p>
        </w:tc>
      </w:tr>
      <w:tr w:rsidR="0007790E" w:rsidRPr="0007790E" w14:paraId="55520F5D" w14:textId="77777777" w:rsidTr="005747E8">
        <w:trPr>
          <w:trHeight w:val="1304"/>
        </w:trPr>
        <w:tc>
          <w:tcPr>
            <w:tcW w:w="2300" w:type="dxa"/>
            <w:noWrap/>
            <w:hideMark/>
          </w:tcPr>
          <w:p w14:paraId="39490721"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41A3576D"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General insurer</w:t>
            </w:r>
          </w:p>
        </w:tc>
        <w:tc>
          <w:tcPr>
            <w:tcW w:w="7513" w:type="dxa"/>
            <w:hideMark/>
          </w:tcPr>
          <w:p w14:paraId="548D8C74" w14:textId="1DD0BC0F"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Provides motor vehicle insurance products, home building insurance products, home contents insurance products, sickness and accident insurance products,</w:t>
            </w:r>
            <w:r w:rsidR="00404650" w:rsidRPr="008F6294">
              <w:rPr>
                <w:rFonts w:asciiTheme="minorHAnsi" w:eastAsia="Times New Roman" w:hAnsiTheme="minorHAnsi" w:cstheme="minorHAnsi"/>
                <w:sz w:val="20"/>
                <w:szCs w:val="20"/>
                <w:lang w:eastAsia="en-AU"/>
              </w:rPr>
              <w:t xml:space="preserve"> Consumer Credit Insurance product</w:t>
            </w:r>
            <w:r w:rsidR="00D828FE" w:rsidRPr="008F6294">
              <w:rPr>
                <w:rFonts w:asciiTheme="minorHAnsi" w:eastAsia="Times New Roman" w:hAnsiTheme="minorHAnsi" w:cstheme="minorHAnsi"/>
                <w:sz w:val="20"/>
                <w:szCs w:val="20"/>
                <w:lang w:eastAsia="en-AU"/>
              </w:rPr>
              <w:t>s</w:t>
            </w:r>
            <w:r w:rsidR="00404650" w:rsidRPr="008F6294">
              <w:rPr>
                <w:rFonts w:asciiTheme="minorHAnsi" w:eastAsia="Times New Roman" w:hAnsiTheme="minorHAnsi" w:cstheme="minorHAnsi"/>
                <w:sz w:val="20"/>
                <w:szCs w:val="20"/>
                <w:lang w:eastAsia="en-AU"/>
              </w:rPr>
              <w:t>,</w:t>
            </w:r>
            <w:r w:rsidRPr="008F6294">
              <w:rPr>
                <w:rFonts w:asciiTheme="minorHAnsi" w:eastAsia="Times New Roman" w:hAnsiTheme="minorHAnsi" w:cstheme="minorHAnsi"/>
                <w:sz w:val="20"/>
                <w:szCs w:val="20"/>
                <w:lang w:eastAsia="en-AU"/>
              </w:rPr>
              <w:t xml:space="preserve"> travel insurance products, and personal and domestic property insurance products. Other insurance products that are not included here are not considered general insurance products.</w:t>
            </w:r>
          </w:p>
        </w:tc>
      </w:tr>
      <w:tr w:rsidR="0007790E" w:rsidRPr="0007790E" w14:paraId="25A26E23" w14:textId="77777777" w:rsidTr="00DC133C">
        <w:trPr>
          <w:trHeight w:val="630"/>
        </w:trPr>
        <w:tc>
          <w:tcPr>
            <w:tcW w:w="2300" w:type="dxa"/>
            <w:noWrap/>
            <w:hideMark/>
          </w:tcPr>
          <w:p w14:paraId="482438BA"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30A11E86"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Health insurer</w:t>
            </w:r>
          </w:p>
        </w:tc>
        <w:tc>
          <w:tcPr>
            <w:tcW w:w="7513" w:type="dxa"/>
            <w:hideMark/>
          </w:tcPr>
          <w:p w14:paraId="5A9F202E"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Health insurance is a type of insurance that covers the whole or a part of the risk of a person incurring medical expenses.</w:t>
            </w:r>
          </w:p>
        </w:tc>
      </w:tr>
      <w:tr w:rsidR="0007790E" w:rsidRPr="0007790E" w14:paraId="56096614" w14:textId="77777777" w:rsidTr="005747E8">
        <w:trPr>
          <w:trHeight w:val="1020"/>
        </w:trPr>
        <w:tc>
          <w:tcPr>
            <w:tcW w:w="2300" w:type="dxa"/>
            <w:noWrap/>
            <w:hideMark/>
          </w:tcPr>
          <w:p w14:paraId="6367FDFE"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Financial services</w:t>
            </w:r>
          </w:p>
        </w:tc>
        <w:tc>
          <w:tcPr>
            <w:tcW w:w="4533" w:type="dxa"/>
            <w:noWrap/>
            <w:hideMark/>
          </w:tcPr>
          <w:p w14:paraId="2787EBD7"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Life insurer</w:t>
            </w:r>
          </w:p>
        </w:tc>
        <w:tc>
          <w:tcPr>
            <w:tcW w:w="7513" w:type="dxa"/>
            <w:hideMark/>
          </w:tcPr>
          <w:p w14:paraId="60BD378F"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Provides insurance policies that pay a set amount of money to an insured person’s beneficiaries when the insured person dies. Also known as term life insurance or death cover. Includes total and permanent disability (TPD) insurance and funeral expense insurance.</w:t>
            </w:r>
          </w:p>
        </w:tc>
      </w:tr>
      <w:tr w:rsidR="0007790E" w:rsidRPr="0007790E" w14:paraId="346C3AF2" w14:textId="77777777" w:rsidTr="00DC133C">
        <w:trPr>
          <w:trHeight w:val="630"/>
        </w:trPr>
        <w:tc>
          <w:tcPr>
            <w:tcW w:w="2300" w:type="dxa"/>
            <w:noWrap/>
            <w:hideMark/>
          </w:tcPr>
          <w:p w14:paraId="419DF424"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Gambling</w:t>
            </w:r>
          </w:p>
        </w:tc>
        <w:tc>
          <w:tcPr>
            <w:tcW w:w="4533" w:type="dxa"/>
            <w:noWrap/>
            <w:hideMark/>
          </w:tcPr>
          <w:p w14:paraId="63ABF1FA"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Gambling - Online</w:t>
            </w:r>
          </w:p>
        </w:tc>
        <w:tc>
          <w:tcPr>
            <w:tcW w:w="7513" w:type="dxa"/>
            <w:hideMark/>
          </w:tcPr>
          <w:p w14:paraId="77EF5A68"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Online gambling is any kind of gambling conducted on the internet. This includes virtual poker, casinos and sports betting.</w:t>
            </w:r>
          </w:p>
        </w:tc>
      </w:tr>
      <w:tr w:rsidR="0007790E" w:rsidRPr="0007790E" w14:paraId="24DF06F4" w14:textId="77777777" w:rsidTr="00DC133C">
        <w:trPr>
          <w:trHeight w:val="315"/>
        </w:trPr>
        <w:tc>
          <w:tcPr>
            <w:tcW w:w="2300" w:type="dxa"/>
            <w:noWrap/>
            <w:hideMark/>
          </w:tcPr>
          <w:p w14:paraId="371E36CC"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Gambling</w:t>
            </w:r>
          </w:p>
        </w:tc>
        <w:tc>
          <w:tcPr>
            <w:tcW w:w="4533" w:type="dxa"/>
            <w:noWrap/>
            <w:hideMark/>
          </w:tcPr>
          <w:p w14:paraId="1D2904A2"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Gambling - Land-based</w:t>
            </w:r>
          </w:p>
        </w:tc>
        <w:tc>
          <w:tcPr>
            <w:tcW w:w="7513" w:type="dxa"/>
            <w:hideMark/>
          </w:tcPr>
          <w:p w14:paraId="1D2B656F"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Gambling conducted from physical premises, as opposed to online.</w:t>
            </w:r>
          </w:p>
        </w:tc>
      </w:tr>
      <w:tr w:rsidR="0007790E" w:rsidRPr="0007790E" w14:paraId="05F6529B" w14:textId="77777777" w:rsidTr="00DC133C">
        <w:trPr>
          <w:trHeight w:val="315"/>
        </w:trPr>
        <w:tc>
          <w:tcPr>
            <w:tcW w:w="2300" w:type="dxa"/>
            <w:noWrap/>
            <w:hideMark/>
          </w:tcPr>
          <w:p w14:paraId="1B1A77E3"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Government</w:t>
            </w:r>
          </w:p>
        </w:tc>
        <w:tc>
          <w:tcPr>
            <w:tcW w:w="4533" w:type="dxa"/>
            <w:noWrap/>
            <w:hideMark/>
          </w:tcPr>
          <w:p w14:paraId="6176109C"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Australian Taxation Office</w:t>
            </w:r>
          </w:p>
        </w:tc>
        <w:tc>
          <w:tcPr>
            <w:tcW w:w="7513" w:type="dxa"/>
            <w:noWrap/>
            <w:hideMark/>
          </w:tcPr>
          <w:p w14:paraId="7B8705CC"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Collects taxation revenue on behalf of the Australian Government.</w:t>
            </w:r>
          </w:p>
        </w:tc>
      </w:tr>
      <w:tr w:rsidR="0007790E" w:rsidRPr="0007790E" w14:paraId="12B05DEF" w14:textId="77777777" w:rsidTr="00DC133C">
        <w:trPr>
          <w:trHeight w:val="315"/>
        </w:trPr>
        <w:tc>
          <w:tcPr>
            <w:tcW w:w="2300" w:type="dxa"/>
            <w:noWrap/>
            <w:hideMark/>
          </w:tcPr>
          <w:p w14:paraId="55CBC293"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Government</w:t>
            </w:r>
          </w:p>
        </w:tc>
        <w:tc>
          <w:tcPr>
            <w:tcW w:w="4533" w:type="dxa"/>
            <w:noWrap/>
            <w:hideMark/>
          </w:tcPr>
          <w:p w14:paraId="04F45913"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Centrelink</w:t>
            </w:r>
          </w:p>
        </w:tc>
        <w:tc>
          <w:tcPr>
            <w:tcW w:w="7513" w:type="dxa"/>
            <w:noWrap/>
            <w:hideMark/>
          </w:tcPr>
          <w:p w14:paraId="6C54F7B9"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Delivers Centrelink social security payments and services to Australians.</w:t>
            </w:r>
          </w:p>
        </w:tc>
      </w:tr>
      <w:tr w:rsidR="0007790E" w:rsidRPr="0007790E" w14:paraId="37602598" w14:textId="77777777" w:rsidTr="00DC133C">
        <w:trPr>
          <w:trHeight w:val="630"/>
        </w:trPr>
        <w:tc>
          <w:tcPr>
            <w:tcW w:w="2300" w:type="dxa"/>
            <w:noWrap/>
            <w:hideMark/>
          </w:tcPr>
          <w:p w14:paraId="131058B1"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lastRenderedPageBreak/>
              <w:t>Government</w:t>
            </w:r>
          </w:p>
        </w:tc>
        <w:tc>
          <w:tcPr>
            <w:tcW w:w="4533" w:type="dxa"/>
            <w:noWrap/>
            <w:hideMark/>
          </w:tcPr>
          <w:p w14:paraId="752740FC"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Child support</w:t>
            </w:r>
          </w:p>
        </w:tc>
        <w:tc>
          <w:tcPr>
            <w:tcW w:w="7513" w:type="dxa"/>
            <w:hideMark/>
          </w:tcPr>
          <w:p w14:paraId="39A98500"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Child support is an ongoing, periodic payment made by a parent for the financial benefit of a child following the end of a marriage or other relationship.</w:t>
            </w:r>
          </w:p>
        </w:tc>
      </w:tr>
      <w:tr w:rsidR="0007790E" w:rsidRPr="0007790E" w14:paraId="184BA07D" w14:textId="77777777" w:rsidTr="00DC133C">
        <w:trPr>
          <w:trHeight w:val="630"/>
        </w:trPr>
        <w:tc>
          <w:tcPr>
            <w:tcW w:w="2300" w:type="dxa"/>
            <w:noWrap/>
            <w:hideMark/>
          </w:tcPr>
          <w:p w14:paraId="7E8F14D4"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Government</w:t>
            </w:r>
          </w:p>
        </w:tc>
        <w:tc>
          <w:tcPr>
            <w:tcW w:w="4533" w:type="dxa"/>
            <w:noWrap/>
            <w:hideMark/>
          </w:tcPr>
          <w:p w14:paraId="521EF656"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HECS/HELP</w:t>
            </w:r>
          </w:p>
        </w:tc>
        <w:tc>
          <w:tcPr>
            <w:tcW w:w="7513" w:type="dxa"/>
            <w:hideMark/>
          </w:tcPr>
          <w:p w14:paraId="257BC545" w14:textId="01DDFA8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HECS-HELP is the loan program that assists students in </w:t>
            </w:r>
            <w:r w:rsidR="007B1EE9" w:rsidRPr="008F6294">
              <w:rPr>
                <w:rFonts w:asciiTheme="minorHAnsi" w:eastAsia="Times New Roman" w:hAnsiTheme="minorHAnsi" w:cstheme="minorHAnsi"/>
                <w:sz w:val="20"/>
                <w:szCs w:val="20"/>
                <w:lang w:eastAsia="en-AU"/>
              </w:rPr>
              <w:t>commonwealth-supported</w:t>
            </w:r>
            <w:r w:rsidRPr="008F6294">
              <w:rPr>
                <w:rFonts w:asciiTheme="minorHAnsi" w:eastAsia="Times New Roman" w:hAnsiTheme="minorHAnsi" w:cstheme="minorHAnsi"/>
                <w:sz w:val="20"/>
                <w:szCs w:val="20"/>
                <w:lang w:eastAsia="en-AU"/>
              </w:rPr>
              <w:t xml:space="preserve"> </w:t>
            </w:r>
            <w:r w:rsidR="007B1EE9" w:rsidRPr="008F6294">
              <w:rPr>
                <w:rFonts w:asciiTheme="minorHAnsi" w:eastAsia="Times New Roman" w:hAnsiTheme="minorHAnsi" w:cstheme="minorHAnsi"/>
                <w:sz w:val="20"/>
                <w:szCs w:val="20"/>
                <w:lang w:eastAsia="en-AU"/>
              </w:rPr>
              <w:t>places with</w:t>
            </w:r>
            <w:r w:rsidRPr="008F6294">
              <w:rPr>
                <w:rFonts w:asciiTheme="minorHAnsi" w:eastAsia="Times New Roman" w:hAnsiTheme="minorHAnsi" w:cstheme="minorHAnsi"/>
                <w:sz w:val="20"/>
                <w:szCs w:val="20"/>
                <w:lang w:eastAsia="en-AU"/>
              </w:rPr>
              <w:t xml:space="preserve"> paying their course fees.</w:t>
            </w:r>
          </w:p>
        </w:tc>
      </w:tr>
      <w:tr w:rsidR="0007790E" w:rsidRPr="0007790E" w14:paraId="0F720855" w14:textId="77777777" w:rsidTr="00DC133C">
        <w:trPr>
          <w:trHeight w:val="315"/>
        </w:trPr>
        <w:tc>
          <w:tcPr>
            <w:tcW w:w="2300" w:type="dxa"/>
            <w:noWrap/>
            <w:hideMark/>
          </w:tcPr>
          <w:p w14:paraId="2858ACA2"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Government</w:t>
            </w:r>
          </w:p>
        </w:tc>
        <w:tc>
          <w:tcPr>
            <w:tcW w:w="4533" w:type="dxa"/>
            <w:noWrap/>
            <w:hideMark/>
          </w:tcPr>
          <w:p w14:paraId="6CE398CB"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State/local council fines and penalties</w:t>
            </w:r>
          </w:p>
        </w:tc>
        <w:tc>
          <w:tcPr>
            <w:tcW w:w="7513" w:type="dxa"/>
            <w:noWrap/>
            <w:hideMark/>
          </w:tcPr>
          <w:p w14:paraId="55FABEAE" w14:textId="2F7F373F"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Fines and </w:t>
            </w:r>
            <w:r w:rsidR="00663F54" w:rsidRPr="008F6294">
              <w:rPr>
                <w:rFonts w:asciiTheme="minorHAnsi" w:eastAsia="Times New Roman" w:hAnsiTheme="minorHAnsi" w:cstheme="minorHAnsi"/>
                <w:sz w:val="20"/>
                <w:szCs w:val="20"/>
                <w:lang w:eastAsia="en-AU"/>
              </w:rPr>
              <w:t>penalties</w:t>
            </w:r>
            <w:r w:rsidRPr="008F6294">
              <w:rPr>
                <w:rFonts w:asciiTheme="minorHAnsi" w:eastAsia="Times New Roman" w:hAnsiTheme="minorHAnsi" w:cstheme="minorHAnsi"/>
                <w:sz w:val="20"/>
                <w:szCs w:val="20"/>
                <w:lang w:eastAsia="en-AU"/>
              </w:rPr>
              <w:t xml:space="preserve"> issued to individuals by State governments/local councils.</w:t>
            </w:r>
          </w:p>
        </w:tc>
      </w:tr>
      <w:tr w:rsidR="0007790E" w:rsidRPr="0007790E" w14:paraId="299FBD78" w14:textId="77777777" w:rsidTr="00DC133C">
        <w:trPr>
          <w:trHeight w:val="315"/>
        </w:trPr>
        <w:tc>
          <w:tcPr>
            <w:tcW w:w="2300" w:type="dxa"/>
            <w:noWrap/>
            <w:hideMark/>
          </w:tcPr>
          <w:p w14:paraId="24B666AB"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Government</w:t>
            </w:r>
          </w:p>
        </w:tc>
        <w:tc>
          <w:tcPr>
            <w:tcW w:w="4533" w:type="dxa"/>
            <w:noWrap/>
            <w:hideMark/>
          </w:tcPr>
          <w:p w14:paraId="048D7408"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Local council</w:t>
            </w:r>
          </w:p>
        </w:tc>
        <w:tc>
          <w:tcPr>
            <w:tcW w:w="7513" w:type="dxa"/>
            <w:noWrap/>
            <w:hideMark/>
          </w:tcPr>
          <w:p w14:paraId="0FB4E41C"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Rates and charges levied by local councils.</w:t>
            </w:r>
          </w:p>
        </w:tc>
      </w:tr>
      <w:tr w:rsidR="0007790E" w:rsidRPr="0007790E" w14:paraId="73C40FE9" w14:textId="77777777" w:rsidTr="00DC133C">
        <w:trPr>
          <w:trHeight w:val="315"/>
        </w:trPr>
        <w:tc>
          <w:tcPr>
            <w:tcW w:w="2300" w:type="dxa"/>
            <w:noWrap/>
            <w:hideMark/>
          </w:tcPr>
          <w:p w14:paraId="70348061"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Utilities</w:t>
            </w:r>
          </w:p>
        </w:tc>
        <w:tc>
          <w:tcPr>
            <w:tcW w:w="4533" w:type="dxa"/>
            <w:noWrap/>
            <w:hideMark/>
          </w:tcPr>
          <w:p w14:paraId="292DF6A3"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Electricity</w:t>
            </w:r>
          </w:p>
        </w:tc>
        <w:tc>
          <w:tcPr>
            <w:tcW w:w="7513" w:type="dxa"/>
            <w:noWrap/>
            <w:hideMark/>
          </w:tcPr>
          <w:p w14:paraId="4937910A"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Energy retailers that sell electricity to end-use consumers.</w:t>
            </w:r>
          </w:p>
        </w:tc>
      </w:tr>
      <w:tr w:rsidR="0007790E" w:rsidRPr="0007790E" w14:paraId="402F7CFA" w14:textId="77777777" w:rsidTr="00DC133C">
        <w:trPr>
          <w:trHeight w:val="315"/>
        </w:trPr>
        <w:tc>
          <w:tcPr>
            <w:tcW w:w="2300" w:type="dxa"/>
            <w:noWrap/>
            <w:hideMark/>
          </w:tcPr>
          <w:p w14:paraId="43A35155"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Utilities</w:t>
            </w:r>
          </w:p>
        </w:tc>
        <w:tc>
          <w:tcPr>
            <w:tcW w:w="4533" w:type="dxa"/>
            <w:noWrap/>
            <w:hideMark/>
          </w:tcPr>
          <w:p w14:paraId="6B741519"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Gas</w:t>
            </w:r>
          </w:p>
        </w:tc>
        <w:tc>
          <w:tcPr>
            <w:tcW w:w="7513" w:type="dxa"/>
            <w:noWrap/>
            <w:hideMark/>
          </w:tcPr>
          <w:p w14:paraId="28C24721"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Energy retailers that sell natural gas to end-use consumers.</w:t>
            </w:r>
          </w:p>
        </w:tc>
      </w:tr>
      <w:tr w:rsidR="0007790E" w:rsidRPr="0007790E" w14:paraId="0278FC6C" w14:textId="77777777" w:rsidTr="00DC133C">
        <w:trPr>
          <w:trHeight w:val="945"/>
        </w:trPr>
        <w:tc>
          <w:tcPr>
            <w:tcW w:w="2300" w:type="dxa"/>
            <w:noWrap/>
            <w:hideMark/>
          </w:tcPr>
          <w:p w14:paraId="78DA614D"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Utilities</w:t>
            </w:r>
          </w:p>
        </w:tc>
        <w:tc>
          <w:tcPr>
            <w:tcW w:w="4533" w:type="dxa"/>
            <w:noWrap/>
            <w:hideMark/>
          </w:tcPr>
          <w:p w14:paraId="6CD3C90C"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Embedded network</w:t>
            </w:r>
          </w:p>
        </w:tc>
        <w:tc>
          <w:tcPr>
            <w:tcW w:w="7513" w:type="dxa"/>
            <w:hideMark/>
          </w:tcPr>
          <w:p w14:paraId="629B7F8C"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An embedded electricity network is a private network within a building or self-contained site allowing the owner of the site to sell energy to all the tenants or residents based there.</w:t>
            </w:r>
          </w:p>
        </w:tc>
      </w:tr>
      <w:tr w:rsidR="0007790E" w:rsidRPr="0007790E" w14:paraId="49CC9726" w14:textId="77777777" w:rsidTr="00DC133C">
        <w:trPr>
          <w:trHeight w:val="315"/>
        </w:trPr>
        <w:tc>
          <w:tcPr>
            <w:tcW w:w="2300" w:type="dxa"/>
            <w:noWrap/>
            <w:hideMark/>
          </w:tcPr>
          <w:p w14:paraId="7678778C"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Utilities</w:t>
            </w:r>
          </w:p>
        </w:tc>
        <w:tc>
          <w:tcPr>
            <w:tcW w:w="4533" w:type="dxa"/>
            <w:noWrap/>
            <w:hideMark/>
          </w:tcPr>
          <w:p w14:paraId="068F3E89"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Water</w:t>
            </w:r>
          </w:p>
        </w:tc>
        <w:tc>
          <w:tcPr>
            <w:tcW w:w="7513" w:type="dxa"/>
            <w:noWrap/>
            <w:hideMark/>
          </w:tcPr>
          <w:p w14:paraId="0DA9E541"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Operate and supply water and sewerage services.</w:t>
            </w:r>
          </w:p>
        </w:tc>
      </w:tr>
      <w:tr w:rsidR="0007790E" w:rsidRPr="0007790E" w14:paraId="2F26C009" w14:textId="77777777" w:rsidTr="00DC133C">
        <w:trPr>
          <w:trHeight w:val="315"/>
        </w:trPr>
        <w:tc>
          <w:tcPr>
            <w:tcW w:w="2300" w:type="dxa"/>
            <w:noWrap/>
            <w:hideMark/>
          </w:tcPr>
          <w:p w14:paraId="48CF70E9"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Telecommunications</w:t>
            </w:r>
          </w:p>
        </w:tc>
        <w:tc>
          <w:tcPr>
            <w:tcW w:w="4533" w:type="dxa"/>
            <w:noWrap/>
            <w:hideMark/>
          </w:tcPr>
          <w:p w14:paraId="592B67E5"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Telecommunications</w:t>
            </w:r>
          </w:p>
        </w:tc>
        <w:tc>
          <w:tcPr>
            <w:tcW w:w="7513" w:type="dxa"/>
            <w:noWrap/>
            <w:hideMark/>
          </w:tcPr>
          <w:p w14:paraId="6441109A"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Carriage Service Providers that supply retail telecommunications services. </w:t>
            </w:r>
          </w:p>
        </w:tc>
      </w:tr>
      <w:tr w:rsidR="0007790E" w:rsidRPr="0007790E" w14:paraId="6979852B" w14:textId="77777777" w:rsidTr="00DC133C">
        <w:trPr>
          <w:trHeight w:val="315"/>
        </w:trPr>
        <w:tc>
          <w:tcPr>
            <w:tcW w:w="2300" w:type="dxa"/>
            <w:noWrap/>
            <w:hideMark/>
          </w:tcPr>
          <w:p w14:paraId="7CA1D5CF"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Superannuation</w:t>
            </w:r>
          </w:p>
        </w:tc>
        <w:tc>
          <w:tcPr>
            <w:tcW w:w="4533" w:type="dxa"/>
            <w:noWrap/>
            <w:hideMark/>
          </w:tcPr>
          <w:p w14:paraId="67945D68"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Super - Early access</w:t>
            </w:r>
          </w:p>
        </w:tc>
        <w:tc>
          <w:tcPr>
            <w:tcW w:w="7513" w:type="dxa"/>
            <w:noWrap/>
            <w:hideMark/>
          </w:tcPr>
          <w:p w14:paraId="71CD3BBC"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Assisting clients to get early access to their superannuation. </w:t>
            </w:r>
          </w:p>
        </w:tc>
      </w:tr>
      <w:tr w:rsidR="0007790E" w:rsidRPr="0007790E" w14:paraId="41B9DFC1" w14:textId="77777777" w:rsidTr="00DC133C">
        <w:trPr>
          <w:trHeight w:val="630"/>
        </w:trPr>
        <w:tc>
          <w:tcPr>
            <w:tcW w:w="2300" w:type="dxa"/>
            <w:noWrap/>
            <w:hideMark/>
          </w:tcPr>
          <w:p w14:paraId="75F6B5C8"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Superannuation</w:t>
            </w:r>
          </w:p>
        </w:tc>
        <w:tc>
          <w:tcPr>
            <w:tcW w:w="4533" w:type="dxa"/>
            <w:noWrap/>
            <w:hideMark/>
          </w:tcPr>
          <w:p w14:paraId="14A8C0D4"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Super - TPD/income protection</w:t>
            </w:r>
          </w:p>
        </w:tc>
        <w:tc>
          <w:tcPr>
            <w:tcW w:w="7513" w:type="dxa"/>
            <w:hideMark/>
          </w:tcPr>
          <w:p w14:paraId="263E5E71"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Assistance in relation to Total and Permanent Disability (TPD) and income protection insurance paid through superannuation accounts.</w:t>
            </w:r>
          </w:p>
        </w:tc>
      </w:tr>
      <w:tr w:rsidR="0007790E" w:rsidRPr="0007790E" w14:paraId="6434C2FB" w14:textId="77777777" w:rsidTr="00DC133C">
        <w:trPr>
          <w:trHeight w:val="315"/>
        </w:trPr>
        <w:tc>
          <w:tcPr>
            <w:tcW w:w="2300" w:type="dxa"/>
            <w:noWrap/>
            <w:hideMark/>
          </w:tcPr>
          <w:p w14:paraId="12C9CCA0"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Superannuation</w:t>
            </w:r>
          </w:p>
        </w:tc>
        <w:tc>
          <w:tcPr>
            <w:tcW w:w="4533" w:type="dxa"/>
            <w:noWrap/>
            <w:hideMark/>
          </w:tcPr>
          <w:p w14:paraId="62BBE3F9"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Super - Other</w:t>
            </w:r>
          </w:p>
        </w:tc>
        <w:tc>
          <w:tcPr>
            <w:tcW w:w="7513" w:type="dxa"/>
            <w:noWrap/>
            <w:hideMark/>
          </w:tcPr>
          <w:p w14:paraId="0BD4224E"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Any other assistance provided in relation to superannuation funds.</w:t>
            </w:r>
          </w:p>
        </w:tc>
      </w:tr>
      <w:tr w:rsidR="0007790E" w:rsidRPr="0007790E" w14:paraId="3484771D" w14:textId="77777777" w:rsidTr="00DC133C">
        <w:trPr>
          <w:trHeight w:val="945"/>
        </w:trPr>
        <w:tc>
          <w:tcPr>
            <w:tcW w:w="2300" w:type="dxa"/>
            <w:noWrap/>
            <w:hideMark/>
          </w:tcPr>
          <w:p w14:paraId="5728FD4F"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Housing</w:t>
            </w:r>
          </w:p>
        </w:tc>
        <w:tc>
          <w:tcPr>
            <w:tcW w:w="4533" w:type="dxa"/>
            <w:noWrap/>
            <w:hideMark/>
          </w:tcPr>
          <w:p w14:paraId="5A8AAFA4"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Rental - social housing tenancy</w:t>
            </w:r>
          </w:p>
        </w:tc>
        <w:tc>
          <w:tcPr>
            <w:tcW w:w="7513" w:type="dxa"/>
            <w:hideMark/>
          </w:tcPr>
          <w:p w14:paraId="131C01F9"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Social housing includes rental housing owned and managed by government or non-government organisations (including not-for-profit) which can be rented to eligible households.</w:t>
            </w:r>
          </w:p>
        </w:tc>
      </w:tr>
      <w:tr w:rsidR="0007790E" w:rsidRPr="0007790E" w14:paraId="7AC89292" w14:textId="77777777" w:rsidTr="00DC133C">
        <w:trPr>
          <w:trHeight w:val="315"/>
        </w:trPr>
        <w:tc>
          <w:tcPr>
            <w:tcW w:w="2300" w:type="dxa"/>
            <w:noWrap/>
            <w:hideMark/>
          </w:tcPr>
          <w:p w14:paraId="58DA5C37"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Housing</w:t>
            </w:r>
          </w:p>
        </w:tc>
        <w:tc>
          <w:tcPr>
            <w:tcW w:w="4533" w:type="dxa"/>
            <w:noWrap/>
            <w:hideMark/>
          </w:tcPr>
          <w:p w14:paraId="4C108B29"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Rental - private rental tenancy </w:t>
            </w:r>
          </w:p>
        </w:tc>
        <w:tc>
          <w:tcPr>
            <w:tcW w:w="7513" w:type="dxa"/>
            <w:noWrap/>
            <w:hideMark/>
          </w:tcPr>
          <w:p w14:paraId="6AC0A00A" w14:textId="77777777"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 private rental agreement between landlord and tenants.</w:t>
            </w:r>
          </w:p>
        </w:tc>
      </w:tr>
      <w:tr w:rsidR="0007790E" w:rsidRPr="0007790E" w14:paraId="3ACB8DC7" w14:textId="77777777" w:rsidTr="00DC133C">
        <w:trPr>
          <w:trHeight w:val="630"/>
        </w:trPr>
        <w:tc>
          <w:tcPr>
            <w:tcW w:w="2300" w:type="dxa"/>
            <w:noWrap/>
            <w:hideMark/>
          </w:tcPr>
          <w:p w14:paraId="7BABDD4D"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Housing</w:t>
            </w:r>
          </w:p>
        </w:tc>
        <w:tc>
          <w:tcPr>
            <w:tcW w:w="4533" w:type="dxa"/>
            <w:noWrap/>
            <w:hideMark/>
          </w:tcPr>
          <w:p w14:paraId="0B55D354"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Body corporate fees</w:t>
            </w:r>
          </w:p>
        </w:tc>
        <w:tc>
          <w:tcPr>
            <w:tcW w:w="7513" w:type="dxa"/>
            <w:hideMark/>
          </w:tcPr>
          <w:p w14:paraId="654247DB" w14:textId="1B2AB795" w:rsidR="0007790E" w:rsidRPr="008F6294" w:rsidRDefault="0007790E" w:rsidP="008F6294">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 xml:space="preserve">Body Corporate fees are paid by anyone who owns a property within a larger building </w:t>
            </w:r>
            <w:r w:rsidR="007B1EE9" w:rsidRPr="008F6294">
              <w:rPr>
                <w:rFonts w:asciiTheme="minorHAnsi" w:eastAsia="Times New Roman" w:hAnsiTheme="minorHAnsi" w:cstheme="minorHAnsi"/>
                <w:sz w:val="20"/>
                <w:szCs w:val="20"/>
                <w:lang w:eastAsia="en-AU"/>
              </w:rPr>
              <w:t>complex, which</w:t>
            </w:r>
            <w:r w:rsidRPr="008F6294">
              <w:rPr>
                <w:rFonts w:asciiTheme="minorHAnsi" w:eastAsia="Times New Roman" w:hAnsiTheme="minorHAnsi" w:cstheme="minorHAnsi"/>
                <w:sz w:val="20"/>
                <w:szCs w:val="20"/>
                <w:lang w:eastAsia="en-AU"/>
              </w:rPr>
              <w:t xml:space="preserve"> is under a strata title.</w:t>
            </w:r>
          </w:p>
        </w:tc>
      </w:tr>
      <w:tr w:rsidR="0007790E" w:rsidRPr="0007790E" w14:paraId="52A1043E" w14:textId="77777777" w:rsidTr="005747E8">
        <w:trPr>
          <w:trHeight w:val="454"/>
        </w:trPr>
        <w:tc>
          <w:tcPr>
            <w:tcW w:w="2300" w:type="dxa"/>
            <w:noWrap/>
            <w:hideMark/>
          </w:tcPr>
          <w:p w14:paraId="2E0AD061"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Other</w:t>
            </w:r>
          </w:p>
        </w:tc>
        <w:tc>
          <w:tcPr>
            <w:tcW w:w="4533" w:type="dxa"/>
            <w:noWrap/>
            <w:hideMark/>
          </w:tcPr>
          <w:p w14:paraId="6FE8DED8" w14:textId="77777777" w:rsidR="0007790E" w:rsidRPr="008F6294" w:rsidRDefault="0007790E" w:rsidP="0007790E">
            <w:pPr>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Other (no suitable category, other creditor)</w:t>
            </w:r>
          </w:p>
        </w:tc>
        <w:tc>
          <w:tcPr>
            <w:tcW w:w="7513" w:type="dxa"/>
            <w:hideMark/>
          </w:tcPr>
          <w:p w14:paraId="20D97D1A" w14:textId="3923820A" w:rsidR="0007790E" w:rsidRPr="008F6294" w:rsidRDefault="00C0204D" w:rsidP="00B5127F">
            <w:pPr>
              <w:spacing w:after="120"/>
              <w:rPr>
                <w:rFonts w:asciiTheme="minorHAnsi" w:eastAsia="Times New Roman" w:hAnsiTheme="minorHAnsi" w:cstheme="minorHAnsi"/>
                <w:sz w:val="20"/>
                <w:szCs w:val="20"/>
                <w:lang w:eastAsia="en-AU"/>
              </w:rPr>
            </w:pPr>
            <w:r w:rsidRPr="008F6294">
              <w:rPr>
                <w:rFonts w:asciiTheme="minorHAnsi" w:eastAsia="Times New Roman" w:hAnsiTheme="minorHAnsi" w:cstheme="minorHAnsi"/>
                <w:sz w:val="20"/>
                <w:szCs w:val="20"/>
                <w:lang w:eastAsia="en-AU"/>
              </w:rPr>
              <w:t>A</w:t>
            </w:r>
            <w:r w:rsidR="0007790E" w:rsidRPr="008F6294">
              <w:rPr>
                <w:rFonts w:asciiTheme="minorHAnsi" w:eastAsia="Times New Roman" w:hAnsiTheme="minorHAnsi" w:cstheme="minorHAnsi"/>
                <w:sz w:val="20"/>
                <w:szCs w:val="20"/>
                <w:lang w:eastAsia="en-AU"/>
              </w:rPr>
              <w:t xml:space="preserve"> </w:t>
            </w:r>
            <w:r w:rsidR="00B5127F">
              <w:rPr>
                <w:rFonts w:asciiTheme="minorHAnsi" w:eastAsia="Times New Roman" w:hAnsiTheme="minorHAnsi" w:cstheme="minorHAnsi"/>
                <w:sz w:val="20"/>
                <w:szCs w:val="20"/>
                <w:lang w:eastAsia="en-AU"/>
              </w:rPr>
              <w:t>subsector</w:t>
            </w:r>
            <w:r w:rsidR="00B5127F" w:rsidRPr="008F6294">
              <w:rPr>
                <w:rFonts w:asciiTheme="minorHAnsi" w:eastAsia="Times New Roman" w:hAnsiTheme="minorHAnsi" w:cstheme="minorHAnsi"/>
                <w:sz w:val="20"/>
                <w:szCs w:val="20"/>
                <w:lang w:eastAsia="en-AU"/>
              </w:rPr>
              <w:t xml:space="preserve"> </w:t>
            </w:r>
            <w:r w:rsidR="0007790E" w:rsidRPr="008F6294">
              <w:rPr>
                <w:rFonts w:asciiTheme="minorHAnsi" w:eastAsia="Times New Roman" w:hAnsiTheme="minorHAnsi" w:cstheme="minorHAnsi"/>
                <w:sz w:val="20"/>
                <w:szCs w:val="20"/>
                <w:lang w:eastAsia="en-AU"/>
              </w:rPr>
              <w:t>tha</w:t>
            </w:r>
            <w:r w:rsidR="005747E8">
              <w:rPr>
                <w:rFonts w:asciiTheme="minorHAnsi" w:eastAsia="Times New Roman" w:hAnsiTheme="minorHAnsi" w:cstheme="minorHAnsi"/>
                <w:sz w:val="20"/>
                <w:szCs w:val="20"/>
                <w:lang w:eastAsia="en-AU"/>
              </w:rPr>
              <w:t>t is</w:t>
            </w:r>
            <w:r w:rsidRPr="008F6294">
              <w:rPr>
                <w:rFonts w:asciiTheme="minorHAnsi" w:eastAsia="Times New Roman" w:hAnsiTheme="minorHAnsi" w:cstheme="minorHAnsi"/>
                <w:sz w:val="20"/>
                <w:szCs w:val="20"/>
                <w:lang w:eastAsia="en-AU"/>
              </w:rPr>
              <w:t xml:space="preserve"> not included in this list. </w:t>
            </w:r>
          </w:p>
        </w:tc>
      </w:tr>
    </w:tbl>
    <w:p w14:paraId="7E81F1B5" w14:textId="77777777" w:rsidR="001721B0" w:rsidRDefault="001721B0" w:rsidP="00D57446">
      <w:pPr>
        <w:sectPr w:rsidR="001721B0" w:rsidSect="005B248D">
          <w:pgSz w:w="16838" w:h="11906" w:orient="landscape"/>
          <w:pgMar w:top="1134" w:right="1134" w:bottom="1418" w:left="1418" w:header="284" w:footer="459" w:gutter="0"/>
          <w:cols w:space="708"/>
          <w:titlePg/>
          <w:docGrid w:linePitch="360"/>
        </w:sectPr>
      </w:pPr>
    </w:p>
    <w:p w14:paraId="5791C2DA" w14:textId="012E49ED" w:rsidR="005A79E1" w:rsidRDefault="005A79E1" w:rsidP="004E1899">
      <w:pPr>
        <w:pStyle w:val="Heading1"/>
        <w:numPr>
          <w:ilvl w:val="0"/>
          <w:numId w:val="0"/>
        </w:numPr>
        <w:spacing w:before="0"/>
      </w:pPr>
      <w:bookmarkStart w:id="39" w:name="_Toc95144644"/>
      <w:bookmarkStart w:id="40" w:name="_Toc95144673"/>
      <w:bookmarkStart w:id="41" w:name="_Toc95144729"/>
      <w:bookmarkStart w:id="42" w:name="_Toc95144994"/>
      <w:bookmarkStart w:id="43" w:name="_Toc118288282"/>
      <w:bookmarkEnd w:id="39"/>
      <w:bookmarkEnd w:id="40"/>
      <w:bookmarkEnd w:id="41"/>
      <w:bookmarkEnd w:id="42"/>
      <w:r>
        <w:lastRenderedPageBreak/>
        <w:t xml:space="preserve">Appendix </w:t>
      </w:r>
      <w:r w:rsidR="00C91BAB">
        <w:t>C</w:t>
      </w:r>
      <w:r>
        <w:t xml:space="preserve"> – Summary of results of </w:t>
      </w:r>
      <w:r w:rsidR="00172041">
        <w:t xml:space="preserve">the </w:t>
      </w:r>
      <w:r w:rsidR="000F392E">
        <w:t>2021</w:t>
      </w:r>
      <w:r w:rsidR="00172041">
        <w:t> </w:t>
      </w:r>
      <w:r w:rsidR="00F40F68">
        <w:t>s</w:t>
      </w:r>
      <w:r>
        <w:t>urvey</w:t>
      </w:r>
      <w:r w:rsidR="004D61A1">
        <w:t xml:space="preserve"> </w:t>
      </w:r>
      <w:r>
        <w:t xml:space="preserve">of </w:t>
      </w:r>
      <w:r w:rsidR="00F40F68">
        <w:t>f</w:t>
      </w:r>
      <w:r>
        <w:t xml:space="preserve">inancial </w:t>
      </w:r>
      <w:r w:rsidR="00F40F68">
        <w:t>c</w:t>
      </w:r>
      <w:r>
        <w:t xml:space="preserve">ounsellor </w:t>
      </w:r>
      <w:r w:rsidR="00F40F68">
        <w:t>t</w:t>
      </w:r>
      <w:r>
        <w:t>ime</w:t>
      </w:r>
      <w:bookmarkEnd w:id="43"/>
      <w:r>
        <w:t xml:space="preserve"> </w:t>
      </w:r>
    </w:p>
    <w:p w14:paraId="0DED09C1" w14:textId="701E0D9B" w:rsidR="005A79E1" w:rsidRPr="005A79E1" w:rsidRDefault="005A79E1" w:rsidP="00D57446">
      <w:pPr>
        <w:pStyle w:val="TableHeading"/>
        <w:numPr>
          <w:ilvl w:val="0"/>
          <w:numId w:val="2"/>
        </w:numPr>
        <w:spacing w:before="240"/>
      </w:pPr>
      <w:r w:rsidRPr="003A6A5F">
        <w:rPr>
          <w:rFonts w:eastAsiaTheme="majorEastAsia" w:cstheme="minorBidi"/>
          <w:caps w:val="0"/>
          <w:color w:val="auto"/>
          <w:sz w:val="22"/>
        </w:rPr>
        <w:t xml:space="preserve">Time </w:t>
      </w:r>
      <w:r w:rsidR="00B23F98">
        <w:rPr>
          <w:rFonts w:eastAsiaTheme="majorEastAsia" w:cstheme="minorBidi"/>
          <w:caps w:val="0"/>
          <w:color w:val="auto"/>
          <w:sz w:val="22"/>
        </w:rPr>
        <w:t>that can be traced to a sector-s</w:t>
      </w:r>
      <w:r w:rsidRPr="003A6A5F">
        <w:rPr>
          <w:rFonts w:eastAsiaTheme="majorEastAsia" w:cstheme="minorBidi"/>
          <w:caps w:val="0"/>
          <w:color w:val="auto"/>
          <w:sz w:val="22"/>
        </w:rPr>
        <w:t>ubsector</w:t>
      </w:r>
      <w:r w:rsidRPr="001D2B63">
        <w:rPr>
          <w:szCs w:val="20"/>
          <w:vertAlign w:val="superscript"/>
        </w:rPr>
        <w:footnoteReference w:id="20"/>
      </w:r>
    </w:p>
    <w:tbl>
      <w:tblPr>
        <w:tblStyle w:val="ARTD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2106"/>
        <w:gridCol w:w="2106"/>
        <w:gridCol w:w="2106"/>
      </w:tblGrid>
      <w:tr w:rsidR="005A79E1" w:rsidRPr="00143FE6" w14:paraId="5F4C0BF5" w14:textId="77777777" w:rsidTr="004F4C76">
        <w:trPr>
          <w:cnfStyle w:val="100000000000" w:firstRow="1" w:lastRow="0" w:firstColumn="0" w:lastColumn="0" w:oddVBand="0" w:evenVBand="0" w:oddHBand="0" w:evenHBand="0" w:firstRowFirstColumn="0" w:firstRowLastColumn="0" w:lastRowFirstColumn="0" w:lastRowLastColumn="0"/>
          <w:trHeight w:val="320"/>
          <w:tblHeader/>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1E4E3" w:themeFill="accent3"/>
            <w:noWrap/>
            <w:hideMark/>
          </w:tcPr>
          <w:p w14:paraId="599BDB72" w14:textId="77777777" w:rsidR="005A79E1" w:rsidRPr="00143FE6" w:rsidRDefault="005A79E1" w:rsidP="002537C6">
            <w:pPr>
              <w:spacing w:after="120"/>
              <w:rPr>
                <w:rFonts w:cstheme="minorHAnsi"/>
                <w:bCs/>
                <w:color w:val="000000"/>
                <w:sz w:val="20"/>
              </w:rPr>
            </w:pPr>
            <w:r w:rsidRPr="00143FE6">
              <w:rPr>
                <w:rFonts w:cstheme="minorHAnsi"/>
                <w:bCs/>
                <w:color w:val="000000"/>
                <w:sz w:val="20"/>
              </w:rPr>
              <w:t>Sector-</w:t>
            </w:r>
            <w:r>
              <w:rPr>
                <w:rFonts w:cstheme="minorHAnsi"/>
                <w:bCs/>
                <w:color w:val="000000"/>
                <w:sz w:val="20"/>
              </w:rPr>
              <w:t>Subsector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1E4E3" w:themeFill="accent3"/>
            <w:noWrap/>
            <w:vAlign w:val="center"/>
            <w:hideMark/>
          </w:tcPr>
          <w:p w14:paraId="4B3E964E" w14:textId="77777777" w:rsidR="005A79E1" w:rsidRPr="00143FE6" w:rsidRDefault="005A79E1" w:rsidP="002537C6">
            <w:pPr>
              <w:spacing w:after="120"/>
              <w:jc w:val="center"/>
              <w:rPr>
                <w:rFonts w:cstheme="minorHAnsi"/>
                <w:bCs/>
                <w:color w:val="000000"/>
                <w:sz w:val="20"/>
              </w:rPr>
            </w:pPr>
            <w:r w:rsidRPr="00143FE6">
              <w:rPr>
                <w:rFonts w:cstheme="minorHAnsi"/>
                <w:bCs/>
                <w:color w:val="000000"/>
                <w:sz w:val="20"/>
              </w:rPr>
              <w:t>Aggregate time (minutes)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1E4E3" w:themeFill="accent3"/>
            <w:noWrap/>
            <w:vAlign w:val="center"/>
            <w:hideMark/>
          </w:tcPr>
          <w:p w14:paraId="3B190BC6" w14:textId="77777777" w:rsidR="005A79E1" w:rsidRPr="00143FE6" w:rsidRDefault="005A79E1" w:rsidP="002537C6">
            <w:pPr>
              <w:spacing w:after="120"/>
              <w:jc w:val="center"/>
              <w:rPr>
                <w:rFonts w:cstheme="minorHAnsi"/>
                <w:bCs/>
                <w:color w:val="000000"/>
                <w:sz w:val="20"/>
              </w:rPr>
            </w:pPr>
            <w:r w:rsidRPr="00143FE6">
              <w:rPr>
                <w:rFonts w:cstheme="minorHAnsi"/>
                <w:bCs/>
                <w:color w:val="000000"/>
                <w:sz w:val="20"/>
              </w:rPr>
              <w:t>Proportion of sector total</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1E4E3" w:themeFill="accent3"/>
            <w:noWrap/>
            <w:vAlign w:val="center"/>
            <w:hideMark/>
          </w:tcPr>
          <w:p w14:paraId="4AE571D0" w14:textId="2D834A21" w:rsidR="005A79E1" w:rsidRPr="00143FE6" w:rsidRDefault="005A79E1" w:rsidP="004F199B">
            <w:pPr>
              <w:spacing w:after="120"/>
              <w:jc w:val="center"/>
              <w:rPr>
                <w:rFonts w:cstheme="minorHAnsi"/>
                <w:bCs/>
                <w:color w:val="000000"/>
                <w:sz w:val="20"/>
              </w:rPr>
            </w:pPr>
            <w:r w:rsidRPr="00143FE6">
              <w:rPr>
                <w:rFonts w:cstheme="minorHAnsi"/>
                <w:bCs/>
                <w:color w:val="000000"/>
                <w:sz w:val="20"/>
              </w:rPr>
              <w:t xml:space="preserve">Proportion of total </w:t>
            </w:r>
          </w:p>
        </w:tc>
      </w:tr>
      <w:tr w:rsidR="005A79E1" w:rsidRPr="00143FE6" w14:paraId="4AF42868"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3739637" w14:textId="77777777" w:rsidR="005A79E1" w:rsidRPr="00143FE6" w:rsidRDefault="005A79E1" w:rsidP="002537C6">
            <w:pPr>
              <w:spacing w:after="120"/>
              <w:jc w:val="center"/>
              <w:rPr>
                <w:rFonts w:cstheme="minorHAnsi"/>
                <w:b/>
                <w:bCs/>
                <w:color w:val="000000"/>
                <w:sz w:val="20"/>
              </w:rPr>
            </w:pP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4567827"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44C1E2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72E6C0D"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w:t>
            </w:r>
          </w:p>
        </w:tc>
      </w:tr>
      <w:tr w:rsidR="005A79E1" w:rsidRPr="00143FE6" w14:paraId="0B36B58F"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3BEF706"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Financial services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0176178"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103,836.50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C030C97"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100.00%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C06C815"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57.94%</w:t>
            </w:r>
          </w:p>
        </w:tc>
      </w:tr>
      <w:tr w:rsidR="005A79E1" w:rsidRPr="00143FE6" w14:paraId="589A4182"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CDFDFF4" w14:textId="77777777" w:rsidR="005A79E1" w:rsidRPr="00143FE6" w:rsidRDefault="005A79E1" w:rsidP="002537C6">
            <w:pPr>
              <w:spacing w:after="120"/>
              <w:rPr>
                <w:rFonts w:cstheme="minorHAnsi"/>
                <w:color w:val="000000"/>
                <w:sz w:val="20"/>
              </w:rPr>
            </w:pPr>
            <w:r w:rsidRPr="00143FE6">
              <w:rPr>
                <w:rFonts w:cstheme="minorHAnsi"/>
                <w:color w:val="000000"/>
                <w:sz w:val="20"/>
              </w:rPr>
              <w:t>Bank other debt</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39F658A"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29,721.50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507271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28.62%</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E72790B"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16.59%</w:t>
            </w:r>
          </w:p>
        </w:tc>
      </w:tr>
      <w:tr w:rsidR="005A79E1" w:rsidRPr="00143FE6" w14:paraId="57FA4035"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0D00001" w14:textId="77777777" w:rsidR="005A79E1" w:rsidRPr="00143FE6" w:rsidRDefault="005A79E1" w:rsidP="002537C6">
            <w:pPr>
              <w:spacing w:after="120"/>
              <w:rPr>
                <w:rFonts w:cstheme="minorHAnsi"/>
                <w:color w:val="000000"/>
                <w:sz w:val="20"/>
              </w:rPr>
            </w:pPr>
            <w:r w:rsidRPr="00143FE6">
              <w:rPr>
                <w:rFonts w:cstheme="minorHAnsi"/>
                <w:color w:val="000000"/>
                <w:sz w:val="20"/>
              </w:rPr>
              <w:t>Bank mortgage</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69CEFCB"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19,257.00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DA818E3"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18.55%</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4CF83A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10.75%</w:t>
            </w:r>
          </w:p>
        </w:tc>
      </w:tr>
      <w:tr w:rsidR="005A79E1" w:rsidRPr="00143FE6" w14:paraId="4C3006C6"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67E276B" w14:textId="77777777" w:rsidR="005A79E1" w:rsidRPr="00143FE6" w:rsidRDefault="005A79E1" w:rsidP="002537C6">
            <w:pPr>
              <w:spacing w:after="120"/>
              <w:rPr>
                <w:rFonts w:cstheme="minorHAnsi"/>
                <w:color w:val="000000"/>
                <w:sz w:val="20"/>
              </w:rPr>
            </w:pPr>
            <w:r w:rsidRPr="00143FE6">
              <w:rPr>
                <w:rFonts w:cstheme="minorHAnsi"/>
                <w:color w:val="000000"/>
                <w:sz w:val="20"/>
              </w:rPr>
              <w:t>Debt collector or buyer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0BAF882"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13,652.00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FDC5563"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13.15%</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2C49FB8"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7.62%</w:t>
            </w:r>
          </w:p>
        </w:tc>
      </w:tr>
      <w:tr w:rsidR="005A79E1" w:rsidRPr="00143FE6" w14:paraId="2B58195A"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980A4DC" w14:textId="77777777" w:rsidR="005A79E1" w:rsidRPr="00143FE6" w:rsidRDefault="005A79E1" w:rsidP="002537C6">
            <w:pPr>
              <w:spacing w:after="120"/>
              <w:rPr>
                <w:rFonts w:cstheme="minorHAnsi"/>
                <w:color w:val="000000"/>
                <w:sz w:val="20"/>
              </w:rPr>
            </w:pPr>
            <w:r w:rsidRPr="00143FE6">
              <w:rPr>
                <w:rFonts w:cstheme="minorHAnsi"/>
                <w:color w:val="000000"/>
                <w:sz w:val="20"/>
              </w:rPr>
              <w:t>Other credit provider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7416EFB"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11,727.00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44B4B9A"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11.29%</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7A04A89"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6.54%</w:t>
            </w:r>
          </w:p>
        </w:tc>
      </w:tr>
      <w:tr w:rsidR="005A79E1" w:rsidRPr="00143FE6" w14:paraId="4CBC1F16"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DD15248" w14:textId="77777777" w:rsidR="005A79E1" w:rsidRPr="00143FE6" w:rsidRDefault="005A79E1" w:rsidP="002537C6">
            <w:pPr>
              <w:spacing w:after="120"/>
              <w:rPr>
                <w:rFonts w:cstheme="minorHAnsi"/>
                <w:color w:val="000000"/>
                <w:sz w:val="20"/>
              </w:rPr>
            </w:pPr>
            <w:r w:rsidRPr="00143FE6">
              <w:rPr>
                <w:rFonts w:cstheme="minorHAnsi"/>
                <w:color w:val="000000"/>
                <w:sz w:val="20"/>
              </w:rPr>
              <w:t>Small amount of credit contracts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24E8407"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6,791.00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92BBB5C"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6.54%</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DBFA8D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3.79%</w:t>
            </w:r>
          </w:p>
        </w:tc>
      </w:tr>
      <w:tr w:rsidR="005A79E1" w:rsidRPr="00143FE6" w14:paraId="0293AF49"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8015B91" w14:textId="77777777" w:rsidR="005A79E1" w:rsidRPr="00143FE6" w:rsidRDefault="005A79E1" w:rsidP="002537C6">
            <w:pPr>
              <w:spacing w:after="120"/>
              <w:rPr>
                <w:rFonts w:cstheme="minorHAnsi"/>
                <w:color w:val="000000"/>
                <w:sz w:val="20"/>
              </w:rPr>
            </w:pPr>
            <w:r w:rsidRPr="00143FE6">
              <w:rPr>
                <w:rFonts w:cstheme="minorHAnsi"/>
                <w:color w:val="000000"/>
                <w:sz w:val="20"/>
              </w:rPr>
              <w:t>Buy now pay later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722BBF2"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5,798.00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A90E677"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5.58%</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3E63BE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3.24%</w:t>
            </w:r>
          </w:p>
        </w:tc>
      </w:tr>
      <w:tr w:rsidR="005A79E1" w:rsidRPr="00143FE6" w14:paraId="3CB30302"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6B82BC1" w14:textId="77777777" w:rsidR="005A79E1" w:rsidRPr="00143FE6" w:rsidRDefault="005A79E1" w:rsidP="002537C6">
            <w:pPr>
              <w:spacing w:after="120"/>
              <w:rPr>
                <w:rFonts w:cstheme="minorHAnsi"/>
                <w:color w:val="000000"/>
                <w:sz w:val="20"/>
              </w:rPr>
            </w:pPr>
            <w:r w:rsidRPr="00143FE6">
              <w:rPr>
                <w:rFonts w:cstheme="minorHAnsi"/>
                <w:color w:val="000000"/>
                <w:sz w:val="20"/>
              </w:rPr>
              <w:t>General insurer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27379B7"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4,827.00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311099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4.65%</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FA8E05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2.69%</w:t>
            </w:r>
          </w:p>
        </w:tc>
      </w:tr>
      <w:tr w:rsidR="005A79E1" w:rsidRPr="00143FE6" w14:paraId="4D70113E"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A872D62" w14:textId="77777777" w:rsidR="005A79E1" w:rsidRPr="00143FE6" w:rsidRDefault="005A79E1" w:rsidP="002537C6">
            <w:pPr>
              <w:spacing w:after="120"/>
              <w:rPr>
                <w:rFonts w:cstheme="minorHAnsi"/>
                <w:color w:val="000000"/>
                <w:sz w:val="20"/>
              </w:rPr>
            </w:pPr>
            <w:r w:rsidRPr="00143FE6">
              <w:rPr>
                <w:rFonts w:cstheme="minorHAnsi"/>
                <w:color w:val="000000"/>
                <w:sz w:val="20"/>
              </w:rPr>
              <w:t>Finance companies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EE4D148"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4,362.00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B3D9856"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4.20%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50A0BB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2.43%</w:t>
            </w:r>
          </w:p>
        </w:tc>
      </w:tr>
      <w:tr w:rsidR="005A79E1" w:rsidRPr="00143FE6" w14:paraId="635395D0"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F526657" w14:textId="77777777" w:rsidR="005A79E1" w:rsidRPr="00143FE6" w:rsidRDefault="005A79E1" w:rsidP="002537C6">
            <w:pPr>
              <w:spacing w:after="120"/>
              <w:rPr>
                <w:rFonts w:cstheme="minorHAnsi"/>
                <w:color w:val="000000"/>
                <w:sz w:val="20"/>
              </w:rPr>
            </w:pPr>
            <w:r w:rsidRPr="00143FE6">
              <w:rPr>
                <w:rFonts w:cstheme="minorHAnsi"/>
                <w:color w:val="000000"/>
                <w:sz w:val="20"/>
              </w:rPr>
              <w:t>Consumer lease</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72D0A3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3,692.00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5EEE948"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3.56%</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978334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2.06%</w:t>
            </w:r>
          </w:p>
        </w:tc>
      </w:tr>
      <w:tr w:rsidR="005A79E1" w:rsidRPr="00143FE6" w14:paraId="06DAAC5C"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8A72BCD" w14:textId="77777777" w:rsidR="005A79E1" w:rsidRPr="00143FE6" w:rsidRDefault="005A79E1" w:rsidP="002537C6">
            <w:pPr>
              <w:spacing w:after="120"/>
              <w:rPr>
                <w:rFonts w:cstheme="minorHAnsi"/>
                <w:color w:val="000000"/>
                <w:sz w:val="20"/>
              </w:rPr>
            </w:pPr>
            <w:r w:rsidRPr="00143FE6">
              <w:rPr>
                <w:rFonts w:cstheme="minorHAnsi"/>
                <w:color w:val="000000"/>
                <w:sz w:val="20"/>
              </w:rPr>
              <w:t>Debt management firm</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04805C7"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1,563.00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61286DF"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1.51%</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FCD0236"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0.87%</w:t>
            </w:r>
          </w:p>
        </w:tc>
      </w:tr>
      <w:tr w:rsidR="005A79E1" w:rsidRPr="00143FE6" w14:paraId="6F07BF32"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E12F7A1" w14:textId="77777777" w:rsidR="005A79E1" w:rsidRPr="00143FE6" w:rsidRDefault="005A79E1" w:rsidP="002537C6">
            <w:pPr>
              <w:spacing w:after="120"/>
              <w:rPr>
                <w:rFonts w:cstheme="minorHAnsi"/>
                <w:color w:val="000000"/>
                <w:sz w:val="20"/>
              </w:rPr>
            </w:pPr>
            <w:r w:rsidRPr="00143FE6">
              <w:rPr>
                <w:rFonts w:cstheme="minorHAnsi"/>
                <w:color w:val="000000"/>
                <w:sz w:val="20"/>
              </w:rPr>
              <w:t>Credit reporting agency</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8B2836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1,043.00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368BF52"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48074A6"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0.58%</w:t>
            </w:r>
          </w:p>
        </w:tc>
      </w:tr>
      <w:tr w:rsidR="005A79E1" w:rsidRPr="00143FE6" w14:paraId="0740291B"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73ED887" w14:textId="77777777" w:rsidR="005A79E1" w:rsidRPr="00143FE6" w:rsidRDefault="005A79E1" w:rsidP="002537C6">
            <w:pPr>
              <w:spacing w:after="120"/>
              <w:rPr>
                <w:rFonts w:cstheme="minorHAnsi"/>
                <w:color w:val="000000"/>
                <w:sz w:val="20"/>
              </w:rPr>
            </w:pPr>
            <w:r w:rsidRPr="00143FE6">
              <w:rPr>
                <w:rFonts w:cstheme="minorHAnsi"/>
                <w:color w:val="000000"/>
                <w:sz w:val="20"/>
              </w:rPr>
              <w:t>Customer owned bank</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1057427"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845.00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945F674"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0.81%</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C0C8466"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0.47%</w:t>
            </w:r>
          </w:p>
        </w:tc>
      </w:tr>
      <w:tr w:rsidR="005A79E1" w:rsidRPr="00143FE6" w14:paraId="1F7A8404"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375A196" w14:textId="77777777" w:rsidR="005A79E1" w:rsidRPr="00143FE6" w:rsidRDefault="005A79E1" w:rsidP="002537C6">
            <w:pPr>
              <w:spacing w:after="120"/>
              <w:rPr>
                <w:rFonts w:cstheme="minorHAnsi"/>
                <w:color w:val="000000"/>
                <w:sz w:val="20"/>
              </w:rPr>
            </w:pPr>
            <w:r w:rsidRPr="00143FE6">
              <w:rPr>
                <w:rFonts w:cstheme="minorHAnsi"/>
                <w:color w:val="000000"/>
                <w:sz w:val="20"/>
              </w:rPr>
              <w:t>Health insurer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2C4DADA"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298.00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50C8B21"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0.29%</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D4231B9"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0.17%</w:t>
            </w:r>
          </w:p>
        </w:tc>
      </w:tr>
      <w:tr w:rsidR="005A79E1" w:rsidRPr="00143FE6" w14:paraId="7AB5FA92"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A274008" w14:textId="77777777" w:rsidR="005A79E1" w:rsidRPr="00143FE6" w:rsidRDefault="005A79E1" w:rsidP="002537C6">
            <w:pPr>
              <w:spacing w:after="120"/>
              <w:rPr>
                <w:rFonts w:cstheme="minorHAnsi"/>
                <w:color w:val="000000"/>
                <w:sz w:val="20"/>
              </w:rPr>
            </w:pPr>
            <w:r w:rsidRPr="00143FE6">
              <w:rPr>
                <w:rFonts w:cstheme="minorHAnsi"/>
                <w:color w:val="000000"/>
                <w:sz w:val="20"/>
              </w:rPr>
              <w:t>Life insurer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ED03DB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175.00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5DB470D"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0.17%</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841ADD1"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0.10%</w:t>
            </w:r>
          </w:p>
        </w:tc>
      </w:tr>
      <w:tr w:rsidR="005A79E1" w:rsidRPr="00143FE6" w14:paraId="34DB6397"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25AB677" w14:textId="77777777" w:rsidR="005A79E1" w:rsidRPr="00143FE6" w:rsidRDefault="005A79E1" w:rsidP="002537C6">
            <w:pPr>
              <w:spacing w:after="120"/>
              <w:rPr>
                <w:rFonts w:cstheme="minorHAnsi"/>
                <w:color w:val="000000"/>
                <w:sz w:val="20"/>
              </w:rPr>
            </w:pPr>
            <w:r w:rsidRPr="00143FE6">
              <w:rPr>
                <w:rFonts w:cstheme="minorHAnsi"/>
                <w:color w:val="000000"/>
                <w:sz w:val="20"/>
              </w:rPr>
              <w:t>Mortgage broker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D16BDC8"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60.00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C7B9798"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0.06%</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C73785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0.03%</w:t>
            </w:r>
          </w:p>
        </w:tc>
      </w:tr>
      <w:tr w:rsidR="005A79E1" w:rsidRPr="00143FE6" w14:paraId="45A3CDFD"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F88591E" w14:textId="77777777" w:rsidR="005A79E1" w:rsidRPr="00143FE6" w:rsidRDefault="005A79E1" w:rsidP="002537C6">
            <w:pPr>
              <w:spacing w:after="120"/>
              <w:rPr>
                <w:rFonts w:cstheme="minorHAnsi"/>
                <w:color w:val="000000"/>
                <w:sz w:val="20"/>
              </w:rPr>
            </w:pPr>
            <w:r w:rsidRPr="00143FE6">
              <w:rPr>
                <w:rFonts w:cstheme="minorHAnsi"/>
                <w:color w:val="000000"/>
                <w:sz w:val="20"/>
              </w:rPr>
              <w:t>Financial advisor/planner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CCFB5C2"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25.00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77C8F7F"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0.02%</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099C192"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0.01%</w:t>
            </w:r>
          </w:p>
        </w:tc>
      </w:tr>
      <w:tr w:rsidR="005A79E1" w:rsidRPr="00143FE6" w14:paraId="2FC78CBB"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822357B"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Utilities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36A8FF8"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32,249.00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A21E03A"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100.00%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0A407B0"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18.00%</w:t>
            </w:r>
          </w:p>
        </w:tc>
      </w:tr>
      <w:tr w:rsidR="005A79E1" w:rsidRPr="00143FE6" w14:paraId="43866E68"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56EB8B4" w14:textId="77777777" w:rsidR="005A79E1" w:rsidRPr="00143FE6" w:rsidRDefault="005A79E1" w:rsidP="002537C6">
            <w:pPr>
              <w:spacing w:after="120"/>
              <w:rPr>
                <w:rFonts w:cstheme="minorHAnsi"/>
                <w:color w:val="000000"/>
                <w:sz w:val="20"/>
              </w:rPr>
            </w:pPr>
            <w:r w:rsidRPr="00143FE6">
              <w:rPr>
                <w:rFonts w:cstheme="minorHAnsi"/>
                <w:color w:val="000000"/>
                <w:sz w:val="20"/>
              </w:rPr>
              <w:lastRenderedPageBreak/>
              <w:t>Electricity</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3B09D68"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20,530.00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9936FF7" w14:textId="77AC4588" w:rsidR="005A79E1" w:rsidRPr="00143FE6" w:rsidRDefault="005A79E1" w:rsidP="00AA1A45">
            <w:pPr>
              <w:spacing w:after="120"/>
              <w:jc w:val="center"/>
              <w:rPr>
                <w:rFonts w:cstheme="minorHAnsi"/>
                <w:i/>
                <w:iCs/>
                <w:color w:val="000000"/>
                <w:sz w:val="20"/>
              </w:rPr>
            </w:pPr>
            <w:r w:rsidRPr="00143FE6">
              <w:rPr>
                <w:rFonts w:cstheme="minorHAnsi"/>
                <w:i/>
                <w:iCs/>
                <w:color w:val="000000"/>
                <w:sz w:val="20"/>
              </w:rPr>
              <w:t>63.</w:t>
            </w:r>
            <w:r w:rsidR="00AA1A45" w:rsidRPr="00143FE6">
              <w:rPr>
                <w:rFonts w:cstheme="minorHAnsi"/>
                <w:i/>
                <w:iCs/>
                <w:color w:val="000000"/>
                <w:sz w:val="20"/>
              </w:rPr>
              <w:t>6</w:t>
            </w:r>
            <w:r w:rsidR="00AA1A45">
              <w:rPr>
                <w:rFonts w:cstheme="minorHAnsi"/>
                <w:i/>
                <w:iCs/>
                <w:color w:val="000000"/>
                <w:sz w:val="20"/>
              </w:rPr>
              <w:t>7</w:t>
            </w:r>
            <w:r w:rsidRPr="00143FE6">
              <w:rPr>
                <w:rFonts w:cstheme="minorHAnsi"/>
                <w:i/>
                <w:iCs/>
                <w:color w:val="000000"/>
                <w:sz w:val="20"/>
              </w:rPr>
              <w:t>%</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83B3C5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11.46%</w:t>
            </w:r>
          </w:p>
        </w:tc>
      </w:tr>
      <w:tr w:rsidR="005A79E1" w:rsidRPr="00143FE6" w14:paraId="00A53EC2"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7466A58" w14:textId="77777777" w:rsidR="005A79E1" w:rsidRPr="00143FE6" w:rsidRDefault="005A79E1" w:rsidP="002537C6">
            <w:pPr>
              <w:spacing w:after="120"/>
              <w:rPr>
                <w:rFonts w:cstheme="minorHAnsi"/>
                <w:color w:val="000000"/>
                <w:sz w:val="20"/>
              </w:rPr>
            </w:pPr>
            <w:r w:rsidRPr="00143FE6">
              <w:rPr>
                <w:rFonts w:cstheme="minorHAnsi"/>
                <w:color w:val="000000"/>
                <w:sz w:val="20"/>
              </w:rPr>
              <w:t>Water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36A6E4A"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7,689.00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515C8D4" w14:textId="77777777" w:rsidR="005A79E1" w:rsidRPr="00143FE6" w:rsidRDefault="005A79E1" w:rsidP="002537C6">
            <w:pPr>
              <w:spacing w:after="120"/>
              <w:jc w:val="center"/>
              <w:rPr>
                <w:rFonts w:cstheme="minorHAnsi"/>
                <w:i/>
                <w:iCs/>
                <w:color w:val="000000"/>
                <w:sz w:val="20"/>
              </w:rPr>
            </w:pPr>
            <w:r w:rsidRPr="00143FE6">
              <w:rPr>
                <w:rFonts w:cstheme="minorHAnsi"/>
                <w:i/>
                <w:iCs/>
                <w:color w:val="000000"/>
                <w:sz w:val="20"/>
              </w:rPr>
              <w:t>23.84%</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FC62C7B"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4.29%</w:t>
            </w:r>
          </w:p>
        </w:tc>
      </w:tr>
      <w:tr w:rsidR="005A79E1" w:rsidRPr="00143FE6" w14:paraId="0F15F68A"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E65444F" w14:textId="77777777" w:rsidR="005A79E1" w:rsidRPr="00143FE6" w:rsidRDefault="005A79E1" w:rsidP="002537C6">
            <w:pPr>
              <w:spacing w:after="120"/>
              <w:rPr>
                <w:rFonts w:cstheme="minorHAnsi"/>
                <w:color w:val="000000"/>
                <w:sz w:val="20"/>
              </w:rPr>
            </w:pPr>
            <w:r w:rsidRPr="00143FE6">
              <w:rPr>
                <w:rFonts w:cstheme="minorHAnsi"/>
                <w:color w:val="000000"/>
                <w:sz w:val="20"/>
              </w:rPr>
              <w:t>Gas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DFA6E81"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3,935.00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B6E2E12" w14:textId="77777777" w:rsidR="005A79E1" w:rsidRPr="00143FE6" w:rsidRDefault="005A79E1" w:rsidP="002537C6">
            <w:pPr>
              <w:spacing w:after="120"/>
              <w:jc w:val="center"/>
              <w:rPr>
                <w:rFonts w:cstheme="minorHAnsi"/>
                <w:i/>
                <w:iCs/>
                <w:color w:val="000000"/>
                <w:sz w:val="20"/>
              </w:rPr>
            </w:pPr>
            <w:r w:rsidRPr="00143FE6">
              <w:rPr>
                <w:rFonts w:cstheme="minorHAnsi"/>
                <w:i/>
                <w:iCs/>
                <w:color w:val="000000"/>
                <w:sz w:val="20"/>
              </w:rPr>
              <w:t>12.20%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CEA2EE6"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2.20%</w:t>
            </w:r>
          </w:p>
        </w:tc>
      </w:tr>
      <w:tr w:rsidR="005A79E1" w:rsidRPr="00143FE6" w14:paraId="0BF44291"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89FBC76" w14:textId="77777777" w:rsidR="005A79E1" w:rsidRPr="00143FE6" w:rsidRDefault="005A79E1" w:rsidP="002537C6">
            <w:pPr>
              <w:spacing w:after="120"/>
              <w:rPr>
                <w:rFonts w:cstheme="minorHAnsi"/>
                <w:color w:val="000000"/>
                <w:sz w:val="20"/>
              </w:rPr>
            </w:pPr>
            <w:r w:rsidRPr="00143FE6">
              <w:rPr>
                <w:rFonts w:cstheme="minorHAnsi"/>
                <w:color w:val="000000"/>
                <w:sz w:val="20"/>
              </w:rPr>
              <w:t>Embedded network</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30DDAC8"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95.00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58ECAF3" w14:textId="77777777" w:rsidR="005A79E1" w:rsidRPr="00143FE6" w:rsidRDefault="005A79E1" w:rsidP="002537C6">
            <w:pPr>
              <w:spacing w:after="120"/>
              <w:jc w:val="center"/>
              <w:rPr>
                <w:rFonts w:cstheme="minorHAnsi"/>
                <w:i/>
                <w:iCs/>
                <w:color w:val="000000"/>
                <w:sz w:val="20"/>
              </w:rPr>
            </w:pPr>
            <w:r w:rsidRPr="00143FE6">
              <w:rPr>
                <w:rFonts w:cstheme="minorHAnsi"/>
                <w:i/>
                <w:iCs/>
                <w:color w:val="000000"/>
                <w:sz w:val="20"/>
              </w:rPr>
              <w:t>0.29%</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20CB123"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0.05%</w:t>
            </w:r>
          </w:p>
        </w:tc>
      </w:tr>
      <w:tr w:rsidR="005A79E1" w:rsidRPr="00143FE6" w14:paraId="6B2A3428"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4AA66A7"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Government</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830F46E"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21,738.50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91DD8AE"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100.00%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90E784E"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12.13%</w:t>
            </w:r>
          </w:p>
        </w:tc>
      </w:tr>
      <w:tr w:rsidR="005A79E1" w:rsidRPr="00143FE6" w14:paraId="1283FE9F"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D1FCAFB" w14:textId="77777777" w:rsidR="005A79E1" w:rsidRPr="00143FE6" w:rsidRDefault="005A79E1" w:rsidP="002537C6">
            <w:pPr>
              <w:spacing w:after="120"/>
              <w:rPr>
                <w:rFonts w:cstheme="minorHAnsi"/>
                <w:color w:val="000000"/>
                <w:sz w:val="20"/>
              </w:rPr>
            </w:pPr>
            <w:r w:rsidRPr="00143FE6">
              <w:rPr>
                <w:rFonts w:cstheme="minorHAnsi"/>
                <w:color w:val="000000"/>
                <w:sz w:val="20"/>
              </w:rPr>
              <w:t>State/local fines and penalties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7BAE11D"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6,294.00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75AFEE3" w14:textId="26F4766F" w:rsidR="005A79E1" w:rsidRPr="00143FE6" w:rsidRDefault="005A79E1" w:rsidP="00AA1A45">
            <w:pPr>
              <w:spacing w:after="120"/>
              <w:jc w:val="center"/>
              <w:rPr>
                <w:rFonts w:cstheme="minorHAnsi"/>
                <w:color w:val="000000"/>
                <w:sz w:val="20"/>
              </w:rPr>
            </w:pPr>
            <w:r w:rsidRPr="00143FE6">
              <w:rPr>
                <w:rFonts w:cstheme="minorHAnsi"/>
                <w:color w:val="000000"/>
                <w:sz w:val="20"/>
              </w:rPr>
              <w:t>28.</w:t>
            </w:r>
            <w:r w:rsidR="00AA1A45" w:rsidRPr="00143FE6">
              <w:rPr>
                <w:rFonts w:cstheme="minorHAnsi"/>
                <w:color w:val="000000"/>
                <w:sz w:val="20"/>
              </w:rPr>
              <w:t>9</w:t>
            </w:r>
            <w:r w:rsidR="00AA1A45">
              <w:rPr>
                <w:rFonts w:cstheme="minorHAnsi"/>
                <w:color w:val="000000"/>
                <w:sz w:val="20"/>
              </w:rPr>
              <w:t>6</w:t>
            </w:r>
            <w:r w:rsidRPr="00143FE6">
              <w:rPr>
                <w:rFonts w:cstheme="minorHAnsi"/>
                <w:color w:val="000000"/>
                <w:sz w:val="20"/>
              </w:rPr>
              <w:t>%</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8F10CC7" w14:textId="0B7035E7" w:rsidR="005A79E1" w:rsidRPr="00143FE6" w:rsidRDefault="005A79E1" w:rsidP="002537C6">
            <w:pPr>
              <w:spacing w:after="120"/>
              <w:jc w:val="center"/>
              <w:rPr>
                <w:rFonts w:cstheme="minorHAnsi"/>
                <w:color w:val="000000"/>
                <w:sz w:val="20"/>
              </w:rPr>
            </w:pPr>
            <w:r w:rsidRPr="00143FE6">
              <w:rPr>
                <w:rFonts w:cstheme="minorHAnsi"/>
                <w:color w:val="000000"/>
                <w:sz w:val="20"/>
              </w:rPr>
              <w:t>3.5</w:t>
            </w:r>
            <w:r w:rsidR="00D7291F">
              <w:rPr>
                <w:rFonts w:cstheme="minorHAnsi"/>
                <w:color w:val="000000"/>
                <w:sz w:val="20"/>
              </w:rPr>
              <w:t>0</w:t>
            </w:r>
            <w:r w:rsidRPr="00143FE6">
              <w:rPr>
                <w:rFonts w:cstheme="minorHAnsi"/>
                <w:color w:val="000000"/>
                <w:sz w:val="20"/>
              </w:rPr>
              <w:t>%</w:t>
            </w:r>
          </w:p>
        </w:tc>
      </w:tr>
      <w:tr w:rsidR="005A79E1" w:rsidRPr="00143FE6" w14:paraId="127E1726"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CCBC272" w14:textId="77777777" w:rsidR="005A79E1" w:rsidRPr="00143FE6" w:rsidRDefault="005A79E1" w:rsidP="002537C6">
            <w:pPr>
              <w:spacing w:after="120"/>
              <w:rPr>
                <w:rFonts w:cstheme="minorHAnsi"/>
                <w:color w:val="000000"/>
                <w:sz w:val="20"/>
              </w:rPr>
            </w:pPr>
            <w:r w:rsidRPr="00143FE6">
              <w:rPr>
                <w:rFonts w:cstheme="minorHAnsi"/>
                <w:color w:val="000000"/>
                <w:sz w:val="20"/>
              </w:rPr>
              <w:t>Centrelink</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FEF8174"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5,461.00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2462AAB"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25.12%</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8DF885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3.05%</w:t>
            </w:r>
          </w:p>
        </w:tc>
      </w:tr>
      <w:tr w:rsidR="005A79E1" w:rsidRPr="00143FE6" w14:paraId="013E3F01"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A4AD75D" w14:textId="77777777" w:rsidR="005A79E1" w:rsidRPr="00143FE6" w:rsidRDefault="005A79E1" w:rsidP="002537C6">
            <w:pPr>
              <w:spacing w:after="120"/>
              <w:rPr>
                <w:rFonts w:cstheme="minorHAnsi"/>
                <w:color w:val="000000"/>
                <w:sz w:val="20"/>
              </w:rPr>
            </w:pPr>
            <w:r w:rsidRPr="00143FE6">
              <w:rPr>
                <w:rFonts w:cstheme="minorHAnsi"/>
                <w:color w:val="000000"/>
                <w:sz w:val="20"/>
              </w:rPr>
              <w:t>Australian taxation office</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434B3F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4,607.50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4EA13BB"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21.20%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303BB89"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2.57%</w:t>
            </w:r>
          </w:p>
        </w:tc>
      </w:tr>
      <w:tr w:rsidR="005A79E1" w:rsidRPr="00143FE6" w14:paraId="1F7D03B0"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C03C0BC" w14:textId="77777777" w:rsidR="005A79E1" w:rsidRPr="00143FE6" w:rsidRDefault="005A79E1" w:rsidP="002537C6">
            <w:pPr>
              <w:spacing w:after="120"/>
              <w:rPr>
                <w:rFonts w:cstheme="minorHAnsi"/>
                <w:color w:val="000000"/>
                <w:sz w:val="20"/>
              </w:rPr>
            </w:pPr>
            <w:r w:rsidRPr="00143FE6">
              <w:rPr>
                <w:rFonts w:cstheme="minorHAnsi"/>
                <w:color w:val="000000"/>
                <w:sz w:val="20"/>
              </w:rPr>
              <w:t>Local council</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705CF0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4,544.00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4E51A76"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20.90%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434FA8F"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2.54%</w:t>
            </w:r>
          </w:p>
        </w:tc>
      </w:tr>
      <w:tr w:rsidR="005A79E1" w:rsidRPr="00143FE6" w14:paraId="4692139D"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A033235" w14:textId="77777777" w:rsidR="005A79E1" w:rsidRPr="00143FE6" w:rsidRDefault="005A79E1" w:rsidP="002537C6">
            <w:pPr>
              <w:spacing w:after="120"/>
              <w:rPr>
                <w:rFonts w:cstheme="minorHAnsi"/>
                <w:color w:val="000000"/>
                <w:sz w:val="20"/>
              </w:rPr>
            </w:pPr>
            <w:r w:rsidRPr="00143FE6">
              <w:rPr>
                <w:rFonts w:cstheme="minorHAnsi"/>
                <w:color w:val="000000"/>
                <w:sz w:val="20"/>
              </w:rPr>
              <w:t>Child support</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7A9E8BC"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477.00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C5220BB"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2.19%</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5BE74C3"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0.27%</w:t>
            </w:r>
          </w:p>
        </w:tc>
      </w:tr>
      <w:tr w:rsidR="005A79E1" w:rsidRPr="00143FE6" w14:paraId="7E7875C3"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D073F68" w14:textId="77777777" w:rsidR="005A79E1" w:rsidRPr="00143FE6" w:rsidRDefault="005A79E1" w:rsidP="002537C6">
            <w:pPr>
              <w:spacing w:after="120"/>
              <w:rPr>
                <w:rFonts w:cstheme="minorHAnsi"/>
                <w:color w:val="000000"/>
                <w:sz w:val="20"/>
              </w:rPr>
            </w:pPr>
            <w:r w:rsidRPr="00143FE6">
              <w:rPr>
                <w:rFonts w:cstheme="minorHAnsi"/>
                <w:color w:val="000000"/>
                <w:sz w:val="20"/>
              </w:rPr>
              <w:t>HECS/HELP</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A185CA9"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355.00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3A79E2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1.63%</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06C1BE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0.20%</w:t>
            </w:r>
          </w:p>
        </w:tc>
      </w:tr>
      <w:tr w:rsidR="005A79E1" w:rsidRPr="00143FE6" w14:paraId="0B3769DE"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E4AC73A"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Telecommunications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5C9F2FB"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9,730.00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F7B6B36"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100.00%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CCCE343"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5.43%</w:t>
            </w:r>
          </w:p>
        </w:tc>
      </w:tr>
      <w:tr w:rsidR="005A79E1" w:rsidRPr="00143FE6" w14:paraId="02C137A0"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7E52C1C" w14:textId="77777777" w:rsidR="005A79E1" w:rsidRPr="00143FE6" w:rsidRDefault="005A79E1" w:rsidP="002537C6">
            <w:pPr>
              <w:spacing w:after="120"/>
              <w:rPr>
                <w:rFonts w:cstheme="minorHAnsi"/>
                <w:color w:val="000000"/>
                <w:sz w:val="20"/>
              </w:rPr>
            </w:pPr>
            <w:r w:rsidRPr="00143FE6">
              <w:rPr>
                <w:rFonts w:cstheme="minorHAnsi"/>
                <w:color w:val="000000"/>
                <w:sz w:val="20"/>
              </w:rPr>
              <w:t>Telecommunications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DDA0C6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9,730.00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11BC522"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100.00%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16675C7"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5.43%</w:t>
            </w:r>
          </w:p>
        </w:tc>
      </w:tr>
      <w:tr w:rsidR="005A79E1" w:rsidRPr="00143FE6" w14:paraId="7372202F"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97FB0FE"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Housing</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2B5DF23"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6,837.00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63E0A8B"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100.00%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527659E" w14:textId="5F3B3F92" w:rsidR="005A79E1" w:rsidRPr="00143FE6" w:rsidRDefault="00767CD7" w:rsidP="002537C6">
            <w:pPr>
              <w:spacing w:after="120"/>
              <w:jc w:val="center"/>
              <w:rPr>
                <w:rFonts w:cstheme="minorHAnsi"/>
                <w:b/>
                <w:bCs/>
                <w:i/>
                <w:iCs/>
                <w:color w:val="000000"/>
                <w:sz w:val="20"/>
              </w:rPr>
            </w:pPr>
            <w:r>
              <w:rPr>
                <w:rFonts w:cstheme="minorHAnsi"/>
                <w:b/>
                <w:bCs/>
                <w:i/>
                <w:iCs/>
                <w:color w:val="000000"/>
                <w:sz w:val="20"/>
              </w:rPr>
              <w:t>3.81</w:t>
            </w:r>
            <w:r w:rsidR="005A79E1" w:rsidRPr="00143FE6">
              <w:rPr>
                <w:rFonts w:cstheme="minorHAnsi"/>
                <w:b/>
                <w:bCs/>
                <w:i/>
                <w:iCs/>
                <w:color w:val="000000"/>
                <w:sz w:val="20"/>
              </w:rPr>
              <w:t>%</w:t>
            </w:r>
          </w:p>
        </w:tc>
      </w:tr>
      <w:tr w:rsidR="005A79E1" w:rsidRPr="00143FE6" w14:paraId="7F35A69A"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C499758" w14:textId="77777777" w:rsidR="005A79E1" w:rsidRPr="00143FE6" w:rsidRDefault="005A79E1" w:rsidP="002537C6">
            <w:pPr>
              <w:spacing w:after="120"/>
              <w:rPr>
                <w:rFonts w:cstheme="minorHAnsi"/>
                <w:color w:val="000000"/>
                <w:sz w:val="20"/>
              </w:rPr>
            </w:pPr>
            <w:r w:rsidRPr="00143FE6">
              <w:rPr>
                <w:rFonts w:cstheme="minorHAnsi"/>
                <w:color w:val="000000"/>
                <w:sz w:val="20"/>
              </w:rPr>
              <w:t>Private rental tenancy</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E3FF6F1"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4,214.00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6F14BA6" w14:textId="6AD08D85" w:rsidR="005A79E1" w:rsidRPr="00143FE6" w:rsidRDefault="005A79E1" w:rsidP="002537C6">
            <w:pPr>
              <w:spacing w:after="120"/>
              <w:jc w:val="center"/>
              <w:rPr>
                <w:rFonts w:cstheme="minorHAnsi"/>
                <w:color w:val="000000"/>
                <w:sz w:val="20"/>
              </w:rPr>
            </w:pPr>
            <w:r w:rsidRPr="00143FE6">
              <w:rPr>
                <w:rFonts w:cstheme="minorHAnsi"/>
                <w:color w:val="000000"/>
                <w:sz w:val="20"/>
              </w:rPr>
              <w:t>61.6</w:t>
            </w:r>
            <w:r w:rsidR="00D7291F">
              <w:rPr>
                <w:rFonts w:cstheme="minorHAnsi"/>
                <w:color w:val="000000"/>
                <w:sz w:val="20"/>
              </w:rPr>
              <w:t>3</w:t>
            </w:r>
            <w:r w:rsidRPr="00143FE6">
              <w:rPr>
                <w:rFonts w:cstheme="minorHAnsi"/>
                <w:color w:val="000000"/>
                <w:sz w:val="20"/>
              </w:rPr>
              <w:t>%</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1EFFFD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2.35%</w:t>
            </w:r>
          </w:p>
        </w:tc>
      </w:tr>
      <w:tr w:rsidR="005A79E1" w:rsidRPr="00143FE6" w14:paraId="63B8DB02" w14:textId="77777777" w:rsidTr="004F4C76">
        <w:trPr>
          <w:cnfStyle w:val="000000100000" w:firstRow="0" w:lastRow="0" w:firstColumn="0" w:lastColumn="0" w:oddVBand="0" w:evenVBand="0" w:oddHBand="1" w:evenHBand="0" w:firstRowFirstColumn="0" w:firstRowLastColumn="0" w:lastRowFirstColumn="0" w:lastRowLastColumn="0"/>
          <w:trHeight w:val="34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8454C32" w14:textId="77777777" w:rsidR="005A79E1" w:rsidRPr="00143FE6" w:rsidRDefault="005A79E1" w:rsidP="002537C6">
            <w:pPr>
              <w:spacing w:after="120"/>
              <w:rPr>
                <w:rFonts w:cstheme="minorHAnsi"/>
                <w:color w:val="000000"/>
                <w:sz w:val="20"/>
              </w:rPr>
            </w:pPr>
            <w:r w:rsidRPr="00143FE6">
              <w:rPr>
                <w:rFonts w:cstheme="minorHAnsi"/>
                <w:color w:val="000000"/>
                <w:sz w:val="20"/>
              </w:rPr>
              <w:t>Social housing tenancy</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588E38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2,193.00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F8D387D"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32.08%</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7BCDEB7"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1.22%</w:t>
            </w:r>
          </w:p>
        </w:tc>
      </w:tr>
      <w:tr w:rsidR="005A79E1" w:rsidRPr="00143FE6" w14:paraId="1A909589"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5B6D556" w14:textId="77777777" w:rsidR="005A79E1" w:rsidRPr="00143FE6" w:rsidRDefault="005A79E1" w:rsidP="002537C6">
            <w:pPr>
              <w:spacing w:after="120"/>
              <w:rPr>
                <w:rFonts w:cstheme="minorHAnsi"/>
                <w:color w:val="000000"/>
                <w:sz w:val="20"/>
              </w:rPr>
            </w:pPr>
            <w:r w:rsidRPr="00143FE6">
              <w:rPr>
                <w:rFonts w:cstheme="minorHAnsi"/>
                <w:color w:val="000000"/>
                <w:sz w:val="20"/>
              </w:rPr>
              <w:t>Body corporate fees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2231684"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430.00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7238A5C"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6.29%</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97FE567"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0.24%</w:t>
            </w:r>
          </w:p>
        </w:tc>
      </w:tr>
      <w:tr w:rsidR="005A79E1" w:rsidRPr="00143FE6" w14:paraId="5B28BE0D"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7C55893"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Super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8E3D4E6"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4,284.00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76B38B2"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100.00%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76AE6E4"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2.39%</w:t>
            </w:r>
          </w:p>
        </w:tc>
      </w:tr>
      <w:tr w:rsidR="005A79E1" w:rsidRPr="00143FE6" w14:paraId="756652E1"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50FD110" w14:textId="77777777" w:rsidR="005A79E1" w:rsidRPr="00143FE6" w:rsidRDefault="005A79E1" w:rsidP="002537C6">
            <w:pPr>
              <w:spacing w:after="120"/>
              <w:rPr>
                <w:rFonts w:cstheme="minorHAnsi"/>
                <w:color w:val="000000"/>
                <w:sz w:val="20"/>
              </w:rPr>
            </w:pPr>
            <w:r w:rsidRPr="00143FE6">
              <w:rPr>
                <w:rFonts w:cstheme="minorHAnsi"/>
                <w:color w:val="000000"/>
                <w:sz w:val="20"/>
              </w:rPr>
              <w:t>Total and permanent disability/income protection</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AD43293"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1,700.00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9A4EA2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39.68%</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6B6945C"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0.95%</w:t>
            </w:r>
          </w:p>
        </w:tc>
      </w:tr>
      <w:tr w:rsidR="005A79E1" w:rsidRPr="00143FE6" w14:paraId="7BC0B5C6"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1866A30" w14:textId="77777777" w:rsidR="005A79E1" w:rsidRPr="00143FE6" w:rsidRDefault="005A79E1" w:rsidP="002537C6">
            <w:pPr>
              <w:spacing w:after="120"/>
              <w:rPr>
                <w:rFonts w:cstheme="minorHAnsi"/>
                <w:color w:val="000000"/>
                <w:sz w:val="20"/>
              </w:rPr>
            </w:pPr>
            <w:r w:rsidRPr="00143FE6">
              <w:rPr>
                <w:rFonts w:cstheme="minorHAnsi"/>
                <w:color w:val="000000"/>
                <w:sz w:val="20"/>
              </w:rPr>
              <w:t>Early access</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CA4955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1,564.00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1032092"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36.51%</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00570AE"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0.87%</w:t>
            </w:r>
          </w:p>
        </w:tc>
      </w:tr>
      <w:tr w:rsidR="005A79E1" w:rsidRPr="00143FE6" w14:paraId="41AB252A"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2B0A62B8" w14:textId="77777777" w:rsidR="005A79E1" w:rsidRPr="00143FE6" w:rsidRDefault="005A79E1" w:rsidP="002537C6">
            <w:pPr>
              <w:spacing w:after="120"/>
              <w:rPr>
                <w:rFonts w:cstheme="minorHAnsi"/>
                <w:color w:val="000000"/>
                <w:sz w:val="20"/>
              </w:rPr>
            </w:pPr>
            <w:r w:rsidRPr="00143FE6">
              <w:rPr>
                <w:rFonts w:cstheme="minorHAnsi"/>
                <w:color w:val="000000"/>
                <w:sz w:val="20"/>
              </w:rPr>
              <w:t>Other</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879F50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1,020.00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9B8D7C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23.81%</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33A611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0.57%</w:t>
            </w:r>
          </w:p>
        </w:tc>
      </w:tr>
      <w:tr w:rsidR="005A79E1" w:rsidRPr="00143FE6" w14:paraId="069FC833"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DBDA17C"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Gambling</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EE8FB19"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530.00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AF5BAE2"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100.00%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00F50E9"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0.30%</w:t>
            </w:r>
          </w:p>
        </w:tc>
      </w:tr>
      <w:tr w:rsidR="005A79E1" w:rsidRPr="00143FE6" w14:paraId="6623DF25"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ACFFFEE" w14:textId="77777777" w:rsidR="005A79E1" w:rsidRPr="00143FE6" w:rsidRDefault="005A79E1" w:rsidP="002537C6">
            <w:pPr>
              <w:spacing w:after="120"/>
              <w:rPr>
                <w:rFonts w:cstheme="minorHAnsi"/>
                <w:color w:val="000000"/>
                <w:sz w:val="20"/>
              </w:rPr>
            </w:pPr>
            <w:r w:rsidRPr="00143FE6">
              <w:rPr>
                <w:rFonts w:cstheme="minorHAnsi"/>
                <w:color w:val="000000"/>
                <w:sz w:val="20"/>
              </w:rPr>
              <w:t>Online</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589A182A"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480.00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A9DE0C5"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90.57%</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5C4B36C"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0.27%</w:t>
            </w:r>
          </w:p>
        </w:tc>
      </w:tr>
      <w:tr w:rsidR="005A79E1" w:rsidRPr="00143FE6" w14:paraId="7B9E20AF"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9346F07" w14:textId="77777777" w:rsidR="005A79E1" w:rsidRPr="00143FE6" w:rsidRDefault="005A79E1" w:rsidP="002537C6">
            <w:pPr>
              <w:spacing w:after="120"/>
              <w:rPr>
                <w:rFonts w:cstheme="minorHAnsi"/>
                <w:color w:val="000000"/>
                <w:sz w:val="20"/>
              </w:rPr>
            </w:pPr>
            <w:r w:rsidRPr="00143FE6">
              <w:rPr>
                <w:rFonts w:cstheme="minorHAnsi"/>
                <w:color w:val="000000"/>
                <w:sz w:val="20"/>
              </w:rPr>
              <w:lastRenderedPageBreak/>
              <w:t>Land-based</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B94183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50.00</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3B70CF91"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9.43%</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1D7B741"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0.03%</w:t>
            </w:r>
          </w:p>
        </w:tc>
      </w:tr>
      <w:tr w:rsidR="005A79E1" w:rsidRPr="00143FE6" w14:paraId="173453F4"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C58E550"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Total (excl. other and general activity)</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962251F"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179,205.00</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4537083A" w14:textId="77777777" w:rsidR="005A79E1" w:rsidRPr="00143FE6" w:rsidRDefault="005A79E1" w:rsidP="002537C6">
            <w:pPr>
              <w:spacing w:after="120"/>
              <w:jc w:val="center"/>
              <w:rPr>
                <w:rFonts w:cstheme="minorHAnsi"/>
                <w:b/>
                <w:bCs/>
                <w:i/>
                <w:iCs/>
                <w:color w:val="000000"/>
                <w:sz w:val="20"/>
              </w:rPr>
            </w:pP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B437D8C"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100.00%</w:t>
            </w:r>
          </w:p>
        </w:tc>
      </w:tr>
      <w:tr w:rsidR="005A79E1" w:rsidRPr="00143FE6" w14:paraId="175626EF"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4D85874A"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Other</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6A3FEF2" w14:textId="77777777" w:rsidR="005A79E1" w:rsidRPr="00143FE6" w:rsidRDefault="005A79E1" w:rsidP="002537C6">
            <w:pPr>
              <w:spacing w:after="120"/>
              <w:jc w:val="center"/>
              <w:rPr>
                <w:rFonts w:cstheme="minorHAnsi"/>
                <w:b/>
                <w:bCs/>
                <w:i/>
                <w:iCs/>
                <w:color w:val="000000"/>
                <w:sz w:val="20"/>
              </w:rPr>
            </w:pP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C785452" w14:textId="77777777" w:rsidR="005A79E1" w:rsidRPr="00143FE6" w:rsidRDefault="005A79E1" w:rsidP="002537C6">
            <w:pPr>
              <w:spacing w:after="120"/>
              <w:jc w:val="center"/>
              <w:rPr>
                <w:rFonts w:cstheme="minorHAnsi"/>
                <w:sz w:val="20"/>
              </w:rPr>
            </w:pP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F478F6E" w14:textId="77777777" w:rsidR="005A79E1" w:rsidRPr="00143FE6" w:rsidRDefault="005A79E1" w:rsidP="002537C6">
            <w:pPr>
              <w:spacing w:after="120"/>
              <w:jc w:val="center"/>
              <w:rPr>
                <w:rFonts w:cstheme="minorHAnsi"/>
                <w:sz w:val="20"/>
              </w:rPr>
            </w:pPr>
          </w:p>
        </w:tc>
      </w:tr>
      <w:tr w:rsidR="005A79E1" w:rsidRPr="00143FE6" w14:paraId="097BC528" w14:textId="77777777" w:rsidTr="004F4C76">
        <w:trPr>
          <w:cnfStyle w:val="000000010000" w:firstRow="0" w:lastRow="0" w:firstColumn="0" w:lastColumn="0" w:oddVBand="0" w:evenVBand="0" w:oddHBand="0" w:evenHBand="1" w:firstRowFirstColumn="0" w:firstRowLastColumn="0" w:lastRowFirstColumn="0" w:lastRowLastColumn="0"/>
          <w:trHeight w:val="320"/>
        </w:trPr>
        <w:tc>
          <w:tcPr>
            <w:tcW w:w="1619"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F206C99" w14:textId="77777777" w:rsidR="005A79E1" w:rsidRPr="00143FE6" w:rsidRDefault="005A79E1" w:rsidP="002537C6">
            <w:pPr>
              <w:spacing w:after="120"/>
              <w:rPr>
                <w:rFonts w:cstheme="minorHAnsi"/>
                <w:color w:val="000000"/>
                <w:sz w:val="20"/>
              </w:rPr>
            </w:pPr>
            <w:r w:rsidRPr="00143FE6">
              <w:rPr>
                <w:rFonts w:cstheme="minorHAnsi"/>
                <w:color w:val="000000"/>
                <w:sz w:val="20"/>
              </w:rPr>
              <w:t>General activity</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9F3183F"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80,005.50</w:t>
            </w: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7DF633F3" w14:textId="77777777" w:rsidR="005A79E1" w:rsidRPr="00143FE6" w:rsidRDefault="005A79E1" w:rsidP="002537C6">
            <w:pPr>
              <w:spacing w:after="120"/>
              <w:jc w:val="center"/>
              <w:rPr>
                <w:rFonts w:cstheme="minorHAnsi"/>
                <w:color w:val="000000"/>
                <w:sz w:val="20"/>
              </w:rPr>
            </w:pPr>
          </w:p>
        </w:tc>
        <w:tc>
          <w:tcPr>
            <w:tcW w:w="1127"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933F646" w14:textId="77777777" w:rsidR="005A79E1" w:rsidRPr="00143FE6" w:rsidRDefault="005A79E1" w:rsidP="002537C6">
            <w:pPr>
              <w:spacing w:after="120"/>
              <w:jc w:val="center"/>
              <w:rPr>
                <w:rFonts w:cstheme="minorHAnsi"/>
                <w:sz w:val="20"/>
              </w:rPr>
            </w:pPr>
          </w:p>
        </w:tc>
      </w:tr>
      <w:tr w:rsidR="005A79E1" w:rsidRPr="00143FE6" w14:paraId="1ADD43F1" w14:textId="77777777" w:rsidTr="004F4C76">
        <w:trPr>
          <w:cnfStyle w:val="000000100000" w:firstRow="0" w:lastRow="0" w:firstColumn="0" w:lastColumn="0" w:oddVBand="0" w:evenVBand="0" w:oddHBand="1" w:evenHBand="0" w:firstRowFirstColumn="0" w:firstRowLastColumn="0" w:lastRowFirstColumn="0" w:lastRowLastColumn="0"/>
          <w:trHeight w:val="32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6C474E52" w14:textId="77777777" w:rsidR="005A79E1" w:rsidRPr="00143FE6" w:rsidRDefault="005A79E1" w:rsidP="002537C6">
            <w:pPr>
              <w:spacing w:after="120"/>
              <w:rPr>
                <w:rFonts w:cstheme="minorHAnsi"/>
                <w:color w:val="000000"/>
                <w:sz w:val="20"/>
              </w:rPr>
            </w:pPr>
            <w:r w:rsidRPr="00143FE6">
              <w:rPr>
                <w:rFonts w:cstheme="minorHAnsi"/>
                <w:color w:val="000000"/>
                <w:sz w:val="20"/>
              </w:rPr>
              <w:t>Other (no suitable category, other creditor)</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69481E0" w14:textId="77777777" w:rsidR="005A79E1" w:rsidRPr="00143FE6" w:rsidRDefault="005A79E1" w:rsidP="002537C6">
            <w:pPr>
              <w:spacing w:after="120"/>
              <w:jc w:val="center"/>
              <w:rPr>
                <w:rFonts w:cstheme="minorHAnsi"/>
                <w:color w:val="000000"/>
                <w:sz w:val="20"/>
              </w:rPr>
            </w:pPr>
            <w:r w:rsidRPr="00143FE6">
              <w:rPr>
                <w:rFonts w:cstheme="minorHAnsi"/>
                <w:color w:val="000000"/>
                <w:sz w:val="20"/>
              </w:rPr>
              <w:t>10,872.00</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A471903" w14:textId="77777777" w:rsidR="005A79E1" w:rsidRPr="00143FE6" w:rsidRDefault="005A79E1" w:rsidP="002537C6">
            <w:pPr>
              <w:spacing w:after="120"/>
              <w:jc w:val="center"/>
              <w:rPr>
                <w:rFonts w:cstheme="minorHAnsi"/>
                <w:color w:val="000000"/>
                <w:sz w:val="20"/>
              </w:rPr>
            </w:pP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64974920" w14:textId="77777777" w:rsidR="005A79E1" w:rsidRPr="00143FE6" w:rsidRDefault="005A79E1" w:rsidP="002537C6">
            <w:pPr>
              <w:spacing w:after="120"/>
              <w:jc w:val="center"/>
              <w:rPr>
                <w:rFonts w:cstheme="minorHAnsi"/>
                <w:sz w:val="20"/>
              </w:rPr>
            </w:pPr>
          </w:p>
        </w:tc>
      </w:tr>
      <w:tr w:rsidR="005A79E1" w:rsidRPr="00143FE6" w14:paraId="62FE855C" w14:textId="77777777" w:rsidTr="004F4C76">
        <w:trPr>
          <w:cnfStyle w:val="000000010000" w:firstRow="0" w:lastRow="0" w:firstColumn="0" w:lastColumn="0" w:oddVBand="0" w:evenVBand="0" w:oddHBand="0" w:evenHBand="1" w:firstRowFirstColumn="0" w:firstRowLastColumn="0" w:lastRowFirstColumn="0" w:lastRowLastColumn="0"/>
          <w:trHeight w:val="340"/>
        </w:trPr>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5843CEF" w14:textId="77777777" w:rsidR="005A79E1" w:rsidRPr="00143FE6" w:rsidRDefault="005A79E1" w:rsidP="002537C6">
            <w:pPr>
              <w:spacing w:after="120"/>
              <w:rPr>
                <w:rFonts w:cstheme="minorHAnsi"/>
                <w:b/>
                <w:bCs/>
                <w:i/>
                <w:iCs/>
                <w:color w:val="000000"/>
                <w:sz w:val="20"/>
              </w:rPr>
            </w:pPr>
            <w:r w:rsidRPr="00143FE6">
              <w:rPr>
                <w:rFonts w:cstheme="minorHAnsi"/>
                <w:b/>
                <w:bCs/>
                <w:i/>
                <w:iCs/>
                <w:color w:val="000000"/>
                <w:sz w:val="20"/>
              </w:rPr>
              <w:t>Total (incl. other and general activity)</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2D226222" w14:textId="77777777" w:rsidR="005A79E1" w:rsidRPr="00143FE6" w:rsidRDefault="005A79E1" w:rsidP="002537C6">
            <w:pPr>
              <w:spacing w:after="120"/>
              <w:jc w:val="center"/>
              <w:rPr>
                <w:rFonts w:cstheme="minorHAnsi"/>
                <w:b/>
                <w:bCs/>
                <w:i/>
                <w:iCs/>
                <w:color w:val="000000"/>
                <w:sz w:val="20"/>
              </w:rPr>
            </w:pPr>
            <w:r w:rsidRPr="00143FE6">
              <w:rPr>
                <w:rFonts w:cstheme="minorHAnsi"/>
                <w:b/>
                <w:bCs/>
                <w:i/>
                <w:iCs/>
                <w:color w:val="000000"/>
                <w:sz w:val="20"/>
              </w:rPr>
              <w:t>270,082.50</w:t>
            </w: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1B1B8CDE" w14:textId="77777777" w:rsidR="005A79E1" w:rsidRPr="00143FE6" w:rsidRDefault="005A79E1" w:rsidP="002537C6">
            <w:pPr>
              <w:spacing w:after="120"/>
              <w:jc w:val="center"/>
              <w:rPr>
                <w:rFonts w:cstheme="minorHAnsi"/>
                <w:color w:val="000000"/>
                <w:sz w:val="20"/>
              </w:rPr>
            </w:pPr>
          </w:p>
        </w:tc>
        <w:tc>
          <w:tcPr>
            <w:tcW w:w="0" w:type="pct"/>
            <w:tcBorders>
              <w:top w:val="none" w:sz="0" w:space="0" w:color="auto"/>
              <w:left w:val="none" w:sz="0" w:space="0" w:color="auto"/>
              <w:bottom w:val="none" w:sz="0" w:space="0" w:color="auto"/>
              <w:right w:val="none" w:sz="0" w:space="0" w:color="auto"/>
              <w:tl2br w:val="none" w:sz="0" w:space="0" w:color="auto"/>
              <w:tr2bl w:val="none" w:sz="0" w:space="0" w:color="auto"/>
            </w:tcBorders>
            <w:noWrap/>
            <w:vAlign w:val="center"/>
            <w:hideMark/>
          </w:tcPr>
          <w:p w14:paraId="0AF7E450" w14:textId="77777777" w:rsidR="005A79E1" w:rsidRPr="00143FE6" w:rsidRDefault="005A79E1" w:rsidP="002537C6">
            <w:pPr>
              <w:spacing w:after="120"/>
              <w:jc w:val="center"/>
              <w:rPr>
                <w:rFonts w:cstheme="minorHAnsi"/>
                <w:color w:val="000000"/>
                <w:sz w:val="20"/>
              </w:rPr>
            </w:pPr>
          </w:p>
        </w:tc>
      </w:tr>
    </w:tbl>
    <w:p w14:paraId="30B477E9" w14:textId="2C7B820A" w:rsidR="00B40CEC" w:rsidRDefault="00B40CEC">
      <w:pPr>
        <w:sectPr w:rsidR="00B40CEC" w:rsidSect="005B248D">
          <w:pgSz w:w="11906" w:h="16838"/>
          <w:pgMar w:top="1134" w:right="1418" w:bottom="1418" w:left="1134" w:header="284" w:footer="459" w:gutter="0"/>
          <w:cols w:space="708"/>
          <w:titlePg/>
          <w:docGrid w:linePitch="360"/>
        </w:sectPr>
      </w:pPr>
    </w:p>
    <w:p w14:paraId="0E3D5BDE" w14:textId="4078DF0F" w:rsidR="0004651D" w:rsidRDefault="004A68B3" w:rsidP="00ED387C">
      <w:pPr>
        <w:pStyle w:val="Heading1"/>
        <w:numPr>
          <w:ilvl w:val="0"/>
          <w:numId w:val="0"/>
        </w:numPr>
        <w:spacing w:before="0" w:after="0"/>
      </w:pPr>
      <w:bookmarkStart w:id="44" w:name="_Toc118288283"/>
      <w:r>
        <w:lastRenderedPageBreak/>
        <w:t>Appendix D</w:t>
      </w:r>
      <w:r w:rsidR="0004651D">
        <w:t xml:space="preserve"> –</w:t>
      </w:r>
      <w:r w:rsidR="00D15045">
        <w:t xml:space="preserve"> </w:t>
      </w:r>
      <w:r w:rsidR="004012EC">
        <w:t xml:space="preserve">Application of </w:t>
      </w:r>
      <w:r w:rsidR="00172041">
        <w:t>m</w:t>
      </w:r>
      <w:r w:rsidR="004012EC">
        <w:t xml:space="preserve">inimum </w:t>
      </w:r>
      <w:r w:rsidR="00172041">
        <w:t>t</w:t>
      </w:r>
      <w:r w:rsidR="004012EC">
        <w:t xml:space="preserve">hreshold to </w:t>
      </w:r>
      <w:r w:rsidR="00172041">
        <w:t>s</w:t>
      </w:r>
      <w:r w:rsidR="004012EC">
        <w:t xml:space="preserve">urvey </w:t>
      </w:r>
      <w:r w:rsidR="00172041">
        <w:t>r</w:t>
      </w:r>
      <w:r w:rsidR="004012EC">
        <w:t>esults</w:t>
      </w:r>
      <w:bookmarkEnd w:id="44"/>
    </w:p>
    <w:p w14:paraId="7BBC5F89" w14:textId="06395066" w:rsidR="004012EC" w:rsidRPr="003A6A5F" w:rsidRDefault="004012EC" w:rsidP="00ED387C">
      <w:pPr>
        <w:pStyle w:val="TableHeading"/>
        <w:numPr>
          <w:ilvl w:val="0"/>
          <w:numId w:val="2"/>
        </w:numPr>
        <w:spacing w:before="120" w:after="120"/>
        <w:rPr>
          <w:rFonts w:eastAsiaTheme="majorEastAsia" w:cstheme="minorBidi"/>
          <w:caps w:val="0"/>
          <w:color w:val="auto"/>
          <w:sz w:val="22"/>
        </w:rPr>
      </w:pPr>
      <w:r w:rsidRPr="003A6A5F">
        <w:rPr>
          <w:rFonts w:eastAsiaTheme="majorEastAsia" w:cstheme="minorBidi"/>
          <w:caps w:val="0"/>
          <w:color w:val="auto"/>
          <w:sz w:val="22"/>
        </w:rPr>
        <w:t>Application of a three per cent minimum threshold to subsectors</w:t>
      </w:r>
      <w:r w:rsidR="003D060B">
        <w:rPr>
          <w:rFonts w:eastAsiaTheme="majorEastAsia" w:cstheme="minorBidi"/>
          <w:caps w:val="0"/>
          <w:color w:val="auto"/>
          <w:sz w:val="22"/>
        </w:rPr>
        <w:t xml:space="preserve"> (excluding government delivered services</w:t>
      </w:r>
      <w:r w:rsidR="003D060B">
        <w:rPr>
          <w:rStyle w:val="FootnoteReference"/>
          <w:rFonts w:eastAsiaTheme="majorEastAsia" w:cstheme="minorBidi"/>
          <w:caps w:val="0"/>
          <w:color w:val="auto"/>
          <w:sz w:val="22"/>
        </w:rPr>
        <w:footnoteReference w:id="21"/>
      </w:r>
      <w:r w:rsidR="003D060B">
        <w:rPr>
          <w:rFonts w:eastAsiaTheme="majorEastAsia" w:cstheme="minorBidi"/>
          <w:caps w:val="0"/>
          <w:color w:val="auto"/>
          <w:sz w:val="22"/>
        </w:rPr>
        <w:t>)</w:t>
      </w:r>
    </w:p>
    <w:tbl>
      <w:tblPr>
        <w:tblStyle w:val="DSSTableStyleB"/>
        <w:tblpPr w:leftFromText="180" w:rightFromText="180" w:vertAnchor="text" w:tblpY="1"/>
        <w:tblW w:w="496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2160"/>
        <w:gridCol w:w="2160"/>
      </w:tblGrid>
      <w:tr w:rsidR="0004651D" w:rsidRPr="00143FE6" w14:paraId="5584CA9E" w14:textId="77777777" w:rsidTr="00ED387C">
        <w:trPr>
          <w:cnfStyle w:val="100000000000" w:firstRow="1" w:lastRow="0" w:firstColumn="0" w:lastColumn="0" w:oddVBand="0" w:evenVBand="0" w:oddHBand="0" w:evenHBand="0" w:firstRowFirstColumn="0" w:firstRowLastColumn="0" w:lastRowFirstColumn="0" w:lastRowLastColumn="0"/>
          <w:trHeight w:val="283"/>
        </w:trPr>
        <w:tc>
          <w:tcPr>
            <w:tcW w:w="2671" w:type="pct"/>
            <w:noWrap/>
            <w:hideMark/>
          </w:tcPr>
          <w:p w14:paraId="380CD98F" w14:textId="2250872B" w:rsidR="0004651D" w:rsidRPr="00BB48C8" w:rsidRDefault="0004651D" w:rsidP="004E1899">
            <w:pPr>
              <w:spacing w:after="120"/>
              <w:rPr>
                <w:rFonts w:cstheme="minorHAnsi"/>
                <w:bCs/>
                <w:color w:val="000000"/>
                <w:sz w:val="20"/>
                <w:szCs w:val="20"/>
              </w:rPr>
            </w:pPr>
            <w:r w:rsidRPr="00BB48C8">
              <w:rPr>
                <w:rFonts w:cstheme="minorHAnsi"/>
                <w:bCs/>
                <w:color w:val="000000"/>
                <w:sz w:val="20"/>
                <w:szCs w:val="20"/>
              </w:rPr>
              <w:t>Subsector</w:t>
            </w:r>
          </w:p>
        </w:tc>
        <w:tc>
          <w:tcPr>
            <w:tcW w:w="1164" w:type="pct"/>
          </w:tcPr>
          <w:p w14:paraId="600322DB" w14:textId="77777777" w:rsidR="0004651D" w:rsidRPr="00BB48C8" w:rsidRDefault="0004651D" w:rsidP="004E1899">
            <w:pPr>
              <w:spacing w:after="120"/>
              <w:jc w:val="center"/>
              <w:rPr>
                <w:rFonts w:cstheme="minorHAnsi"/>
                <w:bCs/>
                <w:color w:val="000000"/>
                <w:sz w:val="20"/>
                <w:szCs w:val="20"/>
              </w:rPr>
            </w:pPr>
            <w:r w:rsidRPr="00BB48C8">
              <w:rPr>
                <w:rFonts w:cstheme="minorHAnsi"/>
                <w:bCs/>
                <w:color w:val="000000"/>
                <w:sz w:val="20"/>
                <w:szCs w:val="20"/>
              </w:rPr>
              <w:t>Aggregate time (minutes)</w:t>
            </w:r>
          </w:p>
        </w:tc>
        <w:tc>
          <w:tcPr>
            <w:tcW w:w="1164" w:type="pct"/>
          </w:tcPr>
          <w:p w14:paraId="735D1894" w14:textId="77777777" w:rsidR="0004651D" w:rsidRPr="00BB48C8" w:rsidRDefault="0004651D" w:rsidP="004E1899">
            <w:pPr>
              <w:spacing w:after="120"/>
              <w:jc w:val="center"/>
              <w:rPr>
                <w:rFonts w:cstheme="minorHAnsi"/>
                <w:bCs/>
                <w:color w:val="000000"/>
                <w:sz w:val="20"/>
                <w:szCs w:val="20"/>
              </w:rPr>
            </w:pPr>
            <w:r w:rsidRPr="00BB48C8">
              <w:rPr>
                <w:rFonts w:cstheme="minorHAnsi"/>
                <w:bCs/>
                <w:color w:val="000000"/>
                <w:sz w:val="20"/>
                <w:szCs w:val="20"/>
              </w:rPr>
              <w:t>Proportion of total (excl. government)</w:t>
            </w:r>
          </w:p>
        </w:tc>
      </w:tr>
      <w:tr w:rsidR="0004651D" w:rsidRPr="007061F6" w14:paraId="78A064E3" w14:textId="77777777" w:rsidTr="00ED387C">
        <w:trPr>
          <w:trHeight w:val="311"/>
        </w:trPr>
        <w:tc>
          <w:tcPr>
            <w:tcW w:w="2671" w:type="pct"/>
            <w:shd w:val="clear" w:color="auto" w:fill="EFF9F9" w:themeFill="accent3" w:themeFillTint="33"/>
            <w:noWrap/>
            <w:hideMark/>
          </w:tcPr>
          <w:p w14:paraId="625DFC1E"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Bank other debt</w:t>
            </w:r>
          </w:p>
        </w:tc>
        <w:tc>
          <w:tcPr>
            <w:tcW w:w="1164" w:type="pct"/>
            <w:shd w:val="clear" w:color="auto" w:fill="EFF9F9" w:themeFill="accent3" w:themeFillTint="33"/>
          </w:tcPr>
          <w:p w14:paraId="4A9DFA3E"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29,721.50</w:t>
            </w:r>
          </w:p>
        </w:tc>
        <w:tc>
          <w:tcPr>
            <w:tcW w:w="1164" w:type="pct"/>
            <w:shd w:val="clear" w:color="auto" w:fill="EFF9F9" w:themeFill="accent3" w:themeFillTint="33"/>
          </w:tcPr>
          <w:p w14:paraId="2995F338" w14:textId="60A2EE84"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18.8</w:t>
            </w:r>
            <w:r w:rsidR="009B207B">
              <w:rPr>
                <w:rFonts w:cstheme="minorHAnsi"/>
                <w:color w:val="000000"/>
                <w:sz w:val="20"/>
                <w:szCs w:val="20"/>
              </w:rPr>
              <w:t>8</w:t>
            </w:r>
            <w:r w:rsidRPr="00BB48C8">
              <w:rPr>
                <w:rFonts w:cstheme="minorHAnsi"/>
                <w:color w:val="000000"/>
                <w:sz w:val="20"/>
                <w:szCs w:val="20"/>
              </w:rPr>
              <w:t>%</w:t>
            </w:r>
          </w:p>
        </w:tc>
      </w:tr>
      <w:tr w:rsidR="0004651D" w:rsidRPr="007061F6" w14:paraId="1BD2C4ED" w14:textId="77777777" w:rsidTr="00ED387C">
        <w:trPr>
          <w:trHeight w:val="311"/>
        </w:trPr>
        <w:tc>
          <w:tcPr>
            <w:tcW w:w="2671" w:type="pct"/>
            <w:shd w:val="clear" w:color="auto" w:fill="EFF9F9" w:themeFill="accent3" w:themeFillTint="33"/>
            <w:noWrap/>
            <w:hideMark/>
          </w:tcPr>
          <w:p w14:paraId="3C4B457C"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Electricity (retail sale and supply)</w:t>
            </w:r>
          </w:p>
        </w:tc>
        <w:tc>
          <w:tcPr>
            <w:tcW w:w="1164" w:type="pct"/>
            <w:shd w:val="clear" w:color="auto" w:fill="EFF9F9" w:themeFill="accent3" w:themeFillTint="33"/>
          </w:tcPr>
          <w:p w14:paraId="2EB58AFA"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20,530.00</w:t>
            </w:r>
          </w:p>
        </w:tc>
        <w:tc>
          <w:tcPr>
            <w:tcW w:w="1164" w:type="pct"/>
            <w:shd w:val="clear" w:color="auto" w:fill="EFF9F9" w:themeFill="accent3" w:themeFillTint="33"/>
          </w:tcPr>
          <w:p w14:paraId="05A16600"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13.04%</w:t>
            </w:r>
          </w:p>
        </w:tc>
      </w:tr>
      <w:tr w:rsidR="0004651D" w:rsidRPr="007061F6" w14:paraId="3065EC25" w14:textId="77777777" w:rsidTr="00ED387C">
        <w:trPr>
          <w:trHeight w:val="311"/>
        </w:trPr>
        <w:tc>
          <w:tcPr>
            <w:tcW w:w="2671" w:type="pct"/>
            <w:shd w:val="clear" w:color="auto" w:fill="EFF9F9" w:themeFill="accent3" w:themeFillTint="33"/>
            <w:noWrap/>
            <w:hideMark/>
          </w:tcPr>
          <w:p w14:paraId="7FD9710A"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Bank mortgage</w:t>
            </w:r>
          </w:p>
        </w:tc>
        <w:tc>
          <w:tcPr>
            <w:tcW w:w="1164" w:type="pct"/>
            <w:shd w:val="clear" w:color="auto" w:fill="EFF9F9" w:themeFill="accent3" w:themeFillTint="33"/>
          </w:tcPr>
          <w:p w14:paraId="53D28EA2"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19,257.00</w:t>
            </w:r>
          </w:p>
        </w:tc>
        <w:tc>
          <w:tcPr>
            <w:tcW w:w="1164" w:type="pct"/>
            <w:shd w:val="clear" w:color="auto" w:fill="EFF9F9" w:themeFill="accent3" w:themeFillTint="33"/>
          </w:tcPr>
          <w:p w14:paraId="4FB6BC62"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12.23%</w:t>
            </w:r>
          </w:p>
        </w:tc>
      </w:tr>
      <w:tr w:rsidR="009B207B" w:rsidRPr="007061F6" w14:paraId="4DA44F79" w14:textId="77777777" w:rsidTr="00ED387C">
        <w:trPr>
          <w:trHeight w:val="311"/>
        </w:trPr>
        <w:tc>
          <w:tcPr>
            <w:tcW w:w="2671" w:type="pct"/>
            <w:shd w:val="clear" w:color="auto" w:fill="EFF9F9" w:themeFill="accent3" w:themeFillTint="33"/>
            <w:noWrap/>
          </w:tcPr>
          <w:p w14:paraId="7CCDA6CD" w14:textId="4512746D" w:rsidR="009B207B" w:rsidRPr="00BB48C8" w:rsidRDefault="00661FEA" w:rsidP="004E1899">
            <w:pPr>
              <w:rPr>
                <w:rFonts w:eastAsia="Times New Roman" w:cstheme="minorHAnsi"/>
                <w:color w:val="000000"/>
                <w:sz w:val="20"/>
                <w:szCs w:val="20"/>
              </w:rPr>
            </w:pPr>
            <w:r>
              <w:rPr>
                <w:rFonts w:eastAsia="Times New Roman" w:cstheme="minorHAnsi"/>
                <w:color w:val="000000"/>
                <w:sz w:val="20"/>
                <w:szCs w:val="20"/>
              </w:rPr>
              <w:t>Other credit provider</w:t>
            </w:r>
            <w:r w:rsidR="004910BD">
              <w:rPr>
                <w:rFonts w:eastAsia="Times New Roman" w:cstheme="minorHAnsi"/>
                <w:color w:val="000000"/>
                <w:sz w:val="20"/>
                <w:szCs w:val="20"/>
              </w:rPr>
              <w:t>, including finance companies</w:t>
            </w:r>
            <w:r>
              <w:rPr>
                <w:rStyle w:val="FootnoteReference"/>
                <w:rFonts w:eastAsia="Times New Roman" w:cstheme="minorHAnsi"/>
                <w:color w:val="000000"/>
                <w:sz w:val="20"/>
                <w:szCs w:val="20"/>
              </w:rPr>
              <w:footnoteReference w:id="22"/>
            </w:r>
          </w:p>
        </w:tc>
        <w:tc>
          <w:tcPr>
            <w:tcW w:w="1164" w:type="pct"/>
            <w:shd w:val="clear" w:color="auto" w:fill="EFF9F9" w:themeFill="accent3" w:themeFillTint="33"/>
          </w:tcPr>
          <w:p w14:paraId="7884F510" w14:textId="4EF1A9C6" w:rsidR="009B207B" w:rsidRPr="00BB48C8" w:rsidRDefault="009B207B" w:rsidP="004E1899">
            <w:pPr>
              <w:jc w:val="center"/>
              <w:rPr>
                <w:rFonts w:cstheme="minorHAnsi"/>
                <w:color w:val="000000"/>
                <w:sz w:val="20"/>
                <w:szCs w:val="20"/>
              </w:rPr>
            </w:pPr>
            <w:r>
              <w:rPr>
                <w:rFonts w:cstheme="minorHAnsi"/>
                <w:color w:val="000000"/>
                <w:sz w:val="20"/>
                <w:szCs w:val="20"/>
              </w:rPr>
              <w:t>16,089.00</w:t>
            </w:r>
          </w:p>
        </w:tc>
        <w:tc>
          <w:tcPr>
            <w:tcW w:w="1164" w:type="pct"/>
            <w:shd w:val="clear" w:color="auto" w:fill="EFF9F9" w:themeFill="accent3" w:themeFillTint="33"/>
          </w:tcPr>
          <w:p w14:paraId="1FBA6AEA" w14:textId="019A1AFB" w:rsidR="009B207B" w:rsidRPr="00BB48C8" w:rsidRDefault="009B207B" w:rsidP="004E1899">
            <w:pPr>
              <w:jc w:val="center"/>
              <w:rPr>
                <w:rFonts w:cstheme="minorHAnsi"/>
                <w:color w:val="000000"/>
                <w:sz w:val="20"/>
                <w:szCs w:val="20"/>
              </w:rPr>
            </w:pPr>
            <w:r>
              <w:rPr>
                <w:rFonts w:cstheme="minorHAnsi"/>
                <w:color w:val="000000"/>
                <w:sz w:val="20"/>
                <w:szCs w:val="20"/>
              </w:rPr>
              <w:t>10.22%</w:t>
            </w:r>
          </w:p>
        </w:tc>
      </w:tr>
      <w:tr w:rsidR="0004651D" w:rsidRPr="007061F6" w14:paraId="7356EFD4" w14:textId="77777777" w:rsidTr="00ED387C">
        <w:trPr>
          <w:trHeight w:val="311"/>
        </w:trPr>
        <w:tc>
          <w:tcPr>
            <w:tcW w:w="2671" w:type="pct"/>
            <w:shd w:val="clear" w:color="auto" w:fill="EFF9F9" w:themeFill="accent3" w:themeFillTint="33"/>
            <w:noWrap/>
            <w:hideMark/>
          </w:tcPr>
          <w:p w14:paraId="51211A89"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Debt collector or buyer</w:t>
            </w:r>
          </w:p>
        </w:tc>
        <w:tc>
          <w:tcPr>
            <w:tcW w:w="1164" w:type="pct"/>
            <w:shd w:val="clear" w:color="auto" w:fill="EFF9F9" w:themeFill="accent3" w:themeFillTint="33"/>
          </w:tcPr>
          <w:p w14:paraId="7E03E477"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13,652.00</w:t>
            </w:r>
          </w:p>
        </w:tc>
        <w:tc>
          <w:tcPr>
            <w:tcW w:w="1164" w:type="pct"/>
            <w:shd w:val="clear" w:color="auto" w:fill="EFF9F9" w:themeFill="accent3" w:themeFillTint="33"/>
          </w:tcPr>
          <w:p w14:paraId="76609C3E"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8.67%</w:t>
            </w:r>
          </w:p>
        </w:tc>
      </w:tr>
      <w:tr w:rsidR="0004651D" w:rsidRPr="007061F6" w14:paraId="295796F3" w14:textId="77777777" w:rsidTr="00ED387C">
        <w:trPr>
          <w:trHeight w:val="311"/>
        </w:trPr>
        <w:tc>
          <w:tcPr>
            <w:tcW w:w="2671" w:type="pct"/>
            <w:shd w:val="clear" w:color="auto" w:fill="EFF9F9" w:themeFill="accent3" w:themeFillTint="33"/>
            <w:noWrap/>
            <w:hideMark/>
          </w:tcPr>
          <w:p w14:paraId="73A81360"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Telecommunications</w:t>
            </w:r>
          </w:p>
        </w:tc>
        <w:tc>
          <w:tcPr>
            <w:tcW w:w="1164" w:type="pct"/>
            <w:shd w:val="clear" w:color="auto" w:fill="EFF9F9" w:themeFill="accent3" w:themeFillTint="33"/>
          </w:tcPr>
          <w:p w14:paraId="11FC4C7A"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9,730.00</w:t>
            </w:r>
          </w:p>
        </w:tc>
        <w:tc>
          <w:tcPr>
            <w:tcW w:w="1164" w:type="pct"/>
            <w:shd w:val="clear" w:color="auto" w:fill="EFF9F9" w:themeFill="accent3" w:themeFillTint="33"/>
          </w:tcPr>
          <w:p w14:paraId="170EAEE0"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6.18%</w:t>
            </w:r>
          </w:p>
        </w:tc>
      </w:tr>
      <w:tr w:rsidR="0004651D" w:rsidRPr="007061F6" w14:paraId="0108CC0D" w14:textId="77777777" w:rsidTr="00ED387C">
        <w:trPr>
          <w:trHeight w:val="311"/>
        </w:trPr>
        <w:tc>
          <w:tcPr>
            <w:tcW w:w="2671" w:type="pct"/>
            <w:shd w:val="clear" w:color="auto" w:fill="EFF9F9" w:themeFill="accent3" w:themeFillTint="33"/>
            <w:noWrap/>
            <w:hideMark/>
          </w:tcPr>
          <w:p w14:paraId="2046BE5F"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Water</w:t>
            </w:r>
          </w:p>
        </w:tc>
        <w:tc>
          <w:tcPr>
            <w:tcW w:w="1164" w:type="pct"/>
            <w:shd w:val="clear" w:color="auto" w:fill="EFF9F9" w:themeFill="accent3" w:themeFillTint="33"/>
          </w:tcPr>
          <w:p w14:paraId="55021109"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7,689.00</w:t>
            </w:r>
          </w:p>
        </w:tc>
        <w:tc>
          <w:tcPr>
            <w:tcW w:w="1164" w:type="pct"/>
            <w:shd w:val="clear" w:color="auto" w:fill="EFF9F9" w:themeFill="accent3" w:themeFillTint="33"/>
          </w:tcPr>
          <w:p w14:paraId="4B546DE5"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4.88%</w:t>
            </w:r>
          </w:p>
        </w:tc>
      </w:tr>
      <w:tr w:rsidR="0004651D" w:rsidRPr="007061F6" w14:paraId="0B4D61EE" w14:textId="77777777" w:rsidTr="00ED387C">
        <w:trPr>
          <w:trHeight w:val="311"/>
        </w:trPr>
        <w:tc>
          <w:tcPr>
            <w:tcW w:w="2671" w:type="pct"/>
            <w:shd w:val="clear" w:color="auto" w:fill="EFF9F9" w:themeFill="accent3" w:themeFillTint="33"/>
            <w:noWrap/>
            <w:hideMark/>
          </w:tcPr>
          <w:p w14:paraId="4988CABD"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Small or medium amount credit contract providers</w:t>
            </w:r>
          </w:p>
        </w:tc>
        <w:tc>
          <w:tcPr>
            <w:tcW w:w="1164" w:type="pct"/>
            <w:shd w:val="clear" w:color="auto" w:fill="EFF9F9" w:themeFill="accent3" w:themeFillTint="33"/>
          </w:tcPr>
          <w:p w14:paraId="1FD6A176"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6,791.00</w:t>
            </w:r>
          </w:p>
        </w:tc>
        <w:tc>
          <w:tcPr>
            <w:tcW w:w="1164" w:type="pct"/>
            <w:shd w:val="clear" w:color="auto" w:fill="EFF9F9" w:themeFill="accent3" w:themeFillTint="33"/>
          </w:tcPr>
          <w:p w14:paraId="07FCE0EC"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4.31%</w:t>
            </w:r>
          </w:p>
        </w:tc>
      </w:tr>
      <w:tr w:rsidR="0004651D" w:rsidRPr="007061F6" w14:paraId="0CAED683" w14:textId="77777777" w:rsidTr="00ED387C">
        <w:trPr>
          <w:trHeight w:val="311"/>
        </w:trPr>
        <w:tc>
          <w:tcPr>
            <w:tcW w:w="2671" w:type="pct"/>
            <w:shd w:val="clear" w:color="auto" w:fill="EFF9F9" w:themeFill="accent3" w:themeFillTint="33"/>
            <w:noWrap/>
            <w:hideMark/>
          </w:tcPr>
          <w:p w14:paraId="32B290AC"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Buy now pay later</w:t>
            </w:r>
          </w:p>
        </w:tc>
        <w:tc>
          <w:tcPr>
            <w:tcW w:w="1164" w:type="pct"/>
            <w:shd w:val="clear" w:color="auto" w:fill="EFF9F9" w:themeFill="accent3" w:themeFillTint="33"/>
          </w:tcPr>
          <w:p w14:paraId="0764EC95"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5,798.00</w:t>
            </w:r>
          </w:p>
        </w:tc>
        <w:tc>
          <w:tcPr>
            <w:tcW w:w="1164" w:type="pct"/>
            <w:shd w:val="clear" w:color="auto" w:fill="EFF9F9" w:themeFill="accent3" w:themeFillTint="33"/>
          </w:tcPr>
          <w:p w14:paraId="45D4B84A" w14:textId="7F07FAF2"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3.6</w:t>
            </w:r>
            <w:r w:rsidR="00727CE4">
              <w:rPr>
                <w:rFonts w:cstheme="minorHAnsi"/>
                <w:color w:val="000000"/>
                <w:sz w:val="20"/>
                <w:szCs w:val="20"/>
              </w:rPr>
              <w:t>8</w:t>
            </w:r>
            <w:r w:rsidRPr="00BB48C8">
              <w:rPr>
                <w:rFonts w:cstheme="minorHAnsi"/>
                <w:color w:val="000000"/>
                <w:sz w:val="20"/>
                <w:szCs w:val="20"/>
              </w:rPr>
              <w:t>%</w:t>
            </w:r>
          </w:p>
        </w:tc>
      </w:tr>
      <w:tr w:rsidR="0004651D" w:rsidRPr="007061F6" w14:paraId="5D0368A0" w14:textId="77777777" w:rsidTr="00ED387C">
        <w:trPr>
          <w:trHeight w:val="311"/>
        </w:trPr>
        <w:tc>
          <w:tcPr>
            <w:tcW w:w="2671" w:type="pct"/>
            <w:shd w:val="clear" w:color="auto" w:fill="EFF9F9" w:themeFill="accent3" w:themeFillTint="33"/>
            <w:noWrap/>
            <w:hideMark/>
          </w:tcPr>
          <w:p w14:paraId="2A681B16"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General insurer</w:t>
            </w:r>
          </w:p>
        </w:tc>
        <w:tc>
          <w:tcPr>
            <w:tcW w:w="1164" w:type="pct"/>
            <w:shd w:val="clear" w:color="auto" w:fill="EFF9F9" w:themeFill="accent3" w:themeFillTint="33"/>
          </w:tcPr>
          <w:p w14:paraId="76E3D702"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4,827.00</w:t>
            </w:r>
          </w:p>
        </w:tc>
        <w:tc>
          <w:tcPr>
            <w:tcW w:w="1164" w:type="pct"/>
            <w:shd w:val="clear" w:color="auto" w:fill="EFF9F9" w:themeFill="accent3" w:themeFillTint="33"/>
          </w:tcPr>
          <w:p w14:paraId="1DBC5486" w14:textId="5D9932AA" w:rsidR="0004651D" w:rsidRPr="00BB48C8" w:rsidRDefault="00727CE4" w:rsidP="004E1899">
            <w:pPr>
              <w:jc w:val="center"/>
              <w:rPr>
                <w:rFonts w:eastAsia="Times New Roman" w:cstheme="minorHAnsi"/>
                <w:color w:val="000000"/>
                <w:sz w:val="20"/>
                <w:szCs w:val="20"/>
              </w:rPr>
            </w:pPr>
            <w:r>
              <w:rPr>
                <w:rFonts w:cstheme="minorHAnsi"/>
                <w:color w:val="000000"/>
                <w:sz w:val="20"/>
                <w:szCs w:val="20"/>
              </w:rPr>
              <w:t>3.07</w:t>
            </w:r>
            <w:r w:rsidR="0004651D" w:rsidRPr="00BB48C8">
              <w:rPr>
                <w:rFonts w:cstheme="minorHAnsi"/>
                <w:color w:val="000000"/>
                <w:sz w:val="20"/>
                <w:szCs w:val="20"/>
              </w:rPr>
              <w:t>%</w:t>
            </w:r>
          </w:p>
        </w:tc>
      </w:tr>
      <w:tr w:rsidR="0004651D" w:rsidRPr="007061F6" w14:paraId="312C84C2" w14:textId="77777777" w:rsidTr="00ED387C">
        <w:trPr>
          <w:trHeight w:val="311"/>
        </w:trPr>
        <w:tc>
          <w:tcPr>
            <w:tcW w:w="2671" w:type="pct"/>
            <w:noWrap/>
          </w:tcPr>
          <w:p w14:paraId="4852267C"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Private rental tenancy</w:t>
            </w:r>
            <w:r w:rsidRPr="00BB48C8">
              <w:rPr>
                <w:rStyle w:val="FootnoteReference"/>
                <w:rFonts w:eastAsia="Times New Roman" w:cstheme="minorHAnsi"/>
                <w:color w:val="000000"/>
                <w:sz w:val="20"/>
                <w:szCs w:val="20"/>
              </w:rPr>
              <w:footnoteReference w:id="23"/>
            </w:r>
          </w:p>
        </w:tc>
        <w:tc>
          <w:tcPr>
            <w:tcW w:w="1164" w:type="pct"/>
          </w:tcPr>
          <w:p w14:paraId="129B32D9"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4,214.00</w:t>
            </w:r>
          </w:p>
        </w:tc>
        <w:tc>
          <w:tcPr>
            <w:tcW w:w="1164" w:type="pct"/>
          </w:tcPr>
          <w:p w14:paraId="66FA7377" w14:textId="58603418" w:rsidR="0004651D" w:rsidRPr="00BB48C8" w:rsidRDefault="00727CE4" w:rsidP="004E1899">
            <w:pPr>
              <w:jc w:val="center"/>
              <w:rPr>
                <w:rFonts w:eastAsia="Times New Roman" w:cstheme="minorHAnsi"/>
                <w:color w:val="000000"/>
                <w:sz w:val="20"/>
                <w:szCs w:val="20"/>
              </w:rPr>
            </w:pPr>
            <w:r>
              <w:rPr>
                <w:rFonts w:cstheme="minorHAnsi"/>
                <w:color w:val="000000"/>
                <w:sz w:val="20"/>
                <w:szCs w:val="20"/>
              </w:rPr>
              <w:t>2.68</w:t>
            </w:r>
            <w:r w:rsidR="0004651D" w:rsidRPr="00BB48C8">
              <w:rPr>
                <w:rFonts w:cstheme="minorHAnsi"/>
                <w:color w:val="000000"/>
                <w:sz w:val="20"/>
                <w:szCs w:val="20"/>
              </w:rPr>
              <w:t>%</w:t>
            </w:r>
          </w:p>
        </w:tc>
      </w:tr>
      <w:tr w:rsidR="0004651D" w:rsidRPr="007061F6" w14:paraId="3786D5B8" w14:textId="77777777" w:rsidTr="00ED387C">
        <w:trPr>
          <w:trHeight w:val="311"/>
        </w:trPr>
        <w:tc>
          <w:tcPr>
            <w:tcW w:w="2671" w:type="pct"/>
            <w:noWrap/>
            <w:hideMark/>
          </w:tcPr>
          <w:p w14:paraId="13EDC8DE"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Gas</w:t>
            </w:r>
          </w:p>
        </w:tc>
        <w:tc>
          <w:tcPr>
            <w:tcW w:w="1164" w:type="pct"/>
          </w:tcPr>
          <w:p w14:paraId="243F9D94"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3,935.00</w:t>
            </w:r>
          </w:p>
        </w:tc>
        <w:tc>
          <w:tcPr>
            <w:tcW w:w="1164" w:type="pct"/>
          </w:tcPr>
          <w:p w14:paraId="378D01B2"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2.50%</w:t>
            </w:r>
          </w:p>
        </w:tc>
      </w:tr>
      <w:tr w:rsidR="0004651D" w:rsidRPr="007061F6" w14:paraId="4002261F" w14:textId="77777777" w:rsidTr="00ED387C">
        <w:trPr>
          <w:trHeight w:val="311"/>
        </w:trPr>
        <w:tc>
          <w:tcPr>
            <w:tcW w:w="2671" w:type="pct"/>
            <w:noWrap/>
            <w:hideMark/>
          </w:tcPr>
          <w:p w14:paraId="4AC1B555"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Consumer lease</w:t>
            </w:r>
          </w:p>
        </w:tc>
        <w:tc>
          <w:tcPr>
            <w:tcW w:w="1164" w:type="pct"/>
          </w:tcPr>
          <w:p w14:paraId="04564E48"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3,692.00</w:t>
            </w:r>
          </w:p>
        </w:tc>
        <w:tc>
          <w:tcPr>
            <w:tcW w:w="1164" w:type="pct"/>
          </w:tcPr>
          <w:p w14:paraId="7E05CFCF"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2.34%</w:t>
            </w:r>
          </w:p>
        </w:tc>
      </w:tr>
      <w:tr w:rsidR="0004651D" w:rsidRPr="007061F6" w14:paraId="6134D5F4" w14:textId="77777777" w:rsidTr="00ED387C">
        <w:trPr>
          <w:trHeight w:val="311"/>
        </w:trPr>
        <w:tc>
          <w:tcPr>
            <w:tcW w:w="2671" w:type="pct"/>
            <w:noWrap/>
            <w:hideMark/>
          </w:tcPr>
          <w:p w14:paraId="2D7D38B9"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Social housing tenancy</w:t>
            </w:r>
            <w:r w:rsidRPr="00BB48C8">
              <w:rPr>
                <w:rStyle w:val="FootnoteReference"/>
                <w:rFonts w:eastAsia="Times New Roman" w:cstheme="minorHAnsi"/>
                <w:color w:val="000000"/>
                <w:sz w:val="20"/>
                <w:szCs w:val="20"/>
              </w:rPr>
              <w:footnoteReference w:id="24"/>
            </w:r>
          </w:p>
        </w:tc>
        <w:tc>
          <w:tcPr>
            <w:tcW w:w="1164" w:type="pct"/>
          </w:tcPr>
          <w:p w14:paraId="37F5D34B"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2,193.00</w:t>
            </w:r>
          </w:p>
        </w:tc>
        <w:tc>
          <w:tcPr>
            <w:tcW w:w="1164" w:type="pct"/>
          </w:tcPr>
          <w:p w14:paraId="6CB7C606"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1.39%</w:t>
            </w:r>
          </w:p>
        </w:tc>
      </w:tr>
      <w:tr w:rsidR="0004651D" w:rsidRPr="007061F6" w14:paraId="365ACB75" w14:textId="77777777" w:rsidTr="00ED387C">
        <w:trPr>
          <w:trHeight w:val="311"/>
        </w:trPr>
        <w:tc>
          <w:tcPr>
            <w:tcW w:w="2671" w:type="pct"/>
            <w:noWrap/>
            <w:hideMark/>
          </w:tcPr>
          <w:p w14:paraId="4300E28F"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Superannuation - Total and permanent disability/income protection</w:t>
            </w:r>
          </w:p>
        </w:tc>
        <w:tc>
          <w:tcPr>
            <w:tcW w:w="1164" w:type="pct"/>
          </w:tcPr>
          <w:p w14:paraId="14005787"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1,700.00</w:t>
            </w:r>
          </w:p>
        </w:tc>
        <w:tc>
          <w:tcPr>
            <w:tcW w:w="1164" w:type="pct"/>
          </w:tcPr>
          <w:p w14:paraId="6C2A85C5"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1.08%</w:t>
            </w:r>
          </w:p>
        </w:tc>
      </w:tr>
      <w:tr w:rsidR="0004651D" w:rsidRPr="007061F6" w14:paraId="5727DFCF" w14:textId="77777777" w:rsidTr="00ED387C">
        <w:trPr>
          <w:trHeight w:val="311"/>
        </w:trPr>
        <w:tc>
          <w:tcPr>
            <w:tcW w:w="2671" w:type="pct"/>
            <w:noWrap/>
            <w:hideMark/>
          </w:tcPr>
          <w:p w14:paraId="543C08C4"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Debt management firm</w:t>
            </w:r>
          </w:p>
        </w:tc>
        <w:tc>
          <w:tcPr>
            <w:tcW w:w="1164" w:type="pct"/>
          </w:tcPr>
          <w:p w14:paraId="1E292910"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1,563.00</w:t>
            </w:r>
          </w:p>
        </w:tc>
        <w:tc>
          <w:tcPr>
            <w:tcW w:w="1164" w:type="pct"/>
          </w:tcPr>
          <w:p w14:paraId="2C1906D5"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0.99%</w:t>
            </w:r>
          </w:p>
        </w:tc>
      </w:tr>
      <w:tr w:rsidR="0004651D" w:rsidRPr="007061F6" w14:paraId="691382D8" w14:textId="77777777" w:rsidTr="00ED387C">
        <w:trPr>
          <w:trHeight w:val="311"/>
        </w:trPr>
        <w:tc>
          <w:tcPr>
            <w:tcW w:w="2671" w:type="pct"/>
            <w:noWrap/>
            <w:hideMark/>
          </w:tcPr>
          <w:p w14:paraId="2FC1FE83"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Superannuation - Early access</w:t>
            </w:r>
          </w:p>
        </w:tc>
        <w:tc>
          <w:tcPr>
            <w:tcW w:w="1164" w:type="pct"/>
          </w:tcPr>
          <w:p w14:paraId="404DBA29"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1,564.00</w:t>
            </w:r>
          </w:p>
        </w:tc>
        <w:tc>
          <w:tcPr>
            <w:tcW w:w="1164" w:type="pct"/>
          </w:tcPr>
          <w:p w14:paraId="00EB972E"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0.99%</w:t>
            </w:r>
          </w:p>
        </w:tc>
      </w:tr>
      <w:tr w:rsidR="0004651D" w:rsidRPr="007061F6" w14:paraId="0BF2C648" w14:textId="77777777" w:rsidTr="00ED387C">
        <w:trPr>
          <w:trHeight w:val="311"/>
        </w:trPr>
        <w:tc>
          <w:tcPr>
            <w:tcW w:w="2671" w:type="pct"/>
            <w:noWrap/>
            <w:hideMark/>
          </w:tcPr>
          <w:p w14:paraId="2C8F8F15"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Credit reporting agency</w:t>
            </w:r>
          </w:p>
        </w:tc>
        <w:tc>
          <w:tcPr>
            <w:tcW w:w="1164" w:type="pct"/>
          </w:tcPr>
          <w:p w14:paraId="1A70EC2D"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1,043.00</w:t>
            </w:r>
          </w:p>
        </w:tc>
        <w:tc>
          <w:tcPr>
            <w:tcW w:w="1164" w:type="pct"/>
          </w:tcPr>
          <w:p w14:paraId="79214220"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0.66%</w:t>
            </w:r>
          </w:p>
        </w:tc>
      </w:tr>
      <w:tr w:rsidR="0004651D" w:rsidRPr="007061F6" w14:paraId="3EB17931" w14:textId="77777777" w:rsidTr="00ED387C">
        <w:trPr>
          <w:trHeight w:val="311"/>
        </w:trPr>
        <w:tc>
          <w:tcPr>
            <w:tcW w:w="2671" w:type="pct"/>
            <w:noWrap/>
            <w:hideMark/>
          </w:tcPr>
          <w:p w14:paraId="7BAD66FC"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Superannuation - Other</w:t>
            </w:r>
          </w:p>
        </w:tc>
        <w:tc>
          <w:tcPr>
            <w:tcW w:w="1164" w:type="pct"/>
          </w:tcPr>
          <w:p w14:paraId="4654BF8B"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1,020.00</w:t>
            </w:r>
          </w:p>
        </w:tc>
        <w:tc>
          <w:tcPr>
            <w:tcW w:w="1164" w:type="pct"/>
          </w:tcPr>
          <w:p w14:paraId="3C4503D9"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0.65%</w:t>
            </w:r>
          </w:p>
        </w:tc>
      </w:tr>
      <w:tr w:rsidR="0004651D" w:rsidRPr="007061F6" w14:paraId="18951E8A" w14:textId="77777777" w:rsidTr="00ED387C">
        <w:trPr>
          <w:trHeight w:val="311"/>
        </w:trPr>
        <w:tc>
          <w:tcPr>
            <w:tcW w:w="2671" w:type="pct"/>
            <w:noWrap/>
            <w:hideMark/>
          </w:tcPr>
          <w:p w14:paraId="39833314"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Customer owned bank</w:t>
            </w:r>
          </w:p>
        </w:tc>
        <w:tc>
          <w:tcPr>
            <w:tcW w:w="1164" w:type="pct"/>
          </w:tcPr>
          <w:p w14:paraId="794B5DC7"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845.00</w:t>
            </w:r>
          </w:p>
        </w:tc>
        <w:tc>
          <w:tcPr>
            <w:tcW w:w="1164" w:type="pct"/>
          </w:tcPr>
          <w:p w14:paraId="5B59A17D" w14:textId="59913AD1"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0.5</w:t>
            </w:r>
            <w:r w:rsidR="00727CE4">
              <w:rPr>
                <w:rFonts w:cstheme="minorHAnsi"/>
                <w:color w:val="000000"/>
                <w:sz w:val="20"/>
                <w:szCs w:val="20"/>
              </w:rPr>
              <w:t>4</w:t>
            </w:r>
            <w:r w:rsidRPr="00BB48C8">
              <w:rPr>
                <w:rFonts w:cstheme="minorHAnsi"/>
                <w:color w:val="000000"/>
                <w:sz w:val="20"/>
                <w:szCs w:val="20"/>
              </w:rPr>
              <w:t>%</w:t>
            </w:r>
          </w:p>
        </w:tc>
      </w:tr>
      <w:tr w:rsidR="0004651D" w:rsidRPr="007061F6" w14:paraId="5369ED76" w14:textId="77777777" w:rsidTr="00ED387C">
        <w:trPr>
          <w:trHeight w:val="311"/>
        </w:trPr>
        <w:tc>
          <w:tcPr>
            <w:tcW w:w="2671" w:type="pct"/>
            <w:noWrap/>
            <w:hideMark/>
          </w:tcPr>
          <w:p w14:paraId="2BC15DB7"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Gambling - Online</w:t>
            </w:r>
          </w:p>
        </w:tc>
        <w:tc>
          <w:tcPr>
            <w:tcW w:w="1164" w:type="pct"/>
          </w:tcPr>
          <w:p w14:paraId="3434F732"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480.00</w:t>
            </w:r>
          </w:p>
        </w:tc>
        <w:tc>
          <w:tcPr>
            <w:tcW w:w="1164" w:type="pct"/>
          </w:tcPr>
          <w:p w14:paraId="6EFBF81A" w14:textId="38FCCA43"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0.3</w:t>
            </w:r>
            <w:r w:rsidR="009B207B">
              <w:rPr>
                <w:rFonts w:cstheme="minorHAnsi"/>
                <w:color w:val="000000"/>
                <w:sz w:val="20"/>
                <w:szCs w:val="20"/>
              </w:rPr>
              <w:t>0</w:t>
            </w:r>
            <w:r w:rsidRPr="00BB48C8">
              <w:rPr>
                <w:rFonts w:cstheme="minorHAnsi"/>
                <w:color w:val="000000"/>
                <w:sz w:val="20"/>
                <w:szCs w:val="20"/>
              </w:rPr>
              <w:t>%</w:t>
            </w:r>
          </w:p>
        </w:tc>
      </w:tr>
      <w:tr w:rsidR="0004651D" w:rsidRPr="007061F6" w14:paraId="6240C5B8" w14:textId="77777777" w:rsidTr="00ED387C">
        <w:trPr>
          <w:trHeight w:val="311"/>
        </w:trPr>
        <w:tc>
          <w:tcPr>
            <w:tcW w:w="2671" w:type="pct"/>
            <w:noWrap/>
            <w:hideMark/>
          </w:tcPr>
          <w:p w14:paraId="21C7B6FD"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Body corporate fees</w:t>
            </w:r>
          </w:p>
        </w:tc>
        <w:tc>
          <w:tcPr>
            <w:tcW w:w="1164" w:type="pct"/>
          </w:tcPr>
          <w:p w14:paraId="05C3C9B3"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430.00</w:t>
            </w:r>
          </w:p>
        </w:tc>
        <w:tc>
          <w:tcPr>
            <w:tcW w:w="1164" w:type="pct"/>
          </w:tcPr>
          <w:p w14:paraId="431D9DF0"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0.27%</w:t>
            </w:r>
          </w:p>
        </w:tc>
      </w:tr>
      <w:tr w:rsidR="0004651D" w:rsidRPr="007061F6" w14:paraId="571B227D" w14:textId="77777777" w:rsidTr="00ED387C">
        <w:trPr>
          <w:trHeight w:val="311"/>
        </w:trPr>
        <w:tc>
          <w:tcPr>
            <w:tcW w:w="2671" w:type="pct"/>
            <w:noWrap/>
            <w:hideMark/>
          </w:tcPr>
          <w:p w14:paraId="69EE1343"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Health insurer</w:t>
            </w:r>
          </w:p>
        </w:tc>
        <w:tc>
          <w:tcPr>
            <w:tcW w:w="1164" w:type="pct"/>
          </w:tcPr>
          <w:p w14:paraId="6D65CEFF"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298.00</w:t>
            </w:r>
          </w:p>
        </w:tc>
        <w:tc>
          <w:tcPr>
            <w:tcW w:w="1164" w:type="pct"/>
          </w:tcPr>
          <w:p w14:paraId="75C30EC9"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0.19%</w:t>
            </w:r>
          </w:p>
        </w:tc>
      </w:tr>
      <w:tr w:rsidR="0004651D" w:rsidRPr="007061F6" w14:paraId="55CEAF43" w14:textId="77777777" w:rsidTr="00ED387C">
        <w:trPr>
          <w:trHeight w:val="311"/>
        </w:trPr>
        <w:tc>
          <w:tcPr>
            <w:tcW w:w="2671" w:type="pct"/>
            <w:noWrap/>
            <w:hideMark/>
          </w:tcPr>
          <w:p w14:paraId="4706FDC9"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Life insurer</w:t>
            </w:r>
          </w:p>
        </w:tc>
        <w:tc>
          <w:tcPr>
            <w:tcW w:w="1164" w:type="pct"/>
          </w:tcPr>
          <w:p w14:paraId="7242E2D4"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175.00</w:t>
            </w:r>
          </w:p>
        </w:tc>
        <w:tc>
          <w:tcPr>
            <w:tcW w:w="1164" w:type="pct"/>
          </w:tcPr>
          <w:p w14:paraId="0B04E4EB"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0.11%</w:t>
            </w:r>
          </w:p>
        </w:tc>
      </w:tr>
      <w:tr w:rsidR="0004651D" w:rsidRPr="007061F6" w14:paraId="19DB4FFB" w14:textId="77777777" w:rsidTr="00ED387C">
        <w:trPr>
          <w:trHeight w:val="311"/>
        </w:trPr>
        <w:tc>
          <w:tcPr>
            <w:tcW w:w="2671" w:type="pct"/>
            <w:noWrap/>
            <w:hideMark/>
          </w:tcPr>
          <w:p w14:paraId="75267767"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Embedded network</w:t>
            </w:r>
          </w:p>
        </w:tc>
        <w:tc>
          <w:tcPr>
            <w:tcW w:w="1164" w:type="pct"/>
          </w:tcPr>
          <w:p w14:paraId="5FBF90FE"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95.00</w:t>
            </w:r>
          </w:p>
        </w:tc>
        <w:tc>
          <w:tcPr>
            <w:tcW w:w="1164" w:type="pct"/>
          </w:tcPr>
          <w:p w14:paraId="532A53BD"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0.06%</w:t>
            </w:r>
          </w:p>
        </w:tc>
      </w:tr>
      <w:tr w:rsidR="0004651D" w:rsidRPr="007061F6" w14:paraId="73746FDA" w14:textId="77777777" w:rsidTr="00ED387C">
        <w:trPr>
          <w:trHeight w:val="296"/>
        </w:trPr>
        <w:tc>
          <w:tcPr>
            <w:tcW w:w="2671" w:type="pct"/>
            <w:noWrap/>
            <w:hideMark/>
          </w:tcPr>
          <w:p w14:paraId="0D980D41"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Mortgage broker</w:t>
            </w:r>
          </w:p>
        </w:tc>
        <w:tc>
          <w:tcPr>
            <w:tcW w:w="1164" w:type="pct"/>
          </w:tcPr>
          <w:p w14:paraId="1D412B84"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60.00</w:t>
            </w:r>
          </w:p>
        </w:tc>
        <w:tc>
          <w:tcPr>
            <w:tcW w:w="1164" w:type="pct"/>
          </w:tcPr>
          <w:p w14:paraId="682F2391" w14:textId="7BD2464F" w:rsidR="0004651D" w:rsidRPr="00BB48C8" w:rsidRDefault="00727CE4" w:rsidP="004E1899">
            <w:pPr>
              <w:jc w:val="center"/>
              <w:rPr>
                <w:rFonts w:eastAsia="Times New Roman" w:cstheme="minorHAnsi"/>
                <w:color w:val="000000"/>
                <w:sz w:val="20"/>
                <w:szCs w:val="20"/>
              </w:rPr>
            </w:pPr>
            <w:r>
              <w:rPr>
                <w:rFonts w:cstheme="minorHAnsi"/>
                <w:color w:val="000000"/>
                <w:sz w:val="20"/>
                <w:szCs w:val="20"/>
              </w:rPr>
              <w:t>0.04</w:t>
            </w:r>
            <w:r w:rsidR="0004651D" w:rsidRPr="00BB48C8">
              <w:rPr>
                <w:rFonts w:cstheme="minorHAnsi"/>
                <w:color w:val="000000"/>
                <w:sz w:val="20"/>
                <w:szCs w:val="20"/>
              </w:rPr>
              <w:t>%</w:t>
            </w:r>
          </w:p>
        </w:tc>
      </w:tr>
      <w:tr w:rsidR="0004651D" w:rsidRPr="007061F6" w14:paraId="3C268151" w14:textId="77777777" w:rsidTr="00ED387C">
        <w:trPr>
          <w:trHeight w:val="296"/>
        </w:trPr>
        <w:tc>
          <w:tcPr>
            <w:tcW w:w="2671" w:type="pct"/>
            <w:noWrap/>
            <w:hideMark/>
          </w:tcPr>
          <w:p w14:paraId="54F3F9E7"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Gambling - Land-based</w:t>
            </w:r>
          </w:p>
        </w:tc>
        <w:tc>
          <w:tcPr>
            <w:tcW w:w="1164" w:type="pct"/>
          </w:tcPr>
          <w:p w14:paraId="2EC6E890"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50.00</w:t>
            </w:r>
          </w:p>
        </w:tc>
        <w:tc>
          <w:tcPr>
            <w:tcW w:w="1164" w:type="pct"/>
          </w:tcPr>
          <w:p w14:paraId="1FD4A765"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0.03%</w:t>
            </w:r>
          </w:p>
        </w:tc>
      </w:tr>
      <w:tr w:rsidR="0004651D" w:rsidRPr="007061F6" w14:paraId="09DDBE8B" w14:textId="77777777" w:rsidTr="00ED387C">
        <w:trPr>
          <w:trHeight w:val="311"/>
        </w:trPr>
        <w:tc>
          <w:tcPr>
            <w:tcW w:w="2671" w:type="pct"/>
            <w:noWrap/>
            <w:hideMark/>
          </w:tcPr>
          <w:p w14:paraId="2C3BE009" w14:textId="77777777" w:rsidR="0004651D" w:rsidRPr="00BB48C8" w:rsidRDefault="0004651D" w:rsidP="004E1899">
            <w:pPr>
              <w:rPr>
                <w:rFonts w:eastAsia="Times New Roman" w:cstheme="minorHAnsi"/>
                <w:color w:val="000000"/>
                <w:sz w:val="20"/>
                <w:szCs w:val="20"/>
              </w:rPr>
            </w:pPr>
            <w:r w:rsidRPr="00BB48C8">
              <w:rPr>
                <w:rFonts w:eastAsia="Times New Roman" w:cstheme="minorHAnsi"/>
                <w:color w:val="000000"/>
                <w:sz w:val="20"/>
                <w:szCs w:val="20"/>
              </w:rPr>
              <w:t>Financial advisor/planner</w:t>
            </w:r>
          </w:p>
        </w:tc>
        <w:tc>
          <w:tcPr>
            <w:tcW w:w="1164" w:type="pct"/>
          </w:tcPr>
          <w:p w14:paraId="100E8A6C" w14:textId="77777777"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25.00</w:t>
            </w:r>
          </w:p>
        </w:tc>
        <w:tc>
          <w:tcPr>
            <w:tcW w:w="1164" w:type="pct"/>
          </w:tcPr>
          <w:p w14:paraId="18E0F9D9" w14:textId="0BD01F62" w:rsidR="0004651D" w:rsidRPr="00BB48C8" w:rsidRDefault="0004651D" w:rsidP="004E1899">
            <w:pPr>
              <w:jc w:val="center"/>
              <w:rPr>
                <w:rFonts w:eastAsia="Times New Roman" w:cstheme="minorHAnsi"/>
                <w:color w:val="000000"/>
                <w:sz w:val="20"/>
                <w:szCs w:val="20"/>
              </w:rPr>
            </w:pPr>
            <w:r w:rsidRPr="00BB48C8">
              <w:rPr>
                <w:rFonts w:cstheme="minorHAnsi"/>
                <w:color w:val="000000"/>
                <w:sz w:val="20"/>
                <w:szCs w:val="20"/>
              </w:rPr>
              <w:t>0.0</w:t>
            </w:r>
            <w:r w:rsidR="00727CE4">
              <w:rPr>
                <w:rFonts w:cstheme="minorHAnsi"/>
                <w:color w:val="000000"/>
                <w:sz w:val="20"/>
                <w:szCs w:val="20"/>
              </w:rPr>
              <w:t>2</w:t>
            </w:r>
            <w:r w:rsidRPr="00BB48C8">
              <w:rPr>
                <w:rFonts w:cstheme="minorHAnsi"/>
                <w:color w:val="000000"/>
                <w:sz w:val="20"/>
                <w:szCs w:val="20"/>
              </w:rPr>
              <w:t>%</w:t>
            </w:r>
          </w:p>
        </w:tc>
      </w:tr>
      <w:tr w:rsidR="0004651D" w:rsidRPr="00143FE6" w14:paraId="0CEB1411" w14:textId="77777777" w:rsidTr="00ED387C">
        <w:trPr>
          <w:trHeight w:val="315"/>
        </w:trPr>
        <w:tc>
          <w:tcPr>
            <w:tcW w:w="2671" w:type="pct"/>
            <w:noWrap/>
          </w:tcPr>
          <w:p w14:paraId="1AE3A3A1" w14:textId="77777777" w:rsidR="0004651D" w:rsidRPr="00BB48C8" w:rsidRDefault="0004651D" w:rsidP="004E1899">
            <w:pPr>
              <w:spacing w:after="120"/>
              <w:rPr>
                <w:rFonts w:cstheme="minorHAnsi"/>
                <w:b/>
                <w:bCs/>
                <w:i/>
                <w:iCs/>
                <w:color w:val="000000"/>
                <w:sz w:val="20"/>
                <w:szCs w:val="20"/>
              </w:rPr>
            </w:pPr>
          </w:p>
        </w:tc>
        <w:tc>
          <w:tcPr>
            <w:tcW w:w="1164" w:type="pct"/>
          </w:tcPr>
          <w:p w14:paraId="2A0915C1" w14:textId="77777777" w:rsidR="0004651D" w:rsidRPr="00BB48C8" w:rsidRDefault="0004651D" w:rsidP="004E1899">
            <w:pPr>
              <w:spacing w:after="120"/>
              <w:jc w:val="center"/>
              <w:rPr>
                <w:rFonts w:cstheme="minorHAnsi"/>
                <w:b/>
                <w:bCs/>
                <w:i/>
                <w:iCs/>
                <w:color w:val="000000"/>
                <w:sz w:val="20"/>
                <w:szCs w:val="20"/>
              </w:rPr>
            </w:pPr>
            <w:r w:rsidRPr="00BB48C8">
              <w:rPr>
                <w:rFonts w:cstheme="minorHAnsi"/>
                <w:b/>
                <w:bCs/>
                <w:i/>
                <w:iCs/>
                <w:color w:val="000000"/>
                <w:sz w:val="20"/>
                <w:szCs w:val="20"/>
              </w:rPr>
              <w:t>157,466.50</w:t>
            </w:r>
          </w:p>
        </w:tc>
        <w:tc>
          <w:tcPr>
            <w:tcW w:w="1164" w:type="pct"/>
          </w:tcPr>
          <w:p w14:paraId="399464C8" w14:textId="77777777" w:rsidR="0004651D" w:rsidRPr="00BB48C8" w:rsidRDefault="0004651D" w:rsidP="004E1899">
            <w:pPr>
              <w:spacing w:after="120"/>
              <w:jc w:val="center"/>
              <w:rPr>
                <w:rFonts w:cstheme="minorHAnsi"/>
                <w:b/>
                <w:bCs/>
                <w:i/>
                <w:iCs/>
                <w:color w:val="000000"/>
                <w:sz w:val="20"/>
                <w:szCs w:val="20"/>
              </w:rPr>
            </w:pPr>
            <w:r w:rsidRPr="00BB48C8">
              <w:rPr>
                <w:rFonts w:cstheme="minorHAnsi"/>
                <w:b/>
                <w:bCs/>
                <w:i/>
                <w:iCs/>
                <w:color w:val="000000"/>
                <w:sz w:val="20"/>
                <w:szCs w:val="20"/>
              </w:rPr>
              <w:t>100.00%</w:t>
            </w:r>
          </w:p>
        </w:tc>
      </w:tr>
    </w:tbl>
    <w:p w14:paraId="030D364D" w14:textId="55E6E1DE" w:rsidR="00485715" w:rsidRDefault="00485715" w:rsidP="00485715">
      <w:pPr>
        <w:pStyle w:val="Heading1"/>
        <w:numPr>
          <w:ilvl w:val="0"/>
          <w:numId w:val="0"/>
        </w:numPr>
      </w:pPr>
      <w:bookmarkStart w:id="45" w:name="_Toc118288284"/>
      <w:r>
        <w:lastRenderedPageBreak/>
        <w:t>Appendix E – Associated Peak Bodies</w:t>
      </w:r>
      <w:bookmarkEnd w:id="45"/>
    </w:p>
    <w:p w14:paraId="473772A5" w14:textId="0F002C86" w:rsidR="00485715" w:rsidRDefault="0076464F" w:rsidP="00067F67">
      <w:r>
        <w:t>Formal commitments to the industry funding model, on behalf of their members, will be sought from the following peak bodies:</w:t>
      </w:r>
    </w:p>
    <w:p w14:paraId="1934BE73" w14:textId="69E03630" w:rsidR="00485715" w:rsidRPr="0076464F" w:rsidRDefault="00485715" w:rsidP="0076464F">
      <w:pPr>
        <w:numPr>
          <w:ilvl w:val="0"/>
          <w:numId w:val="7"/>
        </w:numPr>
        <w:tabs>
          <w:tab w:val="left" w:pos="720"/>
        </w:tabs>
        <w:spacing w:before="60" w:afterLines="60" w:after="144"/>
        <w:rPr>
          <w:rFonts w:cs="Arial"/>
          <w:lang w:bidi="en-US"/>
        </w:rPr>
      </w:pPr>
      <w:r w:rsidRPr="0076464F">
        <w:rPr>
          <w:rFonts w:cs="Arial"/>
          <w:lang w:bidi="en-US"/>
        </w:rPr>
        <w:t xml:space="preserve">Australian Banking Association </w:t>
      </w:r>
    </w:p>
    <w:p w14:paraId="177B0CA2" w14:textId="4A43FCCE" w:rsidR="00485715" w:rsidRPr="0076464F" w:rsidRDefault="00485715" w:rsidP="0076464F">
      <w:pPr>
        <w:numPr>
          <w:ilvl w:val="0"/>
          <w:numId w:val="7"/>
        </w:numPr>
        <w:tabs>
          <w:tab w:val="left" w:pos="720"/>
        </w:tabs>
        <w:spacing w:before="60" w:afterLines="60" w:after="144"/>
        <w:rPr>
          <w:rFonts w:cs="Arial"/>
          <w:lang w:bidi="en-US"/>
        </w:rPr>
      </w:pPr>
      <w:r w:rsidRPr="0076464F">
        <w:rPr>
          <w:rFonts w:cs="Arial"/>
          <w:lang w:bidi="en-US"/>
        </w:rPr>
        <w:t>Australian Finance Industry Association</w:t>
      </w:r>
    </w:p>
    <w:p w14:paraId="66A067EF" w14:textId="64F25127" w:rsidR="00485715" w:rsidRPr="0076464F" w:rsidRDefault="00485715" w:rsidP="0076464F">
      <w:pPr>
        <w:numPr>
          <w:ilvl w:val="0"/>
          <w:numId w:val="7"/>
        </w:numPr>
        <w:tabs>
          <w:tab w:val="left" w:pos="720"/>
        </w:tabs>
        <w:spacing w:before="60" w:afterLines="60" w:after="144"/>
        <w:rPr>
          <w:rFonts w:cs="Arial"/>
          <w:lang w:bidi="en-US"/>
        </w:rPr>
      </w:pPr>
      <w:r w:rsidRPr="0076464F">
        <w:rPr>
          <w:rFonts w:cs="Arial"/>
          <w:lang w:bidi="en-US"/>
        </w:rPr>
        <w:t xml:space="preserve">Australian Collectors and Debt Buyers Association </w:t>
      </w:r>
    </w:p>
    <w:p w14:paraId="32C027CC" w14:textId="37F1D6FC" w:rsidR="00485715" w:rsidRPr="005F09EB" w:rsidRDefault="00485715" w:rsidP="0076464F">
      <w:pPr>
        <w:numPr>
          <w:ilvl w:val="0"/>
          <w:numId w:val="7"/>
        </w:numPr>
        <w:tabs>
          <w:tab w:val="left" w:pos="720"/>
        </w:tabs>
        <w:spacing w:before="60" w:afterLines="60" w:after="144"/>
        <w:rPr>
          <w:rFonts w:cs="Arial"/>
          <w:lang w:bidi="en-US"/>
        </w:rPr>
      </w:pPr>
      <w:r w:rsidRPr="00CF447B">
        <w:rPr>
          <w:rFonts w:cs="Arial"/>
          <w:lang w:bidi="en-US"/>
        </w:rPr>
        <w:t>Nation</w:t>
      </w:r>
      <w:r w:rsidR="0076464F" w:rsidRPr="002B7730">
        <w:rPr>
          <w:rFonts w:cs="Arial"/>
          <w:lang w:bidi="en-US"/>
        </w:rPr>
        <w:t>al Credit Providers Association</w:t>
      </w:r>
    </w:p>
    <w:p w14:paraId="10C38D23" w14:textId="7AD394CB" w:rsidR="00485715" w:rsidRPr="008A15E7" w:rsidRDefault="00485715" w:rsidP="0076464F">
      <w:pPr>
        <w:numPr>
          <w:ilvl w:val="0"/>
          <w:numId w:val="7"/>
        </w:numPr>
        <w:tabs>
          <w:tab w:val="left" w:pos="720"/>
        </w:tabs>
        <w:spacing w:before="60" w:afterLines="60" w:after="144"/>
        <w:rPr>
          <w:rFonts w:cs="Arial"/>
          <w:lang w:bidi="en-US"/>
        </w:rPr>
      </w:pPr>
      <w:r w:rsidRPr="00680768">
        <w:rPr>
          <w:rFonts w:cs="Arial"/>
          <w:lang w:bidi="en-US"/>
        </w:rPr>
        <w:t>Insu</w:t>
      </w:r>
      <w:r w:rsidR="0076464F" w:rsidRPr="00D93B0A">
        <w:rPr>
          <w:rFonts w:cs="Arial"/>
          <w:lang w:bidi="en-US"/>
        </w:rPr>
        <w:t>rance Council of Australia</w:t>
      </w:r>
    </w:p>
    <w:p w14:paraId="390A2AE4" w14:textId="79242F5D" w:rsidR="00485715" w:rsidRPr="00194AFF" w:rsidRDefault="00485715" w:rsidP="0076464F">
      <w:pPr>
        <w:numPr>
          <w:ilvl w:val="0"/>
          <w:numId w:val="7"/>
        </w:numPr>
        <w:tabs>
          <w:tab w:val="left" w:pos="720"/>
        </w:tabs>
        <w:spacing w:before="60" w:afterLines="60" w:after="144"/>
        <w:rPr>
          <w:rFonts w:cs="Arial"/>
          <w:lang w:bidi="en-US"/>
        </w:rPr>
      </w:pPr>
      <w:r w:rsidRPr="008A15E7">
        <w:rPr>
          <w:rFonts w:cs="Arial"/>
          <w:lang w:bidi="en-US"/>
        </w:rPr>
        <w:t>Australian Energy Co</w:t>
      </w:r>
      <w:r w:rsidRPr="00194AFF">
        <w:rPr>
          <w:rFonts w:cs="Arial"/>
          <w:lang w:bidi="en-US"/>
        </w:rPr>
        <w:t xml:space="preserve">uncil </w:t>
      </w:r>
    </w:p>
    <w:p w14:paraId="561C48FD" w14:textId="2D43FFE3" w:rsidR="00485715" w:rsidRPr="00530BED" w:rsidRDefault="0076464F" w:rsidP="0076464F">
      <w:pPr>
        <w:numPr>
          <w:ilvl w:val="0"/>
          <w:numId w:val="7"/>
        </w:numPr>
        <w:tabs>
          <w:tab w:val="left" w:pos="720"/>
        </w:tabs>
        <w:spacing w:before="60" w:afterLines="60" w:after="144"/>
        <w:rPr>
          <w:rFonts w:cs="Arial"/>
          <w:lang w:bidi="en-US"/>
        </w:rPr>
      </w:pPr>
      <w:r w:rsidRPr="00CC75C3">
        <w:rPr>
          <w:rFonts w:cs="Arial"/>
          <w:lang w:bidi="en-US"/>
        </w:rPr>
        <w:t>Communications Alliance</w:t>
      </w:r>
    </w:p>
    <w:p w14:paraId="1628FBC9" w14:textId="106368AF" w:rsidR="00485715" w:rsidRPr="005F09EB" w:rsidRDefault="00485715" w:rsidP="0076464F">
      <w:pPr>
        <w:numPr>
          <w:ilvl w:val="0"/>
          <w:numId w:val="7"/>
        </w:numPr>
        <w:tabs>
          <w:tab w:val="left" w:pos="720"/>
        </w:tabs>
        <w:spacing w:before="60" w:afterLines="60" w:after="144"/>
        <w:rPr>
          <w:rFonts w:cs="Arial"/>
          <w:lang w:bidi="en-US"/>
        </w:rPr>
      </w:pPr>
      <w:r w:rsidRPr="00594D9B">
        <w:rPr>
          <w:rFonts w:cs="Arial"/>
          <w:lang w:bidi="en-US"/>
        </w:rPr>
        <w:t>Water Services Association of Australia</w:t>
      </w:r>
      <w:r w:rsidR="002B7730">
        <w:rPr>
          <w:rFonts w:cs="Arial"/>
          <w:lang w:bidi="en-US"/>
        </w:rPr>
        <w:t>.</w:t>
      </w:r>
      <w:r w:rsidRPr="002B7730">
        <w:rPr>
          <w:rFonts w:cs="Arial"/>
          <w:lang w:bidi="en-US"/>
        </w:rPr>
        <w:t xml:space="preserve"> </w:t>
      </w:r>
    </w:p>
    <w:p w14:paraId="4A8B5326" w14:textId="5F256D98" w:rsidR="00485715" w:rsidRPr="001920C3" w:rsidRDefault="00485715" w:rsidP="0076464F"/>
    <w:sectPr w:rsidR="00485715" w:rsidRPr="001920C3" w:rsidSect="005B248D">
      <w:pgSz w:w="11906" w:h="16838"/>
      <w:pgMar w:top="1134" w:right="1418" w:bottom="1418" w:left="1134" w:header="284"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CFD59" w14:textId="77777777" w:rsidR="0099129E" w:rsidRDefault="0099129E" w:rsidP="008F3023">
      <w:pPr>
        <w:spacing w:after="0" w:line="240" w:lineRule="auto"/>
      </w:pPr>
      <w:r>
        <w:separator/>
      </w:r>
    </w:p>
  </w:endnote>
  <w:endnote w:type="continuationSeparator" w:id="0">
    <w:p w14:paraId="129F32F7" w14:textId="77777777" w:rsidR="0099129E" w:rsidRDefault="0099129E" w:rsidP="008F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92992"/>
      <w:docPartObj>
        <w:docPartGallery w:val="Page Numbers (Bottom of Page)"/>
        <w:docPartUnique/>
      </w:docPartObj>
    </w:sdtPr>
    <w:sdtEndPr>
      <w:rPr>
        <w:noProof/>
      </w:rPr>
    </w:sdtEndPr>
    <w:sdtContent>
      <w:p w14:paraId="4C2BCBC5" w14:textId="2C845D52" w:rsidR="00FF3618" w:rsidRDefault="00FF3618">
        <w:pPr>
          <w:pStyle w:val="Footer"/>
          <w:jc w:val="center"/>
        </w:pPr>
        <w:r>
          <w:fldChar w:fldCharType="begin"/>
        </w:r>
        <w:r>
          <w:instrText xml:space="preserve"> PAGE   \* MERGEFORMAT </w:instrText>
        </w:r>
        <w:r>
          <w:fldChar w:fldCharType="separate"/>
        </w:r>
        <w:r w:rsidR="008527C2">
          <w:rPr>
            <w:noProof/>
          </w:rPr>
          <w:t>12</w:t>
        </w:r>
        <w:r>
          <w:rPr>
            <w:noProof/>
          </w:rPr>
          <w:fldChar w:fldCharType="end"/>
        </w:r>
      </w:p>
    </w:sdtContent>
  </w:sdt>
  <w:p w14:paraId="3041D0ED" w14:textId="77777777" w:rsidR="00FF3618" w:rsidRDefault="00FF3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19A7" w14:textId="77777777" w:rsidR="00FF3618" w:rsidRDefault="00FF3618" w:rsidP="00B10EB1">
    <w:pPr>
      <w:pStyle w:val="Footer"/>
      <w:ind w:left="-1417"/>
    </w:pPr>
    <w:r>
      <w:rPr>
        <w:noProof/>
        <w:lang w:eastAsia="en-AU"/>
      </w:rPr>
      <w:drawing>
        <wp:inline distT="0" distB="0" distL="0" distR="0" wp14:anchorId="364FB5EF" wp14:editId="2B036A9E">
          <wp:extent cx="7518949" cy="5146675"/>
          <wp:effectExtent l="0" t="0" r="6350" b="0"/>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841"/>
                  <a:stretch/>
                </pic:blipFill>
                <pic:spPr bwMode="auto">
                  <a:xfrm>
                    <a:off x="0" y="0"/>
                    <a:ext cx="7519595" cy="5147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A9B4" w14:textId="77777777" w:rsidR="00FF3618" w:rsidRDefault="00FF3618" w:rsidP="00281D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368070"/>
      <w:docPartObj>
        <w:docPartGallery w:val="Page Numbers (Bottom of Page)"/>
        <w:docPartUnique/>
      </w:docPartObj>
    </w:sdtPr>
    <w:sdtEndPr>
      <w:rPr>
        <w:noProof/>
      </w:rPr>
    </w:sdtEndPr>
    <w:sdtContent>
      <w:p w14:paraId="1CB7DE71" w14:textId="2A1B96B6" w:rsidR="00FF3618" w:rsidRDefault="00FF3618">
        <w:pPr>
          <w:pStyle w:val="Footer"/>
          <w:jc w:val="center"/>
        </w:pPr>
        <w:r>
          <w:fldChar w:fldCharType="begin"/>
        </w:r>
        <w:r>
          <w:instrText xml:space="preserve"> PAGE   \* MERGEFORMAT </w:instrText>
        </w:r>
        <w:r>
          <w:fldChar w:fldCharType="separate"/>
        </w:r>
        <w:r w:rsidR="008527C2">
          <w:rPr>
            <w:noProof/>
          </w:rPr>
          <w:t>30</w:t>
        </w:r>
        <w:r>
          <w:rPr>
            <w:noProof/>
          </w:rPr>
          <w:fldChar w:fldCharType="end"/>
        </w:r>
      </w:p>
    </w:sdtContent>
  </w:sdt>
  <w:p w14:paraId="1D87DE84" w14:textId="77777777" w:rsidR="00FF3618" w:rsidRPr="002747A0" w:rsidRDefault="00FF3618" w:rsidP="002747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43695"/>
      <w:docPartObj>
        <w:docPartGallery w:val="Page Numbers (Bottom of Page)"/>
        <w:docPartUnique/>
      </w:docPartObj>
    </w:sdtPr>
    <w:sdtEndPr>
      <w:rPr>
        <w:noProof/>
      </w:rPr>
    </w:sdtEndPr>
    <w:sdtContent>
      <w:p w14:paraId="24DEFB79" w14:textId="5222F2DE" w:rsidR="00FF3618" w:rsidRDefault="00FF3618">
        <w:pPr>
          <w:pStyle w:val="Footer"/>
          <w:jc w:val="center"/>
        </w:pPr>
        <w:r>
          <w:fldChar w:fldCharType="begin"/>
        </w:r>
        <w:r>
          <w:instrText xml:space="preserve"> PAGE   \* MERGEFORMAT </w:instrText>
        </w:r>
        <w:r>
          <w:fldChar w:fldCharType="separate"/>
        </w:r>
        <w:r w:rsidR="008527C2">
          <w:rPr>
            <w:noProof/>
          </w:rPr>
          <w:t>23</w:t>
        </w:r>
        <w:r>
          <w:rPr>
            <w:noProof/>
          </w:rPr>
          <w:fldChar w:fldCharType="end"/>
        </w:r>
      </w:p>
    </w:sdtContent>
  </w:sdt>
  <w:p w14:paraId="06FEF95D" w14:textId="77777777" w:rsidR="00FF3618" w:rsidRDefault="00FF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73DE" w14:textId="77777777" w:rsidR="0099129E" w:rsidRDefault="0099129E" w:rsidP="008F3023">
      <w:pPr>
        <w:spacing w:after="0" w:line="240" w:lineRule="auto"/>
      </w:pPr>
      <w:r>
        <w:separator/>
      </w:r>
    </w:p>
  </w:footnote>
  <w:footnote w:type="continuationSeparator" w:id="0">
    <w:p w14:paraId="7E65A954" w14:textId="77777777" w:rsidR="0099129E" w:rsidRDefault="0099129E" w:rsidP="008F3023">
      <w:pPr>
        <w:spacing w:after="0" w:line="240" w:lineRule="auto"/>
      </w:pPr>
      <w:r>
        <w:continuationSeparator/>
      </w:r>
    </w:p>
  </w:footnote>
  <w:footnote w:id="1">
    <w:p w14:paraId="4FBACA56" w14:textId="354FB612" w:rsidR="00FF3618" w:rsidRPr="00A266D7" w:rsidRDefault="00FF3618" w:rsidP="00CC7F0A">
      <w:pPr>
        <w:pStyle w:val="FootnoteText"/>
        <w:ind w:left="170" w:hanging="170"/>
        <w:rPr>
          <w:rFonts w:cstheme="minorHAnsi"/>
          <w:sz w:val="16"/>
          <w:szCs w:val="16"/>
        </w:rPr>
      </w:pPr>
      <w:r w:rsidRPr="00067F67">
        <w:rPr>
          <w:rFonts w:cstheme="minorHAnsi"/>
          <w:snapToGrid w:val="0"/>
          <w:vertAlign w:val="superscript"/>
        </w:rPr>
        <w:footnoteRef/>
      </w:r>
      <w:r>
        <w:rPr>
          <w:rFonts w:cstheme="minorHAnsi"/>
          <w:sz w:val="16"/>
          <w:szCs w:val="16"/>
        </w:rPr>
        <w:t xml:space="preserve">  </w:t>
      </w:r>
      <w:hyperlink r:id="rId1" w:history="1">
        <w:r w:rsidRPr="00A266D7">
          <w:rPr>
            <w:rStyle w:val="Hyperlink"/>
            <w:rFonts w:asciiTheme="minorHAnsi" w:eastAsiaTheme="majorEastAsia" w:hAnsiTheme="minorHAnsi" w:cstheme="minorHAnsi"/>
            <w:sz w:val="16"/>
            <w:szCs w:val="16"/>
          </w:rPr>
          <w:t>The Countervailing Power: Review of the coordination and funding for financial counselling services in Australia, Ms Louise Sylvan</w:t>
        </w:r>
        <w:r>
          <w:rPr>
            <w:rStyle w:val="Hyperlink"/>
            <w:rFonts w:asciiTheme="minorHAnsi" w:eastAsiaTheme="majorEastAsia" w:hAnsiTheme="minorHAnsi" w:cstheme="minorHAnsi"/>
            <w:sz w:val="16"/>
            <w:szCs w:val="16"/>
          </w:rPr>
          <w:t>, 3 October 2019 [accessed on 14 September 2022]</w:t>
        </w:r>
        <w:r w:rsidRPr="00A266D7">
          <w:rPr>
            <w:rStyle w:val="Hyperlink"/>
            <w:rFonts w:asciiTheme="minorHAnsi" w:eastAsiaTheme="majorEastAsia" w:hAnsiTheme="minorHAnsi" w:cstheme="minorHAnsi"/>
            <w:sz w:val="16"/>
            <w:szCs w:val="16"/>
          </w:rPr>
          <w:t xml:space="preserve"> </w:t>
        </w:r>
      </w:hyperlink>
    </w:p>
  </w:footnote>
  <w:footnote w:id="2">
    <w:p w14:paraId="6D693586" w14:textId="2610A939" w:rsidR="00FF3618" w:rsidRPr="00217C68" w:rsidRDefault="00FF3618" w:rsidP="00E0734B">
      <w:pPr>
        <w:pStyle w:val="Footer2"/>
        <w:spacing w:after="0"/>
        <w:rPr>
          <w:sz w:val="16"/>
          <w:szCs w:val="16"/>
        </w:rPr>
      </w:pPr>
      <w:r w:rsidRPr="00CC7F0A">
        <w:rPr>
          <w:rFonts w:cstheme="minorHAnsi"/>
          <w:sz w:val="20"/>
          <w:szCs w:val="20"/>
          <w:vertAlign w:val="superscript"/>
        </w:rPr>
        <w:footnoteRef/>
      </w:r>
      <w:r>
        <w:rPr>
          <w:rFonts w:cstheme="minorHAnsi"/>
          <w:sz w:val="20"/>
          <w:szCs w:val="20"/>
          <w:vertAlign w:val="superscript"/>
        </w:rPr>
        <w:t xml:space="preserve">   </w:t>
      </w:r>
      <w:hyperlink r:id="rId2" w:history="1">
        <w:r w:rsidRPr="00FB7696">
          <w:rPr>
            <w:rStyle w:val="Hyperlink"/>
            <w:rFonts w:cstheme="minorHAnsi"/>
            <w:color w:val="auto"/>
            <w:sz w:val="16"/>
            <w:szCs w:val="16"/>
          </w:rPr>
          <w:t>Financial Counselling in a Nutshell - Financial Counselling Australia</w:t>
        </w:r>
      </w:hyperlink>
      <w:r w:rsidRPr="00FB7696">
        <w:rPr>
          <w:rFonts w:cstheme="minorHAnsi"/>
          <w:sz w:val="16"/>
          <w:szCs w:val="16"/>
        </w:rPr>
        <w:t xml:space="preserve">, </w:t>
      </w:r>
      <w:r w:rsidRPr="00217C68">
        <w:rPr>
          <w:rFonts w:cstheme="minorHAnsi"/>
          <w:sz w:val="16"/>
          <w:szCs w:val="16"/>
        </w:rPr>
        <w:t>May 2019</w:t>
      </w:r>
      <w:r>
        <w:rPr>
          <w:rFonts w:cstheme="minorHAnsi"/>
          <w:sz w:val="16"/>
          <w:szCs w:val="16"/>
        </w:rPr>
        <w:t xml:space="preserve"> [accessed on 14 September 2022]</w:t>
      </w:r>
    </w:p>
  </w:footnote>
  <w:footnote w:id="3">
    <w:p w14:paraId="7EA69F56" w14:textId="66BF600A" w:rsidR="00FF3618" w:rsidRPr="00685FBA" w:rsidRDefault="00FF3618" w:rsidP="00CC7F0A">
      <w:pPr>
        <w:pStyle w:val="FootnoteText"/>
        <w:ind w:left="170" w:hanging="170"/>
      </w:pPr>
      <w:r w:rsidRPr="00CC7F0A">
        <w:rPr>
          <w:rFonts w:cstheme="minorHAnsi"/>
          <w:snapToGrid w:val="0"/>
          <w:vertAlign w:val="superscript"/>
        </w:rPr>
        <w:footnoteRef/>
      </w:r>
      <w:r>
        <w:rPr>
          <w:rFonts w:cstheme="minorHAnsi"/>
          <w:snapToGrid w:val="0"/>
          <w:sz w:val="16"/>
          <w:szCs w:val="16"/>
        </w:rPr>
        <w:t xml:space="preserve">  N</w:t>
      </w:r>
      <w:r w:rsidRPr="00685FBA">
        <w:rPr>
          <w:rFonts w:cstheme="minorHAnsi"/>
          <w:snapToGrid w:val="0"/>
          <w:sz w:val="16"/>
          <w:szCs w:val="16"/>
        </w:rPr>
        <w:t xml:space="preserve">icola Brackertz, </w:t>
      </w:r>
      <w:r>
        <w:rPr>
          <w:rFonts w:cstheme="minorHAnsi"/>
          <w:snapToGrid w:val="0"/>
          <w:sz w:val="16"/>
          <w:szCs w:val="16"/>
        </w:rPr>
        <w:t xml:space="preserve">‘The Impact of Financial Counselling on Alleviating Financial Stress in Low Income Households: A National Australian Empirical Study’, </w:t>
      </w:r>
      <w:r>
        <w:rPr>
          <w:rFonts w:cstheme="minorHAnsi"/>
          <w:i/>
          <w:snapToGrid w:val="0"/>
          <w:sz w:val="16"/>
          <w:szCs w:val="16"/>
        </w:rPr>
        <w:t>Social Policy &amp; Society</w:t>
      </w:r>
      <w:r>
        <w:rPr>
          <w:rFonts w:cstheme="minorHAnsi"/>
          <w:snapToGrid w:val="0"/>
          <w:sz w:val="16"/>
          <w:szCs w:val="16"/>
        </w:rPr>
        <w:t xml:space="preserve"> (2014) 13:3, 389-407. </w:t>
      </w:r>
      <w:r w:rsidRPr="00685FBA">
        <w:rPr>
          <w:rFonts w:cstheme="minorHAnsi"/>
          <w:snapToGrid w:val="0"/>
          <w:sz w:val="16"/>
          <w:szCs w:val="16"/>
        </w:rPr>
        <w:t>doi:10.1017/S1474746413000511</w:t>
      </w:r>
    </w:p>
  </w:footnote>
  <w:footnote w:id="4">
    <w:p w14:paraId="07DC1AE6" w14:textId="04A86E4B" w:rsidR="00FF3618" w:rsidRPr="00685FBA" w:rsidRDefault="00FF3618" w:rsidP="00257BDC">
      <w:pPr>
        <w:pStyle w:val="FootnoteText"/>
        <w:ind w:left="170" w:hanging="170"/>
      </w:pPr>
      <w:r w:rsidRPr="00CC7F0A">
        <w:rPr>
          <w:rFonts w:cstheme="minorHAnsi"/>
          <w:snapToGrid w:val="0"/>
          <w:vertAlign w:val="superscript"/>
        </w:rPr>
        <w:footnoteRef/>
      </w:r>
      <w:r>
        <w:t xml:space="preserve">  </w:t>
      </w:r>
      <w:r>
        <w:rPr>
          <w:rFonts w:cstheme="minorHAnsi"/>
          <w:snapToGrid w:val="0"/>
          <w:sz w:val="16"/>
          <w:szCs w:val="16"/>
        </w:rPr>
        <w:t>Ibid</w:t>
      </w:r>
      <w:r w:rsidRPr="006F3A7E">
        <w:rPr>
          <w:rFonts w:cstheme="minorHAnsi"/>
          <w:snapToGrid w:val="0"/>
          <w:sz w:val="16"/>
          <w:szCs w:val="16"/>
        </w:rPr>
        <w:t xml:space="preserve">; </w:t>
      </w:r>
      <w:r w:rsidRPr="00685FBA">
        <w:rPr>
          <w:rFonts w:cstheme="minorHAnsi"/>
          <w:snapToGrid w:val="0"/>
          <w:sz w:val="16"/>
          <w:szCs w:val="16"/>
        </w:rPr>
        <w:t xml:space="preserve">Parvin Mahmoudi, Ann-Louise Hordacre &amp; John Spoehr. 2014. Paying it forward: </w:t>
      </w:r>
      <w:r w:rsidRPr="00685FBA">
        <w:rPr>
          <w:rFonts w:cstheme="minorHAnsi"/>
          <w:i/>
          <w:iCs/>
          <w:snapToGrid w:val="0"/>
          <w:sz w:val="16"/>
          <w:szCs w:val="16"/>
        </w:rPr>
        <w:t xml:space="preserve">Cost benefit analysis of The Wyatt Trust funded financial counselling services. </w:t>
      </w:r>
      <w:r w:rsidRPr="00685FBA">
        <w:rPr>
          <w:rFonts w:cstheme="minorHAnsi"/>
          <w:snapToGrid w:val="0"/>
          <w:sz w:val="16"/>
          <w:szCs w:val="16"/>
        </w:rPr>
        <w:t>Adelaide: Australian Workplace Innovation and Social Research Centre, The University of Adelaide.</w:t>
      </w:r>
    </w:p>
  </w:footnote>
  <w:footnote w:id="5">
    <w:p w14:paraId="55CB30C6" w14:textId="7C6214FE" w:rsidR="00FF3618" w:rsidRPr="00CC7F0A" w:rsidRDefault="00FF3618">
      <w:pPr>
        <w:pStyle w:val="FootnoteText"/>
        <w:rPr>
          <w:sz w:val="16"/>
          <w:szCs w:val="16"/>
        </w:rPr>
      </w:pPr>
      <w:r w:rsidRPr="00CC7F0A">
        <w:rPr>
          <w:rStyle w:val="FootnoteReference"/>
        </w:rPr>
        <w:footnoteRef/>
      </w:r>
      <w:r w:rsidRPr="00202C30">
        <w:t xml:space="preserve">  </w:t>
      </w:r>
      <w:hyperlink r:id="rId3" w:history="1">
        <w:r w:rsidRPr="00CC7F0A">
          <w:rPr>
            <w:rStyle w:val="Hyperlink"/>
            <w:rFonts w:asciiTheme="minorHAnsi" w:hAnsiTheme="minorHAnsi"/>
            <w:sz w:val="16"/>
            <w:szCs w:val="16"/>
          </w:rPr>
          <w:t>Money and mental health social research report</w:t>
        </w:r>
      </w:hyperlink>
      <w:r w:rsidRPr="00BC2127">
        <w:rPr>
          <w:sz w:val="16"/>
          <w:szCs w:val="16"/>
        </w:rPr>
        <w:t>, August 2022 [accessed on 15 September 2022]</w:t>
      </w:r>
    </w:p>
  </w:footnote>
  <w:footnote w:id="6">
    <w:p w14:paraId="3B6B9379" w14:textId="59CC433E" w:rsidR="00FF3618" w:rsidRPr="00A266D7" w:rsidRDefault="00FF3618" w:rsidP="00CC7F0A">
      <w:pPr>
        <w:pStyle w:val="FootnoteText"/>
        <w:ind w:left="170" w:hanging="170"/>
        <w:rPr>
          <w:rFonts w:cstheme="minorHAnsi"/>
          <w:sz w:val="16"/>
          <w:szCs w:val="16"/>
        </w:rPr>
      </w:pPr>
      <w:r w:rsidRPr="00B70464">
        <w:rPr>
          <w:rStyle w:val="FootnoteReference"/>
          <w:rFonts w:eastAsiaTheme="majorEastAsia" w:cstheme="minorHAnsi"/>
        </w:rPr>
        <w:footnoteRef/>
      </w:r>
      <w:r w:rsidRPr="00202C30">
        <w:t xml:space="preserve">  </w:t>
      </w:r>
      <w:hyperlink r:id="rId4" w:history="1">
        <w:r w:rsidRPr="00A266D7">
          <w:rPr>
            <w:rStyle w:val="Hyperlink"/>
            <w:rFonts w:asciiTheme="minorHAnsi" w:eastAsiaTheme="majorEastAsia" w:hAnsiTheme="minorHAnsi" w:cstheme="minorHAnsi"/>
            <w:sz w:val="16"/>
            <w:szCs w:val="16"/>
          </w:rPr>
          <w:t>The Countervailing Power: Review of the coordination and funding for financial counselling services in Australia, Ms Louise Sylvan</w:t>
        </w:r>
        <w:r>
          <w:rPr>
            <w:rStyle w:val="Hyperlink"/>
            <w:rFonts w:asciiTheme="minorHAnsi" w:eastAsiaTheme="majorEastAsia" w:hAnsiTheme="minorHAnsi" w:cstheme="minorHAnsi"/>
            <w:sz w:val="16"/>
            <w:szCs w:val="16"/>
          </w:rPr>
          <w:t>, 3 October 2019 [accessed on 14 September 2022]</w:t>
        </w:r>
        <w:r w:rsidRPr="00A266D7">
          <w:rPr>
            <w:rStyle w:val="Hyperlink"/>
            <w:rFonts w:asciiTheme="minorHAnsi" w:eastAsiaTheme="majorEastAsia" w:hAnsiTheme="minorHAnsi" w:cstheme="minorHAnsi"/>
            <w:sz w:val="16"/>
            <w:szCs w:val="16"/>
          </w:rPr>
          <w:t xml:space="preserve"> </w:t>
        </w:r>
      </w:hyperlink>
    </w:p>
  </w:footnote>
  <w:footnote w:id="7">
    <w:p w14:paraId="604CC314" w14:textId="0358C3CA" w:rsidR="00FF3618" w:rsidRDefault="00FF3618" w:rsidP="00CC7F0A">
      <w:pPr>
        <w:pStyle w:val="FootnoteText"/>
        <w:ind w:left="170" w:hanging="170"/>
      </w:pPr>
      <w:r w:rsidRPr="00B70464">
        <w:rPr>
          <w:rStyle w:val="FootnoteReference"/>
        </w:rPr>
        <w:footnoteRef/>
      </w:r>
      <w:r w:rsidRPr="00202C30">
        <w:t xml:space="preserve">  </w:t>
      </w:r>
      <w:r w:rsidRPr="000C4401">
        <w:rPr>
          <w:sz w:val="16"/>
          <w:szCs w:val="16"/>
        </w:rPr>
        <w:t xml:space="preserve">Generalist </w:t>
      </w:r>
      <w:r>
        <w:rPr>
          <w:sz w:val="16"/>
          <w:szCs w:val="16"/>
        </w:rPr>
        <w:t>f</w:t>
      </w:r>
      <w:r w:rsidRPr="000C4401">
        <w:rPr>
          <w:sz w:val="16"/>
          <w:szCs w:val="16"/>
        </w:rPr>
        <w:t xml:space="preserve">inancial </w:t>
      </w:r>
      <w:r>
        <w:rPr>
          <w:sz w:val="16"/>
          <w:szCs w:val="16"/>
        </w:rPr>
        <w:t>c</w:t>
      </w:r>
      <w:r w:rsidRPr="000C4401">
        <w:rPr>
          <w:sz w:val="16"/>
          <w:szCs w:val="16"/>
        </w:rPr>
        <w:t xml:space="preserve">ounselling </w:t>
      </w:r>
      <w:r>
        <w:rPr>
          <w:sz w:val="16"/>
          <w:szCs w:val="16"/>
        </w:rPr>
        <w:t xml:space="preserve">refers to services not targeted at specific client cohorts (e.g. </w:t>
      </w:r>
      <w:r w:rsidRPr="000C4401">
        <w:rPr>
          <w:rFonts w:cstheme="minorHAnsi"/>
          <w:sz w:val="16"/>
          <w:szCs w:val="16"/>
        </w:rPr>
        <w:t>Commonwealth Financial Counselling</w:t>
      </w:r>
      <w:r>
        <w:rPr>
          <w:rFonts w:cstheme="minorHAnsi"/>
          <w:sz w:val="16"/>
          <w:szCs w:val="16"/>
        </w:rPr>
        <w:t>,</w:t>
      </w:r>
      <w:r w:rsidRPr="000C4401">
        <w:rPr>
          <w:rFonts w:cstheme="minorHAnsi"/>
          <w:sz w:val="16"/>
          <w:szCs w:val="16"/>
        </w:rPr>
        <w:t xml:space="preserve"> National Debt Helpline</w:t>
      </w:r>
      <w:r>
        <w:rPr>
          <w:rFonts w:cstheme="minorHAnsi"/>
          <w:sz w:val="16"/>
          <w:szCs w:val="16"/>
        </w:rPr>
        <w:t xml:space="preserve"> and Money Support Hubs)</w:t>
      </w:r>
      <w:r w:rsidRPr="000C4401">
        <w:rPr>
          <w:rFonts w:cstheme="minorHAnsi"/>
          <w:sz w:val="16"/>
          <w:szCs w:val="16"/>
        </w:rPr>
        <w:t>.</w:t>
      </w:r>
    </w:p>
  </w:footnote>
  <w:footnote w:id="8">
    <w:p w14:paraId="0EC8AED9" w14:textId="33ED2038" w:rsidR="00FF3618" w:rsidRDefault="00FF3618" w:rsidP="00202C30">
      <w:pPr>
        <w:pStyle w:val="FootnoteText"/>
        <w:ind w:left="170" w:hanging="170"/>
      </w:pPr>
      <w:r>
        <w:rPr>
          <w:rStyle w:val="FootnoteReference"/>
        </w:rPr>
        <w:footnoteRef/>
      </w:r>
      <w:r>
        <w:t xml:space="preserve">  </w:t>
      </w:r>
      <w:r w:rsidRPr="00A86CA6">
        <w:rPr>
          <w:sz w:val="16"/>
        </w:rPr>
        <w:t>T</w:t>
      </w:r>
      <w:r w:rsidRPr="00202C30">
        <w:rPr>
          <w:sz w:val="16"/>
          <w:szCs w:val="16"/>
        </w:rPr>
        <w:t>he Australian Government also funds the Small Business Debt Helpline and Rural Financial Counselling Service. Indus</w:t>
      </w:r>
      <w:r>
        <w:rPr>
          <w:sz w:val="16"/>
          <w:szCs w:val="16"/>
        </w:rPr>
        <w:t xml:space="preserve">try </w:t>
      </w:r>
      <w:r w:rsidRPr="00202C30">
        <w:rPr>
          <w:sz w:val="16"/>
          <w:szCs w:val="16"/>
        </w:rPr>
        <w:t xml:space="preserve">Funding Model contributions will not be directed to these services, as the focus is on generalist financial counselling services. </w:t>
      </w:r>
    </w:p>
  </w:footnote>
  <w:footnote w:id="9">
    <w:p w14:paraId="0EB82C45" w14:textId="5A5D9F4B" w:rsidR="00FF3618" w:rsidRPr="0034482B" w:rsidRDefault="00FF3618" w:rsidP="0015445A">
      <w:pPr>
        <w:rPr>
          <w:rFonts w:cstheme="minorHAnsi"/>
        </w:rPr>
      </w:pPr>
      <w:r w:rsidRPr="00CC7F0A">
        <w:rPr>
          <w:rStyle w:val="FootnoteReference"/>
          <w:sz w:val="20"/>
          <w:szCs w:val="20"/>
        </w:rPr>
        <w:footnoteRef/>
      </w:r>
      <w:r w:rsidRPr="00CC7F0A">
        <w:rPr>
          <w:sz w:val="16"/>
          <w:szCs w:val="16"/>
        </w:rPr>
        <w:t xml:space="preserve">  </w:t>
      </w:r>
      <w:r w:rsidRPr="00B53DF3">
        <w:rPr>
          <w:rFonts w:cstheme="minorHAnsi"/>
          <w:sz w:val="16"/>
        </w:rPr>
        <w:t xml:space="preserve">The Sylvan Review recommended $20 million as the </w:t>
      </w:r>
      <w:r>
        <w:rPr>
          <w:rFonts w:cstheme="minorHAnsi"/>
          <w:sz w:val="16"/>
        </w:rPr>
        <w:t xml:space="preserve">initial industry contribution. </w:t>
      </w:r>
      <w:r w:rsidRPr="00B53DF3">
        <w:rPr>
          <w:rFonts w:cstheme="minorHAnsi"/>
          <w:sz w:val="20"/>
        </w:rPr>
        <w:t xml:space="preserve"> </w:t>
      </w:r>
    </w:p>
    <w:p w14:paraId="0CC49B3F" w14:textId="0F5B70AA" w:rsidR="00FF3618" w:rsidRDefault="00FF3618">
      <w:pPr>
        <w:pStyle w:val="FootnoteText"/>
      </w:pPr>
    </w:p>
  </w:footnote>
  <w:footnote w:id="10">
    <w:p w14:paraId="43F17BB2" w14:textId="10524146" w:rsidR="00FF3618" w:rsidRDefault="00FF3618">
      <w:pPr>
        <w:pStyle w:val="FootnoteText"/>
      </w:pPr>
      <w:r>
        <w:rPr>
          <w:rStyle w:val="FootnoteReference"/>
        </w:rPr>
        <w:footnoteRef/>
      </w:r>
      <w:r>
        <w:t xml:space="preserve"> </w:t>
      </w:r>
      <w:r w:rsidRPr="00914C1A">
        <w:rPr>
          <w:sz w:val="16"/>
          <w:szCs w:val="16"/>
        </w:rPr>
        <w:t>Government owned corporations and companies are not excluded</w:t>
      </w:r>
      <w:r w:rsidR="00BC30F9">
        <w:rPr>
          <w:sz w:val="16"/>
          <w:szCs w:val="16"/>
        </w:rPr>
        <w:t>.</w:t>
      </w:r>
    </w:p>
  </w:footnote>
  <w:footnote w:id="11">
    <w:p w14:paraId="7098ECDA" w14:textId="566C9C93" w:rsidR="00FF3618" w:rsidRDefault="00FF3618" w:rsidP="00CC7F0A">
      <w:pPr>
        <w:pStyle w:val="FootnoteText"/>
        <w:ind w:left="198" w:hanging="198"/>
      </w:pPr>
      <w:r>
        <w:rPr>
          <w:rStyle w:val="FootnoteReference"/>
        </w:rPr>
        <w:footnoteRef/>
      </w:r>
      <w:r w:rsidRPr="00CC7F0A">
        <w:rPr>
          <w:sz w:val="16"/>
          <w:szCs w:val="16"/>
        </w:rPr>
        <w:t xml:space="preserve"> </w:t>
      </w:r>
      <w:r w:rsidRPr="00AC5E04">
        <w:rPr>
          <w:rFonts w:cstheme="minorHAnsi"/>
          <w:sz w:val="16"/>
          <w:szCs w:val="16"/>
        </w:rPr>
        <w:t xml:space="preserve">The survey results in Table </w:t>
      </w:r>
      <w:r>
        <w:rPr>
          <w:rFonts w:cstheme="minorHAnsi"/>
          <w:sz w:val="16"/>
          <w:szCs w:val="16"/>
        </w:rPr>
        <w:t>2</w:t>
      </w:r>
      <w:r w:rsidRPr="00AC5E04">
        <w:rPr>
          <w:rFonts w:cstheme="minorHAnsi"/>
          <w:sz w:val="16"/>
          <w:szCs w:val="16"/>
        </w:rPr>
        <w:t xml:space="preserve"> exclude the Government and Housing sectors as these are not included in Household Expenditure splits. </w:t>
      </w:r>
      <w:r>
        <w:rPr>
          <w:rFonts w:cstheme="minorHAnsi"/>
          <w:sz w:val="16"/>
          <w:szCs w:val="16"/>
        </w:rPr>
        <w:t>Government is excluded as the table is considering the division of contributions between industry sectors.</w:t>
      </w:r>
    </w:p>
  </w:footnote>
  <w:footnote w:id="12">
    <w:p w14:paraId="4E311779" w14:textId="22AB9A70" w:rsidR="00FF3618" w:rsidRDefault="00FF3618" w:rsidP="00CC7F0A">
      <w:pPr>
        <w:pStyle w:val="FootnoteText"/>
        <w:ind w:left="198" w:hanging="198"/>
      </w:pPr>
      <w:r>
        <w:rPr>
          <w:rStyle w:val="FootnoteReference"/>
        </w:rPr>
        <w:footnoteRef/>
      </w:r>
      <w:r>
        <w:rPr>
          <w:sz w:val="16"/>
          <w:szCs w:val="16"/>
        </w:rPr>
        <w:t xml:space="preserve"> </w:t>
      </w:r>
      <w:r w:rsidRPr="00DC133C">
        <w:rPr>
          <w:sz w:val="16"/>
          <w:szCs w:val="16"/>
        </w:rPr>
        <w:t>Government (all levels) as a sector was identified as contributing to around 12 per cent of financial counsellor time, noting governments are already the main funding source for financial counselling.</w:t>
      </w:r>
      <w:r>
        <w:rPr>
          <w:sz w:val="16"/>
          <w:szCs w:val="16"/>
        </w:rPr>
        <w:t xml:space="preserve"> G</w:t>
      </w:r>
      <w:r w:rsidRPr="003D060B">
        <w:rPr>
          <w:sz w:val="16"/>
          <w:szCs w:val="16"/>
        </w:rPr>
        <w:t>overnment owned corporations and companies are not excluded</w:t>
      </w:r>
      <w:r>
        <w:rPr>
          <w:sz w:val="16"/>
          <w:szCs w:val="16"/>
        </w:rPr>
        <w:t xml:space="preserve"> from the above results.</w:t>
      </w:r>
    </w:p>
  </w:footnote>
  <w:footnote w:id="13">
    <w:p w14:paraId="578483B3" w14:textId="79BA1D8E" w:rsidR="00FF3618" w:rsidRDefault="00FF3618">
      <w:pPr>
        <w:pStyle w:val="FootnoteText"/>
      </w:pPr>
      <w:r>
        <w:rPr>
          <w:rStyle w:val="FootnoteReference"/>
        </w:rPr>
        <w:footnoteRef/>
      </w:r>
      <w:r>
        <w:rPr>
          <w:sz w:val="16"/>
          <w:szCs w:val="16"/>
        </w:rPr>
        <w:t xml:space="preserve"> </w:t>
      </w:r>
      <w:r w:rsidRPr="00303A95">
        <w:rPr>
          <w:sz w:val="16"/>
          <w:szCs w:val="16"/>
        </w:rPr>
        <w:t>Household expenditure for households in the bottom 40</w:t>
      </w:r>
      <w:r>
        <w:rPr>
          <w:sz w:val="16"/>
          <w:szCs w:val="16"/>
        </w:rPr>
        <w:t xml:space="preserve"> per cent</w:t>
      </w:r>
      <w:r w:rsidRPr="00303A95">
        <w:rPr>
          <w:sz w:val="16"/>
          <w:szCs w:val="16"/>
        </w:rPr>
        <w:t xml:space="preserve"> of household income</w:t>
      </w:r>
      <w:r>
        <w:rPr>
          <w:sz w:val="16"/>
          <w:szCs w:val="16"/>
        </w:rPr>
        <w:t>.</w:t>
      </w:r>
    </w:p>
  </w:footnote>
  <w:footnote w:id="14">
    <w:p w14:paraId="2009104E" w14:textId="740CD189" w:rsidR="00FF3618" w:rsidRDefault="00FF3618">
      <w:pPr>
        <w:pStyle w:val="FootnoteText"/>
      </w:pPr>
      <w:r>
        <w:rPr>
          <w:rStyle w:val="FootnoteReference"/>
        </w:rPr>
        <w:footnoteRef/>
      </w:r>
      <w:r>
        <w:rPr>
          <w:sz w:val="16"/>
          <w:szCs w:val="16"/>
        </w:rPr>
        <w:t xml:space="preserve"> </w:t>
      </w:r>
      <w:r w:rsidRPr="00303A95">
        <w:rPr>
          <w:sz w:val="16"/>
          <w:szCs w:val="16"/>
        </w:rPr>
        <w:t>Financial services includes superannuation</w:t>
      </w:r>
      <w:r>
        <w:rPr>
          <w:sz w:val="16"/>
          <w:szCs w:val="16"/>
        </w:rPr>
        <w:t xml:space="preserve"> in this table.</w:t>
      </w:r>
    </w:p>
  </w:footnote>
  <w:footnote w:id="15">
    <w:p w14:paraId="712AC95B" w14:textId="6268815F" w:rsidR="00FF3618" w:rsidRDefault="00FF3618">
      <w:pPr>
        <w:pStyle w:val="FootnoteText"/>
      </w:pPr>
      <w:r>
        <w:rPr>
          <w:rStyle w:val="FootnoteReference"/>
        </w:rPr>
        <w:footnoteRef/>
      </w:r>
      <w:r w:rsidRPr="00CC7F0A">
        <w:t xml:space="preserve"> </w:t>
      </w:r>
      <w:r w:rsidRPr="00B53DF3">
        <w:rPr>
          <w:sz w:val="16"/>
        </w:rPr>
        <w:t xml:space="preserve">Figures in this column are calculated from survey results when </w:t>
      </w:r>
      <w:r>
        <w:rPr>
          <w:sz w:val="16"/>
        </w:rPr>
        <w:t xml:space="preserve">subsectors below 3 per cent </w:t>
      </w:r>
      <w:r w:rsidRPr="00B53DF3">
        <w:rPr>
          <w:sz w:val="16"/>
        </w:rPr>
        <w:t xml:space="preserve">are removed from the results at Appendix </w:t>
      </w:r>
      <w:r>
        <w:rPr>
          <w:sz w:val="16"/>
        </w:rPr>
        <w:t>D</w:t>
      </w:r>
      <w:r w:rsidRPr="00B53DF3">
        <w:rPr>
          <w:sz w:val="16"/>
        </w:rPr>
        <w:t xml:space="preserve">. </w:t>
      </w:r>
    </w:p>
  </w:footnote>
  <w:footnote w:id="16">
    <w:p w14:paraId="7DE9505B" w14:textId="6CD067AD" w:rsidR="00FF3618" w:rsidRPr="00202C30" w:rsidRDefault="00FF3618" w:rsidP="00202C30">
      <w:pPr>
        <w:pStyle w:val="FootnoteText"/>
        <w:ind w:left="142" w:hanging="142"/>
      </w:pPr>
      <w:r w:rsidRPr="00E25DE8">
        <w:rPr>
          <w:rStyle w:val="FootnoteReference"/>
          <w:sz w:val="16"/>
        </w:rPr>
        <w:footnoteRef/>
      </w:r>
      <w:r w:rsidRPr="00E25DE8">
        <w:rPr>
          <w:sz w:val="16"/>
        </w:rPr>
        <w:t xml:space="preserve"> </w:t>
      </w:r>
      <w:r w:rsidRPr="00202C30">
        <w:rPr>
          <w:rFonts w:cstheme="minorHAnsi"/>
          <w:snapToGrid w:val="0"/>
          <w:sz w:val="16"/>
          <w:szCs w:val="16"/>
        </w:rPr>
        <w:t>A</w:t>
      </w:r>
      <w:r w:rsidRPr="00202C30">
        <w:t xml:space="preserve"> </w:t>
      </w:r>
      <w:hyperlink r:id="rId5" w:history="1">
        <w:r w:rsidRPr="00202C30">
          <w:rPr>
            <w:rStyle w:val="Hyperlink"/>
            <w:rFonts w:asciiTheme="minorHAnsi" w:hAnsiTheme="minorHAnsi"/>
            <w:sz w:val="16"/>
          </w:rPr>
          <w:t>review</w:t>
        </w:r>
      </w:hyperlink>
      <w:r w:rsidRPr="00202C30">
        <w:t xml:space="preserve"> </w:t>
      </w:r>
      <w:r w:rsidRPr="00202C30">
        <w:rPr>
          <w:rFonts w:cstheme="minorHAnsi"/>
          <w:snapToGrid w:val="0"/>
          <w:sz w:val="16"/>
          <w:szCs w:val="16"/>
        </w:rPr>
        <w:t>of the ASIC Industry Funding Model is currently underway. The review is considering how ASIC allocates costs to subsectors, which includes examination of subsector definitions, metrics and formulas.</w:t>
      </w:r>
      <w:r w:rsidRPr="00202C30">
        <w:t xml:space="preserve"> </w:t>
      </w:r>
    </w:p>
  </w:footnote>
  <w:footnote w:id="17">
    <w:p w14:paraId="5DB1898A" w14:textId="49032095" w:rsidR="00FF3618" w:rsidRDefault="00FF3618" w:rsidP="00202C30">
      <w:pPr>
        <w:pStyle w:val="FootnoteText"/>
        <w:ind w:left="284" w:hanging="284"/>
      </w:pPr>
      <w:r>
        <w:rPr>
          <w:rStyle w:val="FootnoteReference"/>
        </w:rPr>
        <w:footnoteRef/>
      </w:r>
      <w:r>
        <w:t xml:space="preserve">  </w:t>
      </w:r>
      <w:r w:rsidRPr="00413755">
        <w:rPr>
          <w:sz w:val="16"/>
        </w:rPr>
        <w:t>Peak organisations will not be required to collect funding on behalf of their members.</w:t>
      </w:r>
      <w:r>
        <w:rPr>
          <w:sz w:val="16"/>
        </w:rPr>
        <w:t xml:space="preserve"> </w:t>
      </w:r>
      <w:r w:rsidRPr="00AF6135">
        <w:rPr>
          <w:sz w:val="16"/>
        </w:rPr>
        <w:t xml:space="preserve">The list of associated peak bodies is included in </w:t>
      </w:r>
      <w:r w:rsidRPr="00E25DE8">
        <w:rPr>
          <w:b/>
          <w:sz w:val="16"/>
        </w:rPr>
        <w:t>Appendix E</w:t>
      </w:r>
      <w:r w:rsidRPr="00AF6135">
        <w:rPr>
          <w:sz w:val="16"/>
        </w:rPr>
        <w:t>.</w:t>
      </w:r>
    </w:p>
  </w:footnote>
  <w:footnote w:id="18">
    <w:p w14:paraId="34E390C7" w14:textId="209661E0" w:rsidR="00FF3618" w:rsidRDefault="00FF3618" w:rsidP="00CC7F0A">
      <w:pPr>
        <w:pStyle w:val="FootnoteText"/>
        <w:ind w:left="198" w:hanging="198"/>
      </w:pPr>
      <w:r>
        <w:rPr>
          <w:rStyle w:val="FootnoteReference"/>
        </w:rPr>
        <w:footnoteRef/>
      </w:r>
      <w:r>
        <w:t xml:space="preserve"> </w:t>
      </w:r>
      <w:hyperlink r:id="rId6" w:history="1">
        <w:r w:rsidRPr="00A266D7">
          <w:rPr>
            <w:rStyle w:val="Hyperlink"/>
            <w:rFonts w:asciiTheme="minorHAnsi" w:eastAsiaTheme="majorEastAsia" w:hAnsiTheme="minorHAnsi" w:cstheme="minorHAnsi"/>
            <w:sz w:val="16"/>
            <w:szCs w:val="16"/>
          </w:rPr>
          <w:t xml:space="preserve">The Countervailing Power: Review of the coordination and funding for financial counselling services in Australia, Ms Louise Sylvan </w:t>
        </w:r>
      </w:hyperlink>
      <w:r>
        <w:rPr>
          <w:rStyle w:val="Hyperlink"/>
          <w:rFonts w:asciiTheme="minorHAnsi" w:eastAsiaTheme="majorEastAsia" w:hAnsiTheme="minorHAnsi" w:cstheme="minorHAnsi"/>
          <w:sz w:val="16"/>
          <w:szCs w:val="16"/>
        </w:rPr>
        <w:t>(Page 32), 3 October 2019 [accessed on 14 September 2022]</w:t>
      </w:r>
    </w:p>
  </w:footnote>
  <w:footnote w:id="19">
    <w:p w14:paraId="44B6A8CC" w14:textId="23284E33" w:rsidR="00FF3618" w:rsidRPr="00A266D7" w:rsidRDefault="00FF3618" w:rsidP="00CC7F0A">
      <w:pPr>
        <w:pStyle w:val="FootnoteText"/>
        <w:ind w:left="198" w:hanging="198"/>
        <w:rPr>
          <w:rFonts w:cstheme="minorHAnsi"/>
          <w:sz w:val="16"/>
          <w:szCs w:val="16"/>
        </w:rPr>
      </w:pPr>
      <w:r w:rsidRPr="007B16A1">
        <w:rPr>
          <w:rStyle w:val="FootnoteReference"/>
          <w:rFonts w:eastAsiaTheme="majorEastAsia" w:cstheme="minorHAnsi"/>
        </w:rPr>
        <w:footnoteRef/>
      </w:r>
      <w:r w:rsidRPr="00CF0C1E">
        <w:rPr>
          <w:rFonts w:cstheme="minorHAnsi"/>
          <w:sz w:val="16"/>
          <w:szCs w:val="16"/>
        </w:rPr>
        <w:t xml:space="preserve"> </w:t>
      </w:r>
      <w:hyperlink r:id="rId7" w:history="1">
        <w:r w:rsidRPr="00CF0C1E">
          <w:rPr>
            <w:rStyle w:val="Hyperlink"/>
            <w:rFonts w:asciiTheme="minorHAnsi" w:eastAsiaTheme="majorEastAsia" w:hAnsiTheme="minorHAnsi" w:cstheme="minorHAnsi"/>
            <w:sz w:val="16"/>
            <w:szCs w:val="16"/>
          </w:rPr>
          <w:t xml:space="preserve">The Countervailing Power: Review of the coordination and funding for financial counselling services in Australia, Ms Louise Sylvan, 3 October 2019 [accessed on 14 September 2022] </w:t>
        </w:r>
      </w:hyperlink>
    </w:p>
  </w:footnote>
  <w:footnote w:id="20">
    <w:p w14:paraId="4FC83ABD" w14:textId="77777777" w:rsidR="00FF3618" w:rsidRPr="00EE1ABE" w:rsidRDefault="00FF3618" w:rsidP="005A79E1">
      <w:pPr>
        <w:rPr>
          <w:rFonts w:cstheme="minorHAnsi"/>
          <w:sz w:val="16"/>
          <w:szCs w:val="16"/>
          <w:lang w:val="en-US"/>
        </w:rPr>
      </w:pPr>
      <w:r w:rsidRPr="001D2B63">
        <w:rPr>
          <w:rStyle w:val="FootnoteReference"/>
          <w:sz w:val="20"/>
          <w:szCs w:val="20"/>
        </w:rPr>
        <w:footnoteRef/>
      </w:r>
      <w:r w:rsidRPr="00EE1ABE">
        <w:rPr>
          <w:sz w:val="16"/>
          <w:szCs w:val="16"/>
        </w:rPr>
        <w:t xml:space="preserve"> </w:t>
      </w:r>
      <w:r w:rsidRPr="00BC2127">
        <w:rPr>
          <w:rFonts w:cstheme="minorHAnsi"/>
          <w:iCs/>
          <w:sz w:val="16"/>
          <w:szCs w:val="16"/>
        </w:rPr>
        <w:t>Source: ARTD Financial Counsellors Survey, August-September 2021</w:t>
      </w:r>
    </w:p>
    <w:p w14:paraId="4F823D3A" w14:textId="77777777" w:rsidR="00FF3618" w:rsidRDefault="00FF3618" w:rsidP="005A79E1">
      <w:pPr>
        <w:pStyle w:val="FootnoteText"/>
      </w:pPr>
    </w:p>
  </w:footnote>
  <w:footnote w:id="21">
    <w:p w14:paraId="08F3648C" w14:textId="13B1B029" w:rsidR="00FF3618" w:rsidRDefault="00FF3618">
      <w:pPr>
        <w:pStyle w:val="FootnoteText"/>
      </w:pPr>
      <w:r>
        <w:rPr>
          <w:rStyle w:val="FootnoteReference"/>
        </w:rPr>
        <w:footnoteRef/>
      </w:r>
      <w:r>
        <w:t xml:space="preserve"> </w:t>
      </w:r>
      <w:r w:rsidRPr="00914C1A">
        <w:rPr>
          <w:sz w:val="16"/>
        </w:rPr>
        <w:t>Government owned corporations and companies are not excluded.</w:t>
      </w:r>
    </w:p>
  </w:footnote>
  <w:footnote w:id="22">
    <w:p w14:paraId="7F1A4050" w14:textId="7162A58C" w:rsidR="00FF3618" w:rsidRPr="00B53DF3" w:rsidRDefault="00FF3618">
      <w:pPr>
        <w:pStyle w:val="FootnoteText"/>
        <w:rPr>
          <w:sz w:val="16"/>
        </w:rPr>
      </w:pPr>
      <w:r w:rsidRPr="00EE1ABE">
        <w:rPr>
          <w:rStyle w:val="FootnoteReference"/>
        </w:rPr>
        <w:footnoteRef/>
      </w:r>
      <w:r w:rsidRPr="00B53DF3">
        <w:rPr>
          <w:sz w:val="16"/>
        </w:rPr>
        <w:t xml:space="preserve"> Finance companies are included in the other credit provider category however were included separately in survey results.</w:t>
      </w:r>
    </w:p>
  </w:footnote>
  <w:footnote w:id="23">
    <w:p w14:paraId="50302233" w14:textId="4E816A79" w:rsidR="00FF3618" w:rsidRPr="00B53DF3" w:rsidRDefault="00FF3618" w:rsidP="00EE1ABE">
      <w:pPr>
        <w:pStyle w:val="FootnoteText"/>
        <w:ind w:left="198" w:hanging="198"/>
        <w:rPr>
          <w:sz w:val="16"/>
        </w:rPr>
      </w:pPr>
      <w:r w:rsidRPr="00EE1ABE">
        <w:rPr>
          <w:rStyle w:val="FootnoteReference"/>
        </w:rPr>
        <w:footnoteRef/>
      </w:r>
      <w:r w:rsidRPr="00B53DF3">
        <w:rPr>
          <w:sz w:val="16"/>
        </w:rPr>
        <w:t xml:space="preserve"> Private rental tenancy is not proposed for inclusion as it is private (person to person) in nature and would not align with the objective of industry contributing to financial counselling. The private rental tenancy subsector is not </w:t>
      </w:r>
      <w:r w:rsidRPr="00B53DF3">
        <w:rPr>
          <w:rFonts w:cstheme="minorHAnsi"/>
          <w:sz w:val="16"/>
        </w:rPr>
        <w:t>composed of businesses that have a direct relationship with customers</w:t>
      </w:r>
      <w:r w:rsidRPr="00B53DF3">
        <w:rPr>
          <w:sz w:val="16"/>
        </w:rPr>
        <w:t xml:space="preserve">. </w:t>
      </w:r>
    </w:p>
  </w:footnote>
  <w:footnote w:id="24">
    <w:p w14:paraId="619CE09B" w14:textId="2DC558F5" w:rsidR="00FF3618" w:rsidRDefault="00FF3618" w:rsidP="00EE1ABE">
      <w:pPr>
        <w:pStyle w:val="FootnoteText"/>
        <w:ind w:left="198" w:hanging="198"/>
      </w:pPr>
      <w:r w:rsidRPr="00EE1ABE">
        <w:rPr>
          <w:rStyle w:val="FootnoteReference"/>
        </w:rPr>
        <w:footnoteRef/>
      </w:r>
      <w:r w:rsidRPr="00B53DF3">
        <w:rPr>
          <w:sz w:val="16"/>
        </w:rPr>
        <w:t xml:space="preserve"> Social housing tenancy is excluded as it is not a business. Social housing is owned or managed by a government authority or community housing providers and made available for rent to eligible 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35B4" w14:textId="7296561D" w:rsidR="00FF3618" w:rsidRDefault="00FF3618" w:rsidP="00F30908">
    <w:pPr>
      <w:ind w:left="-964"/>
    </w:pPr>
    <w:r>
      <w:rPr>
        <w:noProof/>
        <w:lang w:eastAsia="en-AU"/>
      </w:rPr>
      <w:drawing>
        <wp:inline distT="0" distB="0" distL="0" distR="0" wp14:anchorId="676B2636" wp14:editId="14A5C3A8">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B697" w14:textId="5452766F" w:rsidR="00FF3618" w:rsidRDefault="00FF3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FC74" w14:textId="4CA1E7DA" w:rsidR="00FF3618" w:rsidRDefault="00FF3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DFD1" w14:textId="7A488131" w:rsidR="00FF3618" w:rsidRDefault="00FF3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5516" w14:textId="57C21B65" w:rsidR="00FF3618" w:rsidRDefault="00FF3618" w:rsidP="00F30908">
    <w:pPr>
      <w:ind w:left="-96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6EA8" w14:textId="3C1EE1FA" w:rsidR="00FF3618" w:rsidRDefault="00FF36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85B5" w14:textId="5174AA4B" w:rsidR="00FF3618" w:rsidRPr="0084227C" w:rsidRDefault="00FF3618" w:rsidP="00914C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5454" w14:textId="4A911D53" w:rsidR="00FF3618" w:rsidRDefault="00FF36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3C46" w14:textId="7A96731C" w:rsidR="00FF3618" w:rsidRDefault="00FF36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3F10" w14:textId="78CB03DC" w:rsidR="00FF3618" w:rsidRDefault="00FF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76E"/>
    <w:multiLevelType w:val="hybridMultilevel"/>
    <w:tmpl w:val="0724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750DF"/>
    <w:multiLevelType w:val="hybridMultilevel"/>
    <w:tmpl w:val="FC9ED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63894"/>
    <w:multiLevelType w:val="hybridMultilevel"/>
    <w:tmpl w:val="9B4E864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4E474D"/>
    <w:multiLevelType w:val="hybridMultilevel"/>
    <w:tmpl w:val="466031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C721BA3"/>
    <w:multiLevelType w:val="hybridMultilevel"/>
    <w:tmpl w:val="E3A61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178D2"/>
    <w:multiLevelType w:val="hybridMultilevel"/>
    <w:tmpl w:val="5B506BD0"/>
    <w:lvl w:ilvl="0" w:tplc="9A228464">
      <w:start w:val="1"/>
      <w:numFmt w:val="bullet"/>
      <w:suff w:val="space"/>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71205"/>
    <w:multiLevelType w:val="hybridMultilevel"/>
    <w:tmpl w:val="2FE85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2775B"/>
    <w:multiLevelType w:val="multilevel"/>
    <w:tmpl w:val="808E6BA0"/>
    <w:lvl w:ilvl="0">
      <w:start w:val="1"/>
      <w:numFmt w:val="decimal"/>
      <w:pStyle w:val="Heading1"/>
      <w:lvlText w:val="%1"/>
      <w:lvlJc w:val="left"/>
      <w:pPr>
        <w:ind w:left="2417"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5756E4F"/>
    <w:multiLevelType w:val="hybridMultilevel"/>
    <w:tmpl w:val="55EA48BA"/>
    <w:lvl w:ilvl="0" w:tplc="779C0D8A">
      <w:start w:val="1"/>
      <w:numFmt w:val="bullet"/>
      <w:lvlText w:val="•"/>
      <w:lvlJc w:val="left"/>
      <w:pPr>
        <w:tabs>
          <w:tab w:val="num" w:pos="720"/>
        </w:tabs>
        <w:ind w:left="720" w:hanging="360"/>
      </w:pPr>
      <w:rPr>
        <w:rFonts w:ascii="Arial" w:hAnsi="Arial" w:hint="default"/>
      </w:rPr>
    </w:lvl>
    <w:lvl w:ilvl="1" w:tplc="BCD84358" w:tentative="1">
      <w:start w:val="1"/>
      <w:numFmt w:val="bullet"/>
      <w:lvlText w:val="•"/>
      <w:lvlJc w:val="left"/>
      <w:pPr>
        <w:tabs>
          <w:tab w:val="num" w:pos="1440"/>
        </w:tabs>
        <w:ind w:left="1440" w:hanging="360"/>
      </w:pPr>
      <w:rPr>
        <w:rFonts w:ascii="Arial" w:hAnsi="Arial" w:hint="default"/>
      </w:rPr>
    </w:lvl>
    <w:lvl w:ilvl="2" w:tplc="01428FA2" w:tentative="1">
      <w:start w:val="1"/>
      <w:numFmt w:val="bullet"/>
      <w:lvlText w:val="•"/>
      <w:lvlJc w:val="left"/>
      <w:pPr>
        <w:tabs>
          <w:tab w:val="num" w:pos="2160"/>
        </w:tabs>
        <w:ind w:left="2160" w:hanging="360"/>
      </w:pPr>
      <w:rPr>
        <w:rFonts w:ascii="Arial" w:hAnsi="Arial" w:hint="default"/>
      </w:rPr>
    </w:lvl>
    <w:lvl w:ilvl="3" w:tplc="CBE0F8E8" w:tentative="1">
      <w:start w:val="1"/>
      <w:numFmt w:val="bullet"/>
      <w:lvlText w:val="•"/>
      <w:lvlJc w:val="left"/>
      <w:pPr>
        <w:tabs>
          <w:tab w:val="num" w:pos="2880"/>
        </w:tabs>
        <w:ind w:left="2880" w:hanging="360"/>
      </w:pPr>
      <w:rPr>
        <w:rFonts w:ascii="Arial" w:hAnsi="Arial" w:hint="default"/>
      </w:rPr>
    </w:lvl>
    <w:lvl w:ilvl="4" w:tplc="7D98AD1A" w:tentative="1">
      <w:start w:val="1"/>
      <w:numFmt w:val="bullet"/>
      <w:lvlText w:val="•"/>
      <w:lvlJc w:val="left"/>
      <w:pPr>
        <w:tabs>
          <w:tab w:val="num" w:pos="3600"/>
        </w:tabs>
        <w:ind w:left="3600" w:hanging="360"/>
      </w:pPr>
      <w:rPr>
        <w:rFonts w:ascii="Arial" w:hAnsi="Arial" w:hint="default"/>
      </w:rPr>
    </w:lvl>
    <w:lvl w:ilvl="5" w:tplc="294244DA" w:tentative="1">
      <w:start w:val="1"/>
      <w:numFmt w:val="bullet"/>
      <w:lvlText w:val="•"/>
      <w:lvlJc w:val="left"/>
      <w:pPr>
        <w:tabs>
          <w:tab w:val="num" w:pos="4320"/>
        </w:tabs>
        <w:ind w:left="4320" w:hanging="360"/>
      </w:pPr>
      <w:rPr>
        <w:rFonts w:ascii="Arial" w:hAnsi="Arial" w:hint="default"/>
      </w:rPr>
    </w:lvl>
    <w:lvl w:ilvl="6" w:tplc="B248EB34" w:tentative="1">
      <w:start w:val="1"/>
      <w:numFmt w:val="bullet"/>
      <w:lvlText w:val="•"/>
      <w:lvlJc w:val="left"/>
      <w:pPr>
        <w:tabs>
          <w:tab w:val="num" w:pos="5040"/>
        </w:tabs>
        <w:ind w:left="5040" w:hanging="360"/>
      </w:pPr>
      <w:rPr>
        <w:rFonts w:ascii="Arial" w:hAnsi="Arial" w:hint="default"/>
      </w:rPr>
    </w:lvl>
    <w:lvl w:ilvl="7" w:tplc="B32AD85A" w:tentative="1">
      <w:start w:val="1"/>
      <w:numFmt w:val="bullet"/>
      <w:lvlText w:val="•"/>
      <w:lvlJc w:val="left"/>
      <w:pPr>
        <w:tabs>
          <w:tab w:val="num" w:pos="5760"/>
        </w:tabs>
        <w:ind w:left="5760" w:hanging="360"/>
      </w:pPr>
      <w:rPr>
        <w:rFonts w:ascii="Arial" w:hAnsi="Arial" w:hint="default"/>
      </w:rPr>
    </w:lvl>
    <w:lvl w:ilvl="8" w:tplc="76F412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615356"/>
    <w:multiLevelType w:val="hybridMultilevel"/>
    <w:tmpl w:val="9F96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E381E"/>
    <w:multiLevelType w:val="hybridMultilevel"/>
    <w:tmpl w:val="0582A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57FBB"/>
    <w:multiLevelType w:val="hybridMultilevel"/>
    <w:tmpl w:val="143A41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DFC03B4"/>
    <w:multiLevelType w:val="hybridMultilevel"/>
    <w:tmpl w:val="2FE85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9831BF"/>
    <w:multiLevelType w:val="hybridMultilevel"/>
    <w:tmpl w:val="614AC7B8"/>
    <w:lvl w:ilvl="0" w:tplc="9A228464">
      <w:start w:val="1"/>
      <w:numFmt w:val="bullet"/>
      <w:suff w:val="space"/>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C7510"/>
    <w:multiLevelType w:val="multilevel"/>
    <w:tmpl w:val="78804140"/>
    <w:styleLink w:val="TableNumbers"/>
    <w:lvl w:ilvl="0">
      <w:start w:val="1"/>
      <w:numFmt w:val="decimal"/>
      <w:lvlText w:val="Table %1."/>
      <w:lvlJc w:val="left"/>
      <w:pPr>
        <w:tabs>
          <w:tab w:val="num" w:pos="1304"/>
        </w:tabs>
        <w:ind w:left="1304" w:hanging="1304"/>
      </w:pPr>
      <w:rPr>
        <w:rFonts w:ascii="Segoe UI" w:hAnsi="Segoe UI" w:cs="Times New Roman" w:hint="default"/>
        <w:b/>
        <w:i w:val="0"/>
        <w:caps/>
        <w:color w:val="000000" w:themeColor="text2"/>
        <w:sz w:val="20"/>
      </w:rPr>
    </w:lvl>
    <w:lvl w:ilvl="1">
      <w:start w:val="1"/>
      <w:numFmt w:val="decimal"/>
      <w:lvlText w:val="Table A%1.%2"/>
      <w:lvlJc w:val="left"/>
      <w:pPr>
        <w:tabs>
          <w:tab w:val="num" w:pos="-6210"/>
        </w:tabs>
        <w:ind w:left="-6210" w:hanging="1304"/>
      </w:pPr>
      <w:rPr>
        <w:rFonts w:ascii="Segoe UI" w:hAnsi="Segoe UI" w:cs="Times New Roman" w:hint="default"/>
        <w:b/>
        <w:i w:val="0"/>
        <w:caps/>
        <w:color w:val="000000" w:themeColor="text2"/>
        <w:sz w:val="20"/>
      </w:rPr>
    </w:lvl>
    <w:lvl w:ilvl="2">
      <w:start w:val="1"/>
      <w:numFmt w:val="none"/>
      <w:lvlText w:val=""/>
      <w:lvlJc w:val="left"/>
      <w:pPr>
        <w:ind w:left="-6434" w:hanging="360"/>
      </w:pPr>
    </w:lvl>
    <w:lvl w:ilvl="3">
      <w:start w:val="1"/>
      <w:numFmt w:val="none"/>
      <w:lvlText w:val=""/>
      <w:lvlJc w:val="left"/>
      <w:pPr>
        <w:ind w:left="-6074" w:hanging="360"/>
      </w:pPr>
    </w:lvl>
    <w:lvl w:ilvl="4">
      <w:start w:val="1"/>
      <w:numFmt w:val="none"/>
      <w:lvlText w:val=""/>
      <w:lvlJc w:val="left"/>
      <w:pPr>
        <w:ind w:left="-5714" w:hanging="360"/>
      </w:pPr>
    </w:lvl>
    <w:lvl w:ilvl="5">
      <w:start w:val="1"/>
      <w:numFmt w:val="none"/>
      <w:lvlText w:val=""/>
      <w:lvlJc w:val="left"/>
      <w:pPr>
        <w:ind w:left="-5354" w:hanging="360"/>
      </w:pPr>
    </w:lvl>
    <w:lvl w:ilvl="6">
      <w:start w:val="1"/>
      <w:numFmt w:val="none"/>
      <w:lvlText w:val=""/>
      <w:lvlJc w:val="left"/>
      <w:pPr>
        <w:ind w:left="-4994" w:hanging="360"/>
      </w:pPr>
    </w:lvl>
    <w:lvl w:ilvl="7">
      <w:start w:val="1"/>
      <w:numFmt w:val="none"/>
      <w:lvlText w:val=""/>
      <w:lvlJc w:val="left"/>
      <w:pPr>
        <w:ind w:left="-4634" w:hanging="360"/>
      </w:pPr>
    </w:lvl>
    <w:lvl w:ilvl="8">
      <w:start w:val="1"/>
      <w:numFmt w:val="none"/>
      <w:lvlText w:val=""/>
      <w:lvlJc w:val="left"/>
      <w:pPr>
        <w:ind w:left="-4274" w:hanging="360"/>
      </w:pPr>
    </w:lvl>
  </w:abstractNum>
  <w:abstractNum w:abstractNumId="16" w15:restartNumberingAfterBreak="0">
    <w:nsid w:val="23BF080D"/>
    <w:multiLevelType w:val="hybridMultilevel"/>
    <w:tmpl w:val="0F2A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B3AEC"/>
    <w:multiLevelType w:val="hybridMultilevel"/>
    <w:tmpl w:val="83745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4F7D2C"/>
    <w:multiLevelType w:val="hybridMultilevel"/>
    <w:tmpl w:val="984658F0"/>
    <w:lvl w:ilvl="0" w:tplc="0C09000F">
      <w:start w:val="1"/>
      <w:numFmt w:val="decimal"/>
      <w:lvlText w:val="%1."/>
      <w:lvlJc w:val="left"/>
      <w:pPr>
        <w:ind w:left="717" w:hanging="360"/>
      </w:pPr>
      <w:rPr>
        <w:rFont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2EC45E70"/>
    <w:multiLevelType w:val="multilevel"/>
    <w:tmpl w:val="8084B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30E5DE8"/>
    <w:multiLevelType w:val="hybridMultilevel"/>
    <w:tmpl w:val="90FEFC82"/>
    <w:lvl w:ilvl="0" w:tplc="A47E13DA">
      <w:start w:val="1"/>
      <w:numFmt w:val="bullet"/>
      <w:lvlText w:val="•"/>
      <w:lvlJc w:val="left"/>
      <w:pPr>
        <w:tabs>
          <w:tab w:val="num" w:pos="720"/>
        </w:tabs>
        <w:ind w:left="720" w:hanging="360"/>
      </w:pPr>
      <w:rPr>
        <w:rFonts w:ascii="Arial" w:hAnsi="Arial" w:hint="default"/>
      </w:rPr>
    </w:lvl>
    <w:lvl w:ilvl="1" w:tplc="D25CC566" w:tentative="1">
      <w:start w:val="1"/>
      <w:numFmt w:val="bullet"/>
      <w:lvlText w:val="•"/>
      <w:lvlJc w:val="left"/>
      <w:pPr>
        <w:tabs>
          <w:tab w:val="num" w:pos="1440"/>
        </w:tabs>
        <w:ind w:left="1440" w:hanging="360"/>
      </w:pPr>
      <w:rPr>
        <w:rFonts w:ascii="Arial" w:hAnsi="Arial" w:hint="default"/>
      </w:rPr>
    </w:lvl>
    <w:lvl w:ilvl="2" w:tplc="52D65D1C" w:tentative="1">
      <w:start w:val="1"/>
      <w:numFmt w:val="bullet"/>
      <w:lvlText w:val="•"/>
      <w:lvlJc w:val="left"/>
      <w:pPr>
        <w:tabs>
          <w:tab w:val="num" w:pos="2160"/>
        </w:tabs>
        <w:ind w:left="2160" w:hanging="360"/>
      </w:pPr>
      <w:rPr>
        <w:rFonts w:ascii="Arial" w:hAnsi="Arial" w:hint="default"/>
      </w:rPr>
    </w:lvl>
    <w:lvl w:ilvl="3" w:tplc="51DA7F7A" w:tentative="1">
      <w:start w:val="1"/>
      <w:numFmt w:val="bullet"/>
      <w:lvlText w:val="•"/>
      <w:lvlJc w:val="left"/>
      <w:pPr>
        <w:tabs>
          <w:tab w:val="num" w:pos="2880"/>
        </w:tabs>
        <w:ind w:left="2880" w:hanging="360"/>
      </w:pPr>
      <w:rPr>
        <w:rFonts w:ascii="Arial" w:hAnsi="Arial" w:hint="default"/>
      </w:rPr>
    </w:lvl>
    <w:lvl w:ilvl="4" w:tplc="D980834E" w:tentative="1">
      <w:start w:val="1"/>
      <w:numFmt w:val="bullet"/>
      <w:lvlText w:val="•"/>
      <w:lvlJc w:val="left"/>
      <w:pPr>
        <w:tabs>
          <w:tab w:val="num" w:pos="3600"/>
        </w:tabs>
        <w:ind w:left="3600" w:hanging="360"/>
      </w:pPr>
      <w:rPr>
        <w:rFonts w:ascii="Arial" w:hAnsi="Arial" w:hint="default"/>
      </w:rPr>
    </w:lvl>
    <w:lvl w:ilvl="5" w:tplc="D48A3DB0" w:tentative="1">
      <w:start w:val="1"/>
      <w:numFmt w:val="bullet"/>
      <w:lvlText w:val="•"/>
      <w:lvlJc w:val="left"/>
      <w:pPr>
        <w:tabs>
          <w:tab w:val="num" w:pos="4320"/>
        </w:tabs>
        <w:ind w:left="4320" w:hanging="360"/>
      </w:pPr>
      <w:rPr>
        <w:rFonts w:ascii="Arial" w:hAnsi="Arial" w:hint="default"/>
      </w:rPr>
    </w:lvl>
    <w:lvl w:ilvl="6" w:tplc="EAAA171A" w:tentative="1">
      <w:start w:val="1"/>
      <w:numFmt w:val="bullet"/>
      <w:lvlText w:val="•"/>
      <w:lvlJc w:val="left"/>
      <w:pPr>
        <w:tabs>
          <w:tab w:val="num" w:pos="5040"/>
        </w:tabs>
        <w:ind w:left="5040" w:hanging="360"/>
      </w:pPr>
      <w:rPr>
        <w:rFonts w:ascii="Arial" w:hAnsi="Arial" w:hint="default"/>
      </w:rPr>
    </w:lvl>
    <w:lvl w:ilvl="7" w:tplc="80547A38" w:tentative="1">
      <w:start w:val="1"/>
      <w:numFmt w:val="bullet"/>
      <w:lvlText w:val="•"/>
      <w:lvlJc w:val="left"/>
      <w:pPr>
        <w:tabs>
          <w:tab w:val="num" w:pos="5760"/>
        </w:tabs>
        <w:ind w:left="5760" w:hanging="360"/>
      </w:pPr>
      <w:rPr>
        <w:rFonts w:ascii="Arial" w:hAnsi="Arial" w:hint="default"/>
      </w:rPr>
    </w:lvl>
    <w:lvl w:ilvl="8" w:tplc="43F6C1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F20713"/>
    <w:multiLevelType w:val="hybridMultilevel"/>
    <w:tmpl w:val="45A2B178"/>
    <w:lvl w:ilvl="0" w:tplc="9A228464">
      <w:start w:val="1"/>
      <w:numFmt w:val="bullet"/>
      <w:suff w:val="space"/>
      <w:lvlText w:val=""/>
      <w:lvlJc w:val="left"/>
      <w:pPr>
        <w:ind w:left="284" w:hanging="17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1E283A"/>
    <w:multiLevelType w:val="hybridMultilevel"/>
    <w:tmpl w:val="E444C012"/>
    <w:lvl w:ilvl="0" w:tplc="0C09000F">
      <w:start w:val="1"/>
      <w:numFmt w:val="decimal"/>
      <w:lvlText w:val="%1."/>
      <w:lvlJc w:val="left"/>
      <w:pPr>
        <w:ind w:left="720" w:hanging="360"/>
      </w:pPr>
      <w:rPr>
        <w:rFonts w:hint="default"/>
      </w:rPr>
    </w:lvl>
    <w:lvl w:ilvl="1" w:tplc="0C090019">
      <w:start w:val="1"/>
      <w:numFmt w:val="lowerLetter"/>
      <w:lvlText w:val="%2."/>
      <w:lvlJc w:val="left"/>
      <w:pPr>
        <w:ind w:left="64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350B43"/>
    <w:multiLevelType w:val="hybridMultilevel"/>
    <w:tmpl w:val="5B9E455E"/>
    <w:lvl w:ilvl="0" w:tplc="0BCC09B4">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71729B"/>
    <w:multiLevelType w:val="hybridMultilevel"/>
    <w:tmpl w:val="03042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5A04989"/>
    <w:multiLevelType w:val="hybridMultilevel"/>
    <w:tmpl w:val="F0407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737B8A"/>
    <w:multiLevelType w:val="hybridMultilevel"/>
    <w:tmpl w:val="2DB03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A0495"/>
    <w:multiLevelType w:val="hybridMultilevel"/>
    <w:tmpl w:val="AC107AF6"/>
    <w:lvl w:ilvl="0" w:tplc="EDE86852">
      <w:start w:val="1"/>
      <w:numFmt w:val="decimal"/>
      <w:lvlText w:val="%1."/>
      <w:lvlJc w:val="left"/>
      <w:pPr>
        <w:ind w:left="360" w:hanging="360"/>
      </w:pPr>
      <w:rPr>
        <w:b/>
        <w:color w:val="auto"/>
        <w:sz w:val="22"/>
        <w:szCs w:val="22"/>
      </w:r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4DA908B3"/>
    <w:multiLevelType w:val="hybridMultilevel"/>
    <w:tmpl w:val="B4BAB4E2"/>
    <w:lvl w:ilvl="0" w:tplc="D73E1AB2">
      <w:start w:val="1"/>
      <w:numFmt w:val="bullet"/>
      <w:lvlText w:val="•"/>
      <w:lvlJc w:val="left"/>
      <w:pPr>
        <w:tabs>
          <w:tab w:val="num" w:pos="720"/>
        </w:tabs>
        <w:ind w:left="720" w:hanging="360"/>
      </w:pPr>
      <w:rPr>
        <w:rFonts w:ascii="Arial" w:hAnsi="Arial" w:hint="default"/>
      </w:rPr>
    </w:lvl>
    <w:lvl w:ilvl="1" w:tplc="5FFCE022">
      <w:start w:val="306"/>
      <w:numFmt w:val="bullet"/>
      <w:lvlText w:val="–"/>
      <w:lvlJc w:val="left"/>
      <w:pPr>
        <w:tabs>
          <w:tab w:val="num" w:pos="1440"/>
        </w:tabs>
        <w:ind w:left="1440" w:hanging="360"/>
      </w:pPr>
      <w:rPr>
        <w:rFonts w:ascii="Arial" w:hAnsi="Arial" w:hint="default"/>
      </w:rPr>
    </w:lvl>
    <w:lvl w:ilvl="2" w:tplc="28DCD576" w:tentative="1">
      <w:start w:val="1"/>
      <w:numFmt w:val="bullet"/>
      <w:lvlText w:val="•"/>
      <w:lvlJc w:val="left"/>
      <w:pPr>
        <w:tabs>
          <w:tab w:val="num" w:pos="2160"/>
        </w:tabs>
        <w:ind w:left="2160" w:hanging="360"/>
      </w:pPr>
      <w:rPr>
        <w:rFonts w:ascii="Arial" w:hAnsi="Arial" w:hint="default"/>
      </w:rPr>
    </w:lvl>
    <w:lvl w:ilvl="3" w:tplc="B9E65D62" w:tentative="1">
      <w:start w:val="1"/>
      <w:numFmt w:val="bullet"/>
      <w:lvlText w:val="•"/>
      <w:lvlJc w:val="left"/>
      <w:pPr>
        <w:tabs>
          <w:tab w:val="num" w:pos="2880"/>
        </w:tabs>
        <w:ind w:left="2880" w:hanging="360"/>
      </w:pPr>
      <w:rPr>
        <w:rFonts w:ascii="Arial" w:hAnsi="Arial" w:hint="default"/>
      </w:rPr>
    </w:lvl>
    <w:lvl w:ilvl="4" w:tplc="CFE2908A" w:tentative="1">
      <w:start w:val="1"/>
      <w:numFmt w:val="bullet"/>
      <w:lvlText w:val="•"/>
      <w:lvlJc w:val="left"/>
      <w:pPr>
        <w:tabs>
          <w:tab w:val="num" w:pos="3600"/>
        </w:tabs>
        <w:ind w:left="3600" w:hanging="360"/>
      </w:pPr>
      <w:rPr>
        <w:rFonts w:ascii="Arial" w:hAnsi="Arial" w:hint="default"/>
      </w:rPr>
    </w:lvl>
    <w:lvl w:ilvl="5" w:tplc="83B43270" w:tentative="1">
      <w:start w:val="1"/>
      <w:numFmt w:val="bullet"/>
      <w:lvlText w:val="•"/>
      <w:lvlJc w:val="left"/>
      <w:pPr>
        <w:tabs>
          <w:tab w:val="num" w:pos="4320"/>
        </w:tabs>
        <w:ind w:left="4320" w:hanging="360"/>
      </w:pPr>
      <w:rPr>
        <w:rFonts w:ascii="Arial" w:hAnsi="Arial" w:hint="default"/>
      </w:rPr>
    </w:lvl>
    <w:lvl w:ilvl="6" w:tplc="4E022194" w:tentative="1">
      <w:start w:val="1"/>
      <w:numFmt w:val="bullet"/>
      <w:lvlText w:val="•"/>
      <w:lvlJc w:val="left"/>
      <w:pPr>
        <w:tabs>
          <w:tab w:val="num" w:pos="5040"/>
        </w:tabs>
        <w:ind w:left="5040" w:hanging="360"/>
      </w:pPr>
      <w:rPr>
        <w:rFonts w:ascii="Arial" w:hAnsi="Arial" w:hint="default"/>
      </w:rPr>
    </w:lvl>
    <w:lvl w:ilvl="7" w:tplc="70F26610" w:tentative="1">
      <w:start w:val="1"/>
      <w:numFmt w:val="bullet"/>
      <w:lvlText w:val="•"/>
      <w:lvlJc w:val="left"/>
      <w:pPr>
        <w:tabs>
          <w:tab w:val="num" w:pos="5760"/>
        </w:tabs>
        <w:ind w:left="5760" w:hanging="360"/>
      </w:pPr>
      <w:rPr>
        <w:rFonts w:ascii="Arial" w:hAnsi="Arial" w:hint="default"/>
      </w:rPr>
    </w:lvl>
    <w:lvl w:ilvl="8" w:tplc="E66AF3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BB4677"/>
    <w:multiLevelType w:val="hybridMultilevel"/>
    <w:tmpl w:val="161EE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FD3D97"/>
    <w:multiLevelType w:val="hybridMultilevel"/>
    <w:tmpl w:val="1A3AA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7D5391"/>
    <w:multiLevelType w:val="hybridMultilevel"/>
    <w:tmpl w:val="3DC2B6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383504"/>
    <w:multiLevelType w:val="multilevel"/>
    <w:tmpl w:val="0FB87E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3" w15:restartNumberingAfterBreak="0">
    <w:nsid w:val="5C03221E"/>
    <w:multiLevelType w:val="hybridMultilevel"/>
    <w:tmpl w:val="0C625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9C61AB"/>
    <w:multiLevelType w:val="hybridMultilevel"/>
    <w:tmpl w:val="31109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B500AC"/>
    <w:multiLevelType w:val="hybridMultilevel"/>
    <w:tmpl w:val="C6D46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075722"/>
    <w:multiLevelType w:val="hybridMultilevel"/>
    <w:tmpl w:val="EF10E9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F444B2"/>
    <w:multiLevelType w:val="hybridMultilevel"/>
    <w:tmpl w:val="29560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4275A4"/>
    <w:multiLevelType w:val="hybridMultilevel"/>
    <w:tmpl w:val="D1E03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0E78EB"/>
    <w:multiLevelType w:val="hybridMultilevel"/>
    <w:tmpl w:val="66287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B6A11"/>
    <w:multiLevelType w:val="hybridMultilevel"/>
    <w:tmpl w:val="022A4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F4E2AFB"/>
    <w:multiLevelType w:val="hybridMultilevel"/>
    <w:tmpl w:val="2FE85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lvlOverride w:ilvl="0">
      <w:lvl w:ilvl="0">
        <w:start w:val="1"/>
        <w:numFmt w:val="decimal"/>
        <w:lvlText w:val="Table %1."/>
        <w:lvlJc w:val="left"/>
        <w:pPr>
          <w:tabs>
            <w:tab w:val="num" w:pos="1304"/>
          </w:tabs>
          <w:ind w:left="1304" w:hanging="1304"/>
        </w:pPr>
        <w:rPr>
          <w:rFonts w:asciiTheme="minorHAnsi" w:hAnsiTheme="minorHAnsi" w:cstheme="minorHAnsi" w:hint="default"/>
          <w:b/>
          <w:i w:val="0"/>
          <w:caps/>
          <w:color w:val="000000" w:themeColor="text2"/>
          <w:sz w:val="22"/>
        </w:rPr>
      </w:lvl>
    </w:lvlOverride>
  </w:num>
  <w:num w:numId="3">
    <w:abstractNumId w:val="38"/>
  </w:num>
  <w:num w:numId="4">
    <w:abstractNumId w:val="17"/>
  </w:num>
  <w:num w:numId="5">
    <w:abstractNumId w:val="26"/>
  </w:num>
  <w:num w:numId="6">
    <w:abstractNumId w:val="29"/>
  </w:num>
  <w:num w:numId="7">
    <w:abstractNumId w:val="40"/>
  </w:num>
  <w:num w:numId="8">
    <w:abstractNumId w:val="8"/>
  </w:num>
  <w:num w:numId="9">
    <w:abstractNumId w:val="1"/>
  </w:num>
  <w:num w:numId="10">
    <w:abstractNumId w:val="23"/>
  </w:num>
  <w:num w:numId="11">
    <w:abstractNumId w:val="2"/>
  </w:num>
  <w:num w:numId="12">
    <w:abstractNumId w:val="22"/>
  </w:num>
  <w:num w:numId="13">
    <w:abstractNumId w:val="41"/>
  </w:num>
  <w:num w:numId="14">
    <w:abstractNumId w:val="25"/>
  </w:num>
  <w:num w:numId="15">
    <w:abstractNumId w:val="37"/>
  </w:num>
  <w:num w:numId="16">
    <w:abstractNumId w:val="4"/>
  </w:num>
  <w:num w:numId="17">
    <w:abstractNumId w:val="10"/>
  </w:num>
  <w:num w:numId="18">
    <w:abstractNumId w:val="36"/>
  </w:num>
  <w:num w:numId="19">
    <w:abstractNumId w:val="35"/>
  </w:num>
  <w:num w:numId="20">
    <w:abstractNumId w:val="18"/>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0"/>
  </w:num>
  <w:num w:numId="43">
    <w:abstractNumId w:val="28"/>
  </w:num>
  <w:num w:numId="44">
    <w:abstractNumId w:val="5"/>
  </w:num>
  <w:num w:numId="45">
    <w:abstractNumId w:val="21"/>
  </w:num>
  <w:num w:numId="46">
    <w:abstractNumId w:val="14"/>
  </w:num>
  <w:num w:numId="47">
    <w:abstractNumId w:val="13"/>
  </w:num>
  <w:num w:numId="48">
    <w:abstractNumId w:val="30"/>
  </w:num>
  <w:num w:numId="49">
    <w:abstractNumId w:val="24"/>
  </w:num>
  <w:num w:numId="50">
    <w:abstractNumId w:val="8"/>
  </w:num>
  <w:num w:numId="51">
    <w:abstractNumId w:val="8"/>
  </w:num>
  <w:num w:numId="52">
    <w:abstractNumId w:val="7"/>
  </w:num>
  <w:num w:numId="53">
    <w:abstractNumId w:val="8"/>
  </w:num>
  <w:num w:numId="54">
    <w:abstractNumId w:val="16"/>
  </w:num>
  <w:num w:numId="55">
    <w:abstractNumId w:val="20"/>
  </w:num>
  <w:num w:numId="56">
    <w:abstractNumId w:val="9"/>
  </w:num>
  <w:num w:numId="57">
    <w:abstractNumId w:val="31"/>
  </w:num>
  <w:num w:numId="58">
    <w:abstractNumId w:val="11"/>
  </w:num>
  <w:num w:numId="59">
    <w:abstractNumId w:val="32"/>
  </w:num>
  <w:num w:numId="60">
    <w:abstractNumId w:val="12"/>
  </w:num>
  <w:num w:numId="61">
    <w:abstractNumId w:val="34"/>
  </w:num>
  <w:num w:numId="62">
    <w:abstractNumId w:val="27"/>
  </w:num>
  <w:num w:numId="63">
    <w:abstractNumId w:val="39"/>
  </w:num>
  <w:num w:numId="64">
    <w:abstractNumId w:val="15"/>
  </w:num>
  <w:num w:numId="65">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26"/>
    <w:rsid w:val="000001F3"/>
    <w:rsid w:val="0000114B"/>
    <w:rsid w:val="00003984"/>
    <w:rsid w:val="0000412D"/>
    <w:rsid w:val="00005C3D"/>
    <w:rsid w:val="00006849"/>
    <w:rsid w:val="000104A8"/>
    <w:rsid w:val="00010E49"/>
    <w:rsid w:val="00011518"/>
    <w:rsid w:val="00011C2F"/>
    <w:rsid w:val="00012035"/>
    <w:rsid w:val="000140B8"/>
    <w:rsid w:val="0001440C"/>
    <w:rsid w:val="00014423"/>
    <w:rsid w:val="00014C78"/>
    <w:rsid w:val="0001591E"/>
    <w:rsid w:val="00017B03"/>
    <w:rsid w:val="00020070"/>
    <w:rsid w:val="0002040F"/>
    <w:rsid w:val="000219EB"/>
    <w:rsid w:val="00023683"/>
    <w:rsid w:val="000236B1"/>
    <w:rsid w:val="00023C94"/>
    <w:rsid w:val="00024073"/>
    <w:rsid w:val="000243BC"/>
    <w:rsid w:val="00024B1A"/>
    <w:rsid w:val="00024C4A"/>
    <w:rsid w:val="000256C2"/>
    <w:rsid w:val="00025BD4"/>
    <w:rsid w:val="00026106"/>
    <w:rsid w:val="0002773E"/>
    <w:rsid w:val="000302E5"/>
    <w:rsid w:val="00030703"/>
    <w:rsid w:val="00034DE2"/>
    <w:rsid w:val="00035726"/>
    <w:rsid w:val="00035F7B"/>
    <w:rsid w:val="00036269"/>
    <w:rsid w:val="00037DFB"/>
    <w:rsid w:val="00042468"/>
    <w:rsid w:val="00042711"/>
    <w:rsid w:val="000435D8"/>
    <w:rsid w:val="00043D82"/>
    <w:rsid w:val="0004431F"/>
    <w:rsid w:val="0004445D"/>
    <w:rsid w:val="0004465F"/>
    <w:rsid w:val="00045FFA"/>
    <w:rsid w:val="0004651D"/>
    <w:rsid w:val="00046B24"/>
    <w:rsid w:val="00050F60"/>
    <w:rsid w:val="0005101A"/>
    <w:rsid w:val="00053A7C"/>
    <w:rsid w:val="00054567"/>
    <w:rsid w:val="00054DED"/>
    <w:rsid w:val="00055196"/>
    <w:rsid w:val="000551C9"/>
    <w:rsid w:val="00055779"/>
    <w:rsid w:val="00056AD1"/>
    <w:rsid w:val="00057248"/>
    <w:rsid w:val="00060186"/>
    <w:rsid w:val="00060998"/>
    <w:rsid w:val="00060FDE"/>
    <w:rsid w:val="000618EA"/>
    <w:rsid w:val="00061AE8"/>
    <w:rsid w:val="0006276B"/>
    <w:rsid w:val="00064102"/>
    <w:rsid w:val="00065B84"/>
    <w:rsid w:val="00066D6C"/>
    <w:rsid w:val="000672D1"/>
    <w:rsid w:val="00067F67"/>
    <w:rsid w:val="00067FBE"/>
    <w:rsid w:val="0007257E"/>
    <w:rsid w:val="000725C7"/>
    <w:rsid w:val="00072B85"/>
    <w:rsid w:val="00072B92"/>
    <w:rsid w:val="000738AE"/>
    <w:rsid w:val="0007452A"/>
    <w:rsid w:val="00075ABE"/>
    <w:rsid w:val="000772DF"/>
    <w:rsid w:val="0007790E"/>
    <w:rsid w:val="00080725"/>
    <w:rsid w:val="0008074E"/>
    <w:rsid w:val="00081610"/>
    <w:rsid w:val="00081EA6"/>
    <w:rsid w:val="0008328C"/>
    <w:rsid w:val="000877FD"/>
    <w:rsid w:val="0009214D"/>
    <w:rsid w:val="00094AAF"/>
    <w:rsid w:val="00095805"/>
    <w:rsid w:val="00095B52"/>
    <w:rsid w:val="0009610C"/>
    <w:rsid w:val="00097C02"/>
    <w:rsid w:val="000A0900"/>
    <w:rsid w:val="000A1246"/>
    <w:rsid w:val="000A1EEE"/>
    <w:rsid w:val="000A2120"/>
    <w:rsid w:val="000A366A"/>
    <w:rsid w:val="000A65C6"/>
    <w:rsid w:val="000B1A1C"/>
    <w:rsid w:val="000B1C2C"/>
    <w:rsid w:val="000B216A"/>
    <w:rsid w:val="000B22CB"/>
    <w:rsid w:val="000B34DF"/>
    <w:rsid w:val="000B5BA0"/>
    <w:rsid w:val="000B60FB"/>
    <w:rsid w:val="000B6478"/>
    <w:rsid w:val="000B6F1A"/>
    <w:rsid w:val="000B79B8"/>
    <w:rsid w:val="000C1C92"/>
    <w:rsid w:val="000C276B"/>
    <w:rsid w:val="000C2C70"/>
    <w:rsid w:val="000C3790"/>
    <w:rsid w:val="000C3879"/>
    <w:rsid w:val="000C4228"/>
    <w:rsid w:val="000C4401"/>
    <w:rsid w:val="000D12EF"/>
    <w:rsid w:val="000D188E"/>
    <w:rsid w:val="000D2067"/>
    <w:rsid w:val="000D20CE"/>
    <w:rsid w:val="000D2A92"/>
    <w:rsid w:val="000D2E63"/>
    <w:rsid w:val="000D3727"/>
    <w:rsid w:val="000D43E5"/>
    <w:rsid w:val="000D470A"/>
    <w:rsid w:val="000D52AB"/>
    <w:rsid w:val="000D5F81"/>
    <w:rsid w:val="000D64C3"/>
    <w:rsid w:val="000D73AC"/>
    <w:rsid w:val="000D7AC0"/>
    <w:rsid w:val="000E09E4"/>
    <w:rsid w:val="000E1CE5"/>
    <w:rsid w:val="000E1DD0"/>
    <w:rsid w:val="000E2458"/>
    <w:rsid w:val="000E4F02"/>
    <w:rsid w:val="000E5DC5"/>
    <w:rsid w:val="000E69DA"/>
    <w:rsid w:val="000E72A9"/>
    <w:rsid w:val="000F15C0"/>
    <w:rsid w:val="000F17A2"/>
    <w:rsid w:val="000F1E4E"/>
    <w:rsid w:val="000F2CCE"/>
    <w:rsid w:val="000F392E"/>
    <w:rsid w:val="000F417A"/>
    <w:rsid w:val="000F5322"/>
    <w:rsid w:val="000F53F4"/>
    <w:rsid w:val="000F5763"/>
    <w:rsid w:val="000F660D"/>
    <w:rsid w:val="000F7F10"/>
    <w:rsid w:val="000F7F11"/>
    <w:rsid w:val="00100333"/>
    <w:rsid w:val="00100C50"/>
    <w:rsid w:val="00102894"/>
    <w:rsid w:val="0010492B"/>
    <w:rsid w:val="00105E0E"/>
    <w:rsid w:val="001065B4"/>
    <w:rsid w:val="00106D77"/>
    <w:rsid w:val="001100E8"/>
    <w:rsid w:val="001113D6"/>
    <w:rsid w:val="001119BB"/>
    <w:rsid w:val="00112082"/>
    <w:rsid w:val="00112129"/>
    <w:rsid w:val="0011509C"/>
    <w:rsid w:val="00117341"/>
    <w:rsid w:val="001176D3"/>
    <w:rsid w:val="0011784B"/>
    <w:rsid w:val="0012049B"/>
    <w:rsid w:val="00121450"/>
    <w:rsid w:val="00121643"/>
    <w:rsid w:val="0012585B"/>
    <w:rsid w:val="00126B7F"/>
    <w:rsid w:val="00131402"/>
    <w:rsid w:val="0013302E"/>
    <w:rsid w:val="0013399D"/>
    <w:rsid w:val="00133CAD"/>
    <w:rsid w:val="00134B60"/>
    <w:rsid w:val="0013667D"/>
    <w:rsid w:val="00137C5B"/>
    <w:rsid w:val="0014027D"/>
    <w:rsid w:val="001405E4"/>
    <w:rsid w:val="00140BEB"/>
    <w:rsid w:val="001419A6"/>
    <w:rsid w:val="00142A07"/>
    <w:rsid w:val="00143143"/>
    <w:rsid w:val="00144738"/>
    <w:rsid w:val="00144ABD"/>
    <w:rsid w:val="00144FB3"/>
    <w:rsid w:val="001450A5"/>
    <w:rsid w:val="001463EF"/>
    <w:rsid w:val="001466C2"/>
    <w:rsid w:val="001510D7"/>
    <w:rsid w:val="0015124E"/>
    <w:rsid w:val="0015161B"/>
    <w:rsid w:val="00152799"/>
    <w:rsid w:val="00152CF7"/>
    <w:rsid w:val="0015378C"/>
    <w:rsid w:val="00154261"/>
    <w:rsid w:val="0015445A"/>
    <w:rsid w:val="00154FE3"/>
    <w:rsid w:val="00157CCD"/>
    <w:rsid w:val="001617AD"/>
    <w:rsid w:val="00161817"/>
    <w:rsid w:val="001618ED"/>
    <w:rsid w:val="00161A85"/>
    <w:rsid w:val="00161D25"/>
    <w:rsid w:val="00163152"/>
    <w:rsid w:val="00163DFE"/>
    <w:rsid w:val="00164647"/>
    <w:rsid w:val="001647F9"/>
    <w:rsid w:val="00165373"/>
    <w:rsid w:val="00166302"/>
    <w:rsid w:val="00167722"/>
    <w:rsid w:val="0017010F"/>
    <w:rsid w:val="00170338"/>
    <w:rsid w:val="0017144A"/>
    <w:rsid w:val="00171D93"/>
    <w:rsid w:val="00172041"/>
    <w:rsid w:val="001721B0"/>
    <w:rsid w:val="00172C43"/>
    <w:rsid w:val="00174EA4"/>
    <w:rsid w:val="0017571C"/>
    <w:rsid w:val="00176904"/>
    <w:rsid w:val="001775D1"/>
    <w:rsid w:val="001803B8"/>
    <w:rsid w:val="00180BAE"/>
    <w:rsid w:val="001810C9"/>
    <w:rsid w:val="001811A7"/>
    <w:rsid w:val="001812C8"/>
    <w:rsid w:val="00181DF1"/>
    <w:rsid w:val="00184254"/>
    <w:rsid w:val="001845F2"/>
    <w:rsid w:val="00186045"/>
    <w:rsid w:val="00186382"/>
    <w:rsid w:val="00187FA3"/>
    <w:rsid w:val="0019101F"/>
    <w:rsid w:val="00191266"/>
    <w:rsid w:val="001920C3"/>
    <w:rsid w:val="00192663"/>
    <w:rsid w:val="001934D4"/>
    <w:rsid w:val="00193BC7"/>
    <w:rsid w:val="00194AFF"/>
    <w:rsid w:val="0019583B"/>
    <w:rsid w:val="00196662"/>
    <w:rsid w:val="00196ACF"/>
    <w:rsid w:val="00197045"/>
    <w:rsid w:val="001A03E4"/>
    <w:rsid w:val="001A2085"/>
    <w:rsid w:val="001A2BA5"/>
    <w:rsid w:val="001A352D"/>
    <w:rsid w:val="001A5179"/>
    <w:rsid w:val="001A5889"/>
    <w:rsid w:val="001A7461"/>
    <w:rsid w:val="001B1AA9"/>
    <w:rsid w:val="001B2A65"/>
    <w:rsid w:val="001B2BAB"/>
    <w:rsid w:val="001B2DED"/>
    <w:rsid w:val="001B47E9"/>
    <w:rsid w:val="001B4B96"/>
    <w:rsid w:val="001B5746"/>
    <w:rsid w:val="001B6578"/>
    <w:rsid w:val="001B65AC"/>
    <w:rsid w:val="001B726D"/>
    <w:rsid w:val="001B7667"/>
    <w:rsid w:val="001C053B"/>
    <w:rsid w:val="001C0555"/>
    <w:rsid w:val="001C1FEB"/>
    <w:rsid w:val="001C239E"/>
    <w:rsid w:val="001C329F"/>
    <w:rsid w:val="001C39B4"/>
    <w:rsid w:val="001C3DDC"/>
    <w:rsid w:val="001C4C69"/>
    <w:rsid w:val="001D0C78"/>
    <w:rsid w:val="001D1553"/>
    <w:rsid w:val="001D238D"/>
    <w:rsid w:val="001D2B63"/>
    <w:rsid w:val="001D471D"/>
    <w:rsid w:val="001D49C3"/>
    <w:rsid w:val="001D4F95"/>
    <w:rsid w:val="001D5379"/>
    <w:rsid w:val="001D5B0E"/>
    <w:rsid w:val="001D6060"/>
    <w:rsid w:val="001D61A1"/>
    <w:rsid w:val="001D6406"/>
    <w:rsid w:val="001E0FE4"/>
    <w:rsid w:val="001E18FB"/>
    <w:rsid w:val="001E2428"/>
    <w:rsid w:val="001E2AA4"/>
    <w:rsid w:val="001E2D55"/>
    <w:rsid w:val="001E4BEB"/>
    <w:rsid w:val="001E4EB9"/>
    <w:rsid w:val="001E5B08"/>
    <w:rsid w:val="001E630D"/>
    <w:rsid w:val="001E6B88"/>
    <w:rsid w:val="001F0BAC"/>
    <w:rsid w:val="001F3A40"/>
    <w:rsid w:val="001F3B29"/>
    <w:rsid w:val="001F512D"/>
    <w:rsid w:val="001F51F7"/>
    <w:rsid w:val="001F6599"/>
    <w:rsid w:val="001F748B"/>
    <w:rsid w:val="001F7EA0"/>
    <w:rsid w:val="00200367"/>
    <w:rsid w:val="002006B3"/>
    <w:rsid w:val="00200A1A"/>
    <w:rsid w:val="0020112A"/>
    <w:rsid w:val="00202106"/>
    <w:rsid w:val="00202418"/>
    <w:rsid w:val="00202C30"/>
    <w:rsid w:val="00202F6F"/>
    <w:rsid w:val="002046CA"/>
    <w:rsid w:val="0020567C"/>
    <w:rsid w:val="002063BB"/>
    <w:rsid w:val="002071BE"/>
    <w:rsid w:val="00211A67"/>
    <w:rsid w:val="00212ED8"/>
    <w:rsid w:val="00213AAA"/>
    <w:rsid w:val="00214621"/>
    <w:rsid w:val="00216A3A"/>
    <w:rsid w:val="00217C68"/>
    <w:rsid w:val="002223DE"/>
    <w:rsid w:val="002224D2"/>
    <w:rsid w:val="00222DA1"/>
    <w:rsid w:val="00226C96"/>
    <w:rsid w:val="0022771B"/>
    <w:rsid w:val="00230620"/>
    <w:rsid w:val="00231467"/>
    <w:rsid w:val="00232382"/>
    <w:rsid w:val="002349AC"/>
    <w:rsid w:val="00235D47"/>
    <w:rsid w:val="00236AFE"/>
    <w:rsid w:val="00236DF0"/>
    <w:rsid w:val="0024143F"/>
    <w:rsid w:val="002416A4"/>
    <w:rsid w:val="00241E13"/>
    <w:rsid w:val="00243BC9"/>
    <w:rsid w:val="0024420B"/>
    <w:rsid w:val="002443F9"/>
    <w:rsid w:val="00247672"/>
    <w:rsid w:val="0024796B"/>
    <w:rsid w:val="00250FD2"/>
    <w:rsid w:val="0025345F"/>
    <w:rsid w:val="002537C6"/>
    <w:rsid w:val="0025389C"/>
    <w:rsid w:val="00254709"/>
    <w:rsid w:val="00254786"/>
    <w:rsid w:val="0025488C"/>
    <w:rsid w:val="0025532C"/>
    <w:rsid w:val="0025710F"/>
    <w:rsid w:val="00257BDC"/>
    <w:rsid w:val="002611C6"/>
    <w:rsid w:val="00262859"/>
    <w:rsid w:val="00262C43"/>
    <w:rsid w:val="002633F0"/>
    <w:rsid w:val="00263E6D"/>
    <w:rsid w:val="002646AE"/>
    <w:rsid w:val="00265165"/>
    <w:rsid w:val="00265341"/>
    <w:rsid w:val="00265C93"/>
    <w:rsid w:val="0026734D"/>
    <w:rsid w:val="00267DDE"/>
    <w:rsid w:val="00270B69"/>
    <w:rsid w:val="00270F88"/>
    <w:rsid w:val="0027166E"/>
    <w:rsid w:val="00272734"/>
    <w:rsid w:val="00272CB2"/>
    <w:rsid w:val="00273869"/>
    <w:rsid w:val="002747A0"/>
    <w:rsid w:val="002763A5"/>
    <w:rsid w:val="002768C4"/>
    <w:rsid w:val="00276CE1"/>
    <w:rsid w:val="002773B8"/>
    <w:rsid w:val="0028096D"/>
    <w:rsid w:val="00281DFB"/>
    <w:rsid w:val="0028265B"/>
    <w:rsid w:val="00283178"/>
    <w:rsid w:val="00283682"/>
    <w:rsid w:val="0028387B"/>
    <w:rsid w:val="002838BE"/>
    <w:rsid w:val="00284CF6"/>
    <w:rsid w:val="00284F7B"/>
    <w:rsid w:val="00285194"/>
    <w:rsid w:val="002851EA"/>
    <w:rsid w:val="00292220"/>
    <w:rsid w:val="002926FC"/>
    <w:rsid w:val="002943B4"/>
    <w:rsid w:val="0029601A"/>
    <w:rsid w:val="002973FB"/>
    <w:rsid w:val="00297471"/>
    <w:rsid w:val="00297569"/>
    <w:rsid w:val="002A077A"/>
    <w:rsid w:val="002A24F6"/>
    <w:rsid w:val="002A399C"/>
    <w:rsid w:val="002A3B93"/>
    <w:rsid w:val="002A3CC1"/>
    <w:rsid w:val="002A3F43"/>
    <w:rsid w:val="002A4521"/>
    <w:rsid w:val="002A5F62"/>
    <w:rsid w:val="002A60EC"/>
    <w:rsid w:val="002A6C88"/>
    <w:rsid w:val="002A7557"/>
    <w:rsid w:val="002B1436"/>
    <w:rsid w:val="002B208E"/>
    <w:rsid w:val="002B2A71"/>
    <w:rsid w:val="002B2AC1"/>
    <w:rsid w:val="002B2D6F"/>
    <w:rsid w:val="002B2DFB"/>
    <w:rsid w:val="002B3946"/>
    <w:rsid w:val="002B3CC6"/>
    <w:rsid w:val="002B3FFF"/>
    <w:rsid w:val="002B4EBA"/>
    <w:rsid w:val="002B5000"/>
    <w:rsid w:val="002B7730"/>
    <w:rsid w:val="002B792B"/>
    <w:rsid w:val="002C0C0D"/>
    <w:rsid w:val="002C0CDF"/>
    <w:rsid w:val="002C147D"/>
    <w:rsid w:val="002C14D8"/>
    <w:rsid w:val="002C14F2"/>
    <w:rsid w:val="002C33F9"/>
    <w:rsid w:val="002C3A46"/>
    <w:rsid w:val="002C44F6"/>
    <w:rsid w:val="002C4D28"/>
    <w:rsid w:val="002C4F40"/>
    <w:rsid w:val="002C5B48"/>
    <w:rsid w:val="002C6AE0"/>
    <w:rsid w:val="002C7666"/>
    <w:rsid w:val="002C7E96"/>
    <w:rsid w:val="002D1CCE"/>
    <w:rsid w:val="002D2DD2"/>
    <w:rsid w:val="002D4BF1"/>
    <w:rsid w:val="002D4C47"/>
    <w:rsid w:val="002D5FF3"/>
    <w:rsid w:val="002D636E"/>
    <w:rsid w:val="002D6404"/>
    <w:rsid w:val="002D6798"/>
    <w:rsid w:val="002E02A4"/>
    <w:rsid w:val="002E0F02"/>
    <w:rsid w:val="002E12DD"/>
    <w:rsid w:val="002E302A"/>
    <w:rsid w:val="002E43F8"/>
    <w:rsid w:val="002E4987"/>
    <w:rsid w:val="002E5429"/>
    <w:rsid w:val="002E647F"/>
    <w:rsid w:val="002F214F"/>
    <w:rsid w:val="002F245F"/>
    <w:rsid w:val="002F33FA"/>
    <w:rsid w:val="002F6CA1"/>
    <w:rsid w:val="002F70B0"/>
    <w:rsid w:val="002F781C"/>
    <w:rsid w:val="00300F5B"/>
    <w:rsid w:val="00301C71"/>
    <w:rsid w:val="00301C8D"/>
    <w:rsid w:val="0030214D"/>
    <w:rsid w:val="00303A95"/>
    <w:rsid w:val="00304352"/>
    <w:rsid w:val="00304DC6"/>
    <w:rsid w:val="0030548C"/>
    <w:rsid w:val="00305800"/>
    <w:rsid w:val="00306237"/>
    <w:rsid w:val="003062E1"/>
    <w:rsid w:val="003068E5"/>
    <w:rsid w:val="0031155B"/>
    <w:rsid w:val="00311FC7"/>
    <w:rsid w:val="003129E0"/>
    <w:rsid w:val="00312B56"/>
    <w:rsid w:val="00312E2F"/>
    <w:rsid w:val="00313052"/>
    <w:rsid w:val="003137E2"/>
    <w:rsid w:val="003160F3"/>
    <w:rsid w:val="00317020"/>
    <w:rsid w:val="003204EA"/>
    <w:rsid w:val="00320C6F"/>
    <w:rsid w:val="003222C1"/>
    <w:rsid w:val="00322445"/>
    <w:rsid w:val="003241BC"/>
    <w:rsid w:val="00324B79"/>
    <w:rsid w:val="003253A2"/>
    <w:rsid w:val="003258D7"/>
    <w:rsid w:val="00327E7D"/>
    <w:rsid w:val="00330D3A"/>
    <w:rsid w:val="0033215D"/>
    <w:rsid w:val="003329D1"/>
    <w:rsid w:val="00332FA4"/>
    <w:rsid w:val="00335B74"/>
    <w:rsid w:val="003363CE"/>
    <w:rsid w:val="00336C8B"/>
    <w:rsid w:val="003405C7"/>
    <w:rsid w:val="00341B20"/>
    <w:rsid w:val="00341C41"/>
    <w:rsid w:val="00342501"/>
    <w:rsid w:val="003433C2"/>
    <w:rsid w:val="00343E71"/>
    <w:rsid w:val="0034734F"/>
    <w:rsid w:val="0034770E"/>
    <w:rsid w:val="00347768"/>
    <w:rsid w:val="003477DC"/>
    <w:rsid w:val="00347E58"/>
    <w:rsid w:val="0035082A"/>
    <w:rsid w:val="00351578"/>
    <w:rsid w:val="00352853"/>
    <w:rsid w:val="00352B71"/>
    <w:rsid w:val="00353E74"/>
    <w:rsid w:val="003551F3"/>
    <w:rsid w:val="00355B51"/>
    <w:rsid w:val="00355C67"/>
    <w:rsid w:val="00356759"/>
    <w:rsid w:val="00357160"/>
    <w:rsid w:val="00360120"/>
    <w:rsid w:val="00360DF2"/>
    <w:rsid w:val="0036164B"/>
    <w:rsid w:val="0036379E"/>
    <w:rsid w:val="00364790"/>
    <w:rsid w:val="00365878"/>
    <w:rsid w:val="0036776E"/>
    <w:rsid w:val="00370C7D"/>
    <w:rsid w:val="00370E03"/>
    <w:rsid w:val="00371972"/>
    <w:rsid w:val="00371C1C"/>
    <w:rsid w:val="003730C5"/>
    <w:rsid w:val="00373A80"/>
    <w:rsid w:val="0037447C"/>
    <w:rsid w:val="003744F5"/>
    <w:rsid w:val="00377148"/>
    <w:rsid w:val="0038044C"/>
    <w:rsid w:val="00380A9D"/>
    <w:rsid w:val="00380E1A"/>
    <w:rsid w:val="0038235C"/>
    <w:rsid w:val="00382893"/>
    <w:rsid w:val="00382D0A"/>
    <w:rsid w:val="003833D3"/>
    <w:rsid w:val="00383582"/>
    <w:rsid w:val="0038359F"/>
    <w:rsid w:val="00387381"/>
    <w:rsid w:val="00387851"/>
    <w:rsid w:val="00390674"/>
    <w:rsid w:val="00390EBB"/>
    <w:rsid w:val="00391C8F"/>
    <w:rsid w:val="00391FF1"/>
    <w:rsid w:val="0039205E"/>
    <w:rsid w:val="00393330"/>
    <w:rsid w:val="0039336F"/>
    <w:rsid w:val="0039369B"/>
    <w:rsid w:val="00394C47"/>
    <w:rsid w:val="00394F61"/>
    <w:rsid w:val="00395573"/>
    <w:rsid w:val="00395740"/>
    <w:rsid w:val="0039591E"/>
    <w:rsid w:val="00395D81"/>
    <w:rsid w:val="00396169"/>
    <w:rsid w:val="00396277"/>
    <w:rsid w:val="00396ED0"/>
    <w:rsid w:val="00397F4F"/>
    <w:rsid w:val="003A1037"/>
    <w:rsid w:val="003A1A92"/>
    <w:rsid w:val="003A30B5"/>
    <w:rsid w:val="003A48FE"/>
    <w:rsid w:val="003A5F94"/>
    <w:rsid w:val="003A637B"/>
    <w:rsid w:val="003A6A5F"/>
    <w:rsid w:val="003A701F"/>
    <w:rsid w:val="003A7A08"/>
    <w:rsid w:val="003B1CB2"/>
    <w:rsid w:val="003B2BB8"/>
    <w:rsid w:val="003B6B75"/>
    <w:rsid w:val="003C112C"/>
    <w:rsid w:val="003C1A0F"/>
    <w:rsid w:val="003C3179"/>
    <w:rsid w:val="003C4486"/>
    <w:rsid w:val="003C44D2"/>
    <w:rsid w:val="003D02ED"/>
    <w:rsid w:val="003D060B"/>
    <w:rsid w:val="003D1716"/>
    <w:rsid w:val="003D171A"/>
    <w:rsid w:val="003D19BE"/>
    <w:rsid w:val="003D1AB5"/>
    <w:rsid w:val="003D1E40"/>
    <w:rsid w:val="003D299F"/>
    <w:rsid w:val="003D2AB5"/>
    <w:rsid w:val="003D34FF"/>
    <w:rsid w:val="003D3DC3"/>
    <w:rsid w:val="003D42BA"/>
    <w:rsid w:val="003D4E6B"/>
    <w:rsid w:val="003D5D14"/>
    <w:rsid w:val="003D73B8"/>
    <w:rsid w:val="003D73C2"/>
    <w:rsid w:val="003E0585"/>
    <w:rsid w:val="003E06C2"/>
    <w:rsid w:val="003E1D72"/>
    <w:rsid w:val="003E2B62"/>
    <w:rsid w:val="003E2F65"/>
    <w:rsid w:val="003E34D5"/>
    <w:rsid w:val="003E43B4"/>
    <w:rsid w:val="003E4FAD"/>
    <w:rsid w:val="003F03F6"/>
    <w:rsid w:val="003F1C89"/>
    <w:rsid w:val="003F1E18"/>
    <w:rsid w:val="003F3C38"/>
    <w:rsid w:val="003F474F"/>
    <w:rsid w:val="003F6434"/>
    <w:rsid w:val="003F6749"/>
    <w:rsid w:val="003F76A3"/>
    <w:rsid w:val="0040010F"/>
    <w:rsid w:val="00400256"/>
    <w:rsid w:val="00400E12"/>
    <w:rsid w:val="00400EB1"/>
    <w:rsid w:val="004012EC"/>
    <w:rsid w:val="0040181E"/>
    <w:rsid w:val="00402257"/>
    <w:rsid w:val="0040302B"/>
    <w:rsid w:val="00403B53"/>
    <w:rsid w:val="00404650"/>
    <w:rsid w:val="00405C35"/>
    <w:rsid w:val="00406381"/>
    <w:rsid w:val="00406971"/>
    <w:rsid w:val="00406BF5"/>
    <w:rsid w:val="004078D9"/>
    <w:rsid w:val="00407BB2"/>
    <w:rsid w:val="00410E81"/>
    <w:rsid w:val="004117B4"/>
    <w:rsid w:val="00412328"/>
    <w:rsid w:val="00412E06"/>
    <w:rsid w:val="0041331B"/>
    <w:rsid w:val="00413755"/>
    <w:rsid w:val="00413980"/>
    <w:rsid w:val="00413D6D"/>
    <w:rsid w:val="004144D0"/>
    <w:rsid w:val="00414ED3"/>
    <w:rsid w:val="00416BED"/>
    <w:rsid w:val="00416E83"/>
    <w:rsid w:val="0042146C"/>
    <w:rsid w:val="004216BF"/>
    <w:rsid w:val="0042195D"/>
    <w:rsid w:val="00421DBD"/>
    <w:rsid w:val="004233B3"/>
    <w:rsid w:val="00426F36"/>
    <w:rsid w:val="0042742C"/>
    <w:rsid w:val="004302D6"/>
    <w:rsid w:val="004322F1"/>
    <w:rsid w:val="004324F7"/>
    <w:rsid w:val="004332BB"/>
    <w:rsid w:val="00435F0E"/>
    <w:rsid w:val="0043698A"/>
    <w:rsid w:val="00437570"/>
    <w:rsid w:val="0043790A"/>
    <w:rsid w:val="0044069E"/>
    <w:rsid w:val="00440887"/>
    <w:rsid w:val="00440CB8"/>
    <w:rsid w:val="00441851"/>
    <w:rsid w:val="004422F7"/>
    <w:rsid w:val="00444218"/>
    <w:rsid w:val="004445E9"/>
    <w:rsid w:val="004447B3"/>
    <w:rsid w:val="0044675C"/>
    <w:rsid w:val="00447A96"/>
    <w:rsid w:val="004503AA"/>
    <w:rsid w:val="00450415"/>
    <w:rsid w:val="004505F3"/>
    <w:rsid w:val="00450F54"/>
    <w:rsid w:val="0045118D"/>
    <w:rsid w:val="00452E24"/>
    <w:rsid w:val="00453316"/>
    <w:rsid w:val="004534A4"/>
    <w:rsid w:val="00454A1C"/>
    <w:rsid w:val="00456209"/>
    <w:rsid w:val="00460C9C"/>
    <w:rsid w:val="00462EB0"/>
    <w:rsid w:val="00463C52"/>
    <w:rsid w:val="00463CAE"/>
    <w:rsid w:val="00463F5F"/>
    <w:rsid w:val="00464776"/>
    <w:rsid w:val="00464C8D"/>
    <w:rsid w:val="004663CF"/>
    <w:rsid w:val="00470BDC"/>
    <w:rsid w:val="0047141C"/>
    <w:rsid w:val="00471E02"/>
    <w:rsid w:val="004725D0"/>
    <w:rsid w:val="00475088"/>
    <w:rsid w:val="0047550C"/>
    <w:rsid w:val="004763FD"/>
    <w:rsid w:val="004801AA"/>
    <w:rsid w:val="00481E08"/>
    <w:rsid w:val="0048333F"/>
    <w:rsid w:val="0048409A"/>
    <w:rsid w:val="00485715"/>
    <w:rsid w:val="00486B2D"/>
    <w:rsid w:val="004873C4"/>
    <w:rsid w:val="004875B4"/>
    <w:rsid w:val="0049036B"/>
    <w:rsid w:val="004906BF"/>
    <w:rsid w:val="004910BD"/>
    <w:rsid w:val="00491A9B"/>
    <w:rsid w:val="00491EF3"/>
    <w:rsid w:val="00492639"/>
    <w:rsid w:val="0049609C"/>
    <w:rsid w:val="004964D1"/>
    <w:rsid w:val="004964F4"/>
    <w:rsid w:val="00496AD8"/>
    <w:rsid w:val="00496B0C"/>
    <w:rsid w:val="00497397"/>
    <w:rsid w:val="00497E2B"/>
    <w:rsid w:val="004A0573"/>
    <w:rsid w:val="004A0778"/>
    <w:rsid w:val="004A0D35"/>
    <w:rsid w:val="004A2AE3"/>
    <w:rsid w:val="004A57E2"/>
    <w:rsid w:val="004A6564"/>
    <w:rsid w:val="004A68B3"/>
    <w:rsid w:val="004A6C0A"/>
    <w:rsid w:val="004A72CD"/>
    <w:rsid w:val="004A7C33"/>
    <w:rsid w:val="004B06CD"/>
    <w:rsid w:val="004B143C"/>
    <w:rsid w:val="004B1916"/>
    <w:rsid w:val="004B3B15"/>
    <w:rsid w:val="004B4881"/>
    <w:rsid w:val="004B4DB5"/>
    <w:rsid w:val="004B52D9"/>
    <w:rsid w:val="004B54CA"/>
    <w:rsid w:val="004B54E1"/>
    <w:rsid w:val="004B637B"/>
    <w:rsid w:val="004B7294"/>
    <w:rsid w:val="004C1A0C"/>
    <w:rsid w:val="004C2716"/>
    <w:rsid w:val="004C6723"/>
    <w:rsid w:val="004D1BD5"/>
    <w:rsid w:val="004D3A97"/>
    <w:rsid w:val="004D4A4A"/>
    <w:rsid w:val="004D55E6"/>
    <w:rsid w:val="004D5AB0"/>
    <w:rsid w:val="004D5F7E"/>
    <w:rsid w:val="004D61A1"/>
    <w:rsid w:val="004D7BA2"/>
    <w:rsid w:val="004E0A20"/>
    <w:rsid w:val="004E10EE"/>
    <w:rsid w:val="004E1899"/>
    <w:rsid w:val="004E1F58"/>
    <w:rsid w:val="004E2B97"/>
    <w:rsid w:val="004E3250"/>
    <w:rsid w:val="004E37CD"/>
    <w:rsid w:val="004E3E5A"/>
    <w:rsid w:val="004E5130"/>
    <w:rsid w:val="004E5A28"/>
    <w:rsid w:val="004E5CBF"/>
    <w:rsid w:val="004E693D"/>
    <w:rsid w:val="004E6B0D"/>
    <w:rsid w:val="004E774C"/>
    <w:rsid w:val="004E789D"/>
    <w:rsid w:val="004F0136"/>
    <w:rsid w:val="004F08BB"/>
    <w:rsid w:val="004F199B"/>
    <w:rsid w:val="004F1BBA"/>
    <w:rsid w:val="004F2B8D"/>
    <w:rsid w:val="004F4705"/>
    <w:rsid w:val="004F4C76"/>
    <w:rsid w:val="004F4D30"/>
    <w:rsid w:val="004F5821"/>
    <w:rsid w:val="004F58E8"/>
    <w:rsid w:val="004F715E"/>
    <w:rsid w:val="004F77F4"/>
    <w:rsid w:val="004F78B5"/>
    <w:rsid w:val="004F7E36"/>
    <w:rsid w:val="004F7E87"/>
    <w:rsid w:val="00500A56"/>
    <w:rsid w:val="0050100C"/>
    <w:rsid w:val="0050273B"/>
    <w:rsid w:val="00502EC8"/>
    <w:rsid w:val="0050342F"/>
    <w:rsid w:val="005045D2"/>
    <w:rsid w:val="00505214"/>
    <w:rsid w:val="00505CA7"/>
    <w:rsid w:val="0050664B"/>
    <w:rsid w:val="00506B6F"/>
    <w:rsid w:val="00507C12"/>
    <w:rsid w:val="00507D6C"/>
    <w:rsid w:val="005104A8"/>
    <w:rsid w:val="00510861"/>
    <w:rsid w:val="005109E5"/>
    <w:rsid w:val="00511918"/>
    <w:rsid w:val="00511B5B"/>
    <w:rsid w:val="0051375B"/>
    <w:rsid w:val="005138E6"/>
    <w:rsid w:val="00514D1B"/>
    <w:rsid w:val="0051538D"/>
    <w:rsid w:val="0051666F"/>
    <w:rsid w:val="00517AE4"/>
    <w:rsid w:val="00517CB5"/>
    <w:rsid w:val="005206F0"/>
    <w:rsid w:val="00523721"/>
    <w:rsid w:val="005248A2"/>
    <w:rsid w:val="00524927"/>
    <w:rsid w:val="0052719C"/>
    <w:rsid w:val="00530BED"/>
    <w:rsid w:val="00530C2F"/>
    <w:rsid w:val="00531C1F"/>
    <w:rsid w:val="0053283F"/>
    <w:rsid w:val="00533F37"/>
    <w:rsid w:val="005350B1"/>
    <w:rsid w:val="0053752B"/>
    <w:rsid w:val="005404CD"/>
    <w:rsid w:val="005410B2"/>
    <w:rsid w:val="005411C0"/>
    <w:rsid w:val="00541574"/>
    <w:rsid w:val="00543AC9"/>
    <w:rsid w:val="00545CA1"/>
    <w:rsid w:val="005470A0"/>
    <w:rsid w:val="0054713E"/>
    <w:rsid w:val="0054763A"/>
    <w:rsid w:val="005479A0"/>
    <w:rsid w:val="005510B5"/>
    <w:rsid w:val="005514ED"/>
    <w:rsid w:val="00551EB2"/>
    <w:rsid w:val="00552386"/>
    <w:rsid w:val="00553C28"/>
    <w:rsid w:val="005540B8"/>
    <w:rsid w:val="00554DA7"/>
    <w:rsid w:val="00554ECD"/>
    <w:rsid w:val="0055534E"/>
    <w:rsid w:val="00555498"/>
    <w:rsid w:val="00555AA2"/>
    <w:rsid w:val="005569CC"/>
    <w:rsid w:val="00560BBD"/>
    <w:rsid w:val="00560BEB"/>
    <w:rsid w:val="00562633"/>
    <w:rsid w:val="00562885"/>
    <w:rsid w:val="00563811"/>
    <w:rsid w:val="005654C4"/>
    <w:rsid w:val="0056568D"/>
    <w:rsid w:val="00565C89"/>
    <w:rsid w:val="00566C45"/>
    <w:rsid w:val="00567053"/>
    <w:rsid w:val="005734CD"/>
    <w:rsid w:val="005747E8"/>
    <w:rsid w:val="00575CC6"/>
    <w:rsid w:val="00576222"/>
    <w:rsid w:val="00576353"/>
    <w:rsid w:val="0057722E"/>
    <w:rsid w:val="00577EBC"/>
    <w:rsid w:val="005819A8"/>
    <w:rsid w:val="00581B1F"/>
    <w:rsid w:val="00584FC1"/>
    <w:rsid w:val="00586246"/>
    <w:rsid w:val="00587309"/>
    <w:rsid w:val="0058741B"/>
    <w:rsid w:val="005877DC"/>
    <w:rsid w:val="0059056D"/>
    <w:rsid w:val="00590C51"/>
    <w:rsid w:val="0059104C"/>
    <w:rsid w:val="00591321"/>
    <w:rsid w:val="0059201A"/>
    <w:rsid w:val="005922D9"/>
    <w:rsid w:val="0059418A"/>
    <w:rsid w:val="00594D9B"/>
    <w:rsid w:val="005A12EC"/>
    <w:rsid w:val="005A183F"/>
    <w:rsid w:val="005A2E0B"/>
    <w:rsid w:val="005A4C3E"/>
    <w:rsid w:val="005A4E7B"/>
    <w:rsid w:val="005A5D20"/>
    <w:rsid w:val="005A79E1"/>
    <w:rsid w:val="005B12E9"/>
    <w:rsid w:val="005B134C"/>
    <w:rsid w:val="005B248D"/>
    <w:rsid w:val="005B2943"/>
    <w:rsid w:val="005B405E"/>
    <w:rsid w:val="005B4C39"/>
    <w:rsid w:val="005B4D73"/>
    <w:rsid w:val="005B5E13"/>
    <w:rsid w:val="005B6F7D"/>
    <w:rsid w:val="005C0409"/>
    <w:rsid w:val="005C11CF"/>
    <w:rsid w:val="005C19B1"/>
    <w:rsid w:val="005C3859"/>
    <w:rsid w:val="005C3AA9"/>
    <w:rsid w:val="005C5175"/>
    <w:rsid w:val="005C5D90"/>
    <w:rsid w:val="005C634D"/>
    <w:rsid w:val="005C6BA1"/>
    <w:rsid w:val="005D1A10"/>
    <w:rsid w:val="005D2712"/>
    <w:rsid w:val="005D3024"/>
    <w:rsid w:val="005D5E17"/>
    <w:rsid w:val="005D62E9"/>
    <w:rsid w:val="005D66CC"/>
    <w:rsid w:val="005E02D3"/>
    <w:rsid w:val="005E0BAA"/>
    <w:rsid w:val="005E1AE4"/>
    <w:rsid w:val="005E3409"/>
    <w:rsid w:val="005E468A"/>
    <w:rsid w:val="005F09EB"/>
    <w:rsid w:val="005F1022"/>
    <w:rsid w:val="005F2115"/>
    <w:rsid w:val="005F2B72"/>
    <w:rsid w:val="005F7672"/>
    <w:rsid w:val="005F78FA"/>
    <w:rsid w:val="005F7D00"/>
    <w:rsid w:val="006028BD"/>
    <w:rsid w:val="006033ED"/>
    <w:rsid w:val="00603553"/>
    <w:rsid w:val="00603B57"/>
    <w:rsid w:val="0060585A"/>
    <w:rsid w:val="00606AB3"/>
    <w:rsid w:val="00607C10"/>
    <w:rsid w:val="00610341"/>
    <w:rsid w:val="006122A2"/>
    <w:rsid w:val="0061348B"/>
    <w:rsid w:val="006136F1"/>
    <w:rsid w:val="00613DCE"/>
    <w:rsid w:val="00613F86"/>
    <w:rsid w:val="00613FA5"/>
    <w:rsid w:val="00614168"/>
    <w:rsid w:val="00614B21"/>
    <w:rsid w:val="00621779"/>
    <w:rsid w:val="006217A9"/>
    <w:rsid w:val="00623392"/>
    <w:rsid w:val="00625CB9"/>
    <w:rsid w:val="0062696F"/>
    <w:rsid w:val="006276D3"/>
    <w:rsid w:val="0063033A"/>
    <w:rsid w:val="00632395"/>
    <w:rsid w:val="00632E1D"/>
    <w:rsid w:val="006344CE"/>
    <w:rsid w:val="00634B52"/>
    <w:rsid w:val="0063502E"/>
    <w:rsid w:val="00636806"/>
    <w:rsid w:val="00636F86"/>
    <w:rsid w:val="00637933"/>
    <w:rsid w:val="0064087E"/>
    <w:rsid w:val="00641C64"/>
    <w:rsid w:val="006430B4"/>
    <w:rsid w:val="006438E7"/>
    <w:rsid w:val="00644CB8"/>
    <w:rsid w:val="00644DA5"/>
    <w:rsid w:val="00644DF2"/>
    <w:rsid w:val="00645E85"/>
    <w:rsid w:val="0064714D"/>
    <w:rsid w:val="00650A9D"/>
    <w:rsid w:val="0065475F"/>
    <w:rsid w:val="00655121"/>
    <w:rsid w:val="0065614C"/>
    <w:rsid w:val="00656D8B"/>
    <w:rsid w:val="006572C9"/>
    <w:rsid w:val="0066068E"/>
    <w:rsid w:val="00660768"/>
    <w:rsid w:val="00661D7E"/>
    <w:rsid w:val="00661FEA"/>
    <w:rsid w:val="00663F54"/>
    <w:rsid w:val="00664F88"/>
    <w:rsid w:val="0066623C"/>
    <w:rsid w:val="0066683F"/>
    <w:rsid w:val="006670B0"/>
    <w:rsid w:val="00670E63"/>
    <w:rsid w:val="00671954"/>
    <w:rsid w:val="00672393"/>
    <w:rsid w:val="00674207"/>
    <w:rsid w:val="00674305"/>
    <w:rsid w:val="006743B6"/>
    <w:rsid w:val="00675263"/>
    <w:rsid w:val="00675BE9"/>
    <w:rsid w:val="00676519"/>
    <w:rsid w:val="006800C4"/>
    <w:rsid w:val="00680768"/>
    <w:rsid w:val="00680A83"/>
    <w:rsid w:val="0068149B"/>
    <w:rsid w:val="006818CB"/>
    <w:rsid w:val="00682C85"/>
    <w:rsid w:val="00683023"/>
    <w:rsid w:val="00684A18"/>
    <w:rsid w:val="006854F3"/>
    <w:rsid w:val="00685FBA"/>
    <w:rsid w:val="00690302"/>
    <w:rsid w:val="00692F00"/>
    <w:rsid w:val="00693279"/>
    <w:rsid w:val="006943A5"/>
    <w:rsid w:val="00695045"/>
    <w:rsid w:val="00697641"/>
    <w:rsid w:val="006A0EA2"/>
    <w:rsid w:val="006A22D9"/>
    <w:rsid w:val="006A32C4"/>
    <w:rsid w:val="006A369A"/>
    <w:rsid w:val="006A4CE2"/>
    <w:rsid w:val="006A4CE7"/>
    <w:rsid w:val="006A59D8"/>
    <w:rsid w:val="006A6EA0"/>
    <w:rsid w:val="006A727D"/>
    <w:rsid w:val="006A73E3"/>
    <w:rsid w:val="006B160E"/>
    <w:rsid w:val="006B1A1E"/>
    <w:rsid w:val="006B25B9"/>
    <w:rsid w:val="006B2871"/>
    <w:rsid w:val="006B2C24"/>
    <w:rsid w:val="006B34D6"/>
    <w:rsid w:val="006B36E4"/>
    <w:rsid w:val="006B3840"/>
    <w:rsid w:val="006B3D8A"/>
    <w:rsid w:val="006B4E84"/>
    <w:rsid w:val="006B7023"/>
    <w:rsid w:val="006B7C32"/>
    <w:rsid w:val="006C056A"/>
    <w:rsid w:val="006C101C"/>
    <w:rsid w:val="006C12F7"/>
    <w:rsid w:val="006C1369"/>
    <w:rsid w:val="006C16B2"/>
    <w:rsid w:val="006C1725"/>
    <w:rsid w:val="006C45FE"/>
    <w:rsid w:val="006C51CF"/>
    <w:rsid w:val="006C598C"/>
    <w:rsid w:val="006C5CE4"/>
    <w:rsid w:val="006C5DC6"/>
    <w:rsid w:val="006C5F98"/>
    <w:rsid w:val="006C6034"/>
    <w:rsid w:val="006C61E8"/>
    <w:rsid w:val="006C75D1"/>
    <w:rsid w:val="006C76B0"/>
    <w:rsid w:val="006D2F1A"/>
    <w:rsid w:val="006D3C92"/>
    <w:rsid w:val="006D5B30"/>
    <w:rsid w:val="006D5E39"/>
    <w:rsid w:val="006D61F2"/>
    <w:rsid w:val="006D6BAD"/>
    <w:rsid w:val="006D6C96"/>
    <w:rsid w:val="006D74E8"/>
    <w:rsid w:val="006D766E"/>
    <w:rsid w:val="006E08C5"/>
    <w:rsid w:val="006E0F1D"/>
    <w:rsid w:val="006E1184"/>
    <w:rsid w:val="006E23E3"/>
    <w:rsid w:val="006E3C05"/>
    <w:rsid w:val="006E40C4"/>
    <w:rsid w:val="006E4161"/>
    <w:rsid w:val="006E6190"/>
    <w:rsid w:val="006E6330"/>
    <w:rsid w:val="006E6800"/>
    <w:rsid w:val="006E7B99"/>
    <w:rsid w:val="006E7CA9"/>
    <w:rsid w:val="006F0DD9"/>
    <w:rsid w:val="006F14F1"/>
    <w:rsid w:val="006F15E4"/>
    <w:rsid w:val="006F3A7E"/>
    <w:rsid w:val="006F3D45"/>
    <w:rsid w:val="006F524B"/>
    <w:rsid w:val="006F5509"/>
    <w:rsid w:val="006F6A74"/>
    <w:rsid w:val="006F73AB"/>
    <w:rsid w:val="006F73F7"/>
    <w:rsid w:val="00700764"/>
    <w:rsid w:val="00701E12"/>
    <w:rsid w:val="00703041"/>
    <w:rsid w:val="0070553C"/>
    <w:rsid w:val="00705AEB"/>
    <w:rsid w:val="00705BF6"/>
    <w:rsid w:val="007065F3"/>
    <w:rsid w:val="0070687A"/>
    <w:rsid w:val="007074E6"/>
    <w:rsid w:val="00707F26"/>
    <w:rsid w:val="007104A8"/>
    <w:rsid w:val="0071074E"/>
    <w:rsid w:val="00711D98"/>
    <w:rsid w:val="00712067"/>
    <w:rsid w:val="00712601"/>
    <w:rsid w:val="00714B2D"/>
    <w:rsid w:val="00715B95"/>
    <w:rsid w:val="00715BCB"/>
    <w:rsid w:val="00715F3E"/>
    <w:rsid w:val="00716D34"/>
    <w:rsid w:val="00721A77"/>
    <w:rsid w:val="00721B28"/>
    <w:rsid w:val="00721F96"/>
    <w:rsid w:val="00723C77"/>
    <w:rsid w:val="00726589"/>
    <w:rsid w:val="00726921"/>
    <w:rsid w:val="00727CE4"/>
    <w:rsid w:val="00727ED4"/>
    <w:rsid w:val="007308E6"/>
    <w:rsid w:val="0073320E"/>
    <w:rsid w:val="00733B2F"/>
    <w:rsid w:val="00733CA6"/>
    <w:rsid w:val="00735CEE"/>
    <w:rsid w:val="00735DDC"/>
    <w:rsid w:val="00736C73"/>
    <w:rsid w:val="00736EA2"/>
    <w:rsid w:val="007415AF"/>
    <w:rsid w:val="007437A8"/>
    <w:rsid w:val="007468CC"/>
    <w:rsid w:val="00746CEC"/>
    <w:rsid w:val="00746F4E"/>
    <w:rsid w:val="007476BB"/>
    <w:rsid w:val="00752877"/>
    <w:rsid w:val="00753262"/>
    <w:rsid w:val="00754AF4"/>
    <w:rsid w:val="00754C0C"/>
    <w:rsid w:val="007622A8"/>
    <w:rsid w:val="00762930"/>
    <w:rsid w:val="00762C4F"/>
    <w:rsid w:val="0076343B"/>
    <w:rsid w:val="0076464F"/>
    <w:rsid w:val="00764DF6"/>
    <w:rsid w:val="007660DC"/>
    <w:rsid w:val="00766703"/>
    <w:rsid w:val="00767032"/>
    <w:rsid w:val="00767CD7"/>
    <w:rsid w:val="007710FE"/>
    <w:rsid w:val="007711DC"/>
    <w:rsid w:val="0077173F"/>
    <w:rsid w:val="00772902"/>
    <w:rsid w:val="00772DBE"/>
    <w:rsid w:val="00773CD4"/>
    <w:rsid w:val="00774F19"/>
    <w:rsid w:val="0077543C"/>
    <w:rsid w:val="00775737"/>
    <w:rsid w:val="00777231"/>
    <w:rsid w:val="00780375"/>
    <w:rsid w:val="007817CF"/>
    <w:rsid w:val="00781EEF"/>
    <w:rsid w:val="00783411"/>
    <w:rsid w:val="0078363A"/>
    <w:rsid w:val="0078375B"/>
    <w:rsid w:val="007847C7"/>
    <w:rsid w:val="00785143"/>
    <w:rsid w:val="00785261"/>
    <w:rsid w:val="00785A3C"/>
    <w:rsid w:val="007862BC"/>
    <w:rsid w:val="00786458"/>
    <w:rsid w:val="00786D97"/>
    <w:rsid w:val="007908BB"/>
    <w:rsid w:val="007910CD"/>
    <w:rsid w:val="00793035"/>
    <w:rsid w:val="00793799"/>
    <w:rsid w:val="007943F8"/>
    <w:rsid w:val="0079625F"/>
    <w:rsid w:val="00796CF3"/>
    <w:rsid w:val="00796E93"/>
    <w:rsid w:val="00797CEB"/>
    <w:rsid w:val="00797FCE"/>
    <w:rsid w:val="007A006C"/>
    <w:rsid w:val="007A199C"/>
    <w:rsid w:val="007A1A38"/>
    <w:rsid w:val="007A5C8C"/>
    <w:rsid w:val="007A6E55"/>
    <w:rsid w:val="007A7A30"/>
    <w:rsid w:val="007A7AAC"/>
    <w:rsid w:val="007B013D"/>
    <w:rsid w:val="007B0256"/>
    <w:rsid w:val="007B04BD"/>
    <w:rsid w:val="007B16A1"/>
    <w:rsid w:val="007B16AC"/>
    <w:rsid w:val="007B1E30"/>
    <w:rsid w:val="007B1EE9"/>
    <w:rsid w:val="007B442C"/>
    <w:rsid w:val="007B771D"/>
    <w:rsid w:val="007B7764"/>
    <w:rsid w:val="007C00EB"/>
    <w:rsid w:val="007C10B4"/>
    <w:rsid w:val="007C131B"/>
    <w:rsid w:val="007C26A8"/>
    <w:rsid w:val="007C2C89"/>
    <w:rsid w:val="007C2E1E"/>
    <w:rsid w:val="007C320D"/>
    <w:rsid w:val="007C37EA"/>
    <w:rsid w:val="007D0B01"/>
    <w:rsid w:val="007D0B25"/>
    <w:rsid w:val="007D110E"/>
    <w:rsid w:val="007D1C84"/>
    <w:rsid w:val="007D1FB2"/>
    <w:rsid w:val="007D2251"/>
    <w:rsid w:val="007D2F2C"/>
    <w:rsid w:val="007D4043"/>
    <w:rsid w:val="007D6DA7"/>
    <w:rsid w:val="007D7A41"/>
    <w:rsid w:val="007D7BF6"/>
    <w:rsid w:val="007E3B16"/>
    <w:rsid w:val="007E4D6E"/>
    <w:rsid w:val="007E5852"/>
    <w:rsid w:val="007E7D28"/>
    <w:rsid w:val="007E7F33"/>
    <w:rsid w:val="007F02C0"/>
    <w:rsid w:val="007F1643"/>
    <w:rsid w:val="007F220E"/>
    <w:rsid w:val="007F30D0"/>
    <w:rsid w:val="007F40D4"/>
    <w:rsid w:val="007F7EEB"/>
    <w:rsid w:val="00800BDE"/>
    <w:rsid w:val="008012D9"/>
    <w:rsid w:val="00801B42"/>
    <w:rsid w:val="008033D1"/>
    <w:rsid w:val="00803599"/>
    <w:rsid w:val="00803E1C"/>
    <w:rsid w:val="00804030"/>
    <w:rsid w:val="008041A9"/>
    <w:rsid w:val="00804BEA"/>
    <w:rsid w:val="0080569E"/>
    <w:rsid w:val="00807C0B"/>
    <w:rsid w:val="00810615"/>
    <w:rsid w:val="008109AF"/>
    <w:rsid w:val="0081167A"/>
    <w:rsid w:val="0081392E"/>
    <w:rsid w:val="008154C5"/>
    <w:rsid w:val="008159A5"/>
    <w:rsid w:val="00821EED"/>
    <w:rsid w:val="00822A6F"/>
    <w:rsid w:val="00823533"/>
    <w:rsid w:val="00823C0A"/>
    <w:rsid w:val="00823D67"/>
    <w:rsid w:val="00824054"/>
    <w:rsid w:val="0082679B"/>
    <w:rsid w:val="00827AF7"/>
    <w:rsid w:val="00830207"/>
    <w:rsid w:val="0083050B"/>
    <w:rsid w:val="008332D4"/>
    <w:rsid w:val="00833408"/>
    <w:rsid w:val="0083345E"/>
    <w:rsid w:val="00834034"/>
    <w:rsid w:val="008340D4"/>
    <w:rsid w:val="00835396"/>
    <w:rsid w:val="00836648"/>
    <w:rsid w:val="0083719D"/>
    <w:rsid w:val="0083725A"/>
    <w:rsid w:val="00837F40"/>
    <w:rsid w:val="00841BD7"/>
    <w:rsid w:val="0084227C"/>
    <w:rsid w:val="00843849"/>
    <w:rsid w:val="00844DC6"/>
    <w:rsid w:val="00844FBD"/>
    <w:rsid w:val="00847552"/>
    <w:rsid w:val="00851323"/>
    <w:rsid w:val="0085223E"/>
    <w:rsid w:val="00852296"/>
    <w:rsid w:val="008527C2"/>
    <w:rsid w:val="00852FB7"/>
    <w:rsid w:val="008545AC"/>
    <w:rsid w:val="00856598"/>
    <w:rsid w:val="008565DF"/>
    <w:rsid w:val="00856F8B"/>
    <w:rsid w:val="00857097"/>
    <w:rsid w:val="0085710F"/>
    <w:rsid w:val="008602C2"/>
    <w:rsid w:val="00860F1F"/>
    <w:rsid w:val="0086481D"/>
    <w:rsid w:val="00864AB3"/>
    <w:rsid w:val="0086613A"/>
    <w:rsid w:val="00867406"/>
    <w:rsid w:val="00870798"/>
    <w:rsid w:val="00870D6E"/>
    <w:rsid w:val="00871917"/>
    <w:rsid w:val="0087259E"/>
    <w:rsid w:val="00872BB6"/>
    <w:rsid w:val="00875A9E"/>
    <w:rsid w:val="0087600D"/>
    <w:rsid w:val="00876CA6"/>
    <w:rsid w:val="00877018"/>
    <w:rsid w:val="008777B2"/>
    <w:rsid w:val="00877ADE"/>
    <w:rsid w:val="0088014D"/>
    <w:rsid w:val="00880284"/>
    <w:rsid w:val="00880F38"/>
    <w:rsid w:val="0088487B"/>
    <w:rsid w:val="00884E2A"/>
    <w:rsid w:val="008861B6"/>
    <w:rsid w:val="0088685B"/>
    <w:rsid w:val="0089138F"/>
    <w:rsid w:val="0089194C"/>
    <w:rsid w:val="00891DE9"/>
    <w:rsid w:val="008936EF"/>
    <w:rsid w:val="00894497"/>
    <w:rsid w:val="00895671"/>
    <w:rsid w:val="008A15E7"/>
    <w:rsid w:val="008A16BC"/>
    <w:rsid w:val="008A3313"/>
    <w:rsid w:val="008A3A18"/>
    <w:rsid w:val="008A63C4"/>
    <w:rsid w:val="008A65F1"/>
    <w:rsid w:val="008A68EB"/>
    <w:rsid w:val="008A6B75"/>
    <w:rsid w:val="008A762C"/>
    <w:rsid w:val="008B0698"/>
    <w:rsid w:val="008B412A"/>
    <w:rsid w:val="008B5504"/>
    <w:rsid w:val="008B63B8"/>
    <w:rsid w:val="008B7556"/>
    <w:rsid w:val="008B7818"/>
    <w:rsid w:val="008C0BA4"/>
    <w:rsid w:val="008C0BF4"/>
    <w:rsid w:val="008C2814"/>
    <w:rsid w:val="008C2C50"/>
    <w:rsid w:val="008C3A6D"/>
    <w:rsid w:val="008D092B"/>
    <w:rsid w:val="008D10B0"/>
    <w:rsid w:val="008D21D7"/>
    <w:rsid w:val="008D316B"/>
    <w:rsid w:val="008D3901"/>
    <w:rsid w:val="008D3929"/>
    <w:rsid w:val="008D5CD3"/>
    <w:rsid w:val="008D6195"/>
    <w:rsid w:val="008D78A0"/>
    <w:rsid w:val="008E00C1"/>
    <w:rsid w:val="008E0551"/>
    <w:rsid w:val="008E0D62"/>
    <w:rsid w:val="008E145C"/>
    <w:rsid w:val="008E1AB7"/>
    <w:rsid w:val="008E2879"/>
    <w:rsid w:val="008E2FA0"/>
    <w:rsid w:val="008E32D4"/>
    <w:rsid w:val="008E5B66"/>
    <w:rsid w:val="008E688F"/>
    <w:rsid w:val="008E6D5B"/>
    <w:rsid w:val="008E7B89"/>
    <w:rsid w:val="008E7C9D"/>
    <w:rsid w:val="008E7D43"/>
    <w:rsid w:val="008F02F7"/>
    <w:rsid w:val="008F1C93"/>
    <w:rsid w:val="008F3023"/>
    <w:rsid w:val="008F35A2"/>
    <w:rsid w:val="008F47E3"/>
    <w:rsid w:val="008F5FC6"/>
    <w:rsid w:val="008F6255"/>
    <w:rsid w:val="008F6294"/>
    <w:rsid w:val="008F6DDF"/>
    <w:rsid w:val="008F7531"/>
    <w:rsid w:val="008F75EF"/>
    <w:rsid w:val="009011F6"/>
    <w:rsid w:val="00902915"/>
    <w:rsid w:val="00905440"/>
    <w:rsid w:val="00905559"/>
    <w:rsid w:val="00905DA0"/>
    <w:rsid w:val="009062AA"/>
    <w:rsid w:val="0090654A"/>
    <w:rsid w:val="00906C18"/>
    <w:rsid w:val="0090772E"/>
    <w:rsid w:val="00907F9B"/>
    <w:rsid w:val="0091008F"/>
    <w:rsid w:val="009104FA"/>
    <w:rsid w:val="00911AED"/>
    <w:rsid w:val="00912142"/>
    <w:rsid w:val="009123CA"/>
    <w:rsid w:val="00913D6D"/>
    <w:rsid w:val="00914A1E"/>
    <w:rsid w:val="00914C1A"/>
    <w:rsid w:val="009163B1"/>
    <w:rsid w:val="00920014"/>
    <w:rsid w:val="0092109D"/>
    <w:rsid w:val="00921A18"/>
    <w:rsid w:val="009225F0"/>
    <w:rsid w:val="00923294"/>
    <w:rsid w:val="00923994"/>
    <w:rsid w:val="00923B6A"/>
    <w:rsid w:val="00924C88"/>
    <w:rsid w:val="00925E97"/>
    <w:rsid w:val="0092630A"/>
    <w:rsid w:val="00926A02"/>
    <w:rsid w:val="00927F0E"/>
    <w:rsid w:val="00930CE1"/>
    <w:rsid w:val="00930EFE"/>
    <w:rsid w:val="00930FF5"/>
    <w:rsid w:val="009326CC"/>
    <w:rsid w:val="0093325B"/>
    <w:rsid w:val="00934E0D"/>
    <w:rsid w:val="00935304"/>
    <w:rsid w:val="00935692"/>
    <w:rsid w:val="009356AF"/>
    <w:rsid w:val="00935F19"/>
    <w:rsid w:val="00937645"/>
    <w:rsid w:val="00941693"/>
    <w:rsid w:val="009417BB"/>
    <w:rsid w:val="0094195E"/>
    <w:rsid w:val="00941CEC"/>
    <w:rsid w:val="00941E1D"/>
    <w:rsid w:val="00942AD3"/>
    <w:rsid w:val="0094300E"/>
    <w:rsid w:val="0094563F"/>
    <w:rsid w:val="00947162"/>
    <w:rsid w:val="00950753"/>
    <w:rsid w:val="009508DD"/>
    <w:rsid w:val="00950F20"/>
    <w:rsid w:val="00951462"/>
    <w:rsid w:val="009516D5"/>
    <w:rsid w:val="00951FA9"/>
    <w:rsid w:val="00952F03"/>
    <w:rsid w:val="00953983"/>
    <w:rsid w:val="00953C68"/>
    <w:rsid w:val="00953E76"/>
    <w:rsid w:val="0095529C"/>
    <w:rsid w:val="00956817"/>
    <w:rsid w:val="00960488"/>
    <w:rsid w:val="00961A1F"/>
    <w:rsid w:val="00961A48"/>
    <w:rsid w:val="0096677A"/>
    <w:rsid w:val="009717E0"/>
    <w:rsid w:val="00971DC9"/>
    <w:rsid w:val="00971EEF"/>
    <w:rsid w:val="00976B98"/>
    <w:rsid w:val="00977338"/>
    <w:rsid w:val="0098092E"/>
    <w:rsid w:val="00981DA3"/>
    <w:rsid w:val="0098202F"/>
    <w:rsid w:val="0098215C"/>
    <w:rsid w:val="00982412"/>
    <w:rsid w:val="009825C0"/>
    <w:rsid w:val="009843A4"/>
    <w:rsid w:val="00985EC3"/>
    <w:rsid w:val="009867E0"/>
    <w:rsid w:val="0099021F"/>
    <w:rsid w:val="0099129E"/>
    <w:rsid w:val="00991F56"/>
    <w:rsid w:val="0099228C"/>
    <w:rsid w:val="00992828"/>
    <w:rsid w:val="0099286E"/>
    <w:rsid w:val="00993C0A"/>
    <w:rsid w:val="00994CBA"/>
    <w:rsid w:val="009957E3"/>
    <w:rsid w:val="009A030D"/>
    <w:rsid w:val="009A046C"/>
    <w:rsid w:val="009A2597"/>
    <w:rsid w:val="009A48C9"/>
    <w:rsid w:val="009A4B8D"/>
    <w:rsid w:val="009A57AF"/>
    <w:rsid w:val="009B08C4"/>
    <w:rsid w:val="009B1771"/>
    <w:rsid w:val="009B207B"/>
    <w:rsid w:val="009B2D53"/>
    <w:rsid w:val="009B3E6F"/>
    <w:rsid w:val="009B444C"/>
    <w:rsid w:val="009B50BF"/>
    <w:rsid w:val="009B66B3"/>
    <w:rsid w:val="009B6C49"/>
    <w:rsid w:val="009B7E17"/>
    <w:rsid w:val="009C0AE2"/>
    <w:rsid w:val="009C11B4"/>
    <w:rsid w:val="009C263B"/>
    <w:rsid w:val="009C2E2D"/>
    <w:rsid w:val="009C3168"/>
    <w:rsid w:val="009C3D32"/>
    <w:rsid w:val="009C65E2"/>
    <w:rsid w:val="009C694B"/>
    <w:rsid w:val="009C72D1"/>
    <w:rsid w:val="009C74D3"/>
    <w:rsid w:val="009C7806"/>
    <w:rsid w:val="009D02E6"/>
    <w:rsid w:val="009D145A"/>
    <w:rsid w:val="009D19F8"/>
    <w:rsid w:val="009D2D74"/>
    <w:rsid w:val="009D2EB1"/>
    <w:rsid w:val="009D3B0E"/>
    <w:rsid w:val="009D3CCB"/>
    <w:rsid w:val="009D4CEB"/>
    <w:rsid w:val="009D5B05"/>
    <w:rsid w:val="009D6031"/>
    <w:rsid w:val="009D62FF"/>
    <w:rsid w:val="009D6778"/>
    <w:rsid w:val="009D7165"/>
    <w:rsid w:val="009D7284"/>
    <w:rsid w:val="009D736B"/>
    <w:rsid w:val="009E0C4E"/>
    <w:rsid w:val="009E15EB"/>
    <w:rsid w:val="009E1784"/>
    <w:rsid w:val="009E1C53"/>
    <w:rsid w:val="009E4B6F"/>
    <w:rsid w:val="009E52C8"/>
    <w:rsid w:val="009E63D5"/>
    <w:rsid w:val="009E6F52"/>
    <w:rsid w:val="009E79ED"/>
    <w:rsid w:val="009F0B4D"/>
    <w:rsid w:val="009F1485"/>
    <w:rsid w:val="009F2B72"/>
    <w:rsid w:val="009F3AEE"/>
    <w:rsid w:val="009F79DB"/>
    <w:rsid w:val="00A01380"/>
    <w:rsid w:val="00A01A21"/>
    <w:rsid w:val="00A01FA2"/>
    <w:rsid w:val="00A02528"/>
    <w:rsid w:val="00A02667"/>
    <w:rsid w:val="00A03A8D"/>
    <w:rsid w:val="00A03DB7"/>
    <w:rsid w:val="00A04579"/>
    <w:rsid w:val="00A05791"/>
    <w:rsid w:val="00A062EF"/>
    <w:rsid w:val="00A064A1"/>
    <w:rsid w:val="00A071CE"/>
    <w:rsid w:val="00A1074A"/>
    <w:rsid w:val="00A1145F"/>
    <w:rsid w:val="00A122D2"/>
    <w:rsid w:val="00A127D1"/>
    <w:rsid w:val="00A12917"/>
    <w:rsid w:val="00A133B6"/>
    <w:rsid w:val="00A13549"/>
    <w:rsid w:val="00A13A61"/>
    <w:rsid w:val="00A13AAE"/>
    <w:rsid w:val="00A14734"/>
    <w:rsid w:val="00A15D08"/>
    <w:rsid w:val="00A216D9"/>
    <w:rsid w:val="00A2196C"/>
    <w:rsid w:val="00A21F84"/>
    <w:rsid w:val="00A220D0"/>
    <w:rsid w:val="00A226E0"/>
    <w:rsid w:val="00A23C74"/>
    <w:rsid w:val="00A25502"/>
    <w:rsid w:val="00A266D7"/>
    <w:rsid w:val="00A27634"/>
    <w:rsid w:val="00A30360"/>
    <w:rsid w:val="00A306D5"/>
    <w:rsid w:val="00A32B22"/>
    <w:rsid w:val="00A340C8"/>
    <w:rsid w:val="00A348D6"/>
    <w:rsid w:val="00A34AE1"/>
    <w:rsid w:val="00A36F12"/>
    <w:rsid w:val="00A36F6A"/>
    <w:rsid w:val="00A37481"/>
    <w:rsid w:val="00A37B38"/>
    <w:rsid w:val="00A4003A"/>
    <w:rsid w:val="00A404A1"/>
    <w:rsid w:val="00A41273"/>
    <w:rsid w:val="00A430A7"/>
    <w:rsid w:val="00A43988"/>
    <w:rsid w:val="00A43E66"/>
    <w:rsid w:val="00A44560"/>
    <w:rsid w:val="00A4462B"/>
    <w:rsid w:val="00A44A34"/>
    <w:rsid w:val="00A452E0"/>
    <w:rsid w:val="00A4546A"/>
    <w:rsid w:val="00A45668"/>
    <w:rsid w:val="00A4586F"/>
    <w:rsid w:val="00A45E9F"/>
    <w:rsid w:val="00A514CF"/>
    <w:rsid w:val="00A54C20"/>
    <w:rsid w:val="00A611BA"/>
    <w:rsid w:val="00A64352"/>
    <w:rsid w:val="00A64E74"/>
    <w:rsid w:val="00A70F70"/>
    <w:rsid w:val="00A7197C"/>
    <w:rsid w:val="00A73790"/>
    <w:rsid w:val="00A73B97"/>
    <w:rsid w:val="00A74082"/>
    <w:rsid w:val="00A74769"/>
    <w:rsid w:val="00A74E59"/>
    <w:rsid w:val="00A76751"/>
    <w:rsid w:val="00A77D28"/>
    <w:rsid w:val="00A804AE"/>
    <w:rsid w:val="00A8125A"/>
    <w:rsid w:val="00A833EA"/>
    <w:rsid w:val="00A8488B"/>
    <w:rsid w:val="00A863DA"/>
    <w:rsid w:val="00A867DC"/>
    <w:rsid w:val="00A868C9"/>
    <w:rsid w:val="00A86CA6"/>
    <w:rsid w:val="00A87654"/>
    <w:rsid w:val="00A900D1"/>
    <w:rsid w:val="00A9053D"/>
    <w:rsid w:val="00A93577"/>
    <w:rsid w:val="00A93E2E"/>
    <w:rsid w:val="00A95A11"/>
    <w:rsid w:val="00A9644A"/>
    <w:rsid w:val="00A97650"/>
    <w:rsid w:val="00AA0B9B"/>
    <w:rsid w:val="00AA141A"/>
    <w:rsid w:val="00AA1A45"/>
    <w:rsid w:val="00AA27D2"/>
    <w:rsid w:val="00AA5CA2"/>
    <w:rsid w:val="00AA735F"/>
    <w:rsid w:val="00AB000A"/>
    <w:rsid w:val="00AB0453"/>
    <w:rsid w:val="00AB1554"/>
    <w:rsid w:val="00AB281C"/>
    <w:rsid w:val="00AB47B7"/>
    <w:rsid w:val="00AB56F5"/>
    <w:rsid w:val="00AB5B33"/>
    <w:rsid w:val="00AB6BAD"/>
    <w:rsid w:val="00AB6C89"/>
    <w:rsid w:val="00AB6D17"/>
    <w:rsid w:val="00AB74BD"/>
    <w:rsid w:val="00AB7694"/>
    <w:rsid w:val="00AB79FD"/>
    <w:rsid w:val="00AC1129"/>
    <w:rsid w:val="00AC14EE"/>
    <w:rsid w:val="00AC2FE7"/>
    <w:rsid w:val="00AC36CE"/>
    <w:rsid w:val="00AC4000"/>
    <w:rsid w:val="00AC54E0"/>
    <w:rsid w:val="00AC5E04"/>
    <w:rsid w:val="00AC7441"/>
    <w:rsid w:val="00AC7678"/>
    <w:rsid w:val="00AC7A6F"/>
    <w:rsid w:val="00AD07CC"/>
    <w:rsid w:val="00AD1F75"/>
    <w:rsid w:val="00AD29FC"/>
    <w:rsid w:val="00AD3664"/>
    <w:rsid w:val="00AD3A17"/>
    <w:rsid w:val="00AD3C5A"/>
    <w:rsid w:val="00AD595F"/>
    <w:rsid w:val="00AD6AC5"/>
    <w:rsid w:val="00AD7D3A"/>
    <w:rsid w:val="00AD7E7A"/>
    <w:rsid w:val="00AE1AB5"/>
    <w:rsid w:val="00AE2250"/>
    <w:rsid w:val="00AE3E32"/>
    <w:rsid w:val="00AE4887"/>
    <w:rsid w:val="00AE5199"/>
    <w:rsid w:val="00AE6430"/>
    <w:rsid w:val="00AF089F"/>
    <w:rsid w:val="00AF08FD"/>
    <w:rsid w:val="00AF0E38"/>
    <w:rsid w:val="00AF14AE"/>
    <w:rsid w:val="00AF1A8C"/>
    <w:rsid w:val="00AF1B7B"/>
    <w:rsid w:val="00AF2416"/>
    <w:rsid w:val="00AF4EC6"/>
    <w:rsid w:val="00AF5541"/>
    <w:rsid w:val="00AF6135"/>
    <w:rsid w:val="00AF6F27"/>
    <w:rsid w:val="00AF7523"/>
    <w:rsid w:val="00B0041D"/>
    <w:rsid w:val="00B00BBB"/>
    <w:rsid w:val="00B00F96"/>
    <w:rsid w:val="00B01712"/>
    <w:rsid w:val="00B019B6"/>
    <w:rsid w:val="00B019C5"/>
    <w:rsid w:val="00B01F76"/>
    <w:rsid w:val="00B02CC1"/>
    <w:rsid w:val="00B02FD7"/>
    <w:rsid w:val="00B036E5"/>
    <w:rsid w:val="00B03B9E"/>
    <w:rsid w:val="00B06481"/>
    <w:rsid w:val="00B064E9"/>
    <w:rsid w:val="00B0759F"/>
    <w:rsid w:val="00B10EB1"/>
    <w:rsid w:val="00B1279F"/>
    <w:rsid w:val="00B14C6E"/>
    <w:rsid w:val="00B15886"/>
    <w:rsid w:val="00B161D3"/>
    <w:rsid w:val="00B20258"/>
    <w:rsid w:val="00B2150B"/>
    <w:rsid w:val="00B217D0"/>
    <w:rsid w:val="00B22136"/>
    <w:rsid w:val="00B22B50"/>
    <w:rsid w:val="00B23C08"/>
    <w:rsid w:val="00B23F98"/>
    <w:rsid w:val="00B24ADC"/>
    <w:rsid w:val="00B25125"/>
    <w:rsid w:val="00B26E46"/>
    <w:rsid w:val="00B2714C"/>
    <w:rsid w:val="00B2775D"/>
    <w:rsid w:val="00B27C53"/>
    <w:rsid w:val="00B3002F"/>
    <w:rsid w:val="00B32CCC"/>
    <w:rsid w:val="00B33807"/>
    <w:rsid w:val="00B33AC7"/>
    <w:rsid w:val="00B33C0D"/>
    <w:rsid w:val="00B36263"/>
    <w:rsid w:val="00B36A29"/>
    <w:rsid w:val="00B40489"/>
    <w:rsid w:val="00B40CEC"/>
    <w:rsid w:val="00B45148"/>
    <w:rsid w:val="00B45DA5"/>
    <w:rsid w:val="00B4608B"/>
    <w:rsid w:val="00B4664C"/>
    <w:rsid w:val="00B47592"/>
    <w:rsid w:val="00B50FC7"/>
    <w:rsid w:val="00B5127F"/>
    <w:rsid w:val="00B51669"/>
    <w:rsid w:val="00B53DF3"/>
    <w:rsid w:val="00B54C72"/>
    <w:rsid w:val="00B557ED"/>
    <w:rsid w:val="00B57E49"/>
    <w:rsid w:val="00B6014A"/>
    <w:rsid w:val="00B61D43"/>
    <w:rsid w:val="00B61E03"/>
    <w:rsid w:val="00B624F0"/>
    <w:rsid w:val="00B640AD"/>
    <w:rsid w:val="00B659C9"/>
    <w:rsid w:val="00B67C6D"/>
    <w:rsid w:val="00B7019C"/>
    <w:rsid w:val="00B70464"/>
    <w:rsid w:val="00B71F32"/>
    <w:rsid w:val="00B7310C"/>
    <w:rsid w:val="00B74685"/>
    <w:rsid w:val="00B7479F"/>
    <w:rsid w:val="00B76023"/>
    <w:rsid w:val="00B764D2"/>
    <w:rsid w:val="00B765D6"/>
    <w:rsid w:val="00B76DED"/>
    <w:rsid w:val="00B77FBC"/>
    <w:rsid w:val="00B80488"/>
    <w:rsid w:val="00B81515"/>
    <w:rsid w:val="00B825AE"/>
    <w:rsid w:val="00B83F1B"/>
    <w:rsid w:val="00B84624"/>
    <w:rsid w:val="00B91F8D"/>
    <w:rsid w:val="00B9308A"/>
    <w:rsid w:val="00B93F9D"/>
    <w:rsid w:val="00B94241"/>
    <w:rsid w:val="00B958AD"/>
    <w:rsid w:val="00B95980"/>
    <w:rsid w:val="00B95CB1"/>
    <w:rsid w:val="00B95E22"/>
    <w:rsid w:val="00B96408"/>
    <w:rsid w:val="00B96B67"/>
    <w:rsid w:val="00B96F6D"/>
    <w:rsid w:val="00B97696"/>
    <w:rsid w:val="00B97FE1"/>
    <w:rsid w:val="00BA0069"/>
    <w:rsid w:val="00BA0BD7"/>
    <w:rsid w:val="00BA13A0"/>
    <w:rsid w:val="00BA1576"/>
    <w:rsid w:val="00BA1907"/>
    <w:rsid w:val="00BA2DB9"/>
    <w:rsid w:val="00BA2FFB"/>
    <w:rsid w:val="00BA3732"/>
    <w:rsid w:val="00BA3948"/>
    <w:rsid w:val="00BA462B"/>
    <w:rsid w:val="00BA6CBB"/>
    <w:rsid w:val="00BA7712"/>
    <w:rsid w:val="00BA78FC"/>
    <w:rsid w:val="00BB16B9"/>
    <w:rsid w:val="00BB25DC"/>
    <w:rsid w:val="00BB3AE6"/>
    <w:rsid w:val="00BB48C8"/>
    <w:rsid w:val="00BB77CA"/>
    <w:rsid w:val="00BB7A66"/>
    <w:rsid w:val="00BB7A99"/>
    <w:rsid w:val="00BC2127"/>
    <w:rsid w:val="00BC30F8"/>
    <w:rsid w:val="00BC30F9"/>
    <w:rsid w:val="00BC333D"/>
    <w:rsid w:val="00BC5A92"/>
    <w:rsid w:val="00BC5B19"/>
    <w:rsid w:val="00BC5F23"/>
    <w:rsid w:val="00BC61CE"/>
    <w:rsid w:val="00BC631F"/>
    <w:rsid w:val="00BC6614"/>
    <w:rsid w:val="00BD118F"/>
    <w:rsid w:val="00BD2166"/>
    <w:rsid w:val="00BD2800"/>
    <w:rsid w:val="00BD4266"/>
    <w:rsid w:val="00BD560F"/>
    <w:rsid w:val="00BD5F44"/>
    <w:rsid w:val="00BD6B67"/>
    <w:rsid w:val="00BE4037"/>
    <w:rsid w:val="00BE59D3"/>
    <w:rsid w:val="00BE6213"/>
    <w:rsid w:val="00BE7148"/>
    <w:rsid w:val="00BE78D2"/>
    <w:rsid w:val="00BE7CF4"/>
    <w:rsid w:val="00BF0183"/>
    <w:rsid w:val="00BF1350"/>
    <w:rsid w:val="00BF1DFD"/>
    <w:rsid w:val="00BF26A0"/>
    <w:rsid w:val="00BF2777"/>
    <w:rsid w:val="00BF2F80"/>
    <w:rsid w:val="00BF37E3"/>
    <w:rsid w:val="00BF3A77"/>
    <w:rsid w:val="00BF3B75"/>
    <w:rsid w:val="00BF3FD2"/>
    <w:rsid w:val="00BF59A7"/>
    <w:rsid w:val="00BF601C"/>
    <w:rsid w:val="00BF63E8"/>
    <w:rsid w:val="00BF7ADF"/>
    <w:rsid w:val="00C00A37"/>
    <w:rsid w:val="00C018C0"/>
    <w:rsid w:val="00C01D2A"/>
    <w:rsid w:val="00C0204D"/>
    <w:rsid w:val="00C027B8"/>
    <w:rsid w:val="00C02B94"/>
    <w:rsid w:val="00C02B98"/>
    <w:rsid w:val="00C031E3"/>
    <w:rsid w:val="00C078EC"/>
    <w:rsid w:val="00C107DB"/>
    <w:rsid w:val="00C1113E"/>
    <w:rsid w:val="00C11988"/>
    <w:rsid w:val="00C12367"/>
    <w:rsid w:val="00C1470B"/>
    <w:rsid w:val="00C151C1"/>
    <w:rsid w:val="00C1622F"/>
    <w:rsid w:val="00C21678"/>
    <w:rsid w:val="00C22418"/>
    <w:rsid w:val="00C22FC1"/>
    <w:rsid w:val="00C245B7"/>
    <w:rsid w:val="00C25A06"/>
    <w:rsid w:val="00C260C5"/>
    <w:rsid w:val="00C2747E"/>
    <w:rsid w:val="00C318D0"/>
    <w:rsid w:val="00C31CF7"/>
    <w:rsid w:val="00C31FF6"/>
    <w:rsid w:val="00C3263D"/>
    <w:rsid w:val="00C3516E"/>
    <w:rsid w:val="00C35349"/>
    <w:rsid w:val="00C35384"/>
    <w:rsid w:val="00C362EA"/>
    <w:rsid w:val="00C407FF"/>
    <w:rsid w:val="00C41193"/>
    <w:rsid w:val="00C43240"/>
    <w:rsid w:val="00C43271"/>
    <w:rsid w:val="00C44DA6"/>
    <w:rsid w:val="00C456A1"/>
    <w:rsid w:val="00C45BAD"/>
    <w:rsid w:val="00C464CD"/>
    <w:rsid w:val="00C50ADB"/>
    <w:rsid w:val="00C50D3E"/>
    <w:rsid w:val="00C5144A"/>
    <w:rsid w:val="00C5278C"/>
    <w:rsid w:val="00C52C4E"/>
    <w:rsid w:val="00C52E18"/>
    <w:rsid w:val="00C5347A"/>
    <w:rsid w:val="00C54C8A"/>
    <w:rsid w:val="00C57001"/>
    <w:rsid w:val="00C613E4"/>
    <w:rsid w:val="00C61EFD"/>
    <w:rsid w:val="00C63862"/>
    <w:rsid w:val="00C63C34"/>
    <w:rsid w:val="00C64552"/>
    <w:rsid w:val="00C66100"/>
    <w:rsid w:val="00C67162"/>
    <w:rsid w:val="00C7014D"/>
    <w:rsid w:val="00C7045A"/>
    <w:rsid w:val="00C721F9"/>
    <w:rsid w:val="00C7737C"/>
    <w:rsid w:val="00C8070F"/>
    <w:rsid w:val="00C831F6"/>
    <w:rsid w:val="00C83738"/>
    <w:rsid w:val="00C83C27"/>
    <w:rsid w:val="00C8465A"/>
    <w:rsid w:val="00C84AA2"/>
    <w:rsid w:val="00C87028"/>
    <w:rsid w:val="00C87039"/>
    <w:rsid w:val="00C90CB9"/>
    <w:rsid w:val="00C91BAB"/>
    <w:rsid w:val="00C93BA7"/>
    <w:rsid w:val="00C94C42"/>
    <w:rsid w:val="00C96F00"/>
    <w:rsid w:val="00C9797F"/>
    <w:rsid w:val="00CA0EB4"/>
    <w:rsid w:val="00CA11CC"/>
    <w:rsid w:val="00CA2FC8"/>
    <w:rsid w:val="00CA3039"/>
    <w:rsid w:val="00CA3901"/>
    <w:rsid w:val="00CA506E"/>
    <w:rsid w:val="00CA75B6"/>
    <w:rsid w:val="00CA76D3"/>
    <w:rsid w:val="00CA7B5D"/>
    <w:rsid w:val="00CB0A62"/>
    <w:rsid w:val="00CB25B2"/>
    <w:rsid w:val="00CB262A"/>
    <w:rsid w:val="00CB4A69"/>
    <w:rsid w:val="00CB650E"/>
    <w:rsid w:val="00CB65A9"/>
    <w:rsid w:val="00CC00B1"/>
    <w:rsid w:val="00CC12F4"/>
    <w:rsid w:val="00CC19FC"/>
    <w:rsid w:val="00CC236C"/>
    <w:rsid w:val="00CC48AE"/>
    <w:rsid w:val="00CC5081"/>
    <w:rsid w:val="00CC6C86"/>
    <w:rsid w:val="00CC75C3"/>
    <w:rsid w:val="00CC7F0A"/>
    <w:rsid w:val="00CD0430"/>
    <w:rsid w:val="00CD06E0"/>
    <w:rsid w:val="00CD07A9"/>
    <w:rsid w:val="00CD1D70"/>
    <w:rsid w:val="00CD23F1"/>
    <w:rsid w:val="00CD3A34"/>
    <w:rsid w:val="00CD3EED"/>
    <w:rsid w:val="00CD49B2"/>
    <w:rsid w:val="00CD617B"/>
    <w:rsid w:val="00CD7433"/>
    <w:rsid w:val="00CE1055"/>
    <w:rsid w:val="00CE12D4"/>
    <w:rsid w:val="00CE16C6"/>
    <w:rsid w:val="00CE1776"/>
    <w:rsid w:val="00CE1CB4"/>
    <w:rsid w:val="00CE2B97"/>
    <w:rsid w:val="00CE2BB9"/>
    <w:rsid w:val="00CE3799"/>
    <w:rsid w:val="00CE51EA"/>
    <w:rsid w:val="00CE57E6"/>
    <w:rsid w:val="00CF040B"/>
    <w:rsid w:val="00CF0C1E"/>
    <w:rsid w:val="00CF0EA5"/>
    <w:rsid w:val="00CF1BE8"/>
    <w:rsid w:val="00CF1C99"/>
    <w:rsid w:val="00CF1DA7"/>
    <w:rsid w:val="00CF259D"/>
    <w:rsid w:val="00CF3D63"/>
    <w:rsid w:val="00CF447B"/>
    <w:rsid w:val="00CF6F15"/>
    <w:rsid w:val="00D0065F"/>
    <w:rsid w:val="00D00E6D"/>
    <w:rsid w:val="00D01C06"/>
    <w:rsid w:val="00D04FA8"/>
    <w:rsid w:val="00D076DA"/>
    <w:rsid w:val="00D118E1"/>
    <w:rsid w:val="00D11E65"/>
    <w:rsid w:val="00D12882"/>
    <w:rsid w:val="00D13F7E"/>
    <w:rsid w:val="00D145B4"/>
    <w:rsid w:val="00D15045"/>
    <w:rsid w:val="00D164D6"/>
    <w:rsid w:val="00D17A0E"/>
    <w:rsid w:val="00D17E79"/>
    <w:rsid w:val="00D213E9"/>
    <w:rsid w:val="00D22085"/>
    <w:rsid w:val="00D22A8A"/>
    <w:rsid w:val="00D22D78"/>
    <w:rsid w:val="00D22F38"/>
    <w:rsid w:val="00D24D26"/>
    <w:rsid w:val="00D276D3"/>
    <w:rsid w:val="00D317B0"/>
    <w:rsid w:val="00D31CE6"/>
    <w:rsid w:val="00D31DE9"/>
    <w:rsid w:val="00D337C1"/>
    <w:rsid w:val="00D33A34"/>
    <w:rsid w:val="00D352BD"/>
    <w:rsid w:val="00D35896"/>
    <w:rsid w:val="00D37D95"/>
    <w:rsid w:val="00D423BB"/>
    <w:rsid w:val="00D42E52"/>
    <w:rsid w:val="00D42F90"/>
    <w:rsid w:val="00D44D1F"/>
    <w:rsid w:val="00D44DE5"/>
    <w:rsid w:val="00D45E11"/>
    <w:rsid w:val="00D4604A"/>
    <w:rsid w:val="00D463C6"/>
    <w:rsid w:val="00D464AD"/>
    <w:rsid w:val="00D504CE"/>
    <w:rsid w:val="00D50D14"/>
    <w:rsid w:val="00D52460"/>
    <w:rsid w:val="00D53534"/>
    <w:rsid w:val="00D53AA7"/>
    <w:rsid w:val="00D55B38"/>
    <w:rsid w:val="00D55EC3"/>
    <w:rsid w:val="00D57446"/>
    <w:rsid w:val="00D5771A"/>
    <w:rsid w:val="00D57D9F"/>
    <w:rsid w:val="00D61A2C"/>
    <w:rsid w:val="00D6289E"/>
    <w:rsid w:val="00D65BF5"/>
    <w:rsid w:val="00D65D72"/>
    <w:rsid w:val="00D660CA"/>
    <w:rsid w:val="00D66201"/>
    <w:rsid w:val="00D664F6"/>
    <w:rsid w:val="00D66DAE"/>
    <w:rsid w:val="00D70B88"/>
    <w:rsid w:val="00D70F0F"/>
    <w:rsid w:val="00D72504"/>
    <w:rsid w:val="00D7291F"/>
    <w:rsid w:val="00D72DB7"/>
    <w:rsid w:val="00D72E80"/>
    <w:rsid w:val="00D72F9C"/>
    <w:rsid w:val="00D73125"/>
    <w:rsid w:val="00D7340D"/>
    <w:rsid w:val="00D747D4"/>
    <w:rsid w:val="00D74BD5"/>
    <w:rsid w:val="00D75DE5"/>
    <w:rsid w:val="00D773ED"/>
    <w:rsid w:val="00D77DD9"/>
    <w:rsid w:val="00D828FE"/>
    <w:rsid w:val="00D82DBE"/>
    <w:rsid w:val="00D83032"/>
    <w:rsid w:val="00D83FDD"/>
    <w:rsid w:val="00D84243"/>
    <w:rsid w:val="00D84B13"/>
    <w:rsid w:val="00D853D6"/>
    <w:rsid w:val="00D85909"/>
    <w:rsid w:val="00D85F89"/>
    <w:rsid w:val="00D87226"/>
    <w:rsid w:val="00D87999"/>
    <w:rsid w:val="00D87BB8"/>
    <w:rsid w:val="00D90D3C"/>
    <w:rsid w:val="00D9120B"/>
    <w:rsid w:val="00D9157B"/>
    <w:rsid w:val="00D92AE9"/>
    <w:rsid w:val="00D93080"/>
    <w:rsid w:val="00D93212"/>
    <w:rsid w:val="00D938D4"/>
    <w:rsid w:val="00D93B0A"/>
    <w:rsid w:val="00D95076"/>
    <w:rsid w:val="00D9522A"/>
    <w:rsid w:val="00D9559E"/>
    <w:rsid w:val="00D95DD8"/>
    <w:rsid w:val="00D9612E"/>
    <w:rsid w:val="00D97320"/>
    <w:rsid w:val="00D97FB3"/>
    <w:rsid w:val="00DA19C8"/>
    <w:rsid w:val="00DA21F0"/>
    <w:rsid w:val="00DA316D"/>
    <w:rsid w:val="00DA3342"/>
    <w:rsid w:val="00DA39E0"/>
    <w:rsid w:val="00DA3FA0"/>
    <w:rsid w:val="00DA4E69"/>
    <w:rsid w:val="00DA4F58"/>
    <w:rsid w:val="00DA51A0"/>
    <w:rsid w:val="00DA6393"/>
    <w:rsid w:val="00DB06B4"/>
    <w:rsid w:val="00DB2693"/>
    <w:rsid w:val="00DB2713"/>
    <w:rsid w:val="00DB31B3"/>
    <w:rsid w:val="00DB4807"/>
    <w:rsid w:val="00DB4AF9"/>
    <w:rsid w:val="00DB4DFB"/>
    <w:rsid w:val="00DB570B"/>
    <w:rsid w:val="00DB5B7F"/>
    <w:rsid w:val="00DB5BCD"/>
    <w:rsid w:val="00DB663B"/>
    <w:rsid w:val="00DC0A52"/>
    <w:rsid w:val="00DC133C"/>
    <w:rsid w:val="00DC1F29"/>
    <w:rsid w:val="00DC6534"/>
    <w:rsid w:val="00DC67CB"/>
    <w:rsid w:val="00DC7E70"/>
    <w:rsid w:val="00DD296F"/>
    <w:rsid w:val="00DD2CD6"/>
    <w:rsid w:val="00DD3CB6"/>
    <w:rsid w:val="00DD4949"/>
    <w:rsid w:val="00DD6788"/>
    <w:rsid w:val="00DD6CB8"/>
    <w:rsid w:val="00DD7165"/>
    <w:rsid w:val="00DE19A8"/>
    <w:rsid w:val="00DE1D16"/>
    <w:rsid w:val="00DE2A86"/>
    <w:rsid w:val="00DE2D05"/>
    <w:rsid w:val="00DE42DB"/>
    <w:rsid w:val="00DE4DA8"/>
    <w:rsid w:val="00DE4FE9"/>
    <w:rsid w:val="00DE5BFC"/>
    <w:rsid w:val="00DE6061"/>
    <w:rsid w:val="00DE6B8C"/>
    <w:rsid w:val="00DF1331"/>
    <w:rsid w:val="00DF1CA3"/>
    <w:rsid w:val="00DF29D9"/>
    <w:rsid w:val="00DF3C53"/>
    <w:rsid w:val="00DF4E1D"/>
    <w:rsid w:val="00DF4F2C"/>
    <w:rsid w:val="00DF5260"/>
    <w:rsid w:val="00DF5CA9"/>
    <w:rsid w:val="00DF7D06"/>
    <w:rsid w:val="00DF7E41"/>
    <w:rsid w:val="00E00DAE"/>
    <w:rsid w:val="00E0223A"/>
    <w:rsid w:val="00E0366E"/>
    <w:rsid w:val="00E03A8C"/>
    <w:rsid w:val="00E0462F"/>
    <w:rsid w:val="00E06026"/>
    <w:rsid w:val="00E06CE5"/>
    <w:rsid w:val="00E0734B"/>
    <w:rsid w:val="00E104B2"/>
    <w:rsid w:val="00E10B89"/>
    <w:rsid w:val="00E12078"/>
    <w:rsid w:val="00E1333D"/>
    <w:rsid w:val="00E1384B"/>
    <w:rsid w:val="00E138E6"/>
    <w:rsid w:val="00E14E75"/>
    <w:rsid w:val="00E15120"/>
    <w:rsid w:val="00E1598D"/>
    <w:rsid w:val="00E1647F"/>
    <w:rsid w:val="00E169A8"/>
    <w:rsid w:val="00E21255"/>
    <w:rsid w:val="00E213FF"/>
    <w:rsid w:val="00E2183D"/>
    <w:rsid w:val="00E21B0F"/>
    <w:rsid w:val="00E2344B"/>
    <w:rsid w:val="00E25748"/>
    <w:rsid w:val="00E25DE8"/>
    <w:rsid w:val="00E26152"/>
    <w:rsid w:val="00E26B78"/>
    <w:rsid w:val="00E26D23"/>
    <w:rsid w:val="00E26F27"/>
    <w:rsid w:val="00E30410"/>
    <w:rsid w:val="00E30FDA"/>
    <w:rsid w:val="00E314BF"/>
    <w:rsid w:val="00E34868"/>
    <w:rsid w:val="00E36750"/>
    <w:rsid w:val="00E3704C"/>
    <w:rsid w:val="00E416DD"/>
    <w:rsid w:val="00E41801"/>
    <w:rsid w:val="00E419DD"/>
    <w:rsid w:val="00E41D71"/>
    <w:rsid w:val="00E422A6"/>
    <w:rsid w:val="00E42C1A"/>
    <w:rsid w:val="00E44ADC"/>
    <w:rsid w:val="00E4528F"/>
    <w:rsid w:val="00E45D7C"/>
    <w:rsid w:val="00E465C6"/>
    <w:rsid w:val="00E467C6"/>
    <w:rsid w:val="00E47024"/>
    <w:rsid w:val="00E503FD"/>
    <w:rsid w:val="00E505E1"/>
    <w:rsid w:val="00E51356"/>
    <w:rsid w:val="00E51B4B"/>
    <w:rsid w:val="00E532CD"/>
    <w:rsid w:val="00E545D3"/>
    <w:rsid w:val="00E55029"/>
    <w:rsid w:val="00E55411"/>
    <w:rsid w:val="00E55BB9"/>
    <w:rsid w:val="00E5731E"/>
    <w:rsid w:val="00E57599"/>
    <w:rsid w:val="00E61B6B"/>
    <w:rsid w:val="00E637D5"/>
    <w:rsid w:val="00E639C2"/>
    <w:rsid w:val="00E646E0"/>
    <w:rsid w:val="00E66906"/>
    <w:rsid w:val="00E67349"/>
    <w:rsid w:val="00E708BB"/>
    <w:rsid w:val="00E70C12"/>
    <w:rsid w:val="00E70CDF"/>
    <w:rsid w:val="00E714CE"/>
    <w:rsid w:val="00E74DEA"/>
    <w:rsid w:val="00E75448"/>
    <w:rsid w:val="00E75466"/>
    <w:rsid w:val="00E7612E"/>
    <w:rsid w:val="00E76B28"/>
    <w:rsid w:val="00E80926"/>
    <w:rsid w:val="00E80A76"/>
    <w:rsid w:val="00E838F1"/>
    <w:rsid w:val="00E84CF9"/>
    <w:rsid w:val="00E84D0B"/>
    <w:rsid w:val="00E857FA"/>
    <w:rsid w:val="00E86B8A"/>
    <w:rsid w:val="00E86BA1"/>
    <w:rsid w:val="00E8701B"/>
    <w:rsid w:val="00E90051"/>
    <w:rsid w:val="00E90D9F"/>
    <w:rsid w:val="00E927BD"/>
    <w:rsid w:val="00E93608"/>
    <w:rsid w:val="00E94320"/>
    <w:rsid w:val="00E945BA"/>
    <w:rsid w:val="00E94C8F"/>
    <w:rsid w:val="00E94CFE"/>
    <w:rsid w:val="00E95D7C"/>
    <w:rsid w:val="00E961CE"/>
    <w:rsid w:val="00E97271"/>
    <w:rsid w:val="00E97660"/>
    <w:rsid w:val="00E9797A"/>
    <w:rsid w:val="00E97AF4"/>
    <w:rsid w:val="00EA023C"/>
    <w:rsid w:val="00EA054B"/>
    <w:rsid w:val="00EA08DD"/>
    <w:rsid w:val="00EA0E46"/>
    <w:rsid w:val="00EA26FF"/>
    <w:rsid w:val="00EA5CE4"/>
    <w:rsid w:val="00EA61E1"/>
    <w:rsid w:val="00EA706C"/>
    <w:rsid w:val="00EA7351"/>
    <w:rsid w:val="00EA7646"/>
    <w:rsid w:val="00EB01A3"/>
    <w:rsid w:val="00EB055E"/>
    <w:rsid w:val="00EB12DC"/>
    <w:rsid w:val="00EB2187"/>
    <w:rsid w:val="00EB2ABD"/>
    <w:rsid w:val="00EB52DF"/>
    <w:rsid w:val="00EB5772"/>
    <w:rsid w:val="00EB6979"/>
    <w:rsid w:val="00EB6C3F"/>
    <w:rsid w:val="00EB7015"/>
    <w:rsid w:val="00EB7A8A"/>
    <w:rsid w:val="00EB7CFF"/>
    <w:rsid w:val="00EC27C6"/>
    <w:rsid w:val="00EC386F"/>
    <w:rsid w:val="00EC5405"/>
    <w:rsid w:val="00EC735F"/>
    <w:rsid w:val="00EC76F6"/>
    <w:rsid w:val="00EC7A4B"/>
    <w:rsid w:val="00ED0F7C"/>
    <w:rsid w:val="00ED10C9"/>
    <w:rsid w:val="00ED1708"/>
    <w:rsid w:val="00ED1BF6"/>
    <w:rsid w:val="00ED1E95"/>
    <w:rsid w:val="00ED2834"/>
    <w:rsid w:val="00ED2A39"/>
    <w:rsid w:val="00ED37AD"/>
    <w:rsid w:val="00ED387C"/>
    <w:rsid w:val="00ED4302"/>
    <w:rsid w:val="00ED43F9"/>
    <w:rsid w:val="00ED5B9D"/>
    <w:rsid w:val="00ED688A"/>
    <w:rsid w:val="00EE1A16"/>
    <w:rsid w:val="00EE1ABE"/>
    <w:rsid w:val="00EE1AD5"/>
    <w:rsid w:val="00EE1D44"/>
    <w:rsid w:val="00EE294B"/>
    <w:rsid w:val="00EE2B59"/>
    <w:rsid w:val="00EE3834"/>
    <w:rsid w:val="00EE439F"/>
    <w:rsid w:val="00EE52F4"/>
    <w:rsid w:val="00EE59E8"/>
    <w:rsid w:val="00EE5ABC"/>
    <w:rsid w:val="00EE6E39"/>
    <w:rsid w:val="00EE7435"/>
    <w:rsid w:val="00EF0AB0"/>
    <w:rsid w:val="00EF2410"/>
    <w:rsid w:val="00EF3490"/>
    <w:rsid w:val="00EF3E71"/>
    <w:rsid w:val="00EF7970"/>
    <w:rsid w:val="00F00334"/>
    <w:rsid w:val="00F01B4A"/>
    <w:rsid w:val="00F02599"/>
    <w:rsid w:val="00F02CF4"/>
    <w:rsid w:val="00F02DF9"/>
    <w:rsid w:val="00F03C94"/>
    <w:rsid w:val="00F06B8F"/>
    <w:rsid w:val="00F105B5"/>
    <w:rsid w:val="00F11887"/>
    <w:rsid w:val="00F1196A"/>
    <w:rsid w:val="00F11ADF"/>
    <w:rsid w:val="00F12BDD"/>
    <w:rsid w:val="00F12BE5"/>
    <w:rsid w:val="00F13217"/>
    <w:rsid w:val="00F14AE2"/>
    <w:rsid w:val="00F14F20"/>
    <w:rsid w:val="00F15440"/>
    <w:rsid w:val="00F158E7"/>
    <w:rsid w:val="00F161AB"/>
    <w:rsid w:val="00F20377"/>
    <w:rsid w:val="00F20C3E"/>
    <w:rsid w:val="00F20F2C"/>
    <w:rsid w:val="00F21D02"/>
    <w:rsid w:val="00F2367C"/>
    <w:rsid w:val="00F25A7E"/>
    <w:rsid w:val="00F266AA"/>
    <w:rsid w:val="00F27800"/>
    <w:rsid w:val="00F30908"/>
    <w:rsid w:val="00F30D8A"/>
    <w:rsid w:val="00F3392E"/>
    <w:rsid w:val="00F339BC"/>
    <w:rsid w:val="00F34331"/>
    <w:rsid w:val="00F3478E"/>
    <w:rsid w:val="00F362B1"/>
    <w:rsid w:val="00F3653A"/>
    <w:rsid w:val="00F368B9"/>
    <w:rsid w:val="00F36BA7"/>
    <w:rsid w:val="00F36DD9"/>
    <w:rsid w:val="00F36DF4"/>
    <w:rsid w:val="00F40F68"/>
    <w:rsid w:val="00F4304A"/>
    <w:rsid w:val="00F4318A"/>
    <w:rsid w:val="00F440BE"/>
    <w:rsid w:val="00F45AAC"/>
    <w:rsid w:val="00F4661D"/>
    <w:rsid w:val="00F46BBC"/>
    <w:rsid w:val="00F50082"/>
    <w:rsid w:val="00F5026E"/>
    <w:rsid w:val="00F50C3E"/>
    <w:rsid w:val="00F50EB7"/>
    <w:rsid w:val="00F52010"/>
    <w:rsid w:val="00F524B8"/>
    <w:rsid w:val="00F5377F"/>
    <w:rsid w:val="00F539EA"/>
    <w:rsid w:val="00F53C52"/>
    <w:rsid w:val="00F53D52"/>
    <w:rsid w:val="00F53FA2"/>
    <w:rsid w:val="00F547B9"/>
    <w:rsid w:val="00F54B69"/>
    <w:rsid w:val="00F556D4"/>
    <w:rsid w:val="00F55B53"/>
    <w:rsid w:val="00F55F00"/>
    <w:rsid w:val="00F6019B"/>
    <w:rsid w:val="00F610D1"/>
    <w:rsid w:val="00F63221"/>
    <w:rsid w:val="00F63A6F"/>
    <w:rsid w:val="00F63CB8"/>
    <w:rsid w:val="00F63EC8"/>
    <w:rsid w:val="00F66078"/>
    <w:rsid w:val="00F66BD9"/>
    <w:rsid w:val="00F6708C"/>
    <w:rsid w:val="00F6750D"/>
    <w:rsid w:val="00F7248F"/>
    <w:rsid w:val="00F725FB"/>
    <w:rsid w:val="00F72A5B"/>
    <w:rsid w:val="00F73EF3"/>
    <w:rsid w:val="00F74196"/>
    <w:rsid w:val="00F74348"/>
    <w:rsid w:val="00F7462C"/>
    <w:rsid w:val="00F76DF2"/>
    <w:rsid w:val="00F77664"/>
    <w:rsid w:val="00F776C6"/>
    <w:rsid w:val="00F778C7"/>
    <w:rsid w:val="00F77A35"/>
    <w:rsid w:val="00F81EB3"/>
    <w:rsid w:val="00F81F61"/>
    <w:rsid w:val="00F83945"/>
    <w:rsid w:val="00F83997"/>
    <w:rsid w:val="00F85149"/>
    <w:rsid w:val="00F85669"/>
    <w:rsid w:val="00F8793E"/>
    <w:rsid w:val="00F9057E"/>
    <w:rsid w:val="00F90956"/>
    <w:rsid w:val="00F91378"/>
    <w:rsid w:val="00F914A4"/>
    <w:rsid w:val="00F921AA"/>
    <w:rsid w:val="00F93639"/>
    <w:rsid w:val="00F93693"/>
    <w:rsid w:val="00F93794"/>
    <w:rsid w:val="00F93951"/>
    <w:rsid w:val="00F9461B"/>
    <w:rsid w:val="00F94912"/>
    <w:rsid w:val="00F94E1A"/>
    <w:rsid w:val="00F96653"/>
    <w:rsid w:val="00F97A84"/>
    <w:rsid w:val="00F97D93"/>
    <w:rsid w:val="00FA0D6A"/>
    <w:rsid w:val="00FA17A4"/>
    <w:rsid w:val="00FA2ABD"/>
    <w:rsid w:val="00FA2DFE"/>
    <w:rsid w:val="00FA3A52"/>
    <w:rsid w:val="00FA48EC"/>
    <w:rsid w:val="00FA5EA6"/>
    <w:rsid w:val="00FA605A"/>
    <w:rsid w:val="00FA7866"/>
    <w:rsid w:val="00FA7EDD"/>
    <w:rsid w:val="00FB0F8B"/>
    <w:rsid w:val="00FB1773"/>
    <w:rsid w:val="00FB1793"/>
    <w:rsid w:val="00FB3C56"/>
    <w:rsid w:val="00FB534D"/>
    <w:rsid w:val="00FB5FBE"/>
    <w:rsid w:val="00FB6058"/>
    <w:rsid w:val="00FB7696"/>
    <w:rsid w:val="00FC0912"/>
    <w:rsid w:val="00FC1123"/>
    <w:rsid w:val="00FC115C"/>
    <w:rsid w:val="00FC143A"/>
    <w:rsid w:val="00FC14FE"/>
    <w:rsid w:val="00FC3E65"/>
    <w:rsid w:val="00FC44B6"/>
    <w:rsid w:val="00FC46B2"/>
    <w:rsid w:val="00FC6617"/>
    <w:rsid w:val="00FC7F55"/>
    <w:rsid w:val="00FD128E"/>
    <w:rsid w:val="00FD1310"/>
    <w:rsid w:val="00FD3493"/>
    <w:rsid w:val="00FD3C6C"/>
    <w:rsid w:val="00FD3EE5"/>
    <w:rsid w:val="00FD4B26"/>
    <w:rsid w:val="00FD4E7F"/>
    <w:rsid w:val="00FD5634"/>
    <w:rsid w:val="00FD731F"/>
    <w:rsid w:val="00FE094E"/>
    <w:rsid w:val="00FE0EBE"/>
    <w:rsid w:val="00FE1044"/>
    <w:rsid w:val="00FE24D1"/>
    <w:rsid w:val="00FE26E8"/>
    <w:rsid w:val="00FE5B15"/>
    <w:rsid w:val="00FE6798"/>
    <w:rsid w:val="00FF14F5"/>
    <w:rsid w:val="00FF2C63"/>
    <w:rsid w:val="00FF3618"/>
    <w:rsid w:val="00FF39A7"/>
    <w:rsid w:val="00FF3E21"/>
    <w:rsid w:val="00FF3EFB"/>
    <w:rsid w:val="00FF7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F7E"/>
  </w:style>
  <w:style w:type="paragraph" w:styleId="Heading1">
    <w:name w:val="heading 1"/>
    <w:basedOn w:val="Normal"/>
    <w:next w:val="Normal"/>
    <w:link w:val="Heading1Char"/>
    <w:uiPriority w:val="9"/>
    <w:qFormat/>
    <w:rsid w:val="004D5F7E"/>
    <w:pPr>
      <w:keepNext/>
      <w:keepLines/>
      <w:numPr>
        <w:numId w:val="8"/>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D5F7E"/>
    <w:pPr>
      <w:keepNext/>
      <w:keepLines/>
      <w:numPr>
        <w:ilvl w:val="1"/>
        <w:numId w:val="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D5F7E"/>
    <w:pPr>
      <w:keepNext/>
      <w:keepLines/>
      <w:numPr>
        <w:ilvl w:val="2"/>
        <w:numId w:val="8"/>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D5F7E"/>
    <w:pPr>
      <w:keepNext/>
      <w:keepLines/>
      <w:numPr>
        <w:ilvl w:val="3"/>
        <w:numId w:val="8"/>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4D5F7E"/>
    <w:pPr>
      <w:keepNext/>
      <w:keepLines/>
      <w:numPr>
        <w:ilvl w:val="4"/>
        <w:numId w:val="8"/>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unhideWhenUsed/>
    <w:qFormat/>
    <w:rsid w:val="004D5F7E"/>
    <w:pPr>
      <w:keepNext/>
      <w:keepLines/>
      <w:numPr>
        <w:ilvl w:val="5"/>
        <w:numId w:val="8"/>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unhideWhenUsed/>
    <w:qFormat/>
    <w:rsid w:val="004D5F7E"/>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D5F7E"/>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D5F7E"/>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7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D5F7E"/>
    <w:rPr>
      <w:rFonts w:asciiTheme="majorHAnsi" w:eastAsiaTheme="majorEastAsia" w:hAnsiTheme="majorHAnsi" w:cstheme="majorBidi"/>
      <w:b/>
      <w:bCs/>
      <w:smallCaps/>
      <w:color w:val="000000" w:themeColor="text1"/>
      <w:sz w:val="28"/>
      <w:szCs w:val="28"/>
    </w:rPr>
  </w:style>
  <w:style w:type="paragraph" w:styleId="NoSpacing">
    <w:name w:val="No Spacing"/>
    <w:link w:val="NoSpacingChar"/>
    <w:uiPriority w:val="1"/>
    <w:qFormat/>
    <w:rsid w:val="004D5F7E"/>
    <w:pPr>
      <w:spacing w:after="0" w:line="240" w:lineRule="auto"/>
    </w:pPr>
  </w:style>
  <w:style w:type="character" w:customStyle="1" w:styleId="Heading3Char">
    <w:name w:val="Heading 3 Char"/>
    <w:basedOn w:val="DefaultParagraphFont"/>
    <w:link w:val="Heading3"/>
    <w:uiPriority w:val="9"/>
    <w:rsid w:val="004D5F7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4D5F7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4D5F7E"/>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rsid w:val="004D5F7E"/>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rsid w:val="004D5F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D5F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D5F7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D5F7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D5F7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D5F7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D5F7E"/>
    <w:rPr>
      <w:color w:val="5A5A5A" w:themeColor="text1" w:themeTint="A5"/>
      <w:spacing w:val="10"/>
    </w:rPr>
  </w:style>
  <w:style w:type="character" w:styleId="SubtleEmphasis">
    <w:name w:val="Subtle Emphasis"/>
    <w:basedOn w:val="DefaultParagraphFont"/>
    <w:uiPriority w:val="19"/>
    <w:qFormat/>
    <w:rsid w:val="004D5F7E"/>
    <w:rPr>
      <w:i/>
      <w:iCs/>
      <w:color w:val="404040" w:themeColor="text1" w:themeTint="BF"/>
    </w:rPr>
  </w:style>
  <w:style w:type="character" w:styleId="Strong">
    <w:name w:val="Strong"/>
    <w:aliases w:val="Bold"/>
    <w:basedOn w:val="DefaultParagraphFont"/>
    <w:uiPriority w:val="22"/>
    <w:qFormat/>
    <w:rsid w:val="004D5F7E"/>
    <w:rPr>
      <w:b/>
      <w:bCs/>
      <w:color w:val="000000" w:themeColor="text1"/>
    </w:rPr>
  </w:style>
  <w:style w:type="paragraph" w:styleId="ListParagraph">
    <w:name w:val="List Paragraph"/>
    <w:aliases w:val="0Bullet,1 heading,AR bullet 1,Bullet Point,Bullet Points,Bullet point,Bullet points,Content descriptions,Dot point 1.5 line spacing,FooterText,L,List Paragraph - bullets,List Paragraph1,List Paragraph11,List Paragraph2,Recommendation,列出段落"/>
    <w:basedOn w:val="Normal"/>
    <w:link w:val="ListParagraphChar"/>
    <w:uiPriority w:val="34"/>
    <w:qFormat/>
    <w:rsid w:val="004B54CA"/>
    <w:pPr>
      <w:ind w:left="720"/>
      <w:contextualSpacing/>
    </w:pPr>
  </w:style>
  <w:style w:type="character" w:styleId="Emphasis">
    <w:name w:val="Emphasis"/>
    <w:basedOn w:val="DefaultParagraphFont"/>
    <w:uiPriority w:val="20"/>
    <w:qFormat/>
    <w:rsid w:val="004D5F7E"/>
    <w:rPr>
      <w:i/>
      <w:iCs/>
      <w:color w:val="auto"/>
    </w:rPr>
  </w:style>
  <w:style w:type="character" w:styleId="IntenseEmphasis">
    <w:name w:val="Intense Emphasis"/>
    <w:basedOn w:val="DefaultParagraphFont"/>
    <w:uiPriority w:val="21"/>
    <w:qFormat/>
    <w:rsid w:val="004D5F7E"/>
    <w:rPr>
      <w:b/>
      <w:bCs/>
      <w:i/>
      <w:iCs/>
      <w:caps/>
    </w:rPr>
  </w:style>
  <w:style w:type="paragraph" w:customStyle="1" w:styleId="Titlepage">
    <w:name w:val="Title page"/>
    <w:basedOn w:val="Title"/>
    <w:rsid w:val="001F512D"/>
    <w:pPr>
      <w:spacing w:before="4000"/>
      <w:jc w:val="center"/>
    </w:pPr>
  </w:style>
  <w:style w:type="paragraph" w:styleId="Caption">
    <w:name w:val="caption"/>
    <w:aliases w:val="table title"/>
    <w:basedOn w:val="Normal"/>
    <w:next w:val="Normal"/>
    <w:uiPriority w:val="35"/>
    <w:unhideWhenUsed/>
    <w:qFormat/>
    <w:rsid w:val="004D5F7E"/>
    <w:pPr>
      <w:spacing w:after="200" w:line="240" w:lineRule="auto"/>
    </w:pPr>
    <w:rPr>
      <w:i/>
      <w:iCs/>
      <w:color w:val="000000" w:themeColor="text2"/>
      <w:sz w:val="18"/>
      <w:szCs w:val="18"/>
    </w:rPr>
  </w:style>
  <w:style w:type="paragraph" w:styleId="TOCHeading">
    <w:name w:val="TOC Heading"/>
    <w:basedOn w:val="Heading1"/>
    <w:next w:val="Normal"/>
    <w:uiPriority w:val="39"/>
    <w:unhideWhenUsed/>
    <w:qFormat/>
    <w:rsid w:val="004D5F7E"/>
    <w:pPr>
      <w:outlineLvl w:val="9"/>
    </w:pPr>
  </w:style>
  <w:style w:type="character" w:customStyle="1" w:styleId="NoSpacingChar">
    <w:name w:val="No Spacing Char"/>
    <w:basedOn w:val="DefaultParagraphFont"/>
    <w:link w:val="NoSpacing"/>
    <w:uiPriority w:val="1"/>
    <w:rsid w:val="004B54CA"/>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3023"/>
    <w:rPr>
      <w:rFonts w:ascii="Tahoma" w:hAnsi="Tahoma" w:cs="Tahoma"/>
      <w:sz w:val="16"/>
      <w:szCs w:val="16"/>
    </w:rPr>
  </w:style>
  <w:style w:type="paragraph" w:styleId="ListBullet">
    <w:name w:val="List Bullet"/>
    <w:basedOn w:val="Normal"/>
    <w:uiPriority w:val="1"/>
    <w:rsid w:val="0050273B"/>
    <w:pPr>
      <w:numPr>
        <w:numId w:val="1"/>
      </w:numPr>
      <w:tabs>
        <w:tab w:val="left" w:pos="170"/>
      </w:tabs>
      <w:spacing w:before="60" w:after="120"/>
    </w:pPr>
  </w:style>
  <w:style w:type="paragraph" w:customStyle="1" w:styleId="Pullouttext">
    <w:name w:val="Pullout text"/>
    <w:next w:val="Normal"/>
    <w:link w:val="PullouttextChar"/>
    <w:uiPriority w:val="3"/>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
      <w:bCs/>
      <w:iCs/>
      <w:smallCap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DA3FA0"/>
    <w:pPr>
      <w:tabs>
        <w:tab w:val="left" w:pos="660"/>
        <w:tab w:val="right" w:leader="dot" w:pos="9344"/>
      </w:tabs>
      <w:spacing w:after="100"/>
      <w:ind w:left="426" w:hanging="426"/>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B019C5"/>
    <w:pPr>
      <w:tabs>
        <w:tab w:val="right" w:leader="dot" w:pos="9344"/>
      </w:tabs>
      <w:spacing w:after="100"/>
      <w:ind w:left="400"/>
    </w:pPr>
    <w:rPr>
      <w:rFonts w:eastAsiaTheme="majorEastAsia" w:cstheme="minorHAnsi"/>
      <w:bCs/>
      <w:noProof/>
      <w:lang w:bidi="en-US"/>
    </w:r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styleId="FootnoteText">
    <w:name w:val="footnote text"/>
    <w:basedOn w:val="Normal"/>
    <w:link w:val="FootnoteTextChar"/>
    <w:uiPriority w:val="99"/>
    <w:semiHidden/>
    <w:unhideWhenUsed/>
    <w:rsid w:val="00510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9E5"/>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unhideWhenUsed/>
    <w:rsid w:val="005109E5"/>
    <w:rPr>
      <w:vertAlign w:val="superscript"/>
    </w:rPr>
  </w:style>
  <w:style w:type="paragraph" w:styleId="CommentText">
    <w:name w:val="annotation text"/>
    <w:basedOn w:val="Normal"/>
    <w:link w:val="CommentTextChar"/>
    <w:uiPriority w:val="99"/>
    <w:semiHidden/>
    <w:unhideWhenUsed/>
    <w:rsid w:val="00D504CE"/>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D504CE"/>
    <w:rPr>
      <w:rFonts w:ascii="Arial" w:hAnsi="Arial"/>
      <w:sz w:val="20"/>
      <w:szCs w:val="20"/>
    </w:rPr>
  </w:style>
  <w:style w:type="character" w:styleId="CommentReference">
    <w:name w:val="annotation reference"/>
    <w:basedOn w:val="DefaultParagraphFont"/>
    <w:uiPriority w:val="99"/>
    <w:semiHidden/>
    <w:unhideWhenUsed/>
    <w:rsid w:val="00D504CE"/>
    <w:rPr>
      <w:sz w:val="16"/>
      <w:szCs w:val="16"/>
    </w:rPr>
  </w:style>
  <w:style w:type="paragraph" w:customStyle="1" w:styleId="TableHeading">
    <w:name w:val="Table Heading"/>
    <w:basedOn w:val="Normal"/>
    <w:next w:val="Normal"/>
    <w:rsid w:val="00796CF3"/>
    <w:pPr>
      <w:spacing w:before="480" w:after="240" w:line="240" w:lineRule="auto"/>
    </w:pPr>
    <w:rPr>
      <w:rFonts w:eastAsia="Calibri" w:cs="Segoe UI"/>
      <w:b/>
      <w:caps/>
      <w:color w:val="0D0D0D" w:themeColor="text2" w:themeTint="F2"/>
      <w:sz w:val="20"/>
    </w:rPr>
  </w:style>
  <w:style w:type="numbering" w:customStyle="1" w:styleId="TableNumbers">
    <w:name w:val="TableNumbers"/>
    <w:uiPriority w:val="99"/>
    <w:rsid w:val="00796CF3"/>
    <w:pPr>
      <w:numPr>
        <w:numId w:val="64"/>
      </w:numPr>
    </w:pPr>
  </w:style>
  <w:style w:type="table" w:customStyle="1" w:styleId="DSSDatatablestyle1">
    <w:name w:val="DSS Data table style1"/>
    <w:basedOn w:val="TableNormal"/>
    <w:uiPriority w:val="99"/>
    <w:rsid w:val="009C2E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CommentSubject">
    <w:name w:val="annotation subject"/>
    <w:basedOn w:val="CommentText"/>
    <w:next w:val="CommentText"/>
    <w:link w:val="CommentSubjectChar"/>
    <w:uiPriority w:val="99"/>
    <w:semiHidden/>
    <w:unhideWhenUsed/>
    <w:rsid w:val="00491A9B"/>
    <w:pPr>
      <w:spacing w:before="120" w:after="180"/>
    </w:pPr>
    <w:rPr>
      <w:rFonts w:eastAsia="Times New Roman" w:cs="Times New Roman"/>
      <w:b/>
      <w:bCs/>
      <w:spacing w:val="4"/>
      <w:lang w:eastAsia="en-AU"/>
    </w:rPr>
  </w:style>
  <w:style w:type="character" w:customStyle="1" w:styleId="CommentSubjectChar">
    <w:name w:val="Comment Subject Char"/>
    <w:basedOn w:val="CommentTextChar"/>
    <w:link w:val="CommentSubject"/>
    <w:uiPriority w:val="99"/>
    <w:semiHidden/>
    <w:rsid w:val="00491A9B"/>
    <w:rPr>
      <w:rFonts w:ascii="Arial" w:eastAsia="Times New Roman" w:hAnsi="Arial" w:cs="Times New Roman"/>
      <w:b/>
      <w:bCs/>
      <w:spacing w:val="4"/>
      <w:sz w:val="20"/>
      <w:szCs w:val="20"/>
      <w:lang w:eastAsia="en-AU"/>
    </w:rPr>
  </w:style>
  <w:style w:type="paragraph" w:styleId="Revision">
    <w:name w:val="Revision"/>
    <w:hidden/>
    <w:uiPriority w:val="99"/>
    <w:semiHidden/>
    <w:rsid w:val="008F5FC6"/>
    <w:pPr>
      <w:spacing w:after="0" w:line="240" w:lineRule="auto"/>
    </w:pPr>
    <w:rPr>
      <w:rFonts w:ascii="Arial" w:eastAsia="Times New Roman" w:hAnsi="Arial" w:cs="Times New Roman"/>
      <w:spacing w:val="4"/>
      <w:sz w:val="24"/>
      <w:szCs w:val="24"/>
      <w:lang w:eastAsia="en-AU"/>
    </w:rPr>
  </w:style>
  <w:style w:type="table" w:customStyle="1" w:styleId="ARTDTable">
    <w:name w:val="ARTD_Table"/>
    <w:basedOn w:val="TableNormal"/>
    <w:uiPriority w:val="99"/>
    <w:rsid w:val="0088487B"/>
    <w:pPr>
      <w:spacing w:after="0" w:line="240" w:lineRule="auto"/>
    </w:pPr>
    <w:rPr>
      <w:rFonts w:eastAsia="Calibri" w:cs="Times New Roman"/>
      <w:color w:val="00575C" w:themeColor="accent2" w:themeShade="80"/>
      <w:sz w:val="18"/>
      <w:szCs w:val="20"/>
      <w:lang w:eastAsia="en-AU"/>
    </w:rPr>
    <w:tblPr>
      <w:tblStyleRowBandSize w:val="1"/>
      <w:tblInd w:w="57" w:type="dxa"/>
      <w:tblBorders>
        <w:bottom w:val="single" w:sz="4" w:space="0" w:color="B1E4E3" w:themeColor="accent6"/>
        <w:insideH w:val="single" w:sz="4" w:space="0" w:color="D0EEEE" w:themeColor="accent6" w:themeTint="99"/>
      </w:tblBorders>
      <w:tblCellMar>
        <w:top w:w="113" w:type="dxa"/>
        <w:left w:w="57" w:type="dxa"/>
        <w:bottom w:w="57" w:type="dxa"/>
        <w:right w:w="57" w:type="dxa"/>
      </w:tblCellMar>
    </w:tblPr>
    <w:tblStylePr w:type="firstRow">
      <w:pPr>
        <w:wordWrap/>
        <w:spacing w:afterLines="0" w:after="60" w:afterAutospacing="0"/>
      </w:pPr>
      <w:rPr>
        <w:rFonts w:ascii="Tahoma" w:hAnsi="Tahoma"/>
        <w:b/>
        <w:i w:val="0"/>
        <w:color w:val="00575C" w:themeColor="accent2" w:themeShade="80"/>
        <w:sz w:val="18"/>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rFonts w:ascii="Tahoma" w:hAnsi="Tahoma"/>
        <w:b w:val="0"/>
        <w:color w:val="000000" w:themeColor="text1"/>
        <w:sz w:val="18"/>
      </w:rPr>
      <w:tblPr/>
      <w:tcPr>
        <w:shd w:val="clear" w:color="auto" w:fill="DFDFDF" w:themeFill="background2" w:themeFillShade="E6"/>
      </w:tcPr>
    </w:tblStylePr>
    <w:tblStylePr w:type="band1Horz">
      <w:rPr>
        <w:color w:val="auto"/>
      </w:rPr>
      <w:tblPr/>
      <w:tcPr>
        <w:tcBorders>
          <w:top w:val="single" w:sz="4" w:space="0" w:color="EFF9F9" w:themeColor="accent6" w:themeTint="33"/>
          <w:left w:val="nil"/>
          <w:bottom w:val="single" w:sz="4" w:space="0" w:color="EFF9F9" w:themeColor="accent6" w:themeTint="33"/>
          <w:right w:val="nil"/>
          <w:insideH w:val="nil"/>
          <w:insideV w:val="nil"/>
          <w:tl2br w:val="nil"/>
          <w:tr2bl w:val="nil"/>
        </w:tcBorders>
      </w:tcPr>
    </w:tblStylePr>
    <w:tblStylePr w:type="band2Horz">
      <w:rPr>
        <w:color w:val="000000" w:themeColor="text2"/>
      </w:rPr>
      <w:tblPr/>
      <w:tcPr>
        <w:tcBorders>
          <w:top w:val="nil"/>
          <w:left w:val="nil"/>
          <w:bottom w:val="single" w:sz="4" w:space="0" w:color="EFF9F9" w:themeColor="accent6" w:themeTint="33"/>
          <w:right w:val="nil"/>
          <w:insideH w:val="nil"/>
          <w:insideV w:val="nil"/>
          <w:tl2br w:val="nil"/>
          <w:tr2bl w:val="nil"/>
        </w:tcBorders>
      </w:tcPr>
    </w:tblStylePr>
  </w:style>
  <w:style w:type="table" w:customStyle="1" w:styleId="ListTable4-Accent32">
    <w:name w:val="List Table 4 - Accent 32"/>
    <w:basedOn w:val="TableNormal"/>
    <w:next w:val="ListTable4-Accent3"/>
    <w:uiPriority w:val="49"/>
    <w:rsid w:val="00174EA4"/>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istTable4-Accent3">
    <w:name w:val="List Table 4 Accent 3"/>
    <w:basedOn w:val="TableNormal"/>
    <w:uiPriority w:val="49"/>
    <w:rsid w:val="00174EA4"/>
    <w:pPr>
      <w:spacing w:after="0" w:line="240" w:lineRule="auto"/>
    </w:pPr>
    <w:tblPr>
      <w:tblStyleRowBandSize w:val="1"/>
      <w:tblStyleColBandSize w:val="1"/>
      <w:tblBorders>
        <w:top w:val="single" w:sz="4" w:space="0" w:color="D0EEEE" w:themeColor="accent3" w:themeTint="99"/>
        <w:left w:val="single" w:sz="4" w:space="0" w:color="D0EEEE" w:themeColor="accent3" w:themeTint="99"/>
        <w:bottom w:val="single" w:sz="4" w:space="0" w:color="D0EEEE" w:themeColor="accent3" w:themeTint="99"/>
        <w:right w:val="single" w:sz="4" w:space="0" w:color="D0EEEE" w:themeColor="accent3" w:themeTint="99"/>
        <w:insideH w:val="single" w:sz="4" w:space="0" w:color="D0EEEE" w:themeColor="accent3" w:themeTint="99"/>
      </w:tblBorders>
    </w:tblPr>
    <w:tblStylePr w:type="firstRow">
      <w:rPr>
        <w:b/>
        <w:bCs/>
        <w:color w:val="FFFFFF" w:themeColor="background1"/>
      </w:rPr>
      <w:tblPr/>
      <w:tcPr>
        <w:tcBorders>
          <w:top w:val="single" w:sz="4" w:space="0" w:color="B1E4E3" w:themeColor="accent3"/>
          <w:left w:val="single" w:sz="4" w:space="0" w:color="B1E4E3" w:themeColor="accent3"/>
          <w:bottom w:val="single" w:sz="4" w:space="0" w:color="B1E4E3" w:themeColor="accent3"/>
          <w:right w:val="single" w:sz="4" w:space="0" w:color="B1E4E3" w:themeColor="accent3"/>
          <w:insideH w:val="nil"/>
        </w:tcBorders>
        <w:shd w:val="clear" w:color="auto" w:fill="B1E4E3" w:themeFill="accent3"/>
      </w:tcPr>
    </w:tblStylePr>
    <w:tblStylePr w:type="lastRow">
      <w:rPr>
        <w:b/>
        <w:bCs/>
      </w:rPr>
      <w:tblPr/>
      <w:tcPr>
        <w:tcBorders>
          <w:top w:val="double" w:sz="4" w:space="0" w:color="D0EEEE" w:themeColor="accent3" w:themeTint="99"/>
        </w:tcBorders>
      </w:tcPr>
    </w:tblStylePr>
    <w:tblStylePr w:type="firstCol">
      <w:rPr>
        <w:b/>
        <w:bCs/>
      </w:rPr>
    </w:tblStylePr>
    <w:tblStylePr w:type="lastCol">
      <w:rPr>
        <w:b/>
        <w:bCs/>
      </w:rPr>
    </w:tblStylePr>
    <w:tblStylePr w:type="band1Vert">
      <w:tblPr/>
      <w:tcPr>
        <w:shd w:val="clear" w:color="auto" w:fill="EFF9F9" w:themeFill="accent3" w:themeFillTint="33"/>
      </w:tcPr>
    </w:tblStylePr>
    <w:tblStylePr w:type="band1Horz">
      <w:tblPr/>
      <w:tcPr>
        <w:shd w:val="clear" w:color="auto" w:fill="EFF9F9" w:themeFill="accent3" w:themeFillTint="33"/>
      </w:tcPr>
    </w:tblStylePr>
  </w:style>
  <w:style w:type="paragraph" w:styleId="Quote">
    <w:name w:val="Quote"/>
    <w:basedOn w:val="Normal"/>
    <w:next w:val="Normal"/>
    <w:link w:val="QuoteChar"/>
    <w:uiPriority w:val="29"/>
    <w:qFormat/>
    <w:rsid w:val="004D5F7E"/>
    <w:pPr>
      <w:spacing w:before="160"/>
      <w:ind w:left="720" w:right="720"/>
    </w:pPr>
    <w:rPr>
      <w:i/>
      <w:iCs/>
      <w:color w:val="000000" w:themeColor="text1"/>
    </w:rPr>
  </w:style>
  <w:style w:type="character" w:customStyle="1" w:styleId="QuoteChar">
    <w:name w:val="Quote Char"/>
    <w:basedOn w:val="DefaultParagraphFont"/>
    <w:link w:val="Quote"/>
    <w:uiPriority w:val="29"/>
    <w:rsid w:val="004D5F7E"/>
    <w:rPr>
      <w:i/>
      <w:iCs/>
      <w:color w:val="000000" w:themeColor="text1"/>
    </w:rPr>
  </w:style>
  <w:style w:type="table" w:styleId="GridTable4-Accent6">
    <w:name w:val="Grid Table 4 Accent 6"/>
    <w:basedOn w:val="TableNormal"/>
    <w:uiPriority w:val="49"/>
    <w:rsid w:val="00A37B38"/>
    <w:pPr>
      <w:spacing w:after="0" w:line="240" w:lineRule="auto"/>
    </w:pPr>
    <w:tblPr>
      <w:tblStyleRowBandSize w:val="1"/>
      <w:tblStyleColBandSize w:val="1"/>
      <w:tblBorders>
        <w:top w:val="single" w:sz="4" w:space="0" w:color="D0EEEE" w:themeColor="accent6" w:themeTint="99"/>
        <w:left w:val="single" w:sz="4" w:space="0" w:color="D0EEEE" w:themeColor="accent6" w:themeTint="99"/>
        <w:bottom w:val="single" w:sz="4" w:space="0" w:color="D0EEEE" w:themeColor="accent6" w:themeTint="99"/>
        <w:right w:val="single" w:sz="4" w:space="0" w:color="D0EEEE" w:themeColor="accent6" w:themeTint="99"/>
        <w:insideH w:val="single" w:sz="4" w:space="0" w:color="D0EEEE" w:themeColor="accent6" w:themeTint="99"/>
        <w:insideV w:val="single" w:sz="4" w:space="0" w:color="D0EEEE" w:themeColor="accent6" w:themeTint="99"/>
      </w:tblBorders>
    </w:tblPr>
    <w:tblStylePr w:type="firstRow">
      <w:rPr>
        <w:b/>
        <w:bCs/>
        <w:color w:val="FFFFFF" w:themeColor="background1"/>
      </w:rPr>
      <w:tblPr/>
      <w:tcPr>
        <w:tcBorders>
          <w:top w:val="single" w:sz="4" w:space="0" w:color="B1E4E3" w:themeColor="accent6"/>
          <w:left w:val="single" w:sz="4" w:space="0" w:color="B1E4E3" w:themeColor="accent6"/>
          <w:bottom w:val="single" w:sz="4" w:space="0" w:color="B1E4E3" w:themeColor="accent6"/>
          <w:right w:val="single" w:sz="4" w:space="0" w:color="B1E4E3" w:themeColor="accent6"/>
          <w:insideH w:val="nil"/>
          <w:insideV w:val="nil"/>
        </w:tcBorders>
        <w:shd w:val="clear" w:color="auto" w:fill="B1E4E3" w:themeFill="accent6"/>
      </w:tcPr>
    </w:tblStylePr>
    <w:tblStylePr w:type="lastRow">
      <w:rPr>
        <w:b/>
        <w:bCs/>
      </w:rPr>
      <w:tblPr/>
      <w:tcPr>
        <w:tcBorders>
          <w:top w:val="double" w:sz="4" w:space="0" w:color="B1E4E3" w:themeColor="accent6"/>
        </w:tcBorders>
      </w:tcPr>
    </w:tblStylePr>
    <w:tblStylePr w:type="firstCol">
      <w:rPr>
        <w:b/>
        <w:bCs/>
      </w:rPr>
    </w:tblStylePr>
    <w:tblStylePr w:type="lastCol">
      <w:rPr>
        <w:b/>
        <w:bCs/>
      </w:rPr>
    </w:tblStylePr>
    <w:tblStylePr w:type="band1Vert">
      <w:tblPr/>
      <w:tcPr>
        <w:shd w:val="clear" w:color="auto" w:fill="EFF9F9" w:themeFill="accent6" w:themeFillTint="33"/>
      </w:tcPr>
    </w:tblStylePr>
    <w:tblStylePr w:type="band1Horz">
      <w:tblPr/>
      <w:tcPr>
        <w:shd w:val="clear" w:color="auto" w:fill="EFF9F9" w:themeFill="accent6" w:themeFillTint="33"/>
      </w:tcPr>
    </w:tblStylePr>
  </w:style>
  <w:style w:type="table" w:styleId="GridTable4-Accent3">
    <w:name w:val="Grid Table 4 Accent 3"/>
    <w:basedOn w:val="TableNormal"/>
    <w:uiPriority w:val="49"/>
    <w:rsid w:val="00A37B38"/>
    <w:pPr>
      <w:spacing w:after="0" w:line="240" w:lineRule="auto"/>
    </w:pPr>
    <w:tblPr>
      <w:tblStyleRowBandSize w:val="1"/>
      <w:tblStyleColBandSize w:val="1"/>
      <w:tblBorders>
        <w:top w:val="single" w:sz="4" w:space="0" w:color="D0EEEE" w:themeColor="accent3" w:themeTint="99"/>
        <w:left w:val="single" w:sz="4" w:space="0" w:color="D0EEEE" w:themeColor="accent3" w:themeTint="99"/>
        <w:bottom w:val="single" w:sz="4" w:space="0" w:color="D0EEEE" w:themeColor="accent3" w:themeTint="99"/>
        <w:right w:val="single" w:sz="4" w:space="0" w:color="D0EEEE" w:themeColor="accent3" w:themeTint="99"/>
        <w:insideH w:val="single" w:sz="4" w:space="0" w:color="D0EEEE" w:themeColor="accent3" w:themeTint="99"/>
        <w:insideV w:val="single" w:sz="4" w:space="0" w:color="D0EEEE" w:themeColor="accent3" w:themeTint="99"/>
      </w:tblBorders>
    </w:tblPr>
    <w:tblStylePr w:type="firstRow">
      <w:rPr>
        <w:b/>
        <w:bCs/>
        <w:color w:val="FFFFFF" w:themeColor="background1"/>
      </w:rPr>
      <w:tblPr/>
      <w:tcPr>
        <w:tcBorders>
          <w:top w:val="single" w:sz="4" w:space="0" w:color="B1E4E3" w:themeColor="accent3"/>
          <w:left w:val="single" w:sz="4" w:space="0" w:color="B1E4E3" w:themeColor="accent3"/>
          <w:bottom w:val="single" w:sz="4" w:space="0" w:color="B1E4E3" w:themeColor="accent3"/>
          <w:right w:val="single" w:sz="4" w:space="0" w:color="B1E4E3" w:themeColor="accent3"/>
          <w:insideH w:val="nil"/>
          <w:insideV w:val="nil"/>
        </w:tcBorders>
        <w:shd w:val="clear" w:color="auto" w:fill="B1E4E3" w:themeFill="accent3"/>
      </w:tcPr>
    </w:tblStylePr>
    <w:tblStylePr w:type="lastRow">
      <w:rPr>
        <w:b/>
        <w:bCs/>
      </w:rPr>
      <w:tblPr/>
      <w:tcPr>
        <w:tcBorders>
          <w:top w:val="double" w:sz="4" w:space="0" w:color="B1E4E3" w:themeColor="accent3"/>
        </w:tcBorders>
      </w:tcPr>
    </w:tblStylePr>
    <w:tblStylePr w:type="firstCol">
      <w:rPr>
        <w:b/>
        <w:bCs/>
      </w:rPr>
    </w:tblStylePr>
    <w:tblStylePr w:type="lastCol">
      <w:rPr>
        <w:b/>
        <w:bCs/>
      </w:rPr>
    </w:tblStylePr>
    <w:tblStylePr w:type="band1Vert">
      <w:tblPr/>
      <w:tcPr>
        <w:shd w:val="clear" w:color="auto" w:fill="EFF9F9" w:themeFill="accent3" w:themeFillTint="33"/>
      </w:tcPr>
    </w:tblStylePr>
    <w:tblStylePr w:type="band1Horz">
      <w:tblPr/>
      <w:tcPr>
        <w:shd w:val="clear" w:color="auto" w:fill="EFF9F9" w:themeFill="accent3" w:themeFillTint="33"/>
      </w:tcPr>
    </w:tblStylePr>
  </w:style>
  <w:style w:type="character" w:customStyle="1" w:styleId="TalkingPointChar">
    <w:name w:val="TalkingPoint Char"/>
    <w:basedOn w:val="DefaultParagraphFont"/>
    <w:link w:val="TalkingPoint"/>
    <w:locked/>
    <w:rsid w:val="00464776"/>
    <w:rPr>
      <w:rFonts w:ascii="Calibri" w:hAnsi="Calibri" w:cs="Calibri"/>
      <w:color w:val="000000" w:themeColor="text1"/>
      <w:sz w:val="32"/>
      <w:szCs w:val="32"/>
    </w:rPr>
  </w:style>
  <w:style w:type="paragraph" w:customStyle="1" w:styleId="TalkingPoint">
    <w:name w:val="TalkingPoint"/>
    <w:basedOn w:val="Normal"/>
    <w:link w:val="TalkingPointChar"/>
    <w:rsid w:val="00464776"/>
    <w:pPr>
      <w:spacing w:after="0" w:line="240" w:lineRule="auto"/>
    </w:pPr>
    <w:rPr>
      <w:rFonts w:ascii="Calibri" w:eastAsiaTheme="minorHAnsi" w:hAnsi="Calibri" w:cs="Calibri"/>
      <w:color w:val="000000" w:themeColor="text1"/>
      <w:sz w:val="32"/>
      <w:szCs w:val="32"/>
    </w:rPr>
  </w:style>
  <w:style w:type="character" w:customStyle="1" w:styleId="ListParagraphChar">
    <w:name w:val="List Paragraph Char"/>
    <w:aliases w:val="0Bullet Char,1 heading Char,AR bullet 1 Char,Bullet Point Char,Bullet Points Char,Bullet point Char,Bullet points Char,Content descriptions Char,Dot point 1.5 line spacing Char,FooterText Char,L Char,List Paragraph - bullets Char"/>
    <w:basedOn w:val="DefaultParagraphFont"/>
    <w:link w:val="ListParagraph"/>
    <w:uiPriority w:val="34"/>
    <w:qFormat/>
    <w:locked/>
    <w:rsid w:val="00464776"/>
  </w:style>
  <w:style w:type="paragraph" w:customStyle="1" w:styleId="Default">
    <w:name w:val="Default"/>
    <w:rsid w:val="0080569E"/>
    <w:pPr>
      <w:autoSpaceDE w:val="0"/>
      <w:autoSpaceDN w:val="0"/>
      <w:adjustRightInd w:val="0"/>
      <w:spacing w:after="0" w:line="240" w:lineRule="auto"/>
    </w:pPr>
    <w:rPr>
      <w:rFonts w:ascii="Calibri" w:hAnsi="Calibri" w:cs="Calibri"/>
      <w:color w:val="000000"/>
      <w:sz w:val="24"/>
      <w:szCs w:val="24"/>
    </w:rPr>
  </w:style>
  <w:style w:type="paragraph" w:customStyle="1" w:styleId="Footer2">
    <w:name w:val="Footer 2"/>
    <w:basedOn w:val="FootnoteText"/>
    <w:link w:val="Footer2Char"/>
    <w:rsid w:val="00A13A61"/>
    <w:pPr>
      <w:tabs>
        <w:tab w:val="left" w:pos="284"/>
      </w:tabs>
      <w:kinsoku w:val="0"/>
      <w:overflowPunct w:val="0"/>
      <w:autoSpaceDE w:val="0"/>
      <w:autoSpaceDN w:val="0"/>
      <w:adjustRightInd w:val="0"/>
      <w:snapToGrid w:val="0"/>
      <w:spacing w:before="80" w:after="80"/>
      <w:ind w:left="227" w:hanging="227"/>
    </w:pPr>
    <w:rPr>
      <w:rFonts w:cs="Arial"/>
      <w:snapToGrid w:val="0"/>
      <w:sz w:val="14"/>
      <w:szCs w:val="14"/>
    </w:rPr>
  </w:style>
  <w:style w:type="character" w:customStyle="1" w:styleId="Footer2Char">
    <w:name w:val="Footer 2 Char"/>
    <w:basedOn w:val="FootnoteTextChar"/>
    <w:link w:val="Footer2"/>
    <w:rsid w:val="00A13A61"/>
    <w:rPr>
      <w:rFonts w:ascii="Arial" w:eastAsia="Times New Roman" w:hAnsi="Arial" w:cs="Arial"/>
      <w:snapToGrid w:val="0"/>
      <w:spacing w:val="4"/>
      <w:sz w:val="14"/>
      <w:szCs w:val="14"/>
      <w:lang w:eastAsia="en-AU"/>
    </w:rPr>
  </w:style>
  <w:style w:type="paragraph" w:styleId="IntenseQuote">
    <w:name w:val="Intense Quote"/>
    <w:basedOn w:val="Normal"/>
    <w:next w:val="Normal"/>
    <w:link w:val="IntenseQuoteChar"/>
    <w:uiPriority w:val="30"/>
    <w:qFormat/>
    <w:rsid w:val="004D5F7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D5F7E"/>
    <w:rPr>
      <w:color w:val="000000" w:themeColor="text1"/>
      <w:shd w:val="clear" w:color="auto" w:fill="F2F2F2" w:themeFill="background1" w:themeFillShade="F2"/>
    </w:rPr>
  </w:style>
  <w:style w:type="character" w:styleId="SubtleReference">
    <w:name w:val="Subtle Reference"/>
    <w:basedOn w:val="DefaultParagraphFont"/>
    <w:uiPriority w:val="31"/>
    <w:qFormat/>
    <w:rsid w:val="004D5F7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5F7E"/>
    <w:rPr>
      <w:b/>
      <w:bCs/>
      <w:smallCaps/>
      <w:u w:val="single"/>
    </w:rPr>
  </w:style>
  <w:style w:type="character" w:styleId="BookTitle">
    <w:name w:val="Book Title"/>
    <w:basedOn w:val="DefaultParagraphFont"/>
    <w:uiPriority w:val="33"/>
    <w:qFormat/>
    <w:rsid w:val="004D5F7E"/>
    <w:rPr>
      <w:b w:val="0"/>
      <w:bCs w:val="0"/>
      <w:smallCaps/>
      <w:spacing w:val="5"/>
    </w:rPr>
  </w:style>
  <w:style w:type="numbering" w:customStyle="1" w:styleId="TableNumbers1">
    <w:name w:val="TableNumbers1"/>
    <w:uiPriority w:val="99"/>
    <w:rsid w:val="00923294"/>
  </w:style>
  <w:style w:type="character" w:styleId="PlaceholderText">
    <w:name w:val="Placeholder Text"/>
    <w:basedOn w:val="DefaultParagraphFont"/>
    <w:uiPriority w:val="99"/>
    <w:semiHidden/>
    <w:rsid w:val="0020112A"/>
    <w:rPr>
      <w:color w:val="808080"/>
    </w:rPr>
  </w:style>
  <w:style w:type="paragraph" w:customStyle="1" w:styleId="Style1">
    <w:name w:val="Style1"/>
    <w:basedOn w:val="Normal"/>
    <w:link w:val="Style1Char"/>
    <w:qFormat/>
    <w:rsid w:val="00A74082"/>
    <w:pPr>
      <w:spacing w:before="60" w:after="120"/>
    </w:pPr>
    <w:rPr>
      <w:rFonts w:cs="Arial"/>
      <w:b/>
      <w:lang w:bidi="en-US"/>
    </w:rPr>
  </w:style>
  <w:style w:type="character" w:customStyle="1" w:styleId="Style1Char">
    <w:name w:val="Style1 Char"/>
    <w:basedOn w:val="DefaultParagraphFont"/>
    <w:link w:val="Style1"/>
    <w:rsid w:val="00A74082"/>
    <w:rPr>
      <w:rFonts w:cs="Arial"/>
      <w:b/>
      <w:lang w:bidi="en-US"/>
    </w:rPr>
  </w:style>
  <w:style w:type="paragraph" w:customStyle="1" w:styleId="item">
    <w:name w:val="item"/>
    <w:basedOn w:val="Normal"/>
    <w:link w:val="itemChar"/>
    <w:qFormat/>
    <w:rsid w:val="007B013D"/>
    <w:pPr>
      <w:spacing w:before="120" w:after="120" w:line="276" w:lineRule="auto"/>
    </w:pPr>
    <w:rPr>
      <w:rFonts w:eastAsia="Montserrat" w:cstheme="minorHAnsi"/>
      <w:b/>
      <w:color w:val="414141"/>
      <w:sz w:val="24"/>
      <w:szCs w:val="24"/>
      <w:lang w:eastAsia="en-AU"/>
    </w:rPr>
  </w:style>
  <w:style w:type="character" w:customStyle="1" w:styleId="itemChar">
    <w:name w:val="item Char"/>
    <w:basedOn w:val="DefaultParagraphFont"/>
    <w:link w:val="item"/>
    <w:rsid w:val="007B013D"/>
    <w:rPr>
      <w:rFonts w:eastAsia="Montserrat" w:cstheme="minorHAnsi"/>
      <w:b/>
      <w:color w:val="41414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178">
      <w:bodyDiv w:val="1"/>
      <w:marLeft w:val="0"/>
      <w:marRight w:val="0"/>
      <w:marTop w:val="0"/>
      <w:marBottom w:val="0"/>
      <w:divBdr>
        <w:top w:val="none" w:sz="0" w:space="0" w:color="auto"/>
        <w:left w:val="none" w:sz="0" w:space="0" w:color="auto"/>
        <w:bottom w:val="none" w:sz="0" w:space="0" w:color="auto"/>
        <w:right w:val="none" w:sz="0" w:space="0" w:color="auto"/>
      </w:divBdr>
    </w:div>
    <w:div w:id="123815944">
      <w:bodyDiv w:val="1"/>
      <w:marLeft w:val="0"/>
      <w:marRight w:val="0"/>
      <w:marTop w:val="0"/>
      <w:marBottom w:val="0"/>
      <w:divBdr>
        <w:top w:val="none" w:sz="0" w:space="0" w:color="auto"/>
        <w:left w:val="none" w:sz="0" w:space="0" w:color="auto"/>
        <w:bottom w:val="none" w:sz="0" w:space="0" w:color="auto"/>
        <w:right w:val="none" w:sz="0" w:space="0" w:color="auto"/>
      </w:divBdr>
    </w:div>
    <w:div w:id="136147824">
      <w:bodyDiv w:val="1"/>
      <w:marLeft w:val="0"/>
      <w:marRight w:val="0"/>
      <w:marTop w:val="0"/>
      <w:marBottom w:val="0"/>
      <w:divBdr>
        <w:top w:val="none" w:sz="0" w:space="0" w:color="auto"/>
        <w:left w:val="none" w:sz="0" w:space="0" w:color="auto"/>
        <w:bottom w:val="none" w:sz="0" w:space="0" w:color="auto"/>
        <w:right w:val="none" w:sz="0" w:space="0" w:color="auto"/>
      </w:divBdr>
    </w:div>
    <w:div w:id="142240156">
      <w:bodyDiv w:val="1"/>
      <w:marLeft w:val="0"/>
      <w:marRight w:val="0"/>
      <w:marTop w:val="0"/>
      <w:marBottom w:val="0"/>
      <w:divBdr>
        <w:top w:val="none" w:sz="0" w:space="0" w:color="auto"/>
        <w:left w:val="none" w:sz="0" w:space="0" w:color="auto"/>
        <w:bottom w:val="none" w:sz="0" w:space="0" w:color="auto"/>
        <w:right w:val="none" w:sz="0" w:space="0" w:color="auto"/>
      </w:divBdr>
    </w:div>
    <w:div w:id="171341387">
      <w:bodyDiv w:val="1"/>
      <w:marLeft w:val="0"/>
      <w:marRight w:val="0"/>
      <w:marTop w:val="0"/>
      <w:marBottom w:val="0"/>
      <w:divBdr>
        <w:top w:val="none" w:sz="0" w:space="0" w:color="auto"/>
        <w:left w:val="none" w:sz="0" w:space="0" w:color="auto"/>
        <w:bottom w:val="none" w:sz="0" w:space="0" w:color="auto"/>
        <w:right w:val="none" w:sz="0" w:space="0" w:color="auto"/>
      </w:divBdr>
    </w:div>
    <w:div w:id="190149127">
      <w:bodyDiv w:val="1"/>
      <w:marLeft w:val="0"/>
      <w:marRight w:val="0"/>
      <w:marTop w:val="0"/>
      <w:marBottom w:val="0"/>
      <w:divBdr>
        <w:top w:val="none" w:sz="0" w:space="0" w:color="auto"/>
        <w:left w:val="none" w:sz="0" w:space="0" w:color="auto"/>
        <w:bottom w:val="none" w:sz="0" w:space="0" w:color="auto"/>
        <w:right w:val="none" w:sz="0" w:space="0" w:color="auto"/>
      </w:divBdr>
      <w:divsChild>
        <w:div w:id="79720793">
          <w:marLeft w:val="418"/>
          <w:marRight w:val="0"/>
          <w:marTop w:val="240"/>
          <w:marBottom w:val="0"/>
          <w:divBdr>
            <w:top w:val="none" w:sz="0" w:space="0" w:color="auto"/>
            <w:left w:val="none" w:sz="0" w:space="0" w:color="auto"/>
            <w:bottom w:val="none" w:sz="0" w:space="0" w:color="auto"/>
            <w:right w:val="none" w:sz="0" w:space="0" w:color="auto"/>
          </w:divBdr>
        </w:div>
        <w:div w:id="496848580">
          <w:marLeft w:val="850"/>
          <w:marRight w:val="0"/>
          <w:marTop w:val="240"/>
          <w:marBottom w:val="0"/>
          <w:divBdr>
            <w:top w:val="none" w:sz="0" w:space="0" w:color="auto"/>
            <w:left w:val="none" w:sz="0" w:space="0" w:color="auto"/>
            <w:bottom w:val="none" w:sz="0" w:space="0" w:color="auto"/>
            <w:right w:val="none" w:sz="0" w:space="0" w:color="auto"/>
          </w:divBdr>
        </w:div>
        <w:div w:id="710954353">
          <w:marLeft w:val="850"/>
          <w:marRight w:val="0"/>
          <w:marTop w:val="240"/>
          <w:marBottom w:val="0"/>
          <w:divBdr>
            <w:top w:val="none" w:sz="0" w:space="0" w:color="auto"/>
            <w:left w:val="none" w:sz="0" w:space="0" w:color="auto"/>
            <w:bottom w:val="none" w:sz="0" w:space="0" w:color="auto"/>
            <w:right w:val="none" w:sz="0" w:space="0" w:color="auto"/>
          </w:divBdr>
        </w:div>
        <w:div w:id="1404379232">
          <w:marLeft w:val="418"/>
          <w:marRight w:val="0"/>
          <w:marTop w:val="240"/>
          <w:marBottom w:val="0"/>
          <w:divBdr>
            <w:top w:val="none" w:sz="0" w:space="0" w:color="auto"/>
            <w:left w:val="none" w:sz="0" w:space="0" w:color="auto"/>
            <w:bottom w:val="none" w:sz="0" w:space="0" w:color="auto"/>
            <w:right w:val="none" w:sz="0" w:space="0" w:color="auto"/>
          </w:divBdr>
        </w:div>
        <w:div w:id="1853297143">
          <w:marLeft w:val="850"/>
          <w:marRight w:val="0"/>
          <w:marTop w:val="240"/>
          <w:marBottom w:val="0"/>
          <w:divBdr>
            <w:top w:val="none" w:sz="0" w:space="0" w:color="auto"/>
            <w:left w:val="none" w:sz="0" w:space="0" w:color="auto"/>
            <w:bottom w:val="none" w:sz="0" w:space="0" w:color="auto"/>
            <w:right w:val="none" w:sz="0" w:space="0" w:color="auto"/>
          </w:divBdr>
        </w:div>
      </w:divsChild>
    </w:div>
    <w:div w:id="193735840">
      <w:bodyDiv w:val="1"/>
      <w:marLeft w:val="0"/>
      <w:marRight w:val="0"/>
      <w:marTop w:val="0"/>
      <w:marBottom w:val="0"/>
      <w:divBdr>
        <w:top w:val="none" w:sz="0" w:space="0" w:color="auto"/>
        <w:left w:val="none" w:sz="0" w:space="0" w:color="auto"/>
        <w:bottom w:val="none" w:sz="0" w:space="0" w:color="auto"/>
        <w:right w:val="none" w:sz="0" w:space="0" w:color="auto"/>
      </w:divBdr>
    </w:div>
    <w:div w:id="240912522">
      <w:bodyDiv w:val="1"/>
      <w:marLeft w:val="0"/>
      <w:marRight w:val="0"/>
      <w:marTop w:val="0"/>
      <w:marBottom w:val="0"/>
      <w:divBdr>
        <w:top w:val="none" w:sz="0" w:space="0" w:color="auto"/>
        <w:left w:val="none" w:sz="0" w:space="0" w:color="auto"/>
        <w:bottom w:val="none" w:sz="0" w:space="0" w:color="auto"/>
        <w:right w:val="none" w:sz="0" w:space="0" w:color="auto"/>
      </w:divBdr>
    </w:div>
    <w:div w:id="252318824">
      <w:bodyDiv w:val="1"/>
      <w:marLeft w:val="0"/>
      <w:marRight w:val="0"/>
      <w:marTop w:val="0"/>
      <w:marBottom w:val="0"/>
      <w:divBdr>
        <w:top w:val="none" w:sz="0" w:space="0" w:color="auto"/>
        <w:left w:val="none" w:sz="0" w:space="0" w:color="auto"/>
        <w:bottom w:val="none" w:sz="0" w:space="0" w:color="auto"/>
        <w:right w:val="none" w:sz="0" w:space="0" w:color="auto"/>
      </w:divBdr>
    </w:div>
    <w:div w:id="280500059">
      <w:bodyDiv w:val="1"/>
      <w:marLeft w:val="0"/>
      <w:marRight w:val="0"/>
      <w:marTop w:val="0"/>
      <w:marBottom w:val="0"/>
      <w:divBdr>
        <w:top w:val="none" w:sz="0" w:space="0" w:color="auto"/>
        <w:left w:val="none" w:sz="0" w:space="0" w:color="auto"/>
        <w:bottom w:val="none" w:sz="0" w:space="0" w:color="auto"/>
        <w:right w:val="none" w:sz="0" w:space="0" w:color="auto"/>
      </w:divBdr>
    </w:div>
    <w:div w:id="289822177">
      <w:bodyDiv w:val="1"/>
      <w:marLeft w:val="0"/>
      <w:marRight w:val="0"/>
      <w:marTop w:val="0"/>
      <w:marBottom w:val="0"/>
      <w:divBdr>
        <w:top w:val="none" w:sz="0" w:space="0" w:color="auto"/>
        <w:left w:val="none" w:sz="0" w:space="0" w:color="auto"/>
        <w:bottom w:val="none" w:sz="0" w:space="0" w:color="auto"/>
        <w:right w:val="none" w:sz="0" w:space="0" w:color="auto"/>
      </w:divBdr>
    </w:div>
    <w:div w:id="306479011">
      <w:bodyDiv w:val="1"/>
      <w:marLeft w:val="0"/>
      <w:marRight w:val="0"/>
      <w:marTop w:val="0"/>
      <w:marBottom w:val="0"/>
      <w:divBdr>
        <w:top w:val="none" w:sz="0" w:space="0" w:color="auto"/>
        <w:left w:val="none" w:sz="0" w:space="0" w:color="auto"/>
        <w:bottom w:val="none" w:sz="0" w:space="0" w:color="auto"/>
        <w:right w:val="none" w:sz="0" w:space="0" w:color="auto"/>
      </w:divBdr>
    </w:div>
    <w:div w:id="345062439">
      <w:bodyDiv w:val="1"/>
      <w:marLeft w:val="0"/>
      <w:marRight w:val="0"/>
      <w:marTop w:val="0"/>
      <w:marBottom w:val="0"/>
      <w:divBdr>
        <w:top w:val="none" w:sz="0" w:space="0" w:color="auto"/>
        <w:left w:val="none" w:sz="0" w:space="0" w:color="auto"/>
        <w:bottom w:val="none" w:sz="0" w:space="0" w:color="auto"/>
        <w:right w:val="none" w:sz="0" w:space="0" w:color="auto"/>
      </w:divBdr>
    </w:div>
    <w:div w:id="385103306">
      <w:bodyDiv w:val="1"/>
      <w:marLeft w:val="0"/>
      <w:marRight w:val="0"/>
      <w:marTop w:val="0"/>
      <w:marBottom w:val="0"/>
      <w:divBdr>
        <w:top w:val="none" w:sz="0" w:space="0" w:color="auto"/>
        <w:left w:val="none" w:sz="0" w:space="0" w:color="auto"/>
        <w:bottom w:val="none" w:sz="0" w:space="0" w:color="auto"/>
        <w:right w:val="none" w:sz="0" w:space="0" w:color="auto"/>
      </w:divBdr>
    </w:div>
    <w:div w:id="421529631">
      <w:bodyDiv w:val="1"/>
      <w:marLeft w:val="0"/>
      <w:marRight w:val="0"/>
      <w:marTop w:val="0"/>
      <w:marBottom w:val="0"/>
      <w:divBdr>
        <w:top w:val="none" w:sz="0" w:space="0" w:color="auto"/>
        <w:left w:val="none" w:sz="0" w:space="0" w:color="auto"/>
        <w:bottom w:val="none" w:sz="0" w:space="0" w:color="auto"/>
        <w:right w:val="none" w:sz="0" w:space="0" w:color="auto"/>
      </w:divBdr>
    </w:div>
    <w:div w:id="465245152">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1801156">
      <w:bodyDiv w:val="1"/>
      <w:marLeft w:val="0"/>
      <w:marRight w:val="0"/>
      <w:marTop w:val="0"/>
      <w:marBottom w:val="0"/>
      <w:divBdr>
        <w:top w:val="none" w:sz="0" w:space="0" w:color="auto"/>
        <w:left w:val="none" w:sz="0" w:space="0" w:color="auto"/>
        <w:bottom w:val="none" w:sz="0" w:space="0" w:color="auto"/>
        <w:right w:val="none" w:sz="0" w:space="0" w:color="auto"/>
      </w:divBdr>
    </w:div>
    <w:div w:id="539169753">
      <w:bodyDiv w:val="1"/>
      <w:marLeft w:val="0"/>
      <w:marRight w:val="0"/>
      <w:marTop w:val="0"/>
      <w:marBottom w:val="0"/>
      <w:divBdr>
        <w:top w:val="none" w:sz="0" w:space="0" w:color="auto"/>
        <w:left w:val="none" w:sz="0" w:space="0" w:color="auto"/>
        <w:bottom w:val="none" w:sz="0" w:space="0" w:color="auto"/>
        <w:right w:val="none" w:sz="0" w:space="0" w:color="auto"/>
      </w:divBdr>
    </w:div>
    <w:div w:id="605885181">
      <w:bodyDiv w:val="1"/>
      <w:marLeft w:val="0"/>
      <w:marRight w:val="0"/>
      <w:marTop w:val="0"/>
      <w:marBottom w:val="0"/>
      <w:divBdr>
        <w:top w:val="none" w:sz="0" w:space="0" w:color="auto"/>
        <w:left w:val="none" w:sz="0" w:space="0" w:color="auto"/>
        <w:bottom w:val="none" w:sz="0" w:space="0" w:color="auto"/>
        <w:right w:val="none" w:sz="0" w:space="0" w:color="auto"/>
      </w:divBdr>
    </w:div>
    <w:div w:id="617177620">
      <w:bodyDiv w:val="1"/>
      <w:marLeft w:val="0"/>
      <w:marRight w:val="0"/>
      <w:marTop w:val="0"/>
      <w:marBottom w:val="0"/>
      <w:divBdr>
        <w:top w:val="none" w:sz="0" w:space="0" w:color="auto"/>
        <w:left w:val="none" w:sz="0" w:space="0" w:color="auto"/>
        <w:bottom w:val="none" w:sz="0" w:space="0" w:color="auto"/>
        <w:right w:val="none" w:sz="0" w:space="0" w:color="auto"/>
      </w:divBdr>
    </w:div>
    <w:div w:id="668218595">
      <w:bodyDiv w:val="1"/>
      <w:marLeft w:val="0"/>
      <w:marRight w:val="0"/>
      <w:marTop w:val="0"/>
      <w:marBottom w:val="0"/>
      <w:divBdr>
        <w:top w:val="none" w:sz="0" w:space="0" w:color="auto"/>
        <w:left w:val="none" w:sz="0" w:space="0" w:color="auto"/>
        <w:bottom w:val="none" w:sz="0" w:space="0" w:color="auto"/>
        <w:right w:val="none" w:sz="0" w:space="0" w:color="auto"/>
      </w:divBdr>
    </w:div>
    <w:div w:id="675764552">
      <w:bodyDiv w:val="1"/>
      <w:marLeft w:val="0"/>
      <w:marRight w:val="0"/>
      <w:marTop w:val="0"/>
      <w:marBottom w:val="0"/>
      <w:divBdr>
        <w:top w:val="none" w:sz="0" w:space="0" w:color="auto"/>
        <w:left w:val="none" w:sz="0" w:space="0" w:color="auto"/>
        <w:bottom w:val="none" w:sz="0" w:space="0" w:color="auto"/>
        <w:right w:val="none" w:sz="0" w:space="0" w:color="auto"/>
      </w:divBdr>
    </w:div>
    <w:div w:id="695231089">
      <w:bodyDiv w:val="1"/>
      <w:marLeft w:val="0"/>
      <w:marRight w:val="0"/>
      <w:marTop w:val="0"/>
      <w:marBottom w:val="0"/>
      <w:divBdr>
        <w:top w:val="none" w:sz="0" w:space="0" w:color="auto"/>
        <w:left w:val="none" w:sz="0" w:space="0" w:color="auto"/>
        <w:bottom w:val="none" w:sz="0" w:space="0" w:color="auto"/>
        <w:right w:val="none" w:sz="0" w:space="0" w:color="auto"/>
      </w:divBdr>
    </w:div>
    <w:div w:id="730889906">
      <w:bodyDiv w:val="1"/>
      <w:marLeft w:val="0"/>
      <w:marRight w:val="0"/>
      <w:marTop w:val="0"/>
      <w:marBottom w:val="0"/>
      <w:divBdr>
        <w:top w:val="none" w:sz="0" w:space="0" w:color="auto"/>
        <w:left w:val="none" w:sz="0" w:space="0" w:color="auto"/>
        <w:bottom w:val="none" w:sz="0" w:space="0" w:color="auto"/>
        <w:right w:val="none" w:sz="0" w:space="0" w:color="auto"/>
      </w:divBdr>
    </w:div>
    <w:div w:id="734284326">
      <w:bodyDiv w:val="1"/>
      <w:marLeft w:val="0"/>
      <w:marRight w:val="0"/>
      <w:marTop w:val="0"/>
      <w:marBottom w:val="0"/>
      <w:divBdr>
        <w:top w:val="none" w:sz="0" w:space="0" w:color="auto"/>
        <w:left w:val="none" w:sz="0" w:space="0" w:color="auto"/>
        <w:bottom w:val="none" w:sz="0" w:space="0" w:color="auto"/>
        <w:right w:val="none" w:sz="0" w:space="0" w:color="auto"/>
      </w:divBdr>
    </w:div>
    <w:div w:id="743140924">
      <w:bodyDiv w:val="1"/>
      <w:marLeft w:val="0"/>
      <w:marRight w:val="0"/>
      <w:marTop w:val="0"/>
      <w:marBottom w:val="0"/>
      <w:divBdr>
        <w:top w:val="none" w:sz="0" w:space="0" w:color="auto"/>
        <w:left w:val="none" w:sz="0" w:space="0" w:color="auto"/>
        <w:bottom w:val="none" w:sz="0" w:space="0" w:color="auto"/>
        <w:right w:val="none" w:sz="0" w:space="0" w:color="auto"/>
      </w:divBdr>
    </w:div>
    <w:div w:id="748695951">
      <w:bodyDiv w:val="1"/>
      <w:marLeft w:val="0"/>
      <w:marRight w:val="0"/>
      <w:marTop w:val="0"/>
      <w:marBottom w:val="0"/>
      <w:divBdr>
        <w:top w:val="none" w:sz="0" w:space="0" w:color="auto"/>
        <w:left w:val="none" w:sz="0" w:space="0" w:color="auto"/>
        <w:bottom w:val="none" w:sz="0" w:space="0" w:color="auto"/>
        <w:right w:val="none" w:sz="0" w:space="0" w:color="auto"/>
      </w:divBdr>
    </w:div>
    <w:div w:id="771779093">
      <w:bodyDiv w:val="1"/>
      <w:marLeft w:val="0"/>
      <w:marRight w:val="0"/>
      <w:marTop w:val="0"/>
      <w:marBottom w:val="0"/>
      <w:divBdr>
        <w:top w:val="none" w:sz="0" w:space="0" w:color="auto"/>
        <w:left w:val="none" w:sz="0" w:space="0" w:color="auto"/>
        <w:bottom w:val="none" w:sz="0" w:space="0" w:color="auto"/>
        <w:right w:val="none" w:sz="0" w:space="0" w:color="auto"/>
      </w:divBdr>
    </w:div>
    <w:div w:id="885145535">
      <w:bodyDiv w:val="1"/>
      <w:marLeft w:val="0"/>
      <w:marRight w:val="0"/>
      <w:marTop w:val="0"/>
      <w:marBottom w:val="0"/>
      <w:divBdr>
        <w:top w:val="none" w:sz="0" w:space="0" w:color="auto"/>
        <w:left w:val="none" w:sz="0" w:space="0" w:color="auto"/>
        <w:bottom w:val="none" w:sz="0" w:space="0" w:color="auto"/>
        <w:right w:val="none" w:sz="0" w:space="0" w:color="auto"/>
      </w:divBdr>
    </w:div>
    <w:div w:id="947158459">
      <w:bodyDiv w:val="1"/>
      <w:marLeft w:val="0"/>
      <w:marRight w:val="0"/>
      <w:marTop w:val="0"/>
      <w:marBottom w:val="0"/>
      <w:divBdr>
        <w:top w:val="none" w:sz="0" w:space="0" w:color="auto"/>
        <w:left w:val="none" w:sz="0" w:space="0" w:color="auto"/>
        <w:bottom w:val="none" w:sz="0" w:space="0" w:color="auto"/>
        <w:right w:val="none" w:sz="0" w:space="0" w:color="auto"/>
      </w:divBdr>
    </w:div>
    <w:div w:id="961158514">
      <w:bodyDiv w:val="1"/>
      <w:marLeft w:val="0"/>
      <w:marRight w:val="0"/>
      <w:marTop w:val="0"/>
      <w:marBottom w:val="0"/>
      <w:divBdr>
        <w:top w:val="none" w:sz="0" w:space="0" w:color="auto"/>
        <w:left w:val="none" w:sz="0" w:space="0" w:color="auto"/>
        <w:bottom w:val="none" w:sz="0" w:space="0" w:color="auto"/>
        <w:right w:val="none" w:sz="0" w:space="0" w:color="auto"/>
      </w:divBdr>
    </w:div>
    <w:div w:id="977144293">
      <w:bodyDiv w:val="1"/>
      <w:marLeft w:val="0"/>
      <w:marRight w:val="0"/>
      <w:marTop w:val="0"/>
      <w:marBottom w:val="0"/>
      <w:divBdr>
        <w:top w:val="none" w:sz="0" w:space="0" w:color="auto"/>
        <w:left w:val="none" w:sz="0" w:space="0" w:color="auto"/>
        <w:bottom w:val="none" w:sz="0" w:space="0" w:color="auto"/>
        <w:right w:val="none" w:sz="0" w:space="0" w:color="auto"/>
      </w:divBdr>
    </w:div>
    <w:div w:id="1002515741">
      <w:bodyDiv w:val="1"/>
      <w:marLeft w:val="0"/>
      <w:marRight w:val="0"/>
      <w:marTop w:val="0"/>
      <w:marBottom w:val="0"/>
      <w:divBdr>
        <w:top w:val="none" w:sz="0" w:space="0" w:color="auto"/>
        <w:left w:val="none" w:sz="0" w:space="0" w:color="auto"/>
        <w:bottom w:val="none" w:sz="0" w:space="0" w:color="auto"/>
        <w:right w:val="none" w:sz="0" w:space="0" w:color="auto"/>
      </w:divBdr>
    </w:div>
    <w:div w:id="1121612659">
      <w:bodyDiv w:val="1"/>
      <w:marLeft w:val="0"/>
      <w:marRight w:val="0"/>
      <w:marTop w:val="0"/>
      <w:marBottom w:val="0"/>
      <w:divBdr>
        <w:top w:val="none" w:sz="0" w:space="0" w:color="auto"/>
        <w:left w:val="none" w:sz="0" w:space="0" w:color="auto"/>
        <w:bottom w:val="none" w:sz="0" w:space="0" w:color="auto"/>
        <w:right w:val="none" w:sz="0" w:space="0" w:color="auto"/>
      </w:divBdr>
    </w:div>
    <w:div w:id="1122380462">
      <w:bodyDiv w:val="1"/>
      <w:marLeft w:val="0"/>
      <w:marRight w:val="0"/>
      <w:marTop w:val="0"/>
      <w:marBottom w:val="0"/>
      <w:divBdr>
        <w:top w:val="none" w:sz="0" w:space="0" w:color="auto"/>
        <w:left w:val="none" w:sz="0" w:space="0" w:color="auto"/>
        <w:bottom w:val="none" w:sz="0" w:space="0" w:color="auto"/>
        <w:right w:val="none" w:sz="0" w:space="0" w:color="auto"/>
      </w:divBdr>
    </w:div>
    <w:div w:id="1144156815">
      <w:bodyDiv w:val="1"/>
      <w:marLeft w:val="0"/>
      <w:marRight w:val="0"/>
      <w:marTop w:val="0"/>
      <w:marBottom w:val="0"/>
      <w:divBdr>
        <w:top w:val="none" w:sz="0" w:space="0" w:color="auto"/>
        <w:left w:val="none" w:sz="0" w:space="0" w:color="auto"/>
        <w:bottom w:val="none" w:sz="0" w:space="0" w:color="auto"/>
        <w:right w:val="none" w:sz="0" w:space="0" w:color="auto"/>
      </w:divBdr>
    </w:div>
    <w:div w:id="1145246682">
      <w:bodyDiv w:val="1"/>
      <w:marLeft w:val="0"/>
      <w:marRight w:val="0"/>
      <w:marTop w:val="0"/>
      <w:marBottom w:val="0"/>
      <w:divBdr>
        <w:top w:val="none" w:sz="0" w:space="0" w:color="auto"/>
        <w:left w:val="none" w:sz="0" w:space="0" w:color="auto"/>
        <w:bottom w:val="none" w:sz="0" w:space="0" w:color="auto"/>
        <w:right w:val="none" w:sz="0" w:space="0" w:color="auto"/>
      </w:divBdr>
    </w:div>
    <w:div w:id="1151562914">
      <w:bodyDiv w:val="1"/>
      <w:marLeft w:val="0"/>
      <w:marRight w:val="0"/>
      <w:marTop w:val="0"/>
      <w:marBottom w:val="0"/>
      <w:divBdr>
        <w:top w:val="none" w:sz="0" w:space="0" w:color="auto"/>
        <w:left w:val="none" w:sz="0" w:space="0" w:color="auto"/>
        <w:bottom w:val="none" w:sz="0" w:space="0" w:color="auto"/>
        <w:right w:val="none" w:sz="0" w:space="0" w:color="auto"/>
      </w:divBdr>
    </w:div>
    <w:div w:id="1176070306">
      <w:bodyDiv w:val="1"/>
      <w:marLeft w:val="0"/>
      <w:marRight w:val="0"/>
      <w:marTop w:val="0"/>
      <w:marBottom w:val="0"/>
      <w:divBdr>
        <w:top w:val="none" w:sz="0" w:space="0" w:color="auto"/>
        <w:left w:val="none" w:sz="0" w:space="0" w:color="auto"/>
        <w:bottom w:val="none" w:sz="0" w:space="0" w:color="auto"/>
        <w:right w:val="none" w:sz="0" w:space="0" w:color="auto"/>
      </w:divBdr>
    </w:div>
    <w:div w:id="1176264408">
      <w:bodyDiv w:val="1"/>
      <w:marLeft w:val="0"/>
      <w:marRight w:val="0"/>
      <w:marTop w:val="0"/>
      <w:marBottom w:val="0"/>
      <w:divBdr>
        <w:top w:val="none" w:sz="0" w:space="0" w:color="auto"/>
        <w:left w:val="none" w:sz="0" w:space="0" w:color="auto"/>
        <w:bottom w:val="none" w:sz="0" w:space="0" w:color="auto"/>
        <w:right w:val="none" w:sz="0" w:space="0" w:color="auto"/>
      </w:divBdr>
    </w:div>
    <w:div w:id="1181428334">
      <w:bodyDiv w:val="1"/>
      <w:marLeft w:val="0"/>
      <w:marRight w:val="0"/>
      <w:marTop w:val="0"/>
      <w:marBottom w:val="0"/>
      <w:divBdr>
        <w:top w:val="none" w:sz="0" w:space="0" w:color="auto"/>
        <w:left w:val="none" w:sz="0" w:space="0" w:color="auto"/>
        <w:bottom w:val="none" w:sz="0" w:space="0" w:color="auto"/>
        <w:right w:val="none" w:sz="0" w:space="0" w:color="auto"/>
      </w:divBdr>
    </w:div>
    <w:div w:id="1209487012">
      <w:bodyDiv w:val="1"/>
      <w:marLeft w:val="0"/>
      <w:marRight w:val="0"/>
      <w:marTop w:val="0"/>
      <w:marBottom w:val="0"/>
      <w:divBdr>
        <w:top w:val="none" w:sz="0" w:space="0" w:color="auto"/>
        <w:left w:val="none" w:sz="0" w:space="0" w:color="auto"/>
        <w:bottom w:val="none" w:sz="0" w:space="0" w:color="auto"/>
        <w:right w:val="none" w:sz="0" w:space="0" w:color="auto"/>
      </w:divBdr>
    </w:div>
    <w:div w:id="1225799753">
      <w:bodyDiv w:val="1"/>
      <w:marLeft w:val="0"/>
      <w:marRight w:val="0"/>
      <w:marTop w:val="0"/>
      <w:marBottom w:val="0"/>
      <w:divBdr>
        <w:top w:val="none" w:sz="0" w:space="0" w:color="auto"/>
        <w:left w:val="none" w:sz="0" w:space="0" w:color="auto"/>
        <w:bottom w:val="none" w:sz="0" w:space="0" w:color="auto"/>
        <w:right w:val="none" w:sz="0" w:space="0" w:color="auto"/>
      </w:divBdr>
      <w:divsChild>
        <w:div w:id="216018319">
          <w:marLeft w:val="878"/>
          <w:marRight w:val="0"/>
          <w:marTop w:val="240"/>
          <w:marBottom w:val="120"/>
          <w:divBdr>
            <w:top w:val="none" w:sz="0" w:space="0" w:color="auto"/>
            <w:left w:val="none" w:sz="0" w:space="0" w:color="auto"/>
            <w:bottom w:val="none" w:sz="0" w:space="0" w:color="auto"/>
            <w:right w:val="none" w:sz="0" w:space="0" w:color="auto"/>
          </w:divBdr>
        </w:div>
        <w:div w:id="379980582">
          <w:marLeft w:val="446"/>
          <w:marRight w:val="0"/>
          <w:marTop w:val="240"/>
          <w:marBottom w:val="120"/>
          <w:divBdr>
            <w:top w:val="none" w:sz="0" w:space="0" w:color="auto"/>
            <w:left w:val="none" w:sz="0" w:space="0" w:color="auto"/>
            <w:bottom w:val="none" w:sz="0" w:space="0" w:color="auto"/>
            <w:right w:val="none" w:sz="0" w:space="0" w:color="auto"/>
          </w:divBdr>
        </w:div>
        <w:div w:id="799307129">
          <w:marLeft w:val="878"/>
          <w:marRight w:val="0"/>
          <w:marTop w:val="240"/>
          <w:marBottom w:val="120"/>
          <w:divBdr>
            <w:top w:val="none" w:sz="0" w:space="0" w:color="auto"/>
            <w:left w:val="none" w:sz="0" w:space="0" w:color="auto"/>
            <w:bottom w:val="none" w:sz="0" w:space="0" w:color="auto"/>
            <w:right w:val="none" w:sz="0" w:space="0" w:color="auto"/>
          </w:divBdr>
        </w:div>
        <w:div w:id="1269971483">
          <w:marLeft w:val="446"/>
          <w:marRight w:val="0"/>
          <w:marTop w:val="240"/>
          <w:marBottom w:val="120"/>
          <w:divBdr>
            <w:top w:val="none" w:sz="0" w:space="0" w:color="auto"/>
            <w:left w:val="none" w:sz="0" w:space="0" w:color="auto"/>
            <w:bottom w:val="none" w:sz="0" w:space="0" w:color="auto"/>
            <w:right w:val="none" w:sz="0" w:space="0" w:color="auto"/>
          </w:divBdr>
        </w:div>
        <w:div w:id="1663778637">
          <w:marLeft w:val="878"/>
          <w:marRight w:val="0"/>
          <w:marTop w:val="240"/>
          <w:marBottom w:val="120"/>
          <w:divBdr>
            <w:top w:val="none" w:sz="0" w:space="0" w:color="auto"/>
            <w:left w:val="none" w:sz="0" w:space="0" w:color="auto"/>
            <w:bottom w:val="none" w:sz="0" w:space="0" w:color="auto"/>
            <w:right w:val="none" w:sz="0" w:space="0" w:color="auto"/>
          </w:divBdr>
        </w:div>
        <w:div w:id="1752315589">
          <w:marLeft w:val="446"/>
          <w:marRight w:val="0"/>
          <w:marTop w:val="240"/>
          <w:marBottom w:val="120"/>
          <w:divBdr>
            <w:top w:val="none" w:sz="0" w:space="0" w:color="auto"/>
            <w:left w:val="none" w:sz="0" w:space="0" w:color="auto"/>
            <w:bottom w:val="none" w:sz="0" w:space="0" w:color="auto"/>
            <w:right w:val="none" w:sz="0" w:space="0" w:color="auto"/>
          </w:divBdr>
        </w:div>
        <w:div w:id="1804695229">
          <w:marLeft w:val="446"/>
          <w:marRight w:val="0"/>
          <w:marTop w:val="240"/>
          <w:marBottom w:val="120"/>
          <w:divBdr>
            <w:top w:val="none" w:sz="0" w:space="0" w:color="auto"/>
            <w:left w:val="none" w:sz="0" w:space="0" w:color="auto"/>
            <w:bottom w:val="none" w:sz="0" w:space="0" w:color="auto"/>
            <w:right w:val="none" w:sz="0" w:space="0" w:color="auto"/>
          </w:divBdr>
        </w:div>
        <w:div w:id="1831289095">
          <w:marLeft w:val="878"/>
          <w:marRight w:val="0"/>
          <w:marTop w:val="240"/>
          <w:marBottom w:val="120"/>
          <w:divBdr>
            <w:top w:val="none" w:sz="0" w:space="0" w:color="auto"/>
            <w:left w:val="none" w:sz="0" w:space="0" w:color="auto"/>
            <w:bottom w:val="none" w:sz="0" w:space="0" w:color="auto"/>
            <w:right w:val="none" w:sz="0" w:space="0" w:color="auto"/>
          </w:divBdr>
        </w:div>
      </w:divsChild>
    </w:div>
    <w:div w:id="1229880746">
      <w:bodyDiv w:val="1"/>
      <w:marLeft w:val="0"/>
      <w:marRight w:val="0"/>
      <w:marTop w:val="0"/>
      <w:marBottom w:val="0"/>
      <w:divBdr>
        <w:top w:val="none" w:sz="0" w:space="0" w:color="auto"/>
        <w:left w:val="none" w:sz="0" w:space="0" w:color="auto"/>
        <w:bottom w:val="none" w:sz="0" w:space="0" w:color="auto"/>
        <w:right w:val="none" w:sz="0" w:space="0" w:color="auto"/>
      </w:divBdr>
    </w:div>
    <w:div w:id="1252078739">
      <w:bodyDiv w:val="1"/>
      <w:marLeft w:val="0"/>
      <w:marRight w:val="0"/>
      <w:marTop w:val="0"/>
      <w:marBottom w:val="0"/>
      <w:divBdr>
        <w:top w:val="none" w:sz="0" w:space="0" w:color="auto"/>
        <w:left w:val="none" w:sz="0" w:space="0" w:color="auto"/>
        <w:bottom w:val="none" w:sz="0" w:space="0" w:color="auto"/>
        <w:right w:val="none" w:sz="0" w:space="0" w:color="auto"/>
      </w:divBdr>
    </w:div>
    <w:div w:id="1264417186">
      <w:bodyDiv w:val="1"/>
      <w:marLeft w:val="0"/>
      <w:marRight w:val="0"/>
      <w:marTop w:val="0"/>
      <w:marBottom w:val="0"/>
      <w:divBdr>
        <w:top w:val="none" w:sz="0" w:space="0" w:color="auto"/>
        <w:left w:val="none" w:sz="0" w:space="0" w:color="auto"/>
        <w:bottom w:val="none" w:sz="0" w:space="0" w:color="auto"/>
        <w:right w:val="none" w:sz="0" w:space="0" w:color="auto"/>
      </w:divBdr>
    </w:div>
    <w:div w:id="1299267726">
      <w:bodyDiv w:val="1"/>
      <w:marLeft w:val="0"/>
      <w:marRight w:val="0"/>
      <w:marTop w:val="0"/>
      <w:marBottom w:val="0"/>
      <w:divBdr>
        <w:top w:val="none" w:sz="0" w:space="0" w:color="auto"/>
        <w:left w:val="none" w:sz="0" w:space="0" w:color="auto"/>
        <w:bottom w:val="none" w:sz="0" w:space="0" w:color="auto"/>
        <w:right w:val="none" w:sz="0" w:space="0" w:color="auto"/>
      </w:divBdr>
    </w:div>
    <w:div w:id="1317417719">
      <w:bodyDiv w:val="1"/>
      <w:marLeft w:val="0"/>
      <w:marRight w:val="0"/>
      <w:marTop w:val="0"/>
      <w:marBottom w:val="0"/>
      <w:divBdr>
        <w:top w:val="none" w:sz="0" w:space="0" w:color="auto"/>
        <w:left w:val="none" w:sz="0" w:space="0" w:color="auto"/>
        <w:bottom w:val="none" w:sz="0" w:space="0" w:color="auto"/>
        <w:right w:val="none" w:sz="0" w:space="0" w:color="auto"/>
      </w:divBdr>
      <w:divsChild>
        <w:div w:id="356733611">
          <w:marLeft w:val="446"/>
          <w:marRight w:val="0"/>
          <w:marTop w:val="240"/>
          <w:marBottom w:val="0"/>
          <w:divBdr>
            <w:top w:val="none" w:sz="0" w:space="0" w:color="auto"/>
            <w:left w:val="none" w:sz="0" w:space="0" w:color="auto"/>
            <w:bottom w:val="none" w:sz="0" w:space="0" w:color="auto"/>
            <w:right w:val="none" w:sz="0" w:space="0" w:color="auto"/>
          </w:divBdr>
        </w:div>
        <w:div w:id="500899628">
          <w:marLeft w:val="418"/>
          <w:marRight w:val="0"/>
          <w:marTop w:val="240"/>
          <w:marBottom w:val="0"/>
          <w:divBdr>
            <w:top w:val="none" w:sz="0" w:space="0" w:color="auto"/>
            <w:left w:val="none" w:sz="0" w:space="0" w:color="auto"/>
            <w:bottom w:val="none" w:sz="0" w:space="0" w:color="auto"/>
            <w:right w:val="none" w:sz="0" w:space="0" w:color="auto"/>
          </w:divBdr>
        </w:div>
        <w:div w:id="1212889277">
          <w:marLeft w:val="418"/>
          <w:marRight w:val="0"/>
          <w:marTop w:val="240"/>
          <w:marBottom w:val="0"/>
          <w:divBdr>
            <w:top w:val="none" w:sz="0" w:space="0" w:color="auto"/>
            <w:left w:val="none" w:sz="0" w:space="0" w:color="auto"/>
            <w:bottom w:val="none" w:sz="0" w:space="0" w:color="auto"/>
            <w:right w:val="none" w:sz="0" w:space="0" w:color="auto"/>
          </w:divBdr>
        </w:div>
        <w:div w:id="1266621929">
          <w:marLeft w:val="418"/>
          <w:marRight w:val="0"/>
          <w:marTop w:val="240"/>
          <w:marBottom w:val="0"/>
          <w:divBdr>
            <w:top w:val="none" w:sz="0" w:space="0" w:color="auto"/>
            <w:left w:val="none" w:sz="0" w:space="0" w:color="auto"/>
            <w:bottom w:val="none" w:sz="0" w:space="0" w:color="auto"/>
            <w:right w:val="none" w:sz="0" w:space="0" w:color="auto"/>
          </w:divBdr>
        </w:div>
        <w:div w:id="1584992332">
          <w:marLeft w:val="418"/>
          <w:marRight w:val="0"/>
          <w:marTop w:val="240"/>
          <w:marBottom w:val="0"/>
          <w:divBdr>
            <w:top w:val="none" w:sz="0" w:space="0" w:color="auto"/>
            <w:left w:val="none" w:sz="0" w:space="0" w:color="auto"/>
            <w:bottom w:val="none" w:sz="0" w:space="0" w:color="auto"/>
            <w:right w:val="none" w:sz="0" w:space="0" w:color="auto"/>
          </w:divBdr>
        </w:div>
        <w:div w:id="1590431766">
          <w:marLeft w:val="418"/>
          <w:marRight w:val="0"/>
          <w:marTop w:val="240"/>
          <w:marBottom w:val="0"/>
          <w:divBdr>
            <w:top w:val="none" w:sz="0" w:space="0" w:color="auto"/>
            <w:left w:val="none" w:sz="0" w:space="0" w:color="auto"/>
            <w:bottom w:val="none" w:sz="0" w:space="0" w:color="auto"/>
            <w:right w:val="none" w:sz="0" w:space="0" w:color="auto"/>
          </w:divBdr>
        </w:div>
      </w:divsChild>
    </w:div>
    <w:div w:id="1360155701">
      <w:bodyDiv w:val="1"/>
      <w:marLeft w:val="0"/>
      <w:marRight w:val="0"/>
      <w:marTop w:val="0"/>
      <w:marBottom w:val="0"/>
      <w:divBdr>
        <w:top w:val="none" w:sz="0" w:space="0" w:color="auto"/>
        <w:left w:val="none" w:sz="0" w:space="0" w:color="auto"/>
        <w:bottom w:val="none" w:sz="0" w:space="0" w:color="auto"/>
        <w:right w:val="none" w:sz="0" w:space="0" w:color="auto"/>
      </w:divBdr>
      <w:divsChild>
        <w:div w:id="241916171">
          <w:marLeft w:val="1166"/>
          <w:marRight w:val="0"/>
          <w:marTop w:val="0"/>
          <w:marBottom w:val="0"/>
          <w:divBdr>
            <w:top w:val="none" w:sz="0" w:space="0" w:color="auto"/>
            <w:left w:val="none" w:sz="0" w:space="0" w:color="auto"/>
            <w:bottom w:val="none" w:sz="0" w:space="0" w:color="auto"/>
            <w:right w:val="none" w:sz="0" w:space="0" w:color="auto"/>
          </w:divBdr>
        </w:div>
        <w:div w:id="324433729">
          <w:marLeft w:val="1166"/>
          <w:marRight w:val="0"/>
          <w:marTop w:val="0"/>
          <w:marBottom w:val="0"/>
          <w:divBdr>
            <w:top w:val="none" w:sz="0" w:space="0" w:color="auto"/>
            <w:left w:val="none" w:sz="0" w:space="0" w:color="auto"/>
            <w:bottom w:val="none" w:sz="0" w:space="0" w:color="auto"/>
            <w:right w:val="none" w:sz="0" w:space="0" w:color="auto"/>
          </w:divBdr>
        </w:div>
        <w:div w:id="601110920">
          <w:marLeft w:val="446"/>
          <w:marRight w:val="0"/>
          <w:marTop w:val="0"/>
          <w:marBottom w:val="0"/>
          <w:divBdr>
            <w:top w:val="none" w:sz="0" w:space="0" w:color="auto"/>
            <w:left w:val="none" w:sz="0" w:space="0" w:color="auto"/>
            <w:bottom w:val="none" w:sz="0" w:space="0" w:color="auto"/>
            <w:right w:val="none" w:sz="0" w:space="0" w:color="auto"/>
          </w:divBdr>
        </w:div>
        <w:div w:id="803498023">
          <w:marLeft w:val="446"/>
          <w:marRight w:val="0"/>
          <w:marTop w:val="0"/>
          <w:marBottom w:val="0"/>
          <w:divBdr>
            <w:top w:val="none" w:sz="0" w:space="0" w:color="auto"/>
            <w:left w:val="none" w:sz="0" w:space="0" w:color="auto"/>
            <w:bottom w:val="none" w:sz="0" w:space="0" w:color="auto"/>
            <w:right w:val="none" w:sz="0" w:space="0" w:color="auto"/>
          </w:divBdr>
        </w:div>
        <w:div w:id="1344478884">
          <w:marLeft w:val="446"/>
          <w:marRight w:val="0"/>
          <w:marTop w:val="0"/>
          <w:marBottom w:val="0"/>
          <w:divBdr>
            <w:top w:val="none" w:sz="0" w:space="0" w:color="auto"/>
            <w:left w:val="none" w:sz="0" w:space="0" w:color="auto"/>
            <w:bottom w:val="none" w:sz="0" w:space="0" w:color="auto"/>
            <w:right w:val="none" w:sz="0" w:space="0" w:color="auto"/>
          </w:divBdr>
        </w:div>
        <w:div w:id="1873112685">
          <w:marLeft w:val="1166"/>
          <w:marRight w:val="0"/>
          <w:marTop w:val="0"/>
          <w:marBottom w:val="0"/>
          <w:divBdr>
            <w:top w:val="none" w:sz="0" w:space="0" w:color="auto"/>
            <w:left w:val="none" w:sz="0" w:space="0" w:color="auto"/>
            <w:bottom w:val="none" w:sz="0" w:space="0" w:color="auto"/>
            <w:right w:val="none" w:sz="0" w:space="0" w:color="auto"/>
          </w:divBdr>
        </w:div>
        <w:div w:id="1883666002">
          <w:marLeft w:val="446"/>
          <w:marRight w:val="0"/>
          <w:marTop w:val="0"/>
          <w:marBottom w:val="0"/>
          <w:divBdr>
            <w:top w:val="none" w:sz="0" w:space="0" w:color="auto"/>
            <w:left w:val="none" w:sz="0" w:space="0" w:color="auto"/>
            <w:bottom w:val="none" w:sz="0" w:space="0" w:color="auto"/>
            <w:right w:val="none" w:sz="0" w:space="0" w:color="auto"/>
          </w:divBdr>
        </w:div>
      </w:divsChild>
    </w:div>
    <w:div w:id="1361668560">
      <w:bodyDiv w:val="1"/>
      <w:marLeft w:val="0"/>
      <w:marRight w:val="0"/>
      <w:marTop w:val="0"/>
      <w:marBottom w:val="0"/>
      <w:divBdr>
        <w:top w:val="none" w:sz="0" w:space="0" w:color="auto"/>
        <w:left w:val="none" w:sz="0" w:space="0" w:color="auto"/>
        <w:bottom w:val="none" w:sz="0" w:space="0" w:color="auto"/>
        <w:right w:val="none" w:sz="0" w:space="0" w:color="auto"/>
      </w:divBdr>
    </w:div>
    <w:div w:id="1390033042">
      <w:bodyDiv w:val="1"/>
      <w:marLeft w:val="0"/>
      <w:marRight w:val="0"/>
      <w:marTop w:val="0"/>
      <w:marBottom w:val="0"/>
      <w:divBdr>
        <w:top w:val="none" w:sz="0" w:space="0" w:color="auto"/>
        <w:left w:val="none" w:sz="0" w:space="0" w:color="auto"/>
        <w:bottom w:val="none" w:sz="0" w:space="0" w:color="auto"/>
        <w:right w:val="none" w:sz="0" w:space="0" w:color="auto"/>
      </w:divBdr>
      <w:divsChild>
        <w:div w:id="392777083">
          <w:marLeft w:val="418"/>
          <w:marRight w:val="0"/>
          <w:marTop w:val="240"/>
          <w:marBottom w:val="0"/>
          <w:divBdr>
            <w:top w:val="none" w:sz="0" w:space="0" w:color="auto"/>
            <w:left w:val="none" w:sz="0" w:space="0" w:color="auto"/>
            <w:bottom w:val="none" w:sz="0" w:space="0" w:color="auto"/>
            <w:right w:val="none" w:sz="0" w:space="0" w:color="auto"/>
          </w:divBdr>
        </w:div>
        <w:div w:id="407843095">
          <w:marLeft w:val="418"/>
          <w:marRight w:val="0"/>
          <w:marTop w:val="240"/>
          <w:marBottom w:val="0"/>
          <w:divBdr>
            <w:top w:val="none" w:sz="0" w:space="0" w:color="auto"/>
            <w:left w:val="none" w:sz="0" w:space="0" w:color="auto"/>
            <w:bottom w:val="none" w:sz="0" w:space="0" w:color="auto"/>
            <w:right w:val="none" w:sz="0" w:space="0" w:color="auto"/>
          </w:divBdr>
        </w:div>
        <w:div w:id="1286931054">
          <w:marLeft w:val="418"/>
          <w:marRight w:val="0"/>
          <w:marTop w:val="240"/>
          <w:marBottom w:val="0"/>
          <w:divBdr>
            <w:top w:val="none" w:sz="0" w:space="0" w:color="auto"/>
            <w:left w:val="none" w:sz="0" w:space="0" w:color="auto"/>
            <w:bottom w:val="none" w:sz="0" w:space="0" w:color="auto"/>
            <w:right w:val="none" w:sz="0" w:space="0" w:color="auto"/>
          </w:divBdr>
        </w:div>
        <w:div w:id="1403795338">
          <w:marLeft w:val="418"/>
          <w:marRight w:val="0"/>
          <w:marTop w:val="240"/>
          <w:marBottom w:val="0"/>
          <w:divBdr>
            <w:top w:val="none" w:sz="0" w:space="0" w:color="auto"/>
            <w:left w:val="none" w:sz="0" w:space="0" w:color="auto"/>
            <w:bottom w:val="none" w:sz="0" w:space="0" w:color="auto"/>
            <w:right w:val="none" w:sz="0" w:space="0" w:color="auto"/>
          </w:divBdr>
        </w:div>
        <w:div w:id="1698197525">
          <w:marLeft w:val="446"/>
          <w:marRight w:val="0"/>
          <w:marTop w:val="240"/>
          <w:marBottom w:val="0"/>
          <w:divBdr>
            <w:top w:val="none" w:sz="0" w:space="0" w:color="auto"/>
            <w:left w:val="none" w:sz="0" w:space="0" w:color="auto"/>
            <w:bottom w:val="none" w:sz="0" w:space="0" w:color="auto"/>
            <w:right w:val="none" w:sz="0" w:space="0" w:color="auto"/>
          </w:divBdr>
        </w:div>
        <w:div w:id="1892577300">
          <w:marLeft w:val="418"/>
          <w:marRight w:val="0"/>
          <w:marTop w:val="240"/>
          <w:marBottom w:val="0"/>
          <w:divBdr>
            <w:top w:val="none" w:sz="0" w:space="0" w:color="auto"/>
            <w:left w:val="none" w:sz="0" w:space="0" w:color="auto"/>
            <w:bottom w:val="none" w:sz="0" w:space="0" w:color="auto"/>
            <w:right w:val="none" w:sz="0" w:space="0" w:color="auto"/>
          </w:divBdr>
        </w:div>
      </w:divsChild>
    </w:div>
    <w:div w:id="1443261518">
      <w:bodyDiv w:val="1"/>
      <w:marLeft w:val="0"/>
      <w:marRight w:val="0"/>
      <w:marTop w:val="0"/>
      <w:marBottom w:val="0"/>
      <w:divBdr>
        <w:top w:val="none" w:sz="0" w:space="0" w:color="auto"/>
        <w:left w:val="none" w:sz="0" w:space="0" w:color="auto"/>
        <w:bottom w:val="none" w:sz="0" w:space="0" w:color="auto"/>
        <w:right w:val="none" w:sz="0" w:space="0" w:color="auto"/>
      </w:divBdr>
    </w:div>
    <w:div w:id="1478375689">
      <w:bodyDiv w:val="1"/>
      <w:marLeft w:val="0"/>
      <w:marRight w:val="0"/>
      <w:marTop w:val="0"/>
      <w:marBottom w:val="0"/>
      <w:divBdr>
        <w:top w:val="none" w:sz="0" w:space="0" w:color="auto"/>
        <w:left w:val="none" w:sz="0" w:space="0" w:color="auto"/>
        <w:bottom w:val="none" w:sz="0" w:space="0" w:color="auto"/>
        <w:right w:val="none" w:sz="0" w:space="0" w:color="auto"/>
      </w:divBdr>
    </w:div>
    <w:div w:id="1486776898">
      <w:bodyDiv w:val="1"/>
      <w:marLeft w:val="0"/>
      <w:marRight w:val="0"/>
      <w:marTop w:val="0"/>
      <w:marBottom w:val="0"/>
      <w:divBdr>
        <w:top w:val="none" w:sz="0" w:space="0" w:color="auto"/>
        <w:left w:val="none" w:sz="0" w:space="0" w:color="auto"/>
        <w:bottom w:val="none" w:sz="0" w:space="0" w:color="auto"/>
        <w:right w:val="none" w:sz="0" w:space="0" w:color="auto"/>
      </w:divBdr>
    </w:div>
    <w:div w:id="1525292919">
      <w:bodyDiv w:val="1"/>
      <w:marLeft w:val="0"/>
      <w:marRight w:val="0"/>
      <w:marTop w:val="0"/>
      <w:marBottom w:val="0"/>
      <w:divBdr>
        <w:top w:val="none" w:sz="0" w:space="0" w:color="auto"/>
        <w:left w:val="none" w:sz="0" w:space="0" w:color="auto"/>
        <w:bottom w:val="none" w:sz="0" w:space="0" w:color="auto"/>
        <w:right w:val="none" w:sz="0" w:space="0" w:color="auto"/>
      </w:divBdr>
    </w:div>
    <w:div w:id="1540512013">
      <w:bodyDiv w:val="1"/>
      <w:marLeft w:val="0"/>
      <w:marRight w:val="0"/>
      <w:marTop w:val="0"/>
      <w:marBottom w:val="0"/>
      <w:divBdr>
        <w:top w:val="none" w:sz="0" w:space="0" w:color="auto"/>
        <w:left w:val="none" w:sz="0" w:space="0" w:color="auto"/>
        <w:bottom w:val="none" w:sz="0" w:space="0" w:color="auto"/>
        <w:right w:val="none" w:sz="0" w:space="0" w:color="auto"/>
      </w:divBdr>
    </w:div>
    <w:div w:id="1548949916">
      <w:bodyDiv w:val="1"/>
      <w:marLeft w:val="0"/>
      <w:marRight w:val="0"/>
      <w:marTop w:val="0"/>
      <w:marBottom w:val="0"/>
      <w:divBdr>
        <w:top w:val="none" w:sz="0" w:space="0" w:color="auto"/>
        <w:left w:val="none" w:sz="0" w:space="0" w:color="auto"/>
        <w:bottom w:val="none" w:sz="0" w:space="0" w:color="auto"/>
        <w:right w:val="none" w:sz="0" w:space="0" w:color="auto"/>
      </w:divBdr>
      <w:divsChild>
        <w:div w:id="77990787">
          <w:marLeft w:val="418"/>
          <w:marRight w:val="0"/>
          <w:marTop w:val="240"/>
          <w:marBottom w:val="120"/>
          <w:divBdr>
            <w:top w:val="none" w:sz="0" w:space="0" w:color="auto"/>
            <w:left w:val="none" w:sz="0" w:space="0" w:color="auto"/>
            <w:bottom w:val="none" w:sz="0" w:space="0" w:color="auto"/>
            <w:right w:val="none" w:sz="0" w:space="0" w:color="auto"/>
          </w:divBdr>
        </w:div>
        <w:div w:id="80568069">
          <w:marLeft w:val="878"/>
          <w:marRight w:val="0"/>
          <w:marTop w:val="240"/>
          <w:marBottom w:val="120"/>
          <w:divBdr>
            <w:top w:val="none" w:sz="0" w:space="0" w:color="auto"/>
            <w:left w:val="none" w:sz="0" w:space="0" w:color="auto"/>
            <w:bottom w:val="none" w:sz="0" w:space="0" w:color="auto"/>
            <w:right w:val="none" w:sz="0" w:space="0" w:color="auto"/>
          </w:divBdr>
        </w:div>
        <w:div w:id="166140629">
          <w:marLeft w:val="878"/>
          <w:marRight w:val="0"/>
          <w:marTop w:val="240"/>
          <w:marBottom w:val="120"/>
          <w:divBdr>
            <w:top w:val="none" w:sz="0" w:space="0" w:color="auto"/>
            <w:left w:val="none" w:sz="0" w:space="0" w:color="auto"/>
            <w:bottom w:val="none" w:sz="0" w:space="0" w:color="auto"/>
            <w:right w:val="none" w:sz="0" w:space="0" w:color="auto"/>
          </w:divBdr>
        </w:div>
        <w:div w:id="1016233287">
          <w:marLeft w:val="878"/>
          <w:marRight w:val="0"/>
          <w:marTop w:val="240"/>
          <w:marBottom w:val="120"/>
          <w:divBdr>
            <w:top w:val="none" w:sz="0" w:space="0" w:color="auto"/>
            <w:left w:val="none" w:sz="0" w:space="0" w:color="auto"/>
            <w:bottom w:val="none" w:sz="0" w:space="0" w:color="auto"/>
            <w:right w:val="none" w:sz="0" w:space="0" w:color="auto"/>
          </w:divBdr>
        </w:div>
        <w:div w:id="1483886958">
          <w:marLeft w:val="418"/>
          <w:marRight w:val="0"/>
          <w:marTop w:val="240"/>
          <w:marBottom w:val="120"/>
          <w:divBdr>
            <w:top w:val="none" w:sz="0" w:space="0" w:color="auto"/>
            <w:left w:val="none" w:sz="0" w:space="0" w:color="auto"/>
            <w:bottom w:val="none" w:sz="0" w:space="0" w:color="auto"/>
            <w:right w:val="none" w:sz="0" w:space="0" w:color="auto"/>
          </w:divBdr>
        </w:div>
        <w:div w:id="1488742526">
          <w:marLeft w:val="878"/>
          <w:marRight w:val="0"/>
          <w:marTop w:val="240"/>
          <w:marBottom w:val="120"/>
          <w:divBdr>
            <w:top w:val="none" w:sz="0" w:space="0" w:color="auto"/>
            <w:left w:val="none" w:sz="0" w:space="0" w:color="auto"/>
            <w:bottom w:val="none" w:sz="0" w:space="0" w:color="auto"/>
            <w:right w:val="none" w:sz="0" w:space="0" w:color="auto"/>
          </w:divBdr>
        </w:div>
      </w:divsChild>
    </w:div>
    <w:div w:id="1560087970">
      <w:bodyDiv w:val="1"/>
      <w:marLeft w:val="0"/>
      <w:marRight w:val="0"/>
      <w:marTop w:val="0"/>
      <w:marBottom w:val="0"/>
      <w:divBdr>
        <w:top w:val="none" w:sz="0" w:space="0" w:color="auto"/>
        <w:left w:val="none" w:sz="0" w:space="0" w:color="auto"/>
        <w:bottom w:val="none" w:sz="0" w:space="0" w:color="auto"/>
        <w:right w:val="none" w:sz="0" w:space="0" w:color="auto"/>
      </w:divBdr>
    </w:div>
    <w:div w:id="1560626652">
      <w:bodyDiv w:val="1"/>
      <w:marLeft w:val="0"/>
      <w:marRight w:val="0"/>
      <w:marTop w:val="0"/>
      <w:marBottom w:val="0"/>
      <w:divBdr>
        <w:top w:val="none" w:sz="0" w:space="0" w:color="auto"/>
        <w:left w:val="none" w:sz="0" w:space="0" w:color="auto"/>
        <w:bottom w:val="none" w:sz="0" w:space="0" w:color="auto"/>
        <w:right w:val="none" w:sz="0" w:space="0" w:color="auto"/>
      </w:divBdr>
    </w:div>
    <w:div w:id="1586648924">
      <w:bodyDiv w:val="1"/>
      <w:marLeft w:val="0"/>
      <w:marRight w:val="0"/>
      <w:marTop w:val="0"/>
      <w:marBottom w:val="0"/>
      <w:divBdr>
        <w:top w:val="none" w:sz="0" w:space="0" w:color="auto"/>
        <w:left w:val="none" w:sz="0" w:space="0" w:color="auto"/>
        <w:bottom w:val="none" w:sz="0" w:space="0" w:color="auto"/>
        <w:right w:val="none" w:sz="0" w:space="0" w:color="auto"/>
      </w:divBdr>
    </w:div>
    <w:div w:id="1596597398">
      <w:bodyDiv w:val="1"/>
      <w:marLeft w:val="0"/>
      <w:marRight w:val="0"/>
      <w:marTop w:val="0"/>
      <w:marBottom w:val="0"/>
      <w:divBdr>
        <w:top w:val="none" w:sz="0" w:space="0" w:color="auto"/>
        <w:left w:val="none" w:sz="0" w:space="0" w:color="auto"/>
        <w:bottom w:val="none" w:sz="0" w:space="0" w:color="auto"/>
        <w:right w:val="none" w:sz="0" w:space="0" w:color="auto"/>
      </w:divBdr>
    </w:div>
    <w:div w:id="1622031150">
      <w:bodyDiv w:val="1"/>
      <w:marLeft w:val="0"/>
      <w:marRight w:val="0"/>
      <w:marTop w:val="0"/>
      <w:marBottom w:val="0"/>
      <w:divBdr>
        <w:top w:val="none" w:sz="0" w:space="0" w:color="auto"/>
        <w:left w:val="none" w:sz="0" w:space="0" w:color="auto"/>
        <w:bottom w:val="none" w:sz="0" w:space="0" w:color="auto"/>
        <w:right w:val="none" w:sz="0" w:space="0" w:color="auto"/>
      </w:divBdr>
    </w:div>
    <w:div w:id="1644196092">
      <w:bodyDiv w:val="1"/>
      <w:marLeft w:val="0"/>
      <w:marRight w:val="0"/>
      <w:marTop w:val="0"/>
      <w:marBottom w:val="0"/>
      <w:divBdr>
        <w:top w:val="none" w:sz="0" w:space="0" w:color="auto"/>
        <w:left w:val="none" w:sz="0" w:space="0" w:color="auto"/>
        <w:bottom w:val="none" w:sz="0" w:space="0" w:color="auto"/>
        <w:right w:val="none" w:sz="0" w:space="0" w:color="auto"/>
      </w:divBdr>
    </w:div>
    <w:div w:id="1653874420">
      <w:bodyDiv w:val="1"/>
      <w:marLeft w:val="0"/>
      <w:marRight w:val="0"/>
      <w:marTop w:val="0"/>
      <w:marBottom w:val="0"/>
      <w:divBdr>
        <w:top w:val="none" w:sz="0" w:space="0" w:color="auto"/>
        <w:left w:val="none" w:sz="0" w:space="0" w:color="auto"/>
        <w:bottom w:val="none" w:sz="0" w:space="0" w:color="auto"/>
        <w:right w:val="none" w:sz="0" w:space="0" w:color="auto"/>
      </w:divBdr>
    </w:div>
    <w:div w:id="1671057277">
      <w:bodyDiv w:val="1"/>
      <w:marLeft w:val="0"/>
      <w:marRight w:val="0"/>
      <w:marTop w:val="0"/>
      <w:marBottom w:val="0"/>
      <w:divBdr>
        <w:top w:val="none" w:sz="0" w:space="0" w:color="auto"/>
        <w:left w:val="none" w:sz="0" w:space="0" w:color="auto"/>
        <w:bottom w:val="none" w:sz="0" w:space="0" w:color="auto"/>
        <w:right w:val="none" w:sz="0" w:space="0" w:color="auto"/>
      </w:divBdr>
    </w:div>
    <w:div w:id="1687368396">
      <w:bodyDiv w:val="1"/>
      <w:marLeft w:val="0"/>
      <w:marRight w:val="0"/>
      <w:marTop w:val="0"/>
      <w:marBottom w:val="0"/>
      <w:divBdr>
        <w:top w:val="none" w:sz="0" w:space="0" w:color="auto"/>
        <w:left w:val="none" w:sz="0" w:space="0" w:color="auto"/>
        <w:bottom w:val="none" w:sz="0" w:space="0" w:color="auto"/>
        <w:right w:val="none" w:sz="0" w:space="0" w:color="auto"/>
      </w:divBdr>
    </w:div>
    <w:div w:id="1719353002">
      <w:bodyDiv w:val="1"/>
      <w:marLeft w:val="0"/>
      <w:marRight w:val="0"/>
      <w:marTop w:val="0"/>
      <w:marBottom w:val="0"/>
      <w:divBdr>
        <w:top w:val="none" w:sz="0" w:space="0" w:color="auto"/>
        <w:left w:val="none" w:sz="0" w:space="0" w:color="auto"/>
        <w:bottom w:val="none" w:sz="0" w:space="0" w:color="auto"/>
        <w:right w:val="none" w:sz="0" w:space="0" w:color="auto"/>
      </w:divBdr>
    </w:div>
    <w:div w:id="1719820646">
      <w:bodyDiv w:val="1"/>
      <w:marLeft w:val="0"/>
      <w:marRight w:val="0"/>
      <w:marTop w:val="0"/>
      <w:marBottom w:val="0"/>
      <w:divBdr>
        <w:top w:val="none" w:sz="0" w:space="0" w:color="auto"/>
        <w:left w:val="none" w:sz="0" w:space="0" w:color="auto"/>
        <w:bottom w:val="none" w:sz="0" w:space="0" w:color="auto"/>
        <w:right w:val="none" w:sz="0" w:space="0" w:color="auto"/>
      </w:divBdr>
    </w:div>
    <w:div w:id="1720934311">
      <w:bodyDiv w:val="1"/>
      <w:marLeft w:val="0"/>
      <w:marRight w:val="0"/>
      <w:marTop w:val="0"/>
      <w:marBottom w:val="0"/>
      <w:divBdr>
        <w:top w:val="none" w:sz="0" w:space="0" w:color="auto"/>
        <w:left w:val="none" w:sz="0" w:space="0" w:color="auto"/>
        <w:bottom w:val="none" w:sz="0" w:space="0" w:color="auto"/>
        <w:right w:val="none" w:sz="0" w:space="0" w:color="auto"/>
      </w:divBdr>
    </w:div>
    <w:div w:id="1735930065">
      <w:bodyDiv w:val="1"/>
      <w:marLeft w:val="0"/>
      <w:marRight w:val="0"/>
      <w:marTop w:val="0"/>
      <w:marBottom w:val="0"/>
      <w:divBdr>
        <w:top w:val="none" w:sz="0" w:space="0" w:color="auto"/>
        <w:left w:val="none" w:sz="0" w:space="0" w:color="auto"/>
        <w:bottom w:val="none" w:sz="0" w:space="0" w:color="auto"/>
        <w:right w:val="none" w:sz="0" w:space="0" w:color="auto"/>
      </w:divBdr>
    </w:div>
    <w:div w:id="1745881541">
      <w:bodyDiv w:val="1"/>
      <w:marLeft w:val="0"/>
      <w:marRight w:val="0"/>
      <w:marTop w:val="0"/>
      <w:marBottom w:val="0"/>
      <w:divBdr>
        <w:top w:val="none" w:sz="0" w:space="0" w:color="auto"/>
        <w:left w:val="none" w:sz="0" w:space="0" w:color="auto"/>
        <w:bottom w:val="none" w:sz="0" w:space="0" w:color="auto"/>
        <w:right w:val="none" w:sz="0" w:space="0" w:color="auto"/>
      </w:divBdr>
    </w:div>
    <w:div w:id="1761216843">
      <w:bodyDiv w:val="1"/>
      <w:marLeft w:val="0"/>
      <w:marRight w:val="0"/>
      <w:marTop w:val="0"/>
      <w:marBottom w:val="0"/>
      <w:divBdr>
        <w:top w:val="none" w:sz="0" w:space="0" w:color="auto"/>
        <w:left w:val="none" w:sz="0" w:space="0" w:color="auto"/>
        <w:bottom w:val="none" w:sz="0" w:space="0" w:color="auto"/>
        <w:right w:val="none" w:sz="0" w:space="0" w:color="auto"/>
      </w:divBdr>
    </w:div>
    <w:div w:id="1793280466">
      <w:bodyDiv w:val="1"/>
      <w:marLeft w:val="0"/>
      <w:marRight w:val="0"/>
      <w:marTop w:val="0"/>
      <w:marBottom w:val="0"/>
      <w:divBdr>
        <w:top w:val="none" w:sz="0" w:space="0" w:color="auto"/>
        <w:left w:val="none" w:sz="0" w:space="0" w:color="auto"/>
        <w:bottom w:val="none" w:sz="0" w:space="0" w:color="auto"/>
        <w:right w:val="none" w:sz="0" w:space="0" w:color="auto"/>
      </w:divBdr>
    </w:div>
    <w:div w:id="1821926237">
      <w:bodyDiv w:val="1"/>
      <w:marLeft w:val="0"/>
      <w:marRight w:val="0"/>
      <w:marTop w:val="0"/>
      <w:marBottom w:val="0"/>
      <w:divBdr>
        <w:top w:val="none" w:sz="0" w:space="0" w:color="auto"/>
        <w:left w:val="none" w:sz="0" w:space="0" w:color="auto"/>
        <w:bottom w:val="none" w:sz="0" w:space="0" w:color="auto"/>
        <w:right w:val="none" w:sz="0" w:space="0" w:color="auto"/>
      </w:divBdr>
    </w:div>
    <w:div w:id="1878351372">
      <w:bodyDiv w:val="1"/>
      <w:marLeft w:val="0"/>
      <w:marRight w:val="0"/>
      <w:marTop w:val="0"/>
      <w:marBottom w:val="0"/>
      <w:divBdr>
        <w:top w:val="none" w:sz="0" w:space="0" w:color="auto"/>
        <w:left w:val="none" w:sz="0" w:space="0" w:color="auto"/>
        <w:bottom w:val="none" w:sz="0" w:space="0" w:color="auto"/>
        <w:right w:val="none" w:sz="0" w:space="0" w:color="auto"/>
      </w:divBdr>
    </w:div>
    <w:div w:id="1978217455">
      <w:bodyDiv w:val="1"/>
      <w:marLeft w:val="0"/>
      <w:marRight w:val="0"/>
      <w:marTop w:val="0"/>
      <w:marBottom w:val="0"/>
      <w:divBdr>
        <w:top w:val="none" w:sz="0" w:space="0" w:color="auto"/>
        <w:left w:val="none" w:sz="0" w:space="0" w:color="auto"/>
        <w:bottom w:val="none" w:sz="0" w:space="0" w:color="auto"/>
        <w:right w:val="none" w:sz="0" w:space="0" w:color="auto"/>
      </w:divBdr>
    </w:div>
    <w:div w:id="1978487807">
      <w:bodyDiv w:val="1"/>
      <w:marLeft w:val="0"/>
      <w:marRight w:val="0"/>
      <w:marTop w:val="0"/>
      <w:marBottom w:val="0"/>
      <w:divBdr>
        <w:top w:val="none" w:sz="0" w:space="0" w:color="auto"/>
        <w:left w:val="none" w:sz="0" w:space="0" w:color="auto"/>
        <w:bottom w:val="none" w:sz="0" w:space="0" w:color="auto"/>
        <w:right w:val="none" w:sz="0" w:space="0" w:color="auto"/>
      </w:divBdr>
    </w:div>
    <w:div w:id="1996756664">
      <w:bodyDiv w:val="1"/>
      <w:marLeft w:val="0"/>
      <w:marRight w:val="0"/>
      <w:marTop w:val="0"/>
      <w:marBottom w:val="0"/>
      <w:divBdr>
        <w:top w:val="none" w:sz="0" w:space="0" w:color="auto"/>
        <w:left w:val="none" w:sz="0" w:space="0" w:color="auto"/>
        <w:bottom w:val="none" w:sz="0" w:space="0" w:color="auto"/>
        <w:right w:val="none" w:sz="0" w:space="0" w:color="auto"/>
      </w:divBdr>
    </w:div>
    <w:div w:id="2016764089">
      <w:bodyDiv w:val="1"/>
      <w:marLeft w:val="0"/>
      <w:marRight w:val="0"/>
      <w:marTop w:val="0"/>
      <w:marBottom w:val="0"/>
      <w:divBdr>
        <w:top w:val="none" w:sz="0" w:space="0" w:color="auto"/>
        <w:left w:val="none" w:sz="0" w:space="0" w:color="auto"/>
        <w:bottom w:val="none" w:sz="0" w:space="0" w:color="auto"/>
        <w:right w:val="none" w:sz="0" w:space="0" w:color="auto"/>
      </w:divBdr>
    </w:div>
    <w:div w:id="2021466104">
      <w:bodyDiv w:val="1"/>
      <w:marLeft w:val="0"/>
      <w:marRight w:val="0"/>
      <w:marTop w:val="0"/>
      <w:marBottom w:val="0"/>
      <w:divBdr>
        <w:top w:val="none" w:sz="0" w:space="0" w:color="auto"/>
        <w:left w:val="none" w:sz="0" w:space="0" w:color="auto"/>
        <w:bottom w:val="none" w:sz="0" w:space="0" w:color="auto"/>
        <w:right w:val="none" w:sz="0" w:space="0" w:color="auto"/>
      </w:divBdr>
    </w:div>
    <w:div w:id="2039810500">
      <w:bodyDiv w:val="1"/>
      <w:marLeft w:val="0"/>
      <w:marRight w:val="0"/>
      <w:marTop w:val="0"/>
      <w:marBottom w:val="0"/>
      <w:divBdr>
        <w:top w:val="none" w:sz="0" w:space="0" w:color="auto"/>
        <w:left w:val="none" w:sz="0" w:space="0" w:color="auto"/>
        <w:bottom w:val="none" w:sz="0" w:space="0" w:color="auto"/>
        <w:right w:val="none" w:sz="0" w:space="0" w:color="auto"/>
      </w:divBdr>
    </w:div>
    <w:div w:id="2043751191">
      <w:bodyDiv w:val="1"/>
      <w:marLeft w:val="0"/>
      <w:marRight w:val="0"/>
      <w:marTop w:val="0"/>
      <w:marBottom w:val="0"/>
      <w:divBdr>
        <w:top w:val="none" w:sz="0" w:space="0" w:color="auto"/>
        <w:left w:val="none" w:sz="0" w:space="0" w:color="auto"/>
        <w:bottom w:val="none" w:sz="0" w:space="0" w:color="auto"/>
        <w:right w:val="none" w:sz="0" w:space="0" w:color="auto"/>
      </w:divBdr>
    </w:div>
    <w:div w:id="2070303435">
      <w:bodyDiv w:val="1"/>
      <w:marLeft w:val="0"/>
      <w:marRight w:val="0"/>
      <w:marTop w:val="0"/>
      <w:marBottom w:val="0"/>
      <w:divBdr>
        <w:top w:val="none" w:sz="0" w:space="0" w:color="auto"/>
        <w:left w:val="none" w:sz="0" w:space="0" w:color="auto"/>
        <w:bottom w:val="none" w:sz="0" w:space="0" w:color="auto"/>
        <w:right w:val="none" w:sz="0" w:space="0" w:color="auto"/>
      </w:divBdr>
    </w:div>
    <w:div w:id="2098089109">
      <w:bodyDiv w:val="1"/>
      <w:marLeft w:val="0"/>
      <w:marRight w:val="0"/>
      <w:marTop w:val="0"/>
      <w:marBottom w:val="0"/>
      <w:divBdr>
        <w:top w:val="none" w:sz="0" w:space="0" w:color="auto"/>
        <w:left w:val="none" w:sz="0" w:space="0" w:color="auto"/>
        <w:bottom w:val="none" w:sz="0" w:space="0" w:color="auto"/>
        <w:right w:val="none" w:sz="0" w:space="0" w:color="auto"/>
      </w:divBdr>
    </w:div>
    <w:div w:id="2118745708">
      <w:bodyDiv w:val="1"/>
      <w:marLeft w:val="0"/>
      <w:marRight w:val="0"/>
      <w:marTop w:val="0"/>
      <w:marBottom w:val="0"/>
      <w:divBdr>
        <w:top w:val="none" w:sz="0" w:space="0" w:color="auto"/>
        <w:left w:val="none" w:sz="0" w:space="0" w:color="auto"/>
        <w:bottom w:val="none" w:sz="0" w:space="0" w:color="auto"/>
        <w:right w:val="none" w:sz="0" w:space="0" w:color="auto"/>
      </w:divBdr>
    </w:div>
    <w:div w:id="2121879044">
      <w:bodyDiv w:val="1"/>
      <w:marLeft w:val="0"/>
      <w:marRight w:val="0"/>
      <w:marTop w:val="0"/>
      <w:marBottom w:val="0"/>
      <w:divBdr>
        <w:top w:val="none" w:sz="0" w:space="0" w:color="auto"/>
        <w:left w:val="none" w:sz="0" w:space="0" w:color="auto"/>
        <w:bottom w:val="none" w:sz="0" w:space="0" w:color="auto"/>
        <w:right w:val="none" w:sz="0" w:space="0" w:color="auto"/>
      </w:divBdr>
    </w:div>
    <w:div w:id="2129737187">
      <w:bodyDiv w:val="1"/>
      <w:marLeft w:val="0"/>
      <w:marRight w:val="0"/>
      <w:marTop w:val="0"/>
      <w:marBottom w:val="0"/>
      <w:divBdr>
        <w:top w:val="none" w:sz="0" w:space="0" w:color="auto"/>
        <w:left w:val="none" w:sz="0" w:space="0" w:color="auto"/>
        <w:bottom w:val="none" w:sz="0" w:space="0" w:color="auto"/>
        <w:right w:val="none" w:sz="0" w:space="0" w:color="auto"/>
      </w:divBdr>
    </w:div>
    <w:div w:id="21472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beyondblue.org.au/docs/default-source/about-beyond-blue/20061-money-and-mental-health-research-final-report-220804.pdf?sfvrsn=fd5d30e5_2&amp;utm_source=nationaltribune&amp;utm_medium=nationaltribune&amp;utm_campaign=news" TargetMode="External"/><Relationship Id="rId7" Type="http://schemas.openxmlformats.org/officeDocument/2006/relationships/hyperlink" Target="https://www.dss.gov.au/communities-and-vulnerable-people-publications-articles/the-countervailing-power-review-of-the-coordination-and-funding-for-financial-counselling-services-across-australia" TargetMode="External"/><Relationship Id="rId2" Type="http://schemas.openxmlformats.org/officeDocument/2006/relationships/hyperlink" Target="https://www.financialcounsellingaustralia.org.au/docs/financial-counselling-in-a-nutshell/" TargetMode="External"/><Relationship Id="rId1" Type="http://schemas.openxmlformats.org/officeDocument/2006/relationships/hyperlink" Target="https://www.dss.gov.au/communities-and-vulnerable-people-publications-articles/the-countervailing-power-review-of-the-coordination-and-funding-for-financial-counselling-services-across-australia" TargetMode="External"/><Relationship Id="rId6" Type="http://schemas.openxmlformats.org/officeDocument/2006/relationships/hyperlink" Target="https://www.dss.gov.au/communities-and-vulnerable-people-publications-articles/the-countervailing-power-review-of-the-coordination-and-funding-for-financial-counselling-services-across-australia" TargetMode="External"/><Relationship Id="rId5" Type="http://schemas.openxmlformats.org/officeDocument/2006/relationships/hyperlink" Target="https://treasury.gov.au/review/review-asic-industry-funding-model" TargetMode="External"/><Relationship Id="rId4" Type="http://schemas.openxmlformats.org/officeDocument/2006/relationships/hyperlink" Target="https://www.dss.gov.au/communities-and-vulnerable-people-publications-articles/the-countervailing-power-review-of-the-coordination-and-funding-for-financial-counselling-services-across-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18C6-DCA3-479D-A6D9-A28EF3F8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9832</Words>
  <Characters>57718</Characters>
  <Application>Microsoft Office Word</Application>
  <DocSecurity>0</DocSecurity>
  <Lines>1518</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2022-11-06T21:10:00Z</dcterms:created>
  <dcterms:modified xsi:type="dcterms:W3CDTF">2022-11-06T21:10:00Z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F6C334581E5A444EBE359342E90730FB</vt:lpwstr>
  </property>
  <property fmtid="{D5CDD505-2E9C-101B-9397-08002B2CF9AE}" pid="9" name="PM_ProtectiveMarkingValue_Footer">
    <vt:lpwstr>OFFICIAL</vt:lpwstr>
  </property>
  <property fmtid="{D5CDD505-2E9C-101B-9397-08002B2CF9AE}" pid="10" name="PM_Originator_Hash_SHA1">
    <vt:lpwstr>9DD4CD346F85BE91F0E9C7B2A7CF0A9233176483</vt:lpwstr>
  </property>
  <property fmtid="{D5CDD505-2E9C-101B-9397-08002B2CF9AE}" pid="11" name="PM_OriginationTimeStamp">
    <vt:lpwstr>2022-11-06T21:07:51Z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A00E39DDE8C87238233F39EDFEAECF31</vt:lpwstr>
  </property>
  <property fmtid="{D5CDD505-2E9C-101B-9397-08002B2CF9AE}" pid="21" name="PM_Hash_Salt">
    <vt:lpwstr>FF7EE47D1317A42217EBB79B2C3F3328</vt:lpwstr>
  </property>
  <property fmtid="{D5CDD505-2E9C-101B-9397-08002B2CF9AE}" pid="22" name="PM_Hash_SHA1">
    <vt:lpwstr>5E0C4271C91C28A0E9CC4A4B9895E6CA80B84941</vt:lpwstr>
  </property>
  <property fmtid="{D5CDD505-2E9C-101B-9397-08002B2CF9AE}" pid="23" name="PM_OriginatorUserAccountName_SHA256">
    <vt:lpwstr>677B37D270926C452CCCE8BB60522E67A6EA846D4FC35ADE259D044B25F1858E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