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471A2" w14:textId="0A814851" w:rsidR="0004075C" w:rsidRDefault="0004075C" w:rsidP="0069616C">
      <w:bookmarkStart w:id="0" w:name="_GoBack"/>
      <w:bookmarkEnd w:id="0"/>
    </w:p>
    <w:p w14:paraId="1CC01109" w14:textId="5552220D" w:rsidR="0069616C" w:rsidRDefault="0069616C" w:rsidP="0069616C"/>
    <w:p w14:paraId="4AF140A3" w14:textId="07D15BC3" w:rsidR="0069616C" w:rsidRDefault="0069616C" w:rsidP="0069616C"/>
    <w:p w14:paraId="05BA0236" w14:textId="25E72663" w:rsidR="0069616C" w:rsidRDefault="0069616C" w:rsidP="0069616C"/>
    <w:p w14:paraId="2FB8715E" w14:textId="6540523F" w:rsidR="0069616C" w:rsidRDefault="0069616C" w:rsidP="0069616C"/>
    <w:p w14:paraId="6FA017B8" w14:textId="04E4D673" w:rsidR="0069616C" w:rsidRDefault="0069616C" w:rsidP="0069616C"/>
    <w:p w14:paraId="5A03BC63" w14:textId="6DE76519" w:rsidR="0069616C" w:rsidRDefault="0088306B" w:rsidP="0088306B">
      <w:pPr>
        <w:tabs>
          <w:tab w:val="left" w:pos="7146"/>
        </w:tabs>
      </w:pPr>
      <w:r>
        <w:tab/>
      </w:r>
    </w:p>
    <w:p w14:paraId="09B648BE" w14:textId="2810FBD7" w:rsidR="0069616C" w:rsidRDefault="0069616C" w:rsidP="0069616C"/>
    <w:p w14:paraId="2E9A255F" w14:textId="563E877B" w:rsidR="0069616C" w:rsidRDefault="0069616C" w:rsidP="0069616C"/>
    <w:p w14:paraId="37E05925" w14:textId="77777777" w:rsidR="0069616C" w:rsidRDefault="0069616C" w:rsidP="0069616C"/>
    <w:p w14:paraId="25EFB8F3" w14:textId="7CFE343C" w:rsidR="005868EA" w:rsidRPr="0004075C" w:rsidRDefault="00D7550A" w:rsidP="005868EA">
      <w:pPr>
        <w:pStyle w:val="Heading1"/>
        <w:spacing w:after="240"/>
        <w:contextualSpacing w:val="0"/>
        <w:jc w:val="center"/>
        <w:rPr>
          <w:rFonts w:cs="Arial"/>
          <w:color w:val="215868" w:themeColor="accent5" w:themeShade="80"/>
          <w:sz w:val="72"/>
        </w:rPr>
      </w:pPr>
      <w:r w:rsidRPr="0004075C">
        <w:rPr>
          <w:rFonts w:cs="Arial"/>
          <w:color w:val="215868" w:themeColor="accent5" w:themeShade="80"/>
          <w:sz w:val="72"/>
        </w:rPr>
        <w:t>Safe Places</w:t>
      </w:r>
      <w:r w:rsidR="002C3476" w:rsidRPr="0004075C">
        <w:rPr>
          <w:rFonts w:cs="Arial"/>
          <w:color w:val="215868" w:themeColor="accent5" w:themeShade="80"/>
          <w:sz w:val="72"/>
        </w:rPr>
        <w:t xml:space="preserve"> Emergency Accommodation</w:t>
      </w:r>
      <w:r w:rsidRPr="0004075C">
        <w:rPr>
          <w:rFonts w:cs="Arial"/>
          <w:color w:val="215868" w:themeColor="accent5" w:themeShade="80"/>
          <w:sz w:val="72"/>
        </w:rPr>
        <w:t xml:space="preserve"> </w:t>
      </w:r>
      <w:r w:rsidR="00996258" w:rsidRPr="0004075C">
        <w:rPr>
          <w:rFonts w:cs="Arial"/>
          <w:color w:val="215868" w:themeColor="accent5" w:themeShade="80"/>
          <w:sz w:val="72"/>
        </w:rPr>
        <w:t xml:space="preserve">Program </w:t>
      </w:r>
      <w:r w:rsidR="005868EA" w:rsidRPr="0004075C">
        <w:rPr>
          <w:rFonts w:cs="Arial"/>
          <w:color w:val="215868" w:themeColor="accent5" w:themeShade="80"/>
          <w:sz w:val="72"/>
        </w:rPr>
        <w:br/>
      </w:r>
      <w:r w:rsidR="00F55799" w:rsidRPr="0004075C">
        <w:rPr>
          <w:rFonts w:cs="Arial"/>
          <w:color w:val="215868" w:themeColor="accent5" w:themeShade="80"/>
          <w:sz w:val="72"/>
        </w:rPr>
        <w:t>(</w:t>
      </w:r>
      <w:r w:rsidR="00284009">
        <w:rPr>
          <w:rFonts w:cs="Arial"/>
          <w:color w:val="215868" w:themeColor="accent5" w:themeShade="80"/>
          <w:sz w:val="72"/>
        </w:rPr>
        <w:t>Inclusion Round</w:t>
      </w:r>
      <w:r w:rsidR="00F55799" w:rsidRPr="0004075C">
        <w:rPr>
          <w:rFonts w:cs="Arial"/>
          <w:color w:val="215868" w:themeColor="accent5" w:themeShade="80"/>
          <w:sz w:val="72"/>
        </w:rPr>
        <w:t>)</w:t>
      </w:r>
    </w:p>
    <w:p w14:paraId="6FE5473F" w14:textId="019557C9" w:rsidR="007B0256" w:rsidRPr="0004075C" w:rsidRDefault="002E7D35" w:rsidP="005868EA">
      <w:pPr>
        <w:pStyle w:val="Heading1"/>
        <w:spacing w:after="240"/>
        <w:contextualSpacing w:val="0"/>
        <w:jc w:val="center"/>
        <w:rPr>
          <w:rFonts w:cs="Arial"/>
          <w:color w:val="215868" w:themeColor="accent5" w:themeShade="80"/>
          <w:sz w:val="52"/>
        </w:rPr>
      </w:pPr>
      <w:r w:rsidRPr="0004075C">
        <w:rPr>
          <w:rFonts w:cs="Arial"/>
          <w:color w:val="215868" w:themeColor="accent5" w:themeShade="80"/>
          <w:sz w:val="52"/>
        </w:rPr>
        <w:t xml:space="preserve">Program Design </w:t>
      </w:r>
      <w:r w:rsidR="00D7550A" w:rsidRPr="0004075C">
        <w:rPr>
          <w:rFonts w:cs="Arial"/>
          <w:color w:val="215868" w:themeColor="accent5" w:themeShade="80"/>
          <w:sz w:val="52"/>
        </w:rPr>
        <w:t>Discussion Paper</w:t>
      </w:r>
    </w:p>
    <w:p w14:paraId="74CC91A1" w14:textId="77777777" w:rsidR="0004075C" w:rsidRDefault="0004075C" w:rsidP="0004075C">
      <w:pPr>
        <w:rPr>
          <w:rFonts w:eastAsiaTheme="majorEastAsia"/>
          <w:sz w:val="26"/>
          <w:szCs w:val="26"/>
        </w:rPr>
      </w:pPr>
      <w:r>
        <w:br w:type="page"/>
      </w:r>
    </w:p>
    <w:p w14:paraId="13D97B0A" w14:textId="02D30752" w:rsidR="0004075C" w:rsidRDefault="0004075C" w:rsidP="0004075C">
      <w:pPr>
        <w:pStyle w:val="Heading2"/>
        <w:numPr>
          <w:ilvl w:val="0"/>
          <w:numId w:val="0"/>
        </w:numPr>
        <w:spacing w:before="240" w:after="240"/>
        <w:ind w:left="360" w:hanging="360"/>
        <w:rPr>
          <w:rFonts w:cs="Arial"/>
        </w:rPr>
      </w:pPr>
      <w:r>
        <w:rPr>
          <w:rFonts w:cs="Arial"/>
        </w:rPr>
        <w:lastRenderedPageBreak/>
        <w:t>Acknowledgement of Country</w:t>
      </w:r>
    </w:p>
    <w:p w14:paraId="5BED9E24" w14:textId="76DEF0C5" w:rsidR="0004075C" w:rsidRDefault="0004075C" w:rsidP="0004075C">
      <w:pPr>
        <w:rPr>
          <w:rFonts w:cs="Arial"/>
        </w:rPr>
      </w:pPr>
      <w:r w:rsidRPr="0004075C">
        <w:rPr>
          <w:rFonts w:cs="Arial"/>
        </w:rPr>
        <w:t>In the spirit of reconciliation, the Department of Social Services acknowledges the Traditional Custodians of country throughout Australia and their connections to land, sea and community. We pay our respect to their Elders past and present and extend that respect to all Aboriginal and Torres Strait Islander peoples today.</w:t>
      </w:r>
    </w:p>
    <w:p w14:paraId="0A5A9CAB" w14:textId="63B02FDC" w:rsidR="002C6C55" w:rsidRPr="0044157A" w:rsidRDefault="002C6C55" w:rsidP="002C6C55">
      <w:pPr>
        <w:pStyle w:val="Heading2"/>
        <w:numPr>
          <w:ilvl w:val="0"/>
          <w:numId w:val="0"/>
        </w:numPr>
        <w:spacing w:before="240" w:after="240"/>
        <w:ind w:left="360" w:hanging="360"/>
        <w:rPr>
          <w:rFonts w:cs="Arial"/>
        </w:rPr>
      </w:pPr>
      <w:r w:rsidRPr="0044157A">
        <w:rPr>
          <w:rFonts w:cs="Arial"/>
        </w:rPr>
        <w:t>Help and Support</w:t>
      </w:r>
    </w:p>
    <w:p w14:paraId="2831BB6C" w14:textId="77777777" w:rsidR="009D497C" w:rsidRPr="0044157A" w:rsidRDefault="009D497C" w:rsidP="009D497C">
      <w:pPr>
        <w:rPr>
          <w:rFonts w:cs="Arial"/>
        </w:rPr>
      </w:pPr>
      <w:r w:rsidRPr="0044157A">
        <w:rPr>
          <w:rFonts w:cs="Arial"/>
        </w:rPr>
        <w:t>Violence against women and children can be hard to discuss and reading this document may cause distress.</w:t>
      </w:r>
    </w:p>
    <w:p w14:paraId="590553A5" w14:textId="7CD7B9F6" w:rsidR="009D497C" w:rsidRPr="0044157A" w:rsidRDefault="009D497C" w:rsidP="009D497C">
      <w:pPr>
        <w:rPr>
          <w:rFonts w:cs="Arial"/>
        </w:rPr>
      </w:pPr>
      <w:r w:rsidRPr="0044157A">
        <w:rPr>
          <w:rFonts w:cs="Arial"/>
        </w:rPr>
        <w:t>Help is available.</w:t>
      </w:r>
      <w:r w:rsidR="005F1340" w:rsidRPr="0044157A">
        <w:rPr>
          <w:rFonts w:cs="Arial"/>
        </w:rPr>
        <w:t xml:space="preserve"> If you or someone you know </w:t>
      </w:r>
      <w:r w:rsidR="000E3F26">
        <w:rPr>
          <w:rFonts w:cs="Arial"/>
        </w:rPr>
        <w:t>is e</w:t>
      </w:r>
      <w:r w:rsidR="0015427A">
        <w:rPr>
          <w:rFonts w:cs="Arial"/>
        </w:rPr>
        <w:t>x</w:t>
      </w:r>
      <w:r w:rsidR="000E3F26">
        <w:rPr>
          <w:rFonts w:cs="Arial"/>
        </w:rPr>
        <w:t>p</w:t>
      </w:r>
      <w:r w:rsidR="0015427A">
        <w:rPr>
          <w:rFonts w:cs="Arial"/>
        </w:rPr>
        <w:t>eriencing</w:t>
      </w:r>
      <w:r w:rsidR="002D7D0B">
        <w:rPr>
          <w:rFonts w:cs="Arial"/>
        </w:rPr>
        <w:t xml:space="preserve"> or at risk of experiencing domesti</w:t>
      </w:r>
      <w:r w:rsidR="005F1340" w:rsidRPr="0044157A">
        <w:rPr>
          <w:rFonts w:cs="Arial"/>
        </w:rPr>
        <w:t xml:space="preserve">c, family or sexual violence, call 1800RESPECT </w:t>
      </w:r>
      <w:r w:rsidR="002D7D0B">
        <w:rPr>
          <w:rFonts w:cs="Arial"/>
        </w:rPr>
        <w:t>on</w:t>
      </w:r>
      <w:r w:rsidR="005F1340" w:rsidRPr="0044157A">
        <w:rPr>
          <w:rFonts w:cs="Arial"/>
        </w:rPr>
        <w:t xml:space="preserve"> 1800 737 732 or visit </w:t>
      </w:r>
      <w:hyperlink r:id="rId12" w:history="1">
        <w:r w:rsidR="005F1340" w:rsidRPr="0044157A">
          <w:rPr>
            <w:rStyle w:val="Hyperlink"/>
            <w:rFonts w:cs="Arial"/>
          </w:rPr>
          <w:t>1800RESPECT.org.au</w:t>
        </w:r>
      </w:hyperlink>
      <w:r w:rsidR="005F1340" w:rsidRPr="0044157A">
        <w:rPr>
          <w:rFonts w:cs="Arial"/>
        </w:rPr>
        <w:t xml:space="preserve">. </w:t>
      </w:r>
    </w:p>
    <w:p w14:paraId="3CBCE9EA" w14:textId="425308E5" w:rsidR="00D02173" w:rsidRPr="0044157A" w:rsidRDefault="009D497C" w:rsidP="00BF38C2">
      <w:pPr>
        <w:rPr>
          <w:rFonts w:cs="Arial"/>
        </w:rPr>
      </w:pPr>
      <w:r w:rsidRPr="0044157A">
        <w:rPr>
          <w:rFonts w:cs="Arial"/>
          <w:b/>
        </w:rPr>
        <w:t>If you or someone close to you is in distress or immediate danger, please call 000.</w:t>
      </w:r>
      <w:r w:rsidRPr="0044157A">
        <w:rPr>
          <w:rFonts w:cs="Arial"/>
        </w:rPr>
        <w:t xml:space="preserve"> </w:t>
      </w:r>
    </w:p>
    <w:p w14:paraId="49EB1F64" w14:textId="0E0E7D11" w:rsidR="00D7550A" w:rsidRPr="00A44CED" w:rsidRDefault="00D7550A" w:rsidP="002F58D6">
      <w:pPr>
        <w:pStyle w:val="Heading2"/>
        <w:spacing w:before="240" w:after="240"/>
        <w:ind w:left="357" w:hanging="357"/>
        <w:rPr>
          <w:rFonts w:cs="Arial"/>
        </w:rPr>
      </w:pPr>
      <w:r w:rsidRPr="00A44CED">
        <w:rPr>
          <w:rFonts w:cs="Arial"/>
        </w:rPr>
        <w:t>Introduction</w:t>
      </w:r>
    </w:p>
    <w:p w14:paraId="48751259" w14:textId="1467D6C2" w:rsidR="003A487E" w:rsidRPr="00A44CED" w:rsidRDefault="00AB6291" w:rsidP="00297773">
      <w:pPr>
        <w:rPr>
          <w:rFonts w:cs="Arial"/>
        </w:rPr>
      </w:pPr>
      <w:r w:rsidRPr="00AB6291">
        <w:rPr>
          <w:rFonts w:cs="Arial"/>
        </w:rPr>
        <w:t>Family and domestic violence</w:t>
      </w:r>
      <w:r w:rsidR="00FC2734">
        <w:rPr>
          <w:rFonts w:cs="Arial"/>
        </w:rPr>
        <w:t xml:space="preserve"> (FDV)</w:t>
      </w:r>
      <w:r w:rsidRPr="00AB6291">
        <w:rPr>
          <w:rFonts w:cs="Arial"/>
        </w:rPr>
        <w:t xml:space="preserve"> is one of the leading causes of homelessness for women and children.</w:t>
      </w:r>
      <w:r w:rsidR="00297773">
        <w:rPr>
          <w:rFonts w:cs="Arial"/>
        </w:rPr>
        <w:t xml:space="preserve"> </w:t>
      </w:r>
      <w:r w:rsidR="001B29B8" w:rsidRPr="00A44CED">
        <w:rPr>
          <w:rFonts w:cs="Arial"/>
        </w:rPr>
        <w:t>T</w:t>
      </w:r>
      <w:r w:rsidR="002B5C5E" w:rsidRPr="00A44CED">
        <w:rPr>
          <w:rFonts w:cs="Arial"/>
        </w:rPr>
        <w:t xml:space="preserve">he </w:t>
      </w:r>
      <w:r w:rsidR="00D7550A" w:rsidRPr="00A44CED">
        <w:rPr>
          <w:rFonts w:cs="Arial"/>
        </w:rPr>
        <w:t>Safe Places Emergency Accommodation</w:t>
      </w:r>
      <w:r w:rsidR="002B5C5E" w:rsidRPr="00A44CED">
        <w:rPr>
          <w:rFonts w:cs="Arial"/>
        </w:rPr>
        <w:t xml:space="preserve"> </w:t>
      </w:r>
      <w:r w:rsidR="00420EF4">
        <w:rPr>
          <w:rFonts w:cs="Arial"/>
        </w:rPr>
        <w:t>P</w:t>
      </w:r>
      <w:r w:rsidR="00420EF4" w:rsidRPr="00A44CED">
        <w:rPr>
          <w:rFonts w:cs="Arial"/>
        </w:rPr>
        <w:t xml:space="preserve">rogram </w:t>
      </w:r>
      <w:r w:rsidR="00924C5C" w:rsidRPr="00A44CED">
        <w:rPr>
          <w:rFonts w:cs="Arial"/>
        </w:rPr>
        <w:t>(</w:t>
      </w:r>
      <w:r w:rsidR="00284009">
        <w:rPr>
          <w:rFonts w:cs="Arial"/>
        </w:rPr>
        <w:t>Inclusion</w:t>
      </w:r>
      <w:r w:rsidR="006F0BA4" w:rsidRPr="00A44CED">
        <w:rPr>
          <w:rFonts w:cs="Arial"/>
        </w:rPr>
        <w:t xml:space="preserve"> Round</w:t>
      </w:r>
      <w:r w:rsidR="00924C5C" w:rsidRPr="00A44CED">
        <w:rPr>
          <w:rFonts w:cs="Arial"/>
        </w:rPr>
        <w:t xml:space="preserve">) </w:t>
      </w:r>
      <w:r w:rsidR="001B29B8" w:rsidRPr="00A44CED">
        <w:rPr>
          <w:rFonts w:cs="Arial"/>
        </w:rPr>
        <w:t xml:space="preserve">will </w:t>
      </w:r>
      <w:r w:rsidR="00D7550A" w:rsidRPr="00A44CED">
        <w:rPr>
          <w:rFonts w:cs="Arial"/>
        </w:rPr>
        <w:t xml:space="preserve">fund </w:t>
      </w:r>
      <w:r w:rsidR="00C85D92" w:rsidRPr="00A44CED">
        <w:rPr>
          <w:rFonts w:cs="Arial"/>
        </w:rPr>
        <w:t xml:space="preserve">up to </w:t>
      </w:r>
      <w:r w:rsidR="008A0583" w:rsidRPr="00A44CED">
        <w:rPr>
          <w:rFonts w:cs="Arial"/>
        </w:rPr>
        <w:t>720</w:t>
      </w:r>
      <w:r w:rsidR="002443CC" w:rsidRPr="00A44CED">
        <w:rPr>
          <w:rFonts w:cs="Arial"/>
        </w:rPr>
        <w:t xml:space="preserve"> </w:t>
      </w:r>
      <w:r w:rsidR="00D7550A" w:rsidRPr="00A44CED">
        <w:rPr>
          <w:rFonts w:cs="Arial"/>
        </w:rPr>
        <w:t xml:space="preserve">new safe places to assist victim-survivors (including children) </w:t>
      </w:r>
      <w:r w:rsidR="00C2282C" w:rsidRPr="00A44CED">
        <w:rPr>
          <w:rFonts w:cs="Arial"/>
        </w:rPr>
        <w:t>leaving</w:t>
      </w:r>
      <w:r w:rsidR="00D7550A" w:rsidRPr="00A44CED">
        <w:rPr>
          <w:rFonts w:cs="Arial"/>
        </w:rPr>
        <w:t xml:space="preserve"> FDV</w:t>
      </w:r>
      <w:r w:rsidR="00FD1B35" w:rsidRPr="00A44CED">
        <w:rPr>
          <w:rFonts w:cs="Arial"/>
        </w:rPr>
        <w:t xml:space="preserve">. </w:t>
      </w:r>
      <w:r w:rsidR="006F0BA4" w:rsidRPr="00A44CED">
        <w:rPr>
          <w:rFonts w:cs="Arial"/>
        </w:rPr>
        <w:t xml:space="preserve">The </w:t>
      </w:r>
      <w:r w:rsidR="00284009">
        <w:rPr>
          <w:rFonts w:cs="Arial"/>
        </w:rPr>
        <w:t>Inclusion</w:t>
      </w:r>
      <w:r w:rsidR="006F0BA4" w:rsidRPr="00A44CED">
        <w:rPr>
          <w:rFonts w:cs="Arial"/>
        </w:rPr>
        <w:t xml:space="preserve"> Round will focus on improving access</w:t>
      </w:r>
      <w:r w:rsidR="00001934" w:rsidRPr="00A44CED">
        <w:rPr>
          <w:rFonts w:cs="Arial"/>
        </w:rPr>
        <w:t xml:space="preserve"> to</w:t>
      </w:r>
      <w:r w:rsidR="006F0BA4" w:rsidRPr="00A44CED">
        <w:rPr>
          <w:rFonts w:cs="Arial"/>
        </w:rPr>
        <w:t xml:space="preserve"> </w:t>
      </w:r>
      <w:r w:rsidR="00297773">
        <w:rPr>
          <w:rFonts w:cs="Arial"/>
        </w:rPr>
        <w:t xml:space="preserve">appropriate </w:t>
      </w:r>
      <w:r w:rsidR="006F0BA4" w:rsidRPr="00A44CED">
        <w:rPr>
          <w:rFonts w:cs="Arial"/>
        </w:rPr>
        <w:t xml:space="preserve">emergency accommodation for </w:t>
      </w:r>
      <w:r w:rsidR="00FE13A5">
        <w:rPr>
          <w:rFonts w:cs="Arial"/>
        </w:rPr>
        <w:t xml:space="preserve">First Nations </w:t>
      </w:r>
      <w:r w:rsidR="006F0BA4" w:rsidRPr="00A44CED">
        <w:rPr>
          <w:rFonts w:cs="Arial"/>
        </w:rPr>
        <w:t>women and children</w:t>
      </w:r>
      <w:r w:rsidR="00FE13A5">
        <w:rPr>
          <w:rFonts w:cs="Arial"/>
        </w:rPr>
        <w:t>, women and children</w:t>
      </w:r>
      <w:r w:rsidR="006F0BA4" w:rsidRPr="00A44CED">
        <w:rPr>
          <w:rFonts w:cs="Arial"/>
        </w:rPr>
        <w:t xml:space="preserve"> fro</w:t>
      </w:r>
      <w:r w:rsidR="00FE13A5">
        <w:rPr>
          <w:rFonts w:cs="Arial"/>
        </w:rPr>
        <w:t xml:space="preserve">m </w:t>
      </w:r>
      <w:r w:rsidR="006F0BA4" w:rsidRPr="00A44CED">
        <w:rPr>
          <w:rFonts w:cs="Arial"/>
        </w:rPr>
        <w:t xml:space="preserve">culturally and linguistically diverse (CALD) </w:t>
      </w:r>
      <w:r w:rsidR="00CB514E">
        <w:rPr>
          <w:rFonts w:cs="Arial"/>
        </w:rPr>
        <w:t>backgrounds</w:t>
      </w:r>
      <w:r w:rsidR="00A56B5C" w:rsidRPr="00A44CED">
        <w:rPr>
          <w:rFonts w:cs="Arial"/>
        </w:rPr>
        <w:t>,</w:t>
      </w:r>
      <w:r w:rsidR="006F0BA4" w:rsidRPr="00A44CED">
        <w:rPr>
          <w:rFonts w:cs="Arial"/>
        </w:rPr>
        <w:t xml:space="preserve"> and women and children with disability.</w:t>
      </w:r>
    </w:p>
    <w:p w14:paraId="4CDAA3D9" w14:textId="42ED8B89" w:rsidR="005C73DA" w:rsidRPr="00A44CED" w:rsidRDefault="00FD1B35" w:rsidP="00D7550A">
      <w:pPr>
        <w:rPr>
          <w:rFonts w:cs="Arial"/>
        </w:rPr>
      </w:pPr>
      <w:r w:rsidRPr="00A44CED">
        <w:rPr>
          <w:rFonts w:cs="Arial"/>
        </w:rPr>
        <w:t xml:space="preserve">The </w:t>
      </w:r>
      <w:r w:rsidR="00284009">
        <w:rPr>
          <w:rFonts w:cs="Arial"/>
        </w:rPr>
        <w:t>Inclusion</w:t>
      </w:r>
      <w:r w:rsidR="00BC17BD" w:rsidRPr="00A44CED">
        <w:rPr>
          <w:rFonts w:cs="Arial"/>
        </w:rPr>
        <w:t xml:space="preserve"> Round </w:t>
      </w:r>
      <w:r w:rsidRPr="00A44CED">
        <w:rPr>
          <w:rFonts w:cs="Arial"/>
        </w:rPr>
        <w:t>i</w:t>
      </w:r>
      <w:r w:rsidR="00D7550A" w:rsidRPr="00A44CED">
        <w:rPr>
          <w:rFonts w:cs="Arial"/>
        </w:rPr>
        <w:t xml:space="preserve">s part of the </w:t>
      </w:r>
      <w:r w:rsidR="00D7550A" w:rsidRPr="00A44CED">
        <w:rPr>
          <w:rFonts w:cs="Arial"/>
          <w:i/>
        </w:rPr>
        <w:t xml:space="preserve">National Plan to End Violence </w:t>
      </w:r>
      <w:r w:rsidR="00C62FA0" w:rsidRPr="00A44CED">
        <w:rPr>
          <w:rFonts w:cs="Arial"/>
          <w:i/>
        </w:rPr>
        <w:t xml:space="preserve">against </w:t>
      </w:r>
      <w:r w:rsidR="00D7550A" w:rsidRPr="00A44CED">
        <w:rPr>
          <w:rFonts w:cs="Arial"/>
          <w:i/>
        </w:rPr>
        <w:t>Women and Children 2022-2032</w:t>
      </w:r>
      <w:r w:rsidR="001E49EB" w:rsidRPr="00A44CED">
        <w:rPr>
          <w:rFonts w:cs="Arial"/>
          <w:i/>
        </w:rPr>
        <w:t xml:space="preserve"> </w:t>
      </w:r>
      <w:r w:rsidR="001E49EB" w:rsidRPr="00A44CED">
        <w:rPr>
          <w:rFonts w:cs="Arial"/>
        </w:rPr>
        <w:t>(National Plan)</w:t>
      </w:r>
      <w:r w:rsidR="001B29B8" w:rsidRPr="00A44CED">
        <w:rPr>
          <w:rFonts w:cs="Arial"/>
          <w:i/>
        </w:rPr>
        <w:t>,</w:t>
      </w:r>
      <w:r w:rsidR="001B29B8" w:rsidRPr="00A44CED">
        <w:rPr>
          <w:rFonts w:cs="Arial"/>
        </w:rPr>
        <w:t xml:space="preserve"> with </w:t>
      </w:r>
      <w:r w:rsidR="007A1290">
        <w:rPr>
          <w:rFonts w:cs="Arial"/>
        </w:rPr>
        <w:t xml:space="preserve">an allocation of </w:t>
      </w:r>
      <w:r w:rsidR="001B29B8" w:rsidRPr="00A44CED">
        <w:rPr>
          <w:rFonts w:cs="Arial"/>
        </w:rPr>
        <w:t xml:space="preserve">$100 million over </w:t>
      </w:r>
      <w:r w:rsidR="001E2ACB">
        <w:rPr>
          <w:rFonts w:cs="Arial"/>
        </w:rPr>
        <w:t>5</w:t>
      </w:r>
      <w:r w:rsidR="001B29B8" w:rsidRPr="00A44CED">
        <w:rPr>
          <w:rFonts w:cs="Arial"/>
        </w:rPr>
        <w:t xml:space="preserve"> years (2022</w:t>
      </w:r>
      <w:r w:rsidR="001B29B8" w:rsidRPr="00A44CED">
        <w:rPr>
          <w:rFonts w:cs="Arial"/>
        </w:rPr>
        <w:noBreakHyphen/>
        <w:t>23 to 2026</w:t>
      </w:r>
      <w:r w:rsidR="003A487E" w:rsidRPr="00A44CED">
        <w:rPr>
          <w:rFonts w:cs="Arial"/>
        </w:rPr>
        <w:noBreakHyphen/>
      </w:r>
      <w:r w:rsidR="001B29B8" w:rsidRPr="00A44CED">
        <w:rPr>
          <w:rFonts w:cs="Arial"/>
        </w:rPr>
        <w:t>27).</w:t>
      </w:r>
      <w:r w:rsidR="003A487E" w:rsidRPr="00A44CED">
        <w:rPr>
          <w:rFonts w:cs="Arial"/>
        </w:rPr>
        <w:t xml:space="preserve"> The </w:t>
      </w:r>
      <w:r w:rsidR="00284009">
        <w:rPr>
          <w:rFonts w:cs="Arial"/>
        </w:rPr>
        <w:t>Inclusion</w:t>
      </w:r>
      <w:r w:rsidR="003A487E" w:rsidRPr="00A44CED">
        <w:rPr>
          <w:rFonts w:cs="Arial"/>
        </w:rPr>
        <w:t xml:space="preserve"> Round builds on the initial investment of $72.6 million in the Safe Places </w:t>
      </w:r>
      <w:r w:rsidR="005A1482" w:rsidRPr="00A44CED">
        <w:rPr>
          <w:rFonts w:cs="Arial"/>
        </w:rPr>
        <w:t xml:space="preserve">Emergency Accommodation (Safe Places) </w:t>
      </w:r>
      <w:r w:rsidR="003A487E" w:rsidRPr="00A44CED">
        <w:rPr>
          <w:rFonts w:cs="Arial"/>
        </w:rPr>
        <w:t>program.</w:t>
      </w:r>
    </w:p>
    <w:p w14:paraId="69E76121" w14:textId="553472AD" w:rsidR="00C47977" w:rsidRPr="00A44CED" w:rsidRDefault="00B27631" w:rsidP="00D7550A">
      <w:pPr>
        <w:rPr>
          <w:rFonts w:cs="Arial"/>
        </w:rPr>
      </w:pPr>
      <w:r w:rsidRPr="00A44CED">
        <w:rPr>
          <w:rFonts w:cs="Arial"/>
        </w:rPr>
        <w:t xml:space="preserve">To inform the </w:t>
      </w:r>
      <w:r w:rsidR="00284009">
        <w:rPr>
          <w:rFonts w:cs="Arial"/>
        </w:rPr>
        <w:t>Inclusion</w:t>
      </w:r>
      <w:r w:rsidR="00C85D92" w:rsidRPr="00A44CED">
        <w:rPr>
          <w:rFonts w:cs="Arial"/>
        </w:rPr>
        <w:t xml:space="preserve"> Round</w:t>
      </w:r>
      <w:r w:rsidR="005C73DA" w:rsidRPr="00A44CED">
        <w:rPr>
          <w:rFonts w:cs="Arial"/>
        </w:rPr>
        <w:t xml:space="preserve"> </w:t>
      </w:r>
      <w:r w:rsidRPr="00A44CED">
        <w:rPr>
          <w:rFonts w:cs="Arial"/>
        </w:rPr>
        <w:t xml:space="preserve">grant design and ensure the program delivers expected outcomes, this discussion paper outlines the proposed approach to the grant opportunity. The </w:t>
      </w:r>
      <w:r w:rsidR="009778D0" w:rsidRPr="00A44CED">
        <w:rPr>
          <w:rFonts w:cs="Arial"/>
        </w:rPr>
        <w:t xml:space="preserve">Department of Social Services (the </w:t>
      </w:r>
      <w:r w:rsidR="00274EDE">
        <w:rPr>
          <w:rFonts w:cs="Arial"/>
        </w:rPr>
        <w:t>d</w:t>
      </w:r>
      <w:r w:rsidR="009778D0" w:rsidRPr="00A44CED">
        <w:rPr>
          <w:rFonts w:cs="Arial"/>
        </w:rPr>
        <w:t xml:space="preserve">epartment) </w:t>
      </w:r>
      <w:r w:rsidRPr="00A44CED">
        <w:rPr>
          <w:rFonts w:cs="Arial"/>
        </w:rPr>
        <w:t xml:space="preserve">welcomes feedback in relation to the questions raised in the paper and any other relevant issues identified by stakeholders or the public. </w:t>
      </w:r>
    </w:p>
    <w:p w14:paraId="6A6E198F" w14:textId="3E7D31FA" w:rsidR="002C6C55" w:rsidRDefault="002C6C55" w:rsidP="000F37CE">
      <w:pPr>
        <w:rPr>
          <w:rFonts w:cs="Arial"/>
        </w:rPr>
      </w:pPr>
      <w:r>
        <w:rPr>
          <w:rFonts w:cs="Arial"/>
        </w:rPr>
        <w:t>Your feedback will be part of broader consultation to help inform the design of the Inclusion Round. In addition to this discussion paper, consultation activities will include:</w:t>
      </w:r>
    </w:p>
    <w:p w14:paraId="63F31AF6" w14:textId="23C07204" w:rsidR="002C6C55" w:rsidRDefault="002C6C55" w:rsidP="00BF38C2">
      <w:pPr>
        <w:pStyle w:val="ListParagraph"/>
        <w:numPr>
          <w:ilvl w:val="0"/>
          <w:numId w:val="97"/>
        </w:numPr>
        <w:rPr>
          <w:rFonts w:cs="Arial"/>
        </w:rPr>
      </w:pPr>
      <w:r>
        <w:rPr>
          <w:rFonts w:cs="Arial"/>
        </w:rPr>
        <w:t>Jurisdictional workshops with key stakeholders and subject matter experts</w:t>
      </w:r>
    </w:p>
    <w:p w14:paraId="42FAC91C" w14:textId="28E2C491" w:rsidR="002C6C55" w:rsidRDefault="002C6C55" w:rsidP="00BF38C2">
      <w:pPr>
        <w:pStyle w:val="ListParagraph"/>
        <w:numPr>
          <w:ilvl w:val="0"/>
          <w:numId w:val="97"/>
        </w:numPr>
        <w:rPr>
          <w:rFonts w:cs="Arial"/>
        </w:rPr>
      </w:pPr>
      <w:r>
        <w:rPr>
          <w:rFonts w:cs="Arial"/>
        </w:rPr>
        <w:t>Engagement with specialist sector stakeholders focused on ensuring the program design supports First Nations women and children, women and children from CALD backgrounds, and women and children with disability</w:t>
      </w:r>
    </w:p>
    <w:p w14:paraId="55DC6D72" w14:textId="1E9BC299" w:rsidR="002C6C55" w:rsidRDefault="007A1290" w:rsidP="00BF38C2">
      <w:pPr>
        <w:pStyle w:val="ListParagraph"/>
        <w:numPr>
          <w:ilvl w:val="0"/>
          <w:numId w:val="97"/>
        </w:numPr>
        <w:rPr>
          <w:rFonts w:cs="Arial"/>
        </w:rPr>
      </w:pPr>
      <w:r>
        <w:rPr>
          <w:rFonts w:cs="Arial"/>
        </w:rPr>
        <w:t>D</w:t>
      </w:r>
      <w:r w:rsidR="002C6C55">
        <w:rPr>
          <w:rFonts w:cs="Arial"/>
        </w:rPr>
        <w:t>edicated engagement with victim-survivors who have lived experience of emergency accommodation services.</w:t>
      </w:r>
    </w:p>
    <w:p w14:paraId="76BE17C2" w14:textId="141E862A" w:rsidR="002C6C55" w:rsidRPr="002C6C55" w:rsidRDefault="002C6C55" w:rsidP="002C6C55">
      <w:pPr>
        <w:rPr>
          <w:rFonts w:cs="Arial"/>
        </w:rPr>
      </w:pPr>
      <w:r w:rsidRPr="00A65593">
        <w:rPr>
          <w:rFonts w:cs="Arial"/>
        </w:rPr>
        <w:t xml:space="preserve">Dedicated engagement with victim-survivors who have lived experience of emergency accommodation services </w:t>
      </w:r>
      <w:r w:rsidR="00881F68" w:rsidRPr="00877F2F">
        <w:rPr>
          <w:rFonts w:cs="Arial"/>
        </w:rPr>
        <w:t xml:space="preserve">aligns with the cross-cutting principle of the </w:t>
      </w:r>
      <w:r w:rsidR="00881F68" w:rsidRPr="002D7D0B">
        <w:rPr>
          <w:rFonts w:cs="Arial"/>
          <w:i/>
        </w:rPr>
        <w:t>National Plan to End Violence against Women and Children</w:t>
      </w:r>
      <w:r w:rsidR="00881F68" w:rsidRPr="00877F2F">
        <w:rPr>
          <w:rFonts w:cs="Arial"/>
        </w:rPr>
        <w:t xml:space="preserve"> 2022-32  (National Plan) to centre victim-survivors. The National Plan commits to working with victim survivors and recognises the value of lived </w:t>
      </w:r>
      <w:r w:rsidR="00881F68" w:rsidRPr="00877F2F">
        <w:rPr>
          <w:rFonts w:cs="Arial"/>
        </w:rPr>
        <w:lastRenderedPageBreak/>
        <w:t>experience in informing appropriate and effective initiatives.</w:t>
      </w:r>
      <w:r w:rsidR="00881F68">
        <w:rPr>
          <w:rFonts w:cs="Arial"/>
        </w:rPr>
        <w:t xml:space="preserve"> </w:t>
      </w:r>
      <w:r w:rsidRPr="00A65593">
        <w:rPr>
          <w:rFonts w:cs="Arial"/>
        </w:rPr>
        <w:t xml:space="preserve">This engagement activity will be conducted by an external researcher with expertise in trauma-informed, culturally-safe and accessible practice. If you are a victim-survivor of </w:t>
      </w:r>
      <w:r w:rsidR="00881F68">
        <w:rPr>
          <w:rFonts w:cs="Arial"/>
        </w:rPr>
        <w:t>family, domestic and sexual violence</w:t>
      </w:r>
      <w:r w:rsidRPr="00A65593">
        <w:rPr>
          <w:rFonts w:cs="Arial"/>
        </w:rPr>
        <w:t xml:space="preserve"> with lived experience of emergency accommodation and are interested in participating in this engagement activity</w:t>
      </w:r>
      <w:r w:rsidR="004D27D1">
        <w:rPr>
          <w:rFonts w:cs="Arial"/>
        </w:rPr>
        <w:t xml:space="preserve"> in April or May 2023</w:t>
      </w:r>
      <w:r w:rsidRPr="00A65593">
        <w:rPr>
          <w:rFonts w:cs="Arial"/>
        </w:rPr>
        <w:t xml:space="preserve">, </w:t>
      </w:r>
      <w:r w:rsidRPr="008150E8">
        <w:rPr>
          <w:rFonts w:cs="Arial"/>
        </w:rPr>
        <w:t xml:space="preserve">please contact </w:t>
      </w:r>
      <w:r w:rsidR="004D27D1" w:rsidRPr="008150E8">
        <w:rPr>
          <w:rFonts w:cs="Arial"/>
        </w:rPr>
        <w:t>the Director of the Cultural &amp; Indigenous Research Centre (C</w:t>
      </w:r>
      <w:r w:rsidR="00FA0F6A" w:rsidRPr="008150E8">
        <w:rPr>
          <w:rFonts w:cs="Arial"/>
        </w:rPr>
        <w:t xml:space="preserve">IRCA): Lena Etuk, 02 8585 1330, </w:t>
      </w:r>
      <w:hyperlink r:id="rId13" w:history="1">
        <w:r w:rsidR="00FA0F6A" w:rsidRPr="008150E8">
          <w:rPr>
            <w:rStyle w:val="Hyperlink"/>
          </w:rPr>
          <w:t>lena@circaresearch.com.au</w:t>
        </w:r>
      </w:hyperlink>
      <w:r w:rsidRPr="008150E8">
        <w:rPr>
          <w:rFonts w:cs="Arial"/>
        </w:rPr>
        <w:t>.</w:t>
      </w:r>
    </w:p>
    <w:p w14:paraId="0E96C5D9" w14:textId="48D78076" w:rsidR="002C6C55" w:rsidRPr="00693114" w:rsidRDefault="00A80A06" w:rsidP="002C6C55">
      <w:pPr>
        <w:pStyle w:val="Heading3"/>
        <w:ind w:left="567" w:hanging="567"/>
        <w:rPr>
          <w:rFonts w:cs="Arial"/>
        </w:rPr>
      </w:pPr>
      <w:r w:rsidRPr="00693114">
        <w:rPr>
          <w:rFonts w:cs="Arial"/>
        </w:rPr>
        <w:t xml:space="preserve">Privacy / </w:t>
      </w:r>
      <w:r w:rsidR="002C6C55" w:rsidRPr="00693114">
        <w:rPr>
          <w:rFonts w:cs="Arial"/>
        </w:rPr>
        <w:t>Making a submission to the discussion paper</w:t>
      </w:r>
    </w:p>
    <w:p w14:paraId="0A3837F5" w14:textId="1D219103" w:rsidR="000F37CE" w:rsidRPr="000F37CE" w:rsidRDefault="000F37CE" w:rsidP="000F37CE">
      <w:pPr>
        <w:rPr>
          <w:rFonts w:cs="Arial"/>
        </w:rPr>
      </w:pPr>
      <w:r w:rsidRPr="000F37CE">
        <w:rPr>
          <w:rFonts w:cs="Arial"/>
        </w:rPr>
        <w:t xml:space="preserve">If you make a submission, you will be asked to provide information, including personal information. </w:t>
      </w:r>
      <w:r w:rsidR="00C75A44">
        <w:rPr>
          <w:rFonts w:cs="Arial"/>
        </w:rPr>
        <w:t>I</w:t>
      </w:r>
      <w:r w:rsidRPr="000F37CE">
        <w:rPr>
          <w:rFonts w:cs="Arial"/>
        </w:rPr>
        <w:t xml:space="preserve">t is your choice what personal information you provide to us. </w:t>
      </w:r>
      <w:r w:rsidR="00C75A44">
        <w:rPr>
          <w:rFonts w:cs="Arial"/>
        </w:rPr>
        <w:t>You are not required to provide any personal information to make a submission</w:t>
      </w:r>
      <w:r w:rsidR="004B56C7">
        <w:rPr>
          <w:rFonts w:cs="Arial"/>
        </w:rPr>
        <w:t>.</w:t>
      </w:r>
    </w:p>
    <w:p w14:paraId="0E20ECB9" w14:textId="6C46B275" w:rsidR="00574E93" w:rsidRDefault="00574E93" w:rsidP="00B8223D">
      <w:pPr>
        <w:rPr>
          <w:rFonts w:cs="Arial"/>
        </w:rPr>
      </w:pPr>
      <w:r>
        <w:rPr>
          <w:rFonts w:cs="Arial"/>
        </w:rPr>
        <w:t xml:space="preserve">When lodging a submission, the department will ask permission for your </w:t>
      </w:r>
      <w:r w:rsidRPr="00A44CED">
        <w:rPr>
          <w:rFonts w:cs="Arial"/>
        </w:rPr>
        <w:t xml:space="preserve">submission </w:t>
      </w:r>
      <w:r>
        <w:rPr>
          <w:rFonts w:cs="Arial"/>
        </w:rPr>
        <w:t>to</w:t>
      </w:r>
      <w:r w:rsidRPr="00A44CED">
        <w:rPr>
          <w:rFonts w:cs="Arial"/>
        </w:rPr>
        <w:t xml:space="preserve"> be made public</w:t>
      </w:r>
      <w:r>
        <w:rPr>
          <w:rFonts w:cs="Arial"/>
        </w:rPr>
        <w:t>ly available, including on the d</w:t>
      </w:r>
      <w:r w:rsidRPr="00A44CED">
        <w:rPr>
          <w:rFonts w:cs="Arial"/>
        </w:rPr>
        <w:t>epartment’s website (</w:t>
      </w:r>
      <w:r w:rsidRPr="00B8223D">
        <w:rPr>
          <w:rFonts w:cs="Arial"/>
          <w:u w:val="single"/>
        </w:rPr>
        <w:t>www.dss.gov.au</w:t>
      </w:r>
      <w:r w:rsidRPr="00A44CED">
        <w:rPr>
          <w:rFonts w:cs="Arial"/>
        </w:rPr>
        <w:t xml:space="preserve">). </w:t>
      </w:r>
      <w:r>
        <w:rPr>
          <w:rFonts w:cs="Arial"/>
        </w:rPr>
        <w:t xml:space="preserve"> Submissions will not be published without your agreement.</w:t>
      </w:r>
    </w:p>
    <w:p w14:paraId="2026295C" w14:textId="2BC4DF2E" w:rsidR="00574E93" w:rsidRDefault="00574E93" w:rsidP="00574E93">
      <w:pPr>
        <w:rPr>
          <w:rFonts w:cs="Arial"/>
        </w:rPr>
      </w:pPr>
      <w:r>
        <w:rPr>
          <w:rFonts w:cs="Arial"/>
        </w:rPr>
        <w:t>Even if your submission is published, t</w:t>
      </w:r>
      <w:r w:rsidRPr="000F37CE">
        <w:rPr>
          <w:rFonts w:cs="Arial"/>
        </w:rPr>
        <w:t xml:space="preserve">he </w:t>
      </w:r>
      <w:r>
        <w:rPr>
          <w:rFonts w:cs="Arial"/>
        </w:rPr>
        <w:t>d</w:t>
      </w:r>
      <w:r w:rsidRPr="000F37CE">
        <w:rPr>
          <w:rFonts w:cs="Arial"/>
        </w:rPr>
        <w:t xml:space="preserve">epartment’s intention is </w:t>
      </w:r>
      <w:r>
        <w:rPr>
          <w:rFonts w:cs="Arial"/>
        </w:rPr>
        <w:t>that</w:t>
      </w:r>
      <w:r w:rsidRPr="000F37CE">
        <w:rPr>
          <w:rFonts w:cs="Arial"/>
        </w:rPr>
        <w:t xml:space="preserve"> </w:t>
      </w:r>
      <w:r>
        <w:rPr>
          <w:rFonts w:cs="Arial"/>
        </w:rPr>
        <w:t>you are</w:t>
      </w:r>
      <w:r w:rsidRPr="000F37CE">
        <w:rPr>
          <w:rFonts w:cs="Arial"/>
        </w:rPr>
        <w:t xml:space="preserve"> not identified </w:t>
      </w:r>
      <w:r>
        <w:rPr>
          <w:rFonts w:cs="Arial"/>
        </w:rPr>
        <w:t>as far as is possible</w:t>
      </w:r>
      <w:r w:rsidRPr="000F37CE">
        <w:rPr>
          <w:rFonts w:cs="Arial"/>
        </w:rPr>
        <w:t xml:space="preserve">. </w:t>
      </w:r>
      <w:r>
        <w:rPr>
          <w:rFonts w:cs="Arial"/>
        </w:rPr>
        <w:t xml:space="preserve">To this end, the department will endeavour to de-identify your information, so you cannot be identified. </w:t>
      </w:r>
      <w:r w:rsidRPr="000F37CE">
        <w:rPr>
          <w:rFonts w:cs="Arial"/>
        </w:rPr>
        <w:t xml:space="preserve">However, this may not always be possible due to various factors (e.g. </w:t>
      </w:r>
      <w:r>
        <w:rPr>
          <w:rFonts w:cs="Arial"/>
        </w:rPr>
        <w:t xml:space="preserve">if you include information in </w:t>
      </w:r>
      <w:r w:rsidRPr="000F37CE">
        <w:rPr>
          <w:rFonts w:cs="Arial"/>
        </w:rPr>
        <w:t xml:space="preserve">free text boxes </w:t>
      </w:r>
      <w:r>
        <w:rPr>
          <w:rFonts w:cs="Arial"/>
        </w:rPr>
        <w:t>that might identify you or because of</w:t>
      </w:r>
      <w:r w:rsidRPr="000F37CE">
        <w:rPr>
          <w:rFonts w:cs="Arial"/>
        </w:rPr>
        <w:t xml:space="preserve"> the nature of</w:t>
      </w:r>
      <w:r>
        <w:rPr>
          <w:rFonts w:cs="Arial"/>
        </w:rPr>
        <w:t xml:space="preserve"> your answers to</w:t>
      </w:r>
      <w:r w:rsidRPr="000F37CE">
        <w:rPr>
          <w:rFonts w:cs="Arial"/>
        </w:rPr>
        <w:t xml:space="preserve"> the questions asked). </w:t>
      </w:r>
    </w:p>
    <w:p w14:paraId="730D7214" w14:textId="55BA1D16" w:rsidR="00574E93" w:rsidRPr="00B26A74" w:rsidRDefault="00574E93" w:rsidP="00574E93">
      <w:pPr>
        <w:rPr>
          <w:rFonts w:cs="Arial"/>
        </w:rPr>
      </w:pPr>
      <w:r>
        <w:rPr>
          <w:rFonts w:cs="Arial"/>
        </w:rPr>
        <w:t>The d</w:t>
      </w:r>
      <w:r w:rsidRPr="00A44CED" w:rsidDel="000F37CE">
        <w:rPr>
          <w:rFonts w:cs="Arial"/>
        </w:rPr>
        <w:t xml:space="preserve">epartment will handle </w:t>
      </w:r>
      <w:r>
        <w:rPr>
          <w:rFonts w:cs="Arial"/>
        </w:rPr>
        <w:t xml:space="preserve">all </w:t>
      </w:r>
      <w:r w:rsidRPr="00B26A74" w:rsidDel="000F37CE">
        <w:rPr>
          <w:rFonts w:cs="Arial"/>
        </w:rPr>
        <w:t>personal information in</w:t>
      </w:r>
      <w:r>
        <w:rPr>
          <w:rFonts w:cs="Arial"/>
        </w:rPr>
        <w:t xml:space="preserve"> submissions in</w:t>
      </w:r>
      <w:r w:rsidRPr="00B26A74" w:rsidDel="000F37CE">
        <w:rPr>
          <w:rFonts w:cs="Arial"/>
        </w:rPr>
        <w:t xml:space="preserve"> accordance with the </w:t>
      </w:r>
      <w:r>
        <w:rPr>
          <w:rFonts w:cs="Arial"/>
        </w:rPr>
        <w:t xml:space="preserve">Privacy Act. Details of how the department will do this are set out in the </w:t>
      </w:r>
      <w:hyperlink r:id="rId14" w:history="1">
        <w:r w:rsidRPr="00DA7E39" w:rsidDel="000F37CE">
          <w:rPr>
            <w:rStyle w:val="Hyperlink"/>
            <w:rFonts w:cs="Arial"/>
          </w:rPr>
          <w:t>Privacy Notice</w:t>
        </w:r>
      </w:hyperlink>
      <w:r w:rsidRPr="00B26A74" w:rsidDel="000F37CE">
        <w:rPr>
          <w:rFonts w:cs="Arial"/>
        </w:rPr>
        <w:t>.</w:t>
      </w:r>
    </w:p>
    <w:p w14:paraId="20A090FF" w14:textId="627A2A8E" w:rsidR="00574E93" w:rsidRPr="00A44CED" w:rsidRDefault="00574E93" w:rsidP="00574E93">
      <w:pPr>
        <w:rPr>
          <w:rFonts w:cs="Arial"/>
        </w:rPr>
      </w:pPr>
      <w:r w:rsidRPr="00A44CED">
        <w:rPr>
          <w:rFonts w:cs="Arial"/>
        </w:rPr>
        <w:t xml:space="preserve">Submissions and comments will </w:t>
      </w:r>
      <w:r>
        <w:rPr>
          <w:rFonts w:cs="Arial"/>
        </w:rPr>
        <w:t xml:space="preserve">also </w:t>
      </w:r>
      <w:r w:rsidRPr="00A44CED">
        <w:rPr>
          <w:rFonts w:cs="Arial"/>
        </w:rPr>
        <w:t>be subject to freedom of information provisions</w:t>
      </w:r>
      <w:r>
        <w:rPr>
          <w:rFonts w:cs="Arial"/>
        </w:rPr>
        <w:t xml:space="preserve"> and</w:t>
      </w:r>
      <w:r w:rsidRPr="00A44CED">
        <w:rPr>
          <w:rFonts w:cs="Arial"/>
        </w:rPr>
        <w:t xml:space="preserve"> may be disclosed</w:t>
      </w:r>
      <w:r>
        <w:rPr>
          <w:rFonts w:cs="Arial"/>
        </w:rPr>
        <w:t xml:space="preserve"> in that context, or</w:t>
      </w:r>
      <w:r w:rsidRPr="00A44CED">
        <w:rPr>
          <w:rFonts w:cs="Arial"/>
        </w:rPr>
        <w:t xml:space="preserve"> where required by law, or for the purpose of parliamentary processes.</w:t>
      </w:r>
    </w:p>
    <w:p w14:paraId="36C33074" w14:textId="7C145229" w:rsidR="004F2485" w:rsidRPr="00B26A74" w:rsidRDefault="004F2485" w:rsidP="004F2485">
      <w:pPr>
        <w:rPr>
          <w:rFonts w:cs="Arial"/>
        </w:rPr>
      </w:pPr>
      <w:r w:rsidRPr="00B26A74">
        <w:rPr>
          <w:rFonts w:cs="Arial"/>
        </w:rPr>
        <w:t>Questions raised in this Discussion Paper are intended as a guide only and other relevant material and views are welcome.</w:t>
      </w:r>
    </w:p>
    <w:p w14:paraId="443A3ECD" w14:textId="6326C558" w:rsidR="005868EA" w:rsidRDefault="00BC17BD">
      <w:pPr>
        <w:rPr>
          <w:rFonts w:eastAsiaTheme="majorEastAsia" w:cs="Arial"/>
          <w:b/>
          <w:bCs/>
          <w:sz w:val="26"/>
          <w:szCs w:val="26"/>
        </w:rPr>
      </w:pPr>
      <w:r w:rsidRPr="00B26A74">
        <w:rPr>
          <w:rFonts w:cs="Arial"/>
        </w:rPr>
        <w:t>The closing dat</w:t>
      </w:r>
      <w:r w:rsidR="006303B2">
        <w:rPr>
          <w:rFonts w:cs="Arial"/>
        </w:rPr>
        <w:t xml:space="preserve">e for receiving submissions is </w:t>
      </w:r>
      <w:r w:rsidR="004B56C7" w:rsidRPr="008150E8">
        <w:rPr>
          <w:rFonts w:cs="Arial"/>
        </w:rPr>
        <w:t>10 March 2023</w:t>
      </w:r>
      <w:r w:rsidRPr="008150E8">
        <w:rPr>
          <w:rFonts w:cs="Arial"/>
        </w:rPr>
        <w:t>.</w:t>
      </w:r>
      <w:r w:rsidRPr="00B26A74">
        <w:rPr>
          <w:rFonts w:cs="Arial"/>
        </w:rPr>
        <w:t xml:space="preserve"> More information about how to lodge</w:t>
      </w:r>
      <w:r w:rsidRPr="00A44CED">
        <w:rPr>
          <w:rFonts w:cs="Arial"/>
        </w:rPr>
        <w:t xml:space="preserve"> a submission and how feedback will be used is at the end of this document and on DSS Engage (</w:t>
      </w:r>
      <w:r w:rsidRPr="00A44CED">
        <w:rPr>
          <w:rFonts w:cs="Arial"/>
          <w:u w:val="single"/>
        </w:rPr>
        <w:t>engage.dss.gov.au</w:t>
      </w:r>
      <w:r w:rsidRPr="00A44CED">
        <w:rPr>
          <w:rFonts w:cs="Arial"/>
        </w:rPr>
        <w:t>).</w:t>
      </w:r>
    </w:p>
    <w:p w14:paraId="6FD37EBE" w14:textId="779FB045" w:rsidR="00D7550A" w:rsidRPr="00A44CED" w:rsidRDefault="00D7550A" w:rsidP="002F58D6">
      <w:pPr>
        <w:pStyle w:val="Heading2"/>
        <w:spacing w:before="240" w:after="240"/>
        <w:ind w:left="357" w:hanging="357"/>
        <w:rPr>
          <w:rFonts w:cs="Arial"/>
        </w:rPr>
      </w:pPr>
      <w:r w:rsidRPr="00A44CED">
        <w:rPr>
          <w:rFonts w:cs="Arial"/>
        </w:rPr>
        <w:t>Background</w:t>
      </w:r>
    </w:p>
    <w:p w14:paraId="0D3011EE" w14:textId="6AFC3E23" w:rsidR="00CC616A" w:rsidRPr="00A44CED" w:rsidRDefault="00A87EA5" w:rsidP="009D6CCB">
      <w:pPr>
        <w:rPr>
          <w:rFonts w:cs="Arial"/>
        </w:rPr>
      </w:pPr>
      <w:r w:rsidRPr="00E25439">
        <w:t>Significant unmet demand for emergency accommodation remains across Australia</w:t>
      </w:r>
      <w:r w:rsidR="007A1290">
        <w:t xml:space="preserve"> for women and children leaving FDV</w:t>
      </w:r>
      <w:r w:rsidRPr="00E25439">
        <w:t xml:space="preserve">. </w:t>
      </w:r>
      <w:r w:rsidR="009D6CCB" w:rsidRPr="00E25439">
        <w:rPr>
          <w:rFonts w:cs="Arial"/>
        </w:rPr>
        <w:t xml:space="preserve">The Australian Institute of Health and Welfare </w:t>
      </w:r>
      <w:r w:rsidR="004035B4" w:rsidRPr="00E25439">
        <w:rPr>
          <w:rFonts w:cs="Arial"/>
        </w:rPr>
        <w:t xml:space="preserve">(AIHW) </w:t>
      </w:r>
      <w:r w:rsidR="009D6CCB" w:rsidRPr="00E25439">
        <w:rPr>
          <w:rFonts w:cs="Arial"/>
        </w:rPr>
        <w:t>S</w:t>
      </w:r>
      <w:r w:rsidR="002B5C5E" w:rsidRPr="00E25439">
        <w:rPr>
          <w:rFonts w:cs="Arial"/>
        </w:rPr>
        <w:t xml:space="preserve">pecialist </w:t>
      </w:r>
      <w:r w:rsidR="009D6CCB" w:rsidRPr="00E25439">
        <w:rPr>
          <w:rFonts w:cs="Arial"/>
        </w:rPr>
        <w:t>H</w:t>
      </w:r>
      <w:r w:rsidR="002B5C5E" w:rsidRPr="00E25439">
        <w:rPr>
          <w:rFonts w:cs="Arial"/>
        </w:rPr>
        <w:t xml:space="preserve">omelessness </w:t>
      </w:r>
      <w:r w:rsidR="009D6CCB" w:rsidRPr="00E25439">
        <w:rPr>
          <w:rFonts w:cs="Arial"/>
        </w:rPr>
        <w:t>S</w:t>
      </w:r>
      <w:r w:rsidR="002B5C5E" w:rsidRPr="00E25439">
        <w:rPr>
          <w:rFonts w:cs="Arial"/>
        </w:rPr>
        <w:t>ervices</w:t>
      </w:r>
      <w:r w:rsidR="009D6CCB" w:rsidRPr="00E25439">
        <w:rPr>
          <w:rFonts w:cs="Arial"/>
        </w:rPr>
        <w:t xml:space="preserve"> data estimates the number of people a year impacted by </w:t>
      </w:r>
      <w:r w:rsidR="0013191A" w:rsidRPr="00E25439">
        <w:rPr>
          <w:rFonts w:cs="Arial"/>
        </w:rPr>
        <w:t>FDV</w:t>
      </w:r>
      <w:r w:rsidR="00054623" w:rsidRPr="00E25439">
        <w:rPr>
          <w:rFonts w:cs="Arial"/>
        </w:rPr>
        <w:t xml:space="preserve"> </w:t>
      </w:r>
      <w:r w:rsidR="009D6CCB" w:rsidRPr="00E25439">
        <w:rPr>
          <w:rFonts w:cs="Arial"/>
        </w:rPr>
        <w:t>unable to</w:t>
      </w:r>
      <w:r w:rsidR="00054623" w:rsidRPr="00E25439">
        <w:rPr>
          <w:rFonts w:cs="Arial"/>
        </w:rPr>
        <w:t> </w:t>
      </w:r>
      <w:r w:rsidR="009D6CCB" w:rsidRPr="00E25439">
        <w:rPr>
          <w:rFonts w:cs="Arial"/>
        </w:rPr>
        <w:t xml:space="preserve">access emergency accommodation due to the shortage in supply </w:t>
      </w:r>
      <w:r w:rsidR="00A663C3" w:rsidRPr="00E25439">
        <w:rPr>
          <w:rFonts w:cs="Arial"/>
        </w:rPr>
        <w:t>remains high</w:t>
      </w:r>
      <w:r w:rsidR="009D6CCB" w:rsidRPr="00E25439">
        <w:rPr>
          <w:rFonts w:cs="Arial"/>
        </w:rPr>
        <w:t xml:space="preserve">, with </w:t>
      </w:r>
      <w:r w:rsidR="00DC457F" w:rsidRPr="00E25439">
        <w:rPr>
          <w:rFonts w:cs="Arial"/>
        </w:rPr>
        <w:t>10,</w:t>
      </w:r>
      <w:r w:rsidR="004935C3">
        <w:rPr>
          <w:rFonts w:cs="Arial"/>
        </w:rPr>
        <w:t>897</w:t>
      </w:r>
      <w:r w:rsidR="009D6CCB" w:rsidRPr="00E25439">
        <w:rPr>
          <w:rFonts w:cs="Arial"/>
        </w:rPr>
        <w:t xml:space="preserve"> clients turned away from emergency accommodation in </w:t>
      </w:r>
      <w:r w:rsidR="00DC457F" w:rsidRPr="00E25439">
        <w:rPr>
          <w:rFonts w:cs="Arial"/>
        </w:rPr>
        <w:t>202</w:t>
      </w:r>
      <w:r w:rsidR="004935C3">
        <w:rPr>
          <w:rFonts w:cs="Arial"/>
        </w:rPr>
        <w:t>1</w:t>
      </w:r>
      <w:r w:rsidR="009D6CCB" w:rsidRPr="00E25439">
        <w:rPr>
          <w:rFonts w:cs="Arial"/>
        </w:rPr>
        <w:t>-</w:t>
      </w:r>
      <w:r w:rsidR="00DC457F" w:rsidRPr="00E25439">
        <w:rPr>
          <w:rFonts w:cs="Arial"/>
        </w:rPr>
        <w:t>2</w:t>
      </w:r>
      <w:r w:rsidR="004935C3">
        <w:rPr>
          <w:rFonts w:cs="Arial"/>
        </w:rPr>
        <w:t>2</w:t>
      </w:r>
      <w:r w:rsidR="00056EBB">
        <w:rPr>
          <w:rFonts w:cs="Arial"/>
        </w:rPr>
        <w:t>.</w:t>
      </w:r>
      <w:r w:rsidR="002B5C5E" w:rsidRPr="00E25439">
        <w:rPr>
          <w:rStyle w:val="FootnoteReference"/>
          <w:rFonts w:cs="Arial"/>
        </w:rPr>
        <w:footnoteReference w:id="2"/>
      </w:r>
    </w:p>
    <w:p w14:paraId="7D2CB2AB" w14:textId="5EA3F24F" w:rsidR="002F54B3" w:rsidRPr="00A44CED" w:rsidRDefault="002F54B3" w:rsidP="009D6CCB">
      <w:pPr>
        <w:rPr>
          <w:rFonts w:cs="Arial"/>
        </w:rPr>
      </w:pPr>
    </w:p>
    <w:p w14:paraId="6C71DA7A" w14:textId="145DF0F6" w:rsidR="007F092C" w:rsidRPr="00A44CED" w:rsidRDefault="00922577" w:rsidP="00156197">
      <w:pPr>
        <w:pStyle w:val="TableContent"/>
      </w:pPr>
      <w:r w:rsidRPr="00A44CED">
        <w:lastRenderedPageBreak/>
        <w:t>The National Plan Stakeholder Consultation Final Report</w:t>
      </w:r>
      <w:r w:rsidRPr="00A44CED">
        <w:rPr>
          <w:rStyle w:val="FootnoteReference"/>
        </w:rPr>
        <w:footnoteReference w:id="3"/>
      </w:r>
      <w:r w:rsidRPr="00A44CED">
        <w:t xml:space="preserve"> identified that existing emergency accommodation is not always appropriate or </w:t>
      </w:r>
      <w:r w:rsidR="00EA5460" w:rsidRPr="00A44CED">
        <w:t>accessible</w:t>
      </w:r>
      <w:r w:rsidR="00CB514E">
        <w:t xml:space="preserve"> for particular cohorts, including</w:t>
      </w:r>
      <w:r w:rsidR="007F092C" w:rsidRPr="00A44CED">
        <w:t>:</w:t>
      </w:r>
    </w:p>
    <w:p w14:paraId="0BB0280D" w14:textId="76735F82" w:rsidR="007F092C" w:rsidRPr="00A44CED" w:rsidRDefault="007F092C" w:rsidP="00197F47">
      <w:pPr>
        <w:pStyle w:val="ListParagraph"/>
        <w:numPr>
          <w:ilvl w:val="0"/>
          <w:numId w:val="81"/>
        </w:numPr>
        <w:rPr>
          <w:rFonts w:cs="Arial"/>
        </w:rPr>
      </w:pPr>
      <w:r w:rsidRPr="00A44CED">
        <w:rPr>
          <w:rFonts w:cs="Arial"/>
        </w:rPr>
        <w:t xml:space="preserve">First Nations women highlighted </w:t>
      </w:r>
      <w:r w:rsidR="00922577" w:rsidRPr="00A44CED">
        <w:rPr>
          <w:rFonts w:cs="Arial"/>
        </w:rPr>
        <w:t>the need for purpose built accommod</w:t>
      </w:r>
      <w:r w:rsidRPr="00A44CED">
        <w:rPr>
          <w:rFonts w:cs="Arial"/>
        </w:rPr>
        <w:t>ation</w:t>
      </w:r>
      <w:r w:rsidR="00C80198">
        <w:rPr>
          <w:rFonts w:cs="Arial"/>
        </w:rPr>
        <w:t>, including</w:t>
      </w:r>
      <w:r w:rsidRPr="00A44CED">
        <w:rPr>
          <w:rFonts w:cs="Arial"/>
        </w:rPr>
        <w:t xml:space="preserve"> in remote and regional communities, so those experiencing violence were not forced to leave social </w:t>
      </w:r>
      <w:r w:rsidR="00874F44" w:rsidRPr="00A44CED">
        <w:rPr>
          <w:rFonts w:cs="Arial"/>
        </w:rPr>
        <w:t xml:space="preserve">and community </w:t>
      </w:r>
      <w:r w:rsidRPr="00A44CED">
        <w:rPr>
          <w:rFonts w:cs="Arial"/>
        </w:rPr>
        <w:t>networks which keep them safe</w:t>
      </w:r>
    </w:p>
    <w:p w14:paraId="49C76550" w14:textId="24AC3313" w:rsidR="007F092C" w:rsidRPr="00A44CED" w:rsidRDefault="001E2ACB" w:rsidP="00197F47">
      <w:pPr>
        <w:pStyle w:val="ListParagraph"/>
        <w:numPr>
          <w:ilvl w:val="0"/>
          <w:numId w:val="81"/>
        </w:numPr>
        <w:rPr>
          <w:rFonts w:cs="Arial"/>
        </w:rPr>
      </w:pPr>
      <w:r>
        <w:rPr>
          <w:rFonts w:cs="Arial"/>
        </w:rPr>
        <w:t>l</w:t>
      </w:r>
      <w:r w:rsidR="007F092C" w:rsidRPr="00A44CED">
        <w:rPr>
          <w:rFonts w:cs="Arial"/>
        </w:rPr>
        <w:t>imited accessible housing options for women and children with disability</w:t>
      </w:r>
    </w:p>
    <w:p w14:paraId="5DA0977C" w14:textId="5C98D36D" w:rsidR="007F092C" w:rsidRPr="00D56730" w:rsidRDefault="001E2ACB" w:rsidP="00197F47">
      <w:pPr>
        <w:pStyle w:val="ListParagraph"/>
        <w:numPr>
          <w:ilvl w:val="0"/>
          <w:numId w:val="81"/>
        </w:numPr>
        <w:rPr>
          <w:rFonts w:cs="Arial"/>
        </w:rPr>
      </w:pPr>
      <w:r w:rsidRPr="00D56730">
        <w:rPr>
          <w:rFonts w:cs="Arial"/>
        </w:rPr>
        <w:t>b</w:t>
      </w:r>
      <w:r w:rsidR="007F092C" w:rsidRPr="00D56730">
        <w:rPr>
          <w:rFonts w:cs="Arial"/>
        </w:rPr>
        <w:t xml:space="preserve">arriers to seeking and receiving help for </w:t>
      </w:r>
      <w:r w:rsidR="009F501D" w:rsidRPr="00D56730">
        <w:rPr>
          <w:rFonts w:cs="Arial"/>
        </w:rPr>
        <w:t xml:space="preserve">CALD </w:t>
      </w:r>
      <w:r w:rsidR="007F092C" w:rsidRPr="00D56730">
        <w:rPr>
          <w:rFonts w:cs="Arial"/>
        </w:rPr>
        <w:t>women and children</w:t>
      </w:r>
      <w:r w:rsidR="009F501D" w:rsidRPr="00D56730">
        <w:rPr>
          <w:rFonts w:cs="Arial"/>
        </w:rPr>
        <w:t xml:space="preserve"> due to a lack of specialised services, especially for those</w:t>
      </w:r>
      <w:r w:rsidR="007F092C" w:rsidRPr="00D56730">
        <w:rPr>
          <w:rFonts w:cs="Arial"/>
        </w:rPr>
        <w:t xml:space="preserve"> on temporary visas</w:t>
      </w:r>
      <w:r w:rsidR="009F501D" w:rsidRPr="00D56730">
        <w:rPr>
          <w:rFonts w:cs="Arial"/>
        </w:rPr>
        <w:t>.</w:t>
      </w:r>
    </w:p>
    <w:p w14:paraId="014FC903" w14:textId="30303923" w:rsidR="00962DAB" w:rsidRPr="00D56730" w:rsidRDefault="00962DAB" w:rsidP="009D6CCB">
      <w:pPr>
        <w:rPr>
          <w:rFonts w:cs="Arial"/>
        </w:rPr>
      </w:pPr>
      <w:r w:rsidRPr="00D56730">
        <w:rPr>
          <w:rFonts w:cs="Arial"/>
        </w:rPr>
        <w:t xml:space="preserve">The Safe Places </w:t>
      </w:r>
      <w:r w:rsidR="009D7CB4" w:rsidRPr="00D56730">
        <w:rPr>
          <w:rFonts w:cs="Arial"/>
        </w:rPr>
        <w:t>Emergency Accommodation P</w:t>
      </w:r>
      <w:r w:rsidRPr="00D56730">
        <w:rPr>
          <w:rFonts w:cs="Arial"/>
        </w:rPr>
        <w:t>rogram</w:t>
      </w:r>
      <w:r w:rsidR="009D7CB4" w:rsidRPr="00D56730">
        <w:rPr>
          <w:rFonts w:cs="Arial"/>
        </w:rPr>
        <w:t xml:space="preserve"> (Safe Places)</w:t>
      </w:r>
      <w:r w:rsidRPr="00D56730">
        <w:rPr>
          <w:rFonts w:cs="Arial"/>
        </w:rPr>
        <w:t xml:space="preserve"> provides a capital investment to support the building, renovation or purchase of emergency accommodation to support women and children in circumstances where staying safely at home is not possible.</w:t>
      </w:r>
    </w:p>
    <w:p w14:paraId="063D194E" w14:textId="4A81CAEB" w:rsidR="00610F29" w:rsidRDefault="00D7550A" w:rsidP="009D6CCB">
      <w:pPr>
        <w:rPr>
          <w:rFonts w:cs="Arial"/>
        </w:rPr>
      </w:pPr>
      <w:r w:rsidRPr="00D56730">
        <w:rPr>
          <w:rFonts w:cs="Arial"/>
        </w:rPr>
        <w:t xml:space="preserve">The </w:t>
      </w:r>
      <w:r w:rsidR="001B29B8" w:rsidRPr="00D56730">
        <w:rPr>
          <w:rFonts w:cs="Arial"/>
        </w:rPr>
        <w:t>objective</w:t>
      </w:r>
      <w:r w:rsidRPr="00D56730">
        <w:rPr>
          <w:rFonts w:cs="Arial"/>
        </w:rPr>
        <w:t xml:space="preserve"> of </w:t>
      </w:r>
      <w:r w:rsidR="00C85D92" w:rsidRPr="00D56730">
        <w:rPr>
          <w:rFonts w:cs="Arial"/>
        </w:rPr>
        <w:t xml:space="preserve">the </w:t>
      </w:r>
      <w:r w:rsidR="00284009" w:rsidRPr="00D56730">
        <w:rPr>
          <w:rFonts w:cs="Arial"/>
        </w:rPr>
        <w:t>Inclusion</w:t>
      </w:r>
      <w:r w:rsidR="00C85D92" w:rsidRPr="00D56730">
        <w:rPr>
          <w:rFonts w:cs="Arial"/>
        </w:rPr>
        <w:t xml:space="preserve"> Round</w:t>
      </w:r>
      <w:r w:rsidR="00E974F9" w:rsidRPr="00D56730">
        <w:rPr>
          <w:rFonts w:cs="Arial"/>
        </w:rPr>
        <w:t xml:space="preserve"> </w:t>
      </w:r>
      <w:r w:rsidRPr="00D56730">
        <w:rPr>
          <w:rFonts w:cs="Arial"/>
        </w:rPr>
        <w:t xml:space="preserve">is to increase the number of </w:t>
      </w:r>
      <w:r w:rsidR="004F6B44" w:rsidRPr="00D56730">
        <w:rPr>
          <w:rFonts w:cs="Arial"/>
        </w:rPr>
        <w:t xml:space="preserve">new and </w:t>
      </w:r>
      <w:r w:rsidRPr="00D56730">
        <w:rPr>
          <w:rFonts w:cs="Arial"/>
        </w:rPr>
        <w:t xml:space="preserve">appropriate emergency accommodation </w:t>
      </w:r>
      <w:r w:rsidR="00CD53FF" w:rsidRPr="00D56730">
        <w:rPr>
          <w:rFonts w:cs="Arial"/>
        </w:rPr>
        <w:t xml:space="preserve">places </w:t>
      </w:r>
      <w:r w:rsidRPr="00D56730">
        <w:rPr>
          <w:rFonts w:cs="Arial"/>
        </w:rPr>
        <w:t xml:space="preserve">for women and children </w:t>
      </w:r>
      <w:r w:rsidR="00C2282C" w:rsidRPr="00D56730">
        <w:rPr>
          <w:rFonts w:cs="Arial"/>
        </w:rPr>
        <w:t>leaving</w:t>
      </w:r>
      <w:r w:rsidRPr="00D56730">
        <w:rPr>
          <w:rFonts w:cs="Arial"/>
        </w:rPr>
        <w:t xml:space="preserve"> </w:t>
      </w:r>
      <w:r w:rsidR="0013191A" w:rsidRPr="00D56730">
        <w:rPr>
          <w:rFonts w:cs="Arial"/>
        </w:rPr>
        <w:t>FDV</w:t>
      </w:r>
      <w:r w:rsidR="009F501D" w:rsidRPr="00D56730">
        <w:rPr>
          <w:rFonts w:cs="Arial"/>
        </w:rPr>
        <w:t xml:space="preserve"> and to </w:t>
      </w:r>
      <w:r w:rsidR="00EA5460" w:rsidRPr="00D56730">
        <w:rPr>
          <w:rFonts w:cs="Arial"/>
        </w:rPr>
        <w:t>increas</w:t>
      </w:r>
      <w:r w:rsidR="009D69AA" w:rsidRPr="00D56730">
        <w:rPr>
          <w:rFonts w:cs="Arial"/>
        </w:rPr>
        <w:t>e</w:t>
      </w:r>
      <w:r w:rsidR="009F501D" w:rsidRPr="00D56730">
        <w:rPr>
          <w:rFonts w:cs="Arial"/>
        </w:rPr>
        <w:t xml:space="preserve"> accessibility for</w:t>
      </w:r>
      <w:r w:rsidR="00610F29" w:rsidRPr="00D56730">
        <w:rPr>
          <w:rFonts w:cs="Arial"/>
        </w:rPr>
        <w:t xml:space="preserve"> First Nations women and children, women and children from CALD backgrounds, and women and children with disability</w:t>
      </w:r>
      <w:r w:rsidR="002320A7" w:rsidRPr="00D56730">
        <w:rPr>
          <w:rFonts w:eastAsia="Calibri" w:cs="Arial"/>
        </w:rPr>
        <w:t xml:space="preserve">, </w:t>
      </w:r>
      <w:r w:rsidR="002320A7" w:rsidRPr="00D56730">
        <w:rPr>
          <w:rFonts w:cs="Arial"/>
        </w:rPr>
        <w:t>including</w:t>
      </w:r>
      <w:r w:rsidR="002320A7" w:rsidRPr="002320A7">
        <w:rPr>
          <w:rFonts w:cs="Arial"/>
        </w:rPr>
        <w:t xml:space="preserve"> those who experience the intersection of racism, ableism and sexism</w:t>
      </w:r>
      <w:r w:rsidRPr="00A44CED">
        <w:rPr>
          <w:rFonts w:cs="Arial"/>
        </w:rPr>
        <w:t xml:space="preserve">. </w:t>
      </w:r>
    </w:p>
    <w:p w14:paraId="4125B17B" w14:textId="32DC730D" w:rsidR="00D7550A" w:rsidRPr="00D56730" w:rsidRDefault="00DD78B0" w:rsidP="009D6CCB">
      <w:pPr>
        <w:rPr>
          <w:rFonts w:cs="Arial"/>
        </w:rPr>
      </w:pPr>
      <w:r>
        <w:rPr>
          <w:rFonts w:cs="Arial"/>
        </w:rPr>
        <w:t>T</w:t>
      </w:r>
      <w:r w:rsidR="00D7550A" w:rsidRPr="00A44CED">
        <w:rPr>
          <w:rFonts w:cs="Arial"/>
        </w:rPr>
        <w:t xml:space="preserve">he </w:t>
      </w:r>
      <w:r w:rsidR="004F6B44" w:rsidRPr="00A44CED">
        <w:rPr>
          <w:rFonts w:cs="Arial"/>
        </w:rPr>
        <w:t xml:space="preserve">Safe Places </w:t>
      </w:r>
      <w:r w:rsidR="00D7550A" w:rsidRPr="00A44CED">
        <w:rPr>
          <w:rFonts w:cs="Arial"/>
        </w:rPr>
        <w:t xml:space="preserve">program </w:t>
      </w:r>
      <w:r w:rsidR="00732DF6">
        <w:rPr>
          <w:rFonts w:cs="Arial"/>
        </w:rPr>
        <w:t xml:space="preserve">as a whole </w:t>
      </w:r>
      <w:r w:rsidR="00D7550A" w:rsidRPr="00A44CED">
        <w:rPr>
          <w:rFonts w:cs="Arial"/>
        </w:rPr>
        <w:t xml:space="preserve">aims to fund projects </w:t>
      </w:r>
      <w:r w:rsidR="001B29B8" w:rsidRPr="00A44CED">
        <w:rPr>
          <w:rFonts w:cs="Arial"/>
        </w:rPr>
        <w:t>with the</w:t>
      </w:r>
      <w:r w:rsidR="00D7550A" w:rsidRPr="00A44CED">
        <w:rPr>
          <w:rFonts w:cs="Arial"/>
        </w:rPr>
        <w:t xml:space="preserve"> greatest impact </w:t>
      </w:r>
      <w:r w:rsidR="001B29B8" w:rsidRPr="00A44CED">
        <w:rPr>
          <w:rFonts w:cs="Arial"/>
        </w:rPr>
        <w:t>for</w:t>
      </w:r>
      <w:r w:rsidR="00D7550A" w:rsidRPr="00A44CED">
        <w:rPr>
          <w:rFonts w:cs="Arial"/>
        </w:rPr>
        <w:t xml:space="preserve"> those most </w:t>
      </w:r>
      <w:r w:rsidR="00D7550A" w:rsidRPr="00D56730">
        <w:rPr>
          <w:rFonts w:cs="Arial"/>
        </w:rPr>
        <w:t>urgently in need of support</w:t>
      </w:r>
      <w:r w:rsidR="00841316" w:rsidRPr="00D56730">
        <w:rPr>
          <w:rFonts w:cs="Arial"/>
        </w:rPr>
        <w:t>.</w:t>
      </w:r>
      <w:r w:rsidR="009D69AA" w:rsidRPr="00D56730">
        <w:rPr>
          <w:rFonts w:cs="Arial"/>
        </w:rPr>
        <w:t xml:space="preserve"> </w:t>
      </w:r>
      <w:r w:rsidR="004F6B44" w:rsidRPr="00D56730">
        <w:rPr>
          <w:rFonts w:cs="Arial"/>
        </w:rPr>
        <w:t xml:space="preserve">This means emergency accommodation delivered under the </w:t>
      </w:r>
      <w:r w:rsidR="00284009" w:rsidRPr="00D56730">
        <w:rPr>
          <w:rFonts w:cs="Arial"/>
        </w:rPr>
        <w:t>Inclusion</w:t>
      </w:r>
      <w:r w:rsidR="0040686F" w:rsidRPr="00D56730">
        <w:rPr>
          <w:rFonts w:cs="Arial"/>
        </w:rPr>
        <w:t xml:space="preserve"> Round </w:t>
      </w:r>
      <w:r w:rsidR="004F6B44" w:rsidRPr="00D56730">
        <w:rPr>
          <w:rFonts w:cs="Arial"/>
        </w:rPr>
        <w:t xml:space="preserve">must be open to </w:t>
      </w:r>
      <w:r w:rsidR="00445159" w:rsidRPr="00D56730">
        <w:rPr>
          <w:rFonts w:cs="Arial"/>
        </w:rPr>
        <w:t xml:space="preserve">all </w:t>
      </w:r>
      <w:r w:rsidR="004F6B44" w:rsidRPr="00D56730">
        <w:rPr>
          <w:rFonts w:cs="Arial"/>
        </w:rPr>
        <w:t xml:space="preserve">women and children leaving </w:t>
      </w:r>
      <w:r w:rsidR="0040686F" w:rsidRPr="00D56730">
        <w:rPr>
          <w:rFonts w:cs="Arial"/>
        </w:rPr>
        <w:t>FDV</w:t>
      </w:r>
      <w:r w:rsidR="004F6B44" w:rsidRPr="00D56730">
        <w:rPr>
          <w:rFonts w:cs="Arial"/>
        </w:rPr>
        <w:t xml:space="preserve"> re</w:t>
      </w:r>
      <w:r w:rsidR="00CC6307" w:rsidRPr="00D56730">
        <w:rPr>
          <w:rFonts w:cs="Arial"/>
        </w:rPr>
        <w:t>gardless of background, including First Nations women and children, women and children from CALD backgrounds, and women and children with disability.</w:t>
      </w:r>
    </w:p>
    <w:p w14:paraId="26311D02" w14:textId="6181AEB8" w:rsidR="001D1DBD" w:rsidRPr="00D56730" w:rsidRDefault="004F6B44" w:rsidP="005868EA">
      <w:pPr>
        <w:pStyle w:val="TableContent"/>
        <w:keepNext/>
      </w:pPr>
      <w:r w:rsidRPr="00D56730">
        <w:t>Grants under t</w:t>
      </w:r>
      <w:r w:rsidR="00C85D92" w:rsidRPr="00D56730">
        <w:t xml:space="preserve">he </w:t>
      </w:r>
      <w:r w:rsidR="00284009" w:rsidRPr="00D56730">
        <w:t>Inclusion</w:t>
      </w:r>
      <w:r w:rsidR="00C85D92" w:rsidRPr="00D56730">
        <w:t xml:space="preserve"> Round</w:t>
      </w:r>
      <w:r w:rsidR="00D55F5B" w:rsidRPr="00D56730">
        <w:t xml:space="preserve"> are </w:t>
      </w:r>
      <w:r w:rsidR="00DD78B0" w:rsidRPr="00D56730">
        <w:t xml:space="preserve">only </w:t>
      </w:r>
      <w:r w:rsidR="00D55F5B" w:rsidRPr="00D56730">
        <w:t xml:space="preserve">for </w:t>
      </w:r>
      <w:r w:rsidRPr="00D56730">
        <w:t xml:space="preserve">capital works </w:t>
      </w:r>
      <w:r w:rsidR="000578B2" w:rsidRPr="00D56730">
        <w:t xml:space="preserve">– </w:t>
      </w:r>
      <w:r w:rsidR="00DD78B0" w:rsidRPr="00D56730">
        <w:t xml:space="preserve">that is, </w:t>
      </w:r>
      <w:r w:rsidR="00D55F5B" w:rsidRPr="00D56730">
        <w:t>the purchase, buil</w:t>
      </w:r>
      <w:r w:rsidR="0013191A" w:rsidRPr="00D56730">
        <w:t>ding or renovation of</w:t>
      </w:r>
      <w:r w:rsidRPr="00D56730">
        <w:t xml:space="preserve"> dwellings to deliver new </w:t>
      </w:r>
      <w:r w:rsidR="0013191A" w:rsidRPr="00D56730">
        <w:t>emergency accommodation</w:t>
      </w:r>
      <w:r w:rsidRPr="00D56730">
        <w:t xml:space="preserve"> places</w:t>
      </w:r>
      <w:r w:rsidR="00DD78B0" w:rsidRPr="00D56730">
        <w:t>.</w:t>
      </w:r>
      <w:r w:rsidR="006303B2" w:rsidRPr="00D56730">
        <w:t xml:space="preserve"> </w:t>
      </w:r>
    </w:p>
    <w:p w14:paraId="081C02EC" w14:textId="2AAEABD4" w:rsidR="00717E15" w:rsidRPr="00D56730" w:rsidRDefault="00DD78B0">
      <w:pPr>
        <w:pStyle w:val="TableContent"/>
        <w:keepNext/>
      </w:pPr>
      <w:r w:rsidRPr="00D56730">
        <w:t>A</w:t>
      </w:r>
      <w:r w:rsidR="00B75B24" w:rsidRPr="00D56730">
        <w:t xml:space="preserve">pplicants </w:t>
      </w:r>
      <w:r w:rsidR="00D55F5B" w:rsidRPr="00D56730">
        <w:t>are responsible for</w:t>
      </w:r>
      <w:r w:rsidR="00717E15" w:rsidRPr="00D56730">
        <w:t>:</w:t>
      </w:r>
    </w:p>
    <w:p w14:paraId="70CF77A1" w14:textId="77777777" w:rsidR="00A91004" w:rsidRPr="00D56730" w:rsidRDefault="00A91004" w:rsidP="00A91004">
      <w:pPr>
        <w:pStyle w:val="ListParagraph"/>
        <w:numPr>
          <w:ilvl w:val="0"/>
          <w:numId w:val="81"/>
        </w:numPr>
        <w:rPr>
          <w:rFonts w:cs="Arial"/>
        </w:rPr>
      </w:pPr>
      <w:r w:rsidRPr="00D56730">
        <w:rPr>
          <w:rFonts w:cs="Arial"/>
        </w:rPr>
        <w:t>funding FDV and other specialist wrap-around services for clients</w:t>
      </w:r>
    </w:p>
    <w:p w14:paraId="35A8CDD5" w14:textId="37D8AEF6" w:rsidR="00717E15" w:rsidRPr="00D56730" w:rsidRDefault="00D55F5B" w:rsidP="00197F47">
      <w:pPr>
        <w:pStyle w:val="ListParagraph"/>
        <w:numPr>
          <w:ilvl w:val="0"/>
          <w:numId w:val="81"/>
        </w:numPr>
        <w:rPr>
          <w:rFonts w:cs="Arial"/>
        </w:rPr>
      </w:pPr>
      <w:r w:rsidRPr="00D56730">
        <w:rPr>
          <w:rFonts w:cs="Arial"/>
        </w:rPr>
        <w:t>funding</w:t>
      </w:r>
      <w:r w:rsidR="00410B60" w:rsidRPr="00D56730">
        <w:rPr>
          <w:rFonts w:cs="Arial"/>
        </w:rPr>
        <w:t xml:space="preserve"> </w:t>
      </w:r>
      <w:r w:rsidR="000578B2" w:rsidRPr="00D56730">
        <w:rPr>
          <w:rFonts w:cs="Arial"/>
        </w:rPr>
        <w:t xml:space="preserve">the </w:t>
      </w:r>
      <w:r w:rsidRPr="00D56730">
        <w:rPr>
          <w:rFonts w:cs="Arial"/>
        </w:rPr>
        <w:t>ongoing maintenance</w:t>
      </w:r>
      <w:r w:rsidR="009F501D" w:rsidRPr="00D56730">
        <w:rPr>
          <w:rFonts w:cs="Arial"/>
        </w:rPr>
        <w:t xml:space="preserve"> of dwellings</w:t>
      </w:r>
    </w:p>
    <w:p w14:paraId="544D7272" w14:textId="3F522711" w:rsidR="00717E15" w:rsidRPr="00D56730" w:rsidRDefault="00FD099A" w:rsidP="00197F47">
      <w:pPr>
        <w:pStyle w:val="ListParagraph"/>
        <w:numPr>
          <w:ilvl w:val="0"/>
          <w:numId w:val="81"/>
        </w:numPr>
        <w:rPr>
          <w:rFonts w:cs="Arial"/>
        </w:rPr>
      </w:pPr>
      <w:r w:rsidRPr="00D56730">
        <w:rPr>
          <w:rFonts w:cs="Arial"/>
        </w:rPr>
        <w:t xml:space="preserve">reporting on the use of the </w:t>
      </w:r>
      <w:r w:rsidR="00A663C3" w:rsidRPr="00D56730">
        <w:rPr>
          <w:rFonts w:cs="Arial"/>
        </w:rPr>
        <w:t>accommodation</w:t>
      </w:r>
      <w:r w:rsidR="007A1290">
        <w:rPr>
          <w:rFonts w:cs="Arial"/>
        </w:rPr>
        <w:t xml:space="preserve"> for the </w:t>
      </w:r>
      <w:r w:rsidR="007A1290" w:rsidRPr="00B26A74">
        <w:rPr>
          <w:rFonts w:cs="Arial"/>
        </w:rPr>
        <w:t>15 year designated use period</w:t>
      </w:r>
      <w:r w:rsidRPr="00D56730">
        <w:rPr>
          <w:rFonts w:cs="Arial"/>
        </w:rPr>
        <w:t>.</w:t>
      </w:r>
    </w:p>
    <w:p w14:paraId="52FE9344" w14:textId="44F70307" w:rsidR="008F51F2" w:rsidRPr="00D56730" w:rsidRDefault="008F51F2" w:rsidP="008F51F2">
      <w:pPr>
        <w:pStyle w:val="Heading3"/>
        <w:ind w:left="567" w:hanging="567"/>
        <w:rPr>
          <w:rFonts w:cs="Arial"/>
        </w:rPr>
      </w:pPr>
      <w:r w:rsidRPr="00D56730">
        <w:rPr>
          <w:rFonts w:cs="Arial"/>
        </w:rPr>
        <w:t>Additional support for women and children leaving family and domestic violence</w:t>
      </w:r>
    </w:p>
    <w:p w14:paraId="0B1F6C08" w14:textId="77777777" w:rsidR="008F51F2" w:rsidRPr="00D56730" w:rsidRDefault="008F51F2" w:rsidP="008F51F2">
      <w:pPr>
        <w:pStyle w:val="TableContent"/>
      </w:pPr>
      <w:r w:rsidRPr="00D56730">
        <w:t>The Government supports women and children leaving FDV through a number of mechanisms:</w:t>
      </w:r>
    </w:p>
    <w:p w14:paraId="5901C090" w14:textId="6FE2E402" w:rsidR="00962DAB" w:rsidRPr="00D56730" w:rsidRDefault="00962DAB" w:rsidP="00877F2F">
      <w:pPr>
        <w:pStyle w:val="TableContent"/>
        <w:numPr>
          <w:ilvl w:val="0"/>
          <w:numId w:val="81"/>
        </w:numPr>
      </w:pPr>
      <w:r w:rsidRPr="00D56730">
        <w:t>Once completed, the 41 projects funded under the initial round of Safe Places will deliver approximately 780 safe places assisting up to 6,340 women and children per year.</w:t>
      </w:r>
    </w:p>
    <w:p w14:paraId="4F802D8C" w14:textId="77777777" w:rsidR="008F51F2" w:rsidRPr="00A44CED" w:rsidRDefault="008F51F2" w:rsidP="008F51F2">
      <w:pPr>
        <w:pStyle w:val="ListParagraph"/>
        <w:numPr>
          <w:ilvl w:val="0"/>
          <w:numId w:val="81"/>
        </w:numPr>
        <w:rPr>
          <w:rFonts w:cs="Arial"/>
        </w:rPr>
      </w:pPr>
      <w:r w:rsidRPr="00D56730">
        <w:rPr>
          <w:rFonts w:cs="Arial"/>
        </w:rPr>
        <w:t>Under the National Housing and Homelessness</w:t>
      </w:r>
      <w:r w:rsidRPr="00A44CED">
        <w:rPr>
          <w:rFonts w:cs="Arial"/>
        </w:rPr>
        <w:t xml:space="preserve"> Agreement, $1.6 billion is provided to the states to deliver housing and homelessness services.</w:t>
      </w:r>
    </w:p>
    <w:p w14:paraId="03602802" w14:textId="6FFB6AA1" w:rsidR="008F51F2" w:rsidRDefault="008F51F2" w:rsidP="008F51F2">
      <w:pPr>
        <w:pStyle w:val="ListParagraph"/>
        <w:numPr>
          <w:ilvl w:val="0"/>
          <w:numId w:val="81"/>
        </w:numPr>
        <w:rPr>
          <w:rFonts w:cs="Arial"/>
        </w:rPr>
      </w:pPr>
      <w:r w:rsidRPr="00A44CED">
        <w:rPr>
          <w:rFonts w:cs="Arial"/>
        </w:rPr>
        <w:t>Through the National Plan, governments have committed to expanding options for women and children leaving FDV to stay safely in their home</w:t>
      </w:r>
      <w:r>
        <w:rPr>
          <w:rFonts w:cs="Arial"/>
        </w:rPr>
        <w:t>s</w:t>
      </w:r>
      <w:r w:rsidRPr="00A44CED">
        <w:rPr>
          <w:rFonts w:cs="Arial"/>
        </w:rPr>
        <w:t xml:space="preserve"> through the Keeping Women Safe in their Homes program.</w:t>
      </w:r>
    </w:p>
    <w:p w14:paraId="1B369235" w14:textId="6D5549EC" w:rsidR="00CC6307" w:rsidRPr="00D56730" w:rsidRDefault="00B65792" w:rsidP="008F51F2">
      <w:pPr>
        <w:pStyle w:val="ListParagraph"/>
        <w:numPr>
          <w:ilvl w:val="0"/>
          <w:numId w:val="81"/>
        </w:numPr>
        <w:rPr>
          <w:rFonts w:cs="Arial"/>
        </w:rPr>
      </w:pPr>
      <w:r w:rsidRPr="00D56730">
        <w:rPr>
          <w:rFonts w:cs="Arial"/>
        </w:rPr>
        <w:lastRenderedPageBreak/>
        <w:t xml:space="preserve">In the </w:t>
      </w:r>
      <w:r w:rsidR="002A5E51" w:rsidRPr="00D56730">
        <w:t>Women’s Safety Budget Statement (October Budget)</w:t>
      </w:r>
      <w:r w:rsidRPr="00D56730">
        <w:t xml:space="preserve">, the Government announced </w:t>
      </w:r>
      <w:r w:rsidR="00CC6307" w:rsidRPr="00D56730">
        <w:t xml:space="preserve">$169.4 million for </w:t>
      </w:r>
      <w:r w:rsidRPr="00D56730">
        <w:t xml:space="preserve">an additional </w:t>
      </w:r>
      <w:r w:rsidR="00CC6307" w:rsidRPr="00D56730">
        <w:t>500 frontline service and community workers</w:t>
      </w:r>
      <w:r w:rsidRPr="00D56730">
        <w:t>.</w:t>
      </w:r>
    </w:p>
    <w:p w14:paraId="50B87E14" w14:textId="02865112" w:rsidR="008F51F2" w:rsidRPr="008F51F2" w:rsidRDefault="008F51F2" w:rsidP="008F51F2">
      <w:pPr>
        <w:rPr>
          <w:rFonts w:cs="Arial"/>
        </w:rPr>
      </w:pPr>
      <w:r w:rsidRPr="008F51F2">
        <w:rPr>
          <w:rFonts w:cs="Arial"/>
        </w:rPr>
        <w:t xml:space="preserve">In addition to the </w:t>
      </w:r>
      <w:r w:rsidR="00284009">
        <w:rPr>
          <w:rFonts w:cs="Arial"/>
        </w:rPr>
        <w:t>Inclusion</w:t>
      </w:r>
      <w:r w:rsidRPr="008F51F2">
        <w:rPr>
          <w:rFonts w:cs="Arial"/>
        </w:rPr>
        <w:t xml:space="preserve"> Round, the Australian Government is delivering a substantial housing reform agenda with a dedicated focus on women and children leaving FDV. For example, the Housing Australia Future Fund includes:</w:t>
      </w:r>
    </w:p>
    <w:p w14:paraId="50C9B37C" w14:textId="6DF3F455" w:rsidR="008F51F2" w:rsidRPr="008F51F2" w:rsidRDefault="008F51F2" w:rsidP="008F51F2">
      <w:pPr>
        <w:pStyle w:val="ListParagraph"/>
        <w:numPr>
          <w:ilvl w:val="0"/>
          <w:numId w:val="84"/>
        </w:numPr>
        <w:rPr>
          <w:rFonts w:cs="Arial"/>
        </w:rPr>
      </w:pPr>
      <w:r w:rsidRPr="008F51F2">
        <w:rPr>
          <w:rFonts w:cs="Arial"/>
        </w:rPr>
        <w:t xml:space="preserve">$10 billion to build 30,000 social and affordable housing properties in its first </w:t>
      </w:r>
      <w:r w:rsidR="001E2ACB">
        <w:rPr>
          <w:rFonts w:cs="Arial"/>
        </w:rPr>
        <w:t>5</w:t>
      </w:r>
      <w:r w:rsidRPr="008F51F2">
        <w:rPr>
          <w:rFonts w:cs="Arial"/>
        </w:rPr>
        <w:t xml:space="preserve"> years, including allocating 4,000 to women and children leaving FDV and older women on low incomes who are at risk of homelessness</w:t>
      </w:r>
    </w:p>
    <w:p w14:paraId="64F78AF0" w14:textId="42F144C2" w:rsidR="008F51F2" w:rsidRPr="00EE3F58" w:rsidRDefault="008F51F2" w:rsidP="008F51F2">
      <w:pPr>
        <w:pStyle w:val="ListParagraph"/>
        <w:numPr>
          <w:ilvl w:val="0"/>
          <w:numId w:val="84"/>
        </w:numPr>
        <w:rPr>
          <w:rFonts w:cs="Arial"/>
        </w:rPr>
      </w:pPr>
      <w:r w:rsidRPr="00DB2DDF">
        <w:rPr>
          <w:rFonts w:cs="Arial"/>
        </w:rPr>
        <w:t xml:space="preserve">$100 million over </w:t>
      </w:r>
      <w:r w:rsidR="001E2ACB">
        <w:rPr>
          <w:rFonts w:cs="Arial"/>
        </w:rPr>
        <w:t>5</w:t>
      </w:r>
      <w:r w:rsidRPr="00DB2DDF">
        <w:rPr>
          <w:rFonts w:cs="Arial"/>
        </w:rPr>
        <w:t xml:space="preserve"> years for crisis and transitional housing options for women and children leaving FDV and older women on low incomes who are at risk of homelessness.</w:t>
      </w:r>
    </w:p>
    <w:p w14:paraId="65FD7430" w14:textId="75E0C79F" w:rsidR="008F51F2" w:rsidRPr="008F51F2" w:rsidRDefault="008F51F2" w:rsidP="008F51F2">
      <w:pPr>
        <w:rPr>
          <w:rFonts w:cs="Arial"/>
        </w:rPr>
      </w:pPr>
      <w:r w:rsidRPr="00EE3F58">
        <w:rPr>
          <w:rFonts w:cs="Arial"/>
        </w:rPr>
        <w:t xml:space="preserve">The Government is undertaking separate consultation with state and territory governments (‘state/s’), local government and key stakeholders to help design and implement these housing commitments. Consultations on the </w:t>
      </w:r>
      <w:r w:rsidR="00284009">
        <w:rPr>
          <w:rFonts w:cs="Arial"/>
        </w:rPr>
        <w:t>Inclusion</w:t>
      </w:r>
      <w:r w:rsidRPr="00EE3F58">
        <w:rPr>
          <w:rFonts w:cs="Arial"/>
        </w:rPr>
        <w:t xml:space="preserve"> Round will complement this work and help inform Government decision-making on future investments.</w:t>
      </w:r>
    </w:p>
    <w:p w14:paraId="3A8AE3B9" w14:textId="357E8D46" w:rsidR="00D7550A" w:rsidRPr="00A44CED" w:rsidRDefault="00D7550A" w:rsidP="002F58D6">
      <w:pPr>
        <w:pStyle w:val="Heading2"/>
        <w:spacing w:before="240" w:after="240"/>
        <w:ind w:left="357" w:hanging="357"/>
        <w:rPr>
          <w:rFonts w:cs="Arial"/>
        </w:rPr>
      </w:pPr>
      <w:r w:rsidRPr="00A44CED">
        <w:rPr>
          <w:rFonts w:cs="Arial"/>
        </w:rPr>
        <w:t>Program funding</w:t>
      </w:r>
    </w:p>
    <w:p w14:paraId="7D4F05EC" w14:textId="6A73962E" w:rsidR="00D7550A" w:rsidRPr="00A44CED" w:rsidRDefault="009D6CCB" w:rsidP="00D7550A">
      <w:pPr>
        <w:rPr>
          <w:rFonts w:cs="Arial"/>
        </w:rPr>
      </w:pPr>
      <w:r w:rsidRPr="00122D2B">
        <w:rPr>
          <w:rFonts w:cs="Arial"/>
        </w:rPr>
        <w:t>The $</w:t>
      </w:r>
      <w:r w:rsidR="008A0583" w:rsidRPr="00122D2B">
        <w:rPr>
          <w:rFonts w:cs="Arial"/>
        </w:rPr>
        <w:t xml:space="preserve">100 </w:t>
      </w:r>
      <w:r w:rsidR="00D7550A" w:rsidRPr="00122D2B">
        <w:rPr>
          <w:rFonts w:cs="Arial"/>
        </w:rPr>
        <w:t xml:space="preserve">million commitment </w:t>
      </w:r>
      <w:r w:rsidR="002C3476" w:rsidRPr="00122D2B">
        <w:rPr>
          <w:rFonts w:cs="Arial"/>
        </w:rPr>
        <w:t xml:space="preserve">to </w:t>
      </w:r>
      <w:r w:rsidR="00BE1314" w:rsidRPr="00122D2B">
        <w:rPr>
          <w:rFonts w:cs="Arial"/>
        </w:rPr>
        <w:t xml:space="preserve">the </w:t>
      </w:r>
      <w:r w:rsidR="00284009" w:rsidRPr="00122D2B">
        <w:rPr>
          <w:rFonts w:cs="Arial"/>
        </w:rPr>
        <w:t>Inclusion</w:t>
      </w:r>
      <w:r w:rsidR="00BE1314" w:rsidRPr="00122D2B">
        <w:rPr>
          <w:rFonts w:cs="Arial"/>
        </w:rPr>
        <w:t xml:space="preserve"> Round </w:t>
      </w:r>
      <w:r w:rsidR="00D7550A" w:rsidRPr="00122D2B">
        <w:rPr>
          <w:rFonts w:cs="Arial"/>
        </w:rPr>
        <w:t>is part of the Government’s investment of $</w:t>
      </w:r>
      <w:r w:rsidR="00122D2B" w:rsidRPr="00122D2B">
        <w:rPr>
          <w:rFonts w:cs="Arial"/>
        </w:rPr>
        <w:t>1.7</w:t>
      </w:r>
      <w:r w:rsidR="002F54B3" w:rsidRPr="00122D2B">
        <w:rPr>
          <w:rFonts w:cs="Arial"/>
        </w:rPr>
        <w:t> </w:t>
      </w:r>
      <w:r w:rsidR="00BE40A0" w:rsidRPr="00122D2B">
        <w:rPr>
          <w:rFonts w:cs="Arial"/>
        </w:rPr>
        <w:t>billion</w:t>
      </w:r>
      <w:r w:rsidR="002F54B3" w:rsidRPr="00122D2B">
        <w:rPr>
          <w:rFonts w:cs="Arial"/>
        </w:rPr>
        <w:t xml:space="preserve"> over </w:t>
      </w:r>
      <w:r w:rsidR="001E2ACB" w:rsidRPr="00122D2B">
        <w:rPr>
          <w:rFonts w:cs="Arial"/>
        </w:rPr>
        <w:t>5</w:t>
      </w:r>
      <w:r w:rsidR="002F54B3" w:rsidRPr="00122D2B">
        <w:rPr>
          <w:rFonts w:cs="Arial"/>
        </w:rPr>
        <w:t xml:space="preserve"> years</w:t>
      </w:r>
      <w:r w:rsidR="002F54B3" w:rsidRPr="00A44CED">
        <w:rPr>
          <w:rFonts w:cs="Arial"/>
        </w:rPr>
        <w:t xml:space="preserve"> to support the delivery of the next</w:t>
      </w:r>
      <w:r w:rsidR="0013191A" w:rsidRPr="00A44CED">
        <w:rPr>
          <w:rFonts w:cs="Arial"/>
        </w:rPr>
        <w:t xml:space="preserve"> National Plan</w:t>
      </w:r>
      <w:r w:rsidR="002F54B3" w:rsidRPr="00A44CED">
        <w:rPr>
          <w:rFonts w:cs="Arial"/>
        </w:rPr>
        <w:t xml:space="preserve"> </w:t>
      </w:r>
      <w:r w:rsidR="002256D3" w:rsidRPr="00A44CED">
        <w:rPr>
          <w:rFonts w:cs="Arial"/>
        </w:rPr>
        <w:t>with a strong focus on prevention, early intervention and supporting victim-survivors to recover and heal</w:t>
      </w:r>
      <w:r w:rsidR="00D7550A" w:rsidRPr="00A44CED">
        <w:rPr>
          <w:rFonts w:cs="Arial"/>
        </w:rPr>
        <w:t>.</w:t>
      </w:r>
    </w:p>
    <w:p w14:paraId="2B13728E" w14:textId="72DE3406" w:rsidR="00EB4BD8" w:rsidRPr="00A44CED" w:rsidRDefault="00D7550A" w:rsidP="00156197">
      <w:pPr>
        <w:pStyle w:val="TableContent"/>
      </w:pPr>
      <w:r w:rsidRPr="00A44CED">
        <w:t>To m</w:t>
      </w:r>
      <w:r w:rsidR="009D6CCB" w:rsidRPr="00A44CED">
        <w:t>aximise the benefits from the $</w:t>
      </w:r>
      <w:r w:rsidR="008A0583" w:rsidRPr="00A44CED">
        <w:t xml:space="preserve">100 </w:t>
      </w:r>
      <w:r w:rsidRPr="00A44CED">
        <w:t xml:space="preserve">million commitment, </w:t>
      </w:r>
      <w:r w:rsidR="00284009">
        <w:t>Inclusion</w:t>
      </w:r>
      <w:r w:rsidR="00C85D92" w:rsidRPr="00A44CED">
        <w:t xml:space="preserve"> Round</w:t>
      </w:r>
      <w:r w:rsidR="004774E1" w:rsidRPr="00A44CED">
        <w:t xml:space="preserve"> </w:t>
      </w:r>
      <w:r w:rsidR="00EB4BD8" w:rsidRPr="00A44CED">
        <w:t xml:space="preserve">grants will be made on a competitive basis. </w:t>
      </w:r>
      <w:r w:rsidR="00A2683C">
        <w:t>Preference</w:t>
      </w:r>
      <w:r w:rsidR="00A2683C" w:rsidRPr="00A44CED">
        <w:t xml:space="preserve"> </w:t>
      </w:r>
      <w:r w:rsidR="00EB4BD8" w:rsidRPr="00A44CED">
        <w:t>will be given to applications</w:t>
      </w:r>
      <w:r w:rsidR="00857BC3" w:rsidRPr="00857BC3">
        <w:t xml:space="preserve"> </w:t>
      </w:r>
      <w:r w:rsidR="00A91004">
        <w:t>that</w:t>
      </w:r>
      <w:r w:rsidR="00857BC3" w:rsidRPr="00A171F6">
        <w:t xml:space="preserve"> demonstrate value for money for the Commonwealth</w:t>
      </w:r>
      <w:r w:rsidR="00857BC3">
        <w:t>, including</w:t>
      </w:r>
      <w:r w:rsidR="00EB4BD8" w:rsidRPr="00A44CED">
        <w:t>:</w:t>
      </w:r>
    </w:p>
    <w:p w14:paraId="2E6D800A" w14:textId="1CBBE309" w:rsidR="00EA5460" w:rsidRPr="00A44CED" w:rsidRDefault="00BB0D01" w:rsidP="00197F47">
      <w:pPr>
        <w:pStyle w:val="ListParagraph"/>
        <w:numPr>
          <w:ilvl w:val="0"/>
          <w:numId w:val="81"/>
        </w:numPr>
        <w:rPr>
          <w:rFonts w:cs="Arial"/>
        </w:rPr>
      </w:pPr>
      <w:r w:rsidRPr="00A44CED">
        <w:rPr>
          <w:rFonts w:cs="Arial"/>
        </w:rPr>
        <w:t>where the proposal</w:t>
      </w:r>
      <w:r w:rsidR="00EA5460" w:rsidRPr="00A44CED">
        <w:rPr>
          <w:rFonts w:cs="Arial"/>
        </w:rPr>
        <w:t xml:space="preserve"> enables access </w:t>
      </w:r>
      <w:r w:rsidR="00284009">
        <w:rPr>
          <w:rFonts w:cs="Arial"/>
        </w:rPr>
        <w:t>for</w:t>
      </w:r>
      <w:r w:rsidRPr="00A44CED">
        <w:rPr>
          <w:rFonts w:cs="Arial"/>
        </w:rPr>
        <w:t xml:space="preserve"> </w:t>
      </w:r>
      <w:r w:rsidR="00D93157">
        <w:rPr>
          <w:rFonts w:cs="Arial"/>
        </w:rPr>
        <w:t xml:space="preserve">First Nations women and children, women and children from a CALD background and women and children with disability </w:t>
      </w:r>
      <w:r w:rsidR="00EA5460" w:rsidRPr="00A44CED">
        <w:rPr>
          <w:rFonts w:cs="Arial"/>
        </w:rPr>
        <w:t>through dwelling design or other specialised support</w:t>
      </w:r>
    </w:p>
    <w:p w14:paraId="3B2E26BB" w14:textId="1A3B781F" w:rsidR="00EA5460" w:rsidRDefault="00EA5460" w:rsidP="00197F47">
      <w:pPr>
        <w:pStyle w:val="ListParagraph"/>
        <w:numPr>
          <w:ilvl w:val="0"/>
          <w:numId w:val="81"/>
        </w:numPr>
        <w:rPr>
          <w:rFonts w:cs="Arial"/>
        </w:rPr>
      </w:pPr>
      <w:r w:rsidRPr="00A44CED">
        <w:rPr>
          <w:rFonts w:cs="Arial"/>
        </w:rPr>
        <w:t xml:space="preserve">in locations with high unmet </w:t>
      </w:r>
      <w:r w:rsidR="00F200E4">
        <w:rPr>
          <w:rFonts w:cs="Arial"/>
        </w:rPr>
        <w:t>demand</w:t>
      </w:r>
      <w:r w:rsidR="00F200E4" w:rsidRPr="00A44CED">
        <w:rPr>
          <w:rFonts w:cs="Arial"/>
        </w:rPr>
        <w:t xml:space="preserve"> </w:t>
      </w:r>
      <w:r w:rsidRPr="00A44CED">
        <w:rPr>
          <w:rFonts w:cs="Arial"/>
        </w:rPr>
        <w:t>for emergency accommodation</w:t>
      </w:r>
      <w:r w:rsidR="00A75BE4" w:rsidRPr="00A44CED">
        <w:rPr>
          <w:rFonts w:cs="Arial"/>
        </w:rPr>
        <w:t>, i</w:t>
      </w:r>
      <w:r w:rsidR="003A7A63" w:rsidRPr="00A44CED">
        <w:rPr>
          <w:rFonts w:cs="Arial"/>
        </w:rPr>
        <w:t xml:space="preserve">ncluding for other cohorts of women and children leaving </w:t>
      </w:r>
      <w:r w:rsidR="004F6B44" w:rsidRPr="00A44CED">
        <w:rPr>
          <w:rFonts w:cs="Arial"/>
        </w:rPr>
        <w:t>FDV</w:t>
      </w:r>
    </w:p>
    <w:p w14:paraId="6004D345" w14:textId="0562320B" w:rsidR="00197F47" w:rsidRPr="00A44CED" w:rsidRDefault="00197F47" w:rsidP="00197F47">
      <w:pPr>
        <w:pStyle w:val="ListParagraph"/>
        <w:numPr>
          <w:ilvl w:val="0"/>
          <w:numId w:val="81"/>
        </w:numPr>
        <w:rPr>
          <w:rFonts w:cs="Arial"/>
        </w:rPr>
      </w:pPr>
      <w:r w:rsidRPr="00857BC3">
        <w:rPr>
          <w:rFonts w:cs="Arial"/>
        </w:rPr>
        <w:t>with high levels of co-investment</w:t>
      </w:r>
      <w:r>
        <w:rPr>
          <w:rFonts w:cs="Arial"/>
        </w:rPr>
        <w:t>.</w:t>
      </w:r>
    </w:p>
    <w:p w14:paraId="65CF3A2E" w14:textId="06DDB52F" w:rsidR="00857BC3" w:rsidRPr="00857BC3" w:rsidRDefault="00857BC3" w:rsidP="00BF38C2">
      <w:r w:rsidRPr="00197F47">
        <w:t xml:space="preserve">Co-investment for the capital works component </w:t>
      </w:r>
      <w:r w:rsidR="001E2ACB">
        <w:t>is</w:t>
      </w:r>
      <w:r w:rsidRPr="00197F47">
        <w:t xml:space="preserve"> strongly encouraged and evidence of capacity to deliver ongoing maintenance and FDV specialist services is required. Funding</w:t>
      </w:r>
      <w:r w:rsidRPr="00857BC3">
        <w:t xml:space="preserve"> sources (for both capital works and ongoing services) may include private or charitable contributions, the organisation’s own resources, or state, local or other Commonwealth government </w:t>
      </w:r>
      <w:r w:rsidR="0060474B">
        <w:t>sources</w:t>
      </w:r>
      <w:r w:rsidR="0060474B" w:rsidRPr="00857BC3">
        <w:t xml:space="preserve"> </w:t>
      </w:r>
      <w:r w:rsidRPr="00857BC3">
        <w:t>(for example, National Housing Finance and Investment Corporation (NHFIC) financing).</w:t>
      </w:r>
    </w:p>
    <w:p w14:paraId="5C996800" w14:textId="77777777" w:rsidR="00D7550A" w:rsidRPr="00A44CED" w:rsidRDefault="009D6CCB" w:rsidP="00EE3F58">
      <w:pPr>
        <w:pStyle w:val="Heading3"/>
        <w:ind w:left="567" w:hanging="567"/>
        <w:rPr>
          <w:rFonts w:cs="Arial"/>
        </w:rPr>
      </w:pPr>
      <w:r w:rsidRPr="00A44CED">
        <w:rPr>
          <w:rFonts w:cs="Arial"/>
        </w:rPr>
        <w:t xml:space="preserve">Funding </w:t>
      </w:r>
      <w:r w:rsidR="000C1345" w:rsidRPr="00A44CED">
        <w:rPr>
          <w:rFonts w:cs="Arial"/>
        </w:rPr>
        <w:t>approach</w:t>
      </w:r>
    </w:p>
    <w:p w14:paraId="04379F85" w14:textId="7D57390C" w:rsidR="007F5EDC" w:rsidRPr="00A44CED" w:rsidRDefault="00D7550A" w:rsidP="00AC78C6">
      <w:pPr>
        <w:tabs>
          <w:tab w:val="num" w:pos="709"/>
        </w:tabs>
        <w:ind w:right="-46"/>
        <w:rPr>
          <w:rFonts w:cs="Arial"/>
        </w:rPr>
      </w:pPr>
      <w:r w:rsidRPr="00A44CED">
        <w:rPr>
          <w:rFonts w:cs="Arial"/>
        </w:rPr>
        <w:t xml:space="preserve">The Government has identified </w:t>
      </w:r>
      <w:r w:rsidR="009D6CCB" w:rsidRPr="00A44CED">
        <w:rPr>
          <w:rFonts w:cs="Arial"/>
        </w:rPr>
        <w:t xml:space="preserve">the need for </w:t>
      </w:r>
      <w:r w:rsidR="00C94604" w:rsidRPr="00A44CED">
        <w:rPr>
          <w:rFonts w:cs="Arial"/>
        </w:rPr>
        <w:t xml:space="preserve">more flexible </w:t>
      </w:r>
      <w:r w:rsidR="009D6CCB" w:rsidRPr="00A44CED">
        <w:rPr>
          <w:rFonts w:cs="Arial"/>
        </w:rPr>
        <w:t xml:space="preserve">funding approaches for </w:t>
      </w:r>
      <w:r w:rsidR="00FA036B" w:rsidRPr="00A44CED">
        <w:rPr>
          <w:rFonts w:cs="Arial"/>
        </w:rPr>
        <w:t>FDV</w:t>
      </w:r>
      <w:r w:rsidR="00BE40A0" w:rsidRPr="00A44CED">
        <w:rPr>
          <w:rFonts w:cs="Arial"/>
        </w:rPr>
        <w:t xml:space="preserve"> </w:t>
      </w:r>
      <w:r w:rsidR="009D6CCB" w:rsidRPr="00A44CED">
        <w:rPr>
          <w:rFonts w:cs="Arial"/>
        </w:rPr>
        <w:t xml:space="preserve">accommodation, based on the differing needs, costs and cohorts of local communities. </w:t>
      </w:r>
      <w:r w:rsidRPr="00A44CED">
        <w:rPr>
          <w:rFonts w:cs="Arial"/>
        </w:rPr>
        <w:t xml:space="preserve"> </w:t>
      </w:r>
      <w:r w:rsidR="004774E1" w:rsidRPr="00A44CED">
        <w:rPr>
          <w:rFonts w:cs="Arial"/>
        </w:rPr>
        <w:t xml:space="preserve">Under </w:t>
      </w:r>
      <w:r w:rsidR="00C85D92" w:rsidRPr="00A44CED">
        <w:rPr>
          <w:rFonts w:cs="Arial"/>
        </w:rPr>
        <w:t xml:space="preserve">the </w:t>
      </w:r>
      <w:r w:rsidR="00284009">
        <w:rPr>
          <w:rFonts w:cs="Arial"/>
        </w:rPr>
        <w:t>Inclusion</w:t>
      </w:r>
      <w:r w:rsidR="00C85D92" w:rsidRPr="00A44CED">
        <w:rPr>
          <w:rFonts w:cs="Arial"/>
        </w:rPr>
        <w:t xml:space="preserve"> Round</w:t>
      </w:r>
      <w:r w:rsidR="004774E1" w:rsidRPr="00A44CED">
        <w:rPr>
          <w:rFonts w:cs="Arial"/>
        </w:rPr>
        <w:t xml:space="preserve">, the Government is considering providing </w:t>
      </w:r>
      <w:r w:rsidR="00A91004">
        <w:rPr>
          <w:rFonts w:cs="Arial"/>
        </w:rPr>
        <w:t xml:space="preserve">grant funding </w:t>
      </w:r>
      <w:r w:rsidR="00D872D5">
        <w:rPr>
          <w:rFonts w:cs="Arial"/>
        </w:rPr>
        <w:t xml:space="preserve">of </w:t>
      </w:r>
      <w:r w:rsidR="000900B0">
        <w:rPr>
          <w:rFonts w:cs="Arial"/>
        </w:rPr>
        <w:t xml:space="preserve">generally </w:t>
      </w:r>
      <w:r w:rsidR="002C3476" w:rsidRPr="00A44CED">
        <w:rPr>
          <w:rFonts w:cs="Arial"/>
        </w:rPr>
        <w:t xml:space="preserve">between $500,000 </w:t>
      </w:r>
      <w:r w:rsidR="004774E1" w:rsidRPr="00A44CED">
        <w:rPr>
          <w:rFonts w:cs="Arial"/>
        </w:rPr>
        <w:t>and $8 million</w:t>
      </w:r>
      <w:r w:rsidR="00A91004">
        <w:rPr>
          <w:rFonts w:cs="Arial"/>
        </w:rPr>
        <w:t xml:space="preserve"> </w:t>
      </w:r>
      <w:r w:rsidR="002C3476" w:rsidRPr="00A44CED">
        <w:rPr>
          <w:rFonts w:cs="Arial"/>
        </w:rPr>
        <w:t>per project.</w:t>
      </w:r>
    </w:p>
    <w:p w14:paraId="64EF6AC9" w14:textId="4CFCBDF3" w:rsidR="00924C5C" w:rsidRPr="00A44CED" w:rsidRDefault="004D3734" w:rsidP="00156197">
      <w:pPr>
        <w:pStyle w:val="TableContent"/>
      </w:pPr>
      <w:r w:rsidRPr="00A44CED">
        <w:t xml:space="preserve">Grant funding under the </w:t>
      </w:r>
      <w:r w:rsidR="00284009">
        <w:t>Inclusion</w:t>
      </w:r>
      <w:r w:rsidRPr="00A44CED">
        <w:t xml:space="preserve"> Round </w:t>
      </w:r>
      <w:r w:rsidR="00B41A75">
        <w:t>may</w:t>
      </w:r>
      <w:r w:rsidRPr="00A44CED">
        <w:t xml:space="preserve"> allow for</w:t>
      </w:r>
      <w:r w:rsidR="00924C5C" w:rsidRPr="00A44CED">
        <w:t>:</w:t>
      </w:r>
    </w:p>
    <w:p w14:paraId="112C34BB" w14:textId="0BFEBE87" w:rsidR="003A7A63" w:rsidRPr="00A44CED" w:rsidRDefault="00775C35" w:rsidP="00197F47">
      <w:pPr>
        <w:pStyle w:val="ListParagraph"/>
        <w:numPr>
          <w:ilvl w:val="0"/>
          <w:numId w:val="81"/>
        </w:numPr>
        <w:rPr>
          <w:rFonts w:cs="Arial"/>
        </w:rPr>
      </w:pPr>
      <w:r>
        <w:rPr>
          <w:rFonts w:cs="Arial"/>
        </w:rPr>
        <w:t>small-scale projects</w:t>
      </w:r>
      <w:r w:rsidR="00056EBB">
        <w:rPr>
          <w:rFonts w:cs="Arial"/>
        </w:rPr>
        <w:t>,</w:t>
      </w:r>
      <w:r>
        <w:rPr>
          <w:rFonts w:cs="Arial"/>
        </w:rPr>
        <w:t xml:space="preserve"> for example </w:t>
      </w:r>
      <w:r w:rsidR="003A7A63" w:rsidRPr="00A44CED">
        <w:rPr>
          <w:rFonts w:cs="Arial"/>
        </w:rPr>
        <w:t>emergency accommodation only proposals</w:t>
      </w:r>
    </w:p>
    <w:p w14:paraId="43A159EF" w14:textId="7DBA6950" w:rsidR="00E31DFE" w:rsidRDefault="00BB0D01" w:rsidP="00197F47">
      <w:pPr>
        <w:pStyle w:val="ListParagraph"/>
        <w:numPr>
          <w:ilvl w:val="0"/>
          <w:numId w:val="81"/>
        </w:numPr>
        <w:rPr>
          <w:rFonts w:cs="Arial"/>
        </w:rPr>
      </w:pPr>
      <w:r w:rsidRPr="00A44CED">
        <w:rPr>
          <w:rFonts w:cs="Arial"/>
        </w:rPr>
        <w:lastRenderedPageBreak/>
        <w:t xml:space="preserve">mixed-use </w:t>
      </w:r>
      <w:r w:rsidR="00DD5341" w:rsidRPr="00A44CED">
        <w:rPr>
          <w:rFonts w:cs="Arial"/>
        </w:rPr>
        <w:t xml:space="preserve">proposals </w:t>
      </w:r>
      <w:r w:rsidR="007F5EDC" w:rsidRPr="00A44CED">
        <w:rPr>
          <w:rFonts w:cs="Arial"/>
        </w:rPr>
        <w:t>where emergency accommodation is combined with longer</w:t>
      </w:r>
      <w:r w:rsidR="007F5EDC" w:rsidRPr="00A44CED">
        <w:rPr>
          <w:rFonts w:cs="Arial"/>
        </w:rPr>
        <w:noBreakHyphen/>
        <w:t>term social or community housing</w:t>
      </w:r>
      <w:r w:rsidR="003725FE" w:rsidRPr="00A44CED">
        <w:rPr>
          <w:rFonts w:cs="Arial"/>
        </w:rPr>
        <w:t xml:space="preserve"> which is</w:t>
      </w:r>
      <w:r w:rsidR="007F5EDC" w:rsidRPr="00A44CED">
        <w:rPr>
          <w:rFonts w:cs="Arial"/>
        </w:rPr>
        <w:t xml:space="preserve"> funded</w:t>
      </w:r>
      <w:r w:rsidR="003A7A63" w:rsidRPr="00A44CED">
        <w:rPr>
          <w:rFonts w:cs="Arial"/>
        </w:rPr>
        <w:t xml:space="preserve"> or financed</w:t>
      </w:r>
      <w:r w:rsidR="007F5EDC" w:rsidRPr="00A44CED">
        <w:rPr>
          <w:rFonts w:cs="Arial"/>
        </w:rPr>
        <w:t xml:space="preserve"> by </w:t>
      </w:r>
      <w:r w:rsidR="00371DD6" w:rsidRPr="00A44CED">
        <w:rPr>
          <w:rFonts w:cs="Arial"/>
        </w:rPr>
        <w:t>states</w:t>
      </w:r>
      <w:r w:rsidR="00E74CBF" w:rsidRPr="00A44CED">
        <w:rPr>
          <w:rFonts w:cs="Arial"/>
        </w:rPr>
        <w:t xml:space="preserve">, </w:t>
      </w:r>
      <w:r w:rsidR="003A7A63" w:rsidRPr="00A44CED">
        <w:rPr>
          <w:rFonts w:cs="Arial"/>
        </w:rPr>
        <w:t>NHFIC</w:t>
      </w:r>
      <w:r w:rsidR="003725FE" w:rsidRPr="00A44CED">
        <w:rPr>
          <w:rFonts w:cs="Arial"/>
        </w:rPr>
        <w:t xml:space="preserve"> </w:t>
      </w:r>
      <w:r w:rsidR="007F5EDC" w:rsidRPr="00A44CED">
        <w:rPr>
          <w:rFonts w:cs="Arial"/>
        </w:rPr>
        <w:t>or third parties (e.g. non-government organisations</w:t>
      </w:r>
      <w:r w:rsidR="003A7A63" w:rsidRPr="00A44CED">
        <w:rPr>
          <w:rFonts w:cs="Arial"/>
        </w:rPr>
        <w:t>,</w:t>
      </w:r>
      <w:r w:rsidR="007F5EDC" w:rsidRPr="00A44CED">
        <w:rPr>
          <w:rFonts w:cs="Arial"/>
        </w:rPr>
        <w:t xml:space="preserve"> philanthropic</w:t>
      </w:r>
      <w:r w:rsidR="003A7A63" w:rsidRPr="00A44CED">
        <w:rPr>
          <w:rFonts w:cs="Arial"/>
        </w:rPr>
        <w:t xml:space="preserve"> and private</w:t>
      </w:r>
      <w:r w:rsidR="007F5EDC" w:rsidRPr="00A44CED">
        <w:rPr>
          <w:rFonts w:cs="Arial"/>
        </w:rPr>
        <w:t xml:space="preserve"> sector</w:t>
      </w:r>
      <w:r w:rsidR="003A7A63" w:rsidRPr="00A44CED">
        <w:rPr>
          <w:rFonts w:cs="Arial"/>
        </w:rPr>
        <w:t>s</w:t>
      </w:r>
      <w:r w:rsidR="007F5EDC" w:rsidRPr="00A44CED">
        <w:rPr>
          <w:rFonts w:cs="Arial"/>
        </w:rPr>
        <w:t>)</w:t>
      </w:r>
    </w:p>
    <w:p w14:paraId="74C2DBC9" w14:textId="41885762" w:rsidR="00884334" w:rsidRPr="00E31DFE" w:rsidRDefault="003A7A63" w:rsidP="00197F47">
      <w:pPr>
        <w:pStyle w:val="ListParagraph"/>
        <w:numPr>
          <w:ilvl w:val="1"/>
          <w:numId w:val="81"/>
        </w:numPr>
        <w:ind w:left="1134" w:hanging="425"/>
        <w:rPr>
          <w:rFonts w:cs="Arial"/>
        </w:rPr>
      </w:pPr>
      <w:r w:rsidRPr="00E31DFE">
        <w:rPr>
          <w:rFonts w:cs="Arial"/>
        </w:rPr>
        <w:t xml:space="preserve">grant </w:t>
      </w:r>
      <w:r w:rsidR="000D6096" w:rsidRPr="00E31DFE">
        <w:rPr>
          <w:rFonts w:cs="Arial"/>
        </w:rPr>
        <w:t>funding would be available to support the delivery of emergency accommodation and a proportionate contribut</w:t>
      </w:r>
      <w:r w:rsidR="00EF6937" w:rsidRPr="00E31DFE">
        <w:rPr>
          <w:rFonts w:cs="Arial"/>
        </w:rPr>
        <w:t>ion</w:t>
      </w:r>
      <w:r w:rsidR="000D6096" w:rsidRPr="00E31DFE">
        <w:rPr>
          <w:rFonts w:cs="Arial"/>
        </w:rPr>
        <w:t xml:space="preserve"> to shared amenities only</w:t>
      </w:r>
      <w:r w:rsidRPr="00E31DFE">
        <w:rPr>
          <w:rFonts w:cs="Arial"/>
        </w:rPr>
        <w:t>.</w:t>
      </w:r>
    </w:p>
    <w:p w14:paraId="727692F2" w14:textId="7219FE1C" w:rsidR="00924C5C" w:rsidRPr="00D56730" w:rsidRDefault="00924C5C" w:rsidP="00924C5C">
      <w:pPr>
        <w:ind w:right="-46"/>
        <w:rPr>
          <w:rFonts w:cs="Arial"/>
        </w:rPr>
      </w:pPr>
      <w:r w:rsidRPr="00A44CED">
        <w:rPr>
          <w:rFonts w:cs="Arial"/>
        </w:rPr>
        <w:t xml:space="preserve">This approach aligns with National Plan Response Pillar focus area 3, which encourages enhanced linkages between emergency accommodation, transitional housing and long-term </w:t>
      </w:r>
      <w:r w:rsidRPr="00D56730">
        <w:rPr>
          <w:rFonts w:cs="Arial"/>
        </w:rPr>
        <w:t xml:space="preserve">housing to support women and children </w:t>
      </w:r>
      <w:r w:rsidR="004D3734" w:rsidRPr="00D56730">
        <w:rPr>
          <w:rFonts w:cs="Arial"/>
        </w:rPr>
        <w:t xml:space="preserve">leaving FDV </w:t>
      </w:r>
      <w:r w:rsidRPr="00D56730">
        <w:rPr>
          <w:rFonts w:cs="Arial"/>
        </w:rPr>
        <w:t>through the continuum of housing needs through to the recovery stage.</w:t>
      </w:r>
    </w:p>
    <w:p w14:paraId="49F04187" w14:textId="282E90EF" w:rsidR="007A4508" w:rsidRPr="00D56730" w:rsidRDefault="00C85D92" w:rsidP="00156197">
      <w:pPr>
        <w:pStyle w:val="TableContent"/>
      </w:pPr>
      <w:r w:rsidRPr="00D56730">
        <w:t xml:space="preserve">The </w:t>
      </w:r>
      <w:r w:rsidR="00284009" w:rsidRPr="00D56730">
        <w:t>Inclusion</w:t>
      </w:r>
      <w:r w:rsidRPr="00D56730">
        <w:t xml:space="preserve"> Round</w:t>
      </w:r>
      <w:r w:rsidR="007A4508" w:rsidRPr="00D56730">
        <w:t xml:space="preserve"> grant </w:t>
      </w:r>
      <w:r w:rsidR="00622B57" w:rsidRPr="00D56730">
        <w:t xml:space="preserve">funding </w:t>
      </w:r>
      <w:r w:rsidR="007A4508" w:rsidRPr="00D56730">
        <w:t xml:space="preserve">will be </w:t>
      </w:r>
      <w:r w:rsidR="00622B57" w:rsidRPr="00D56730">
        <w:t xml:space="preserve">released </w:t>
      </w:r>
      <w:r w:rsidR="007A4508" w:rsidRPr="00D56730">
        <w:t>by milestone</w:t>
      </w:r>
      <w:r w:rsidR="00371DD6" w:rsidRPr="00D56730">
        <w:t>s</w:t>
      </w:r>
      <w:r w:rsidR="007A4508" w:rsidRPr="00D56730">
        <w:t>, with payments made on</w:t>
      </w:r>
      <w:r w:rsidR="002C3476" w:rsidRPr="00D56730">
        <w:t> </w:t>
      </w:r>
      <w:r w:rsidR="007A4508" w:rsidRPr="00D56730">
        <w:t>completion of key project milestones.</w:t>
      </w:r>
      <w:r w:rsidR="00077F44" w:rsidRPr="00D56730">
        <w:t xml:space="preserve"> </w:t>
      </w:r>
      <w:r w:rsidR="00506C9D" w:rsidRPr="00D56730">
        <w:t>T</w:t>
      </w:r>
      <w:r w:rsidR="007A4508" w:rsidRPr="00D56730">
        <w:t xml:space="preserve">he </w:t>
      </w:r>
      <w:r w:rsidR="004D3734" w:rsidRPr="00D56730">
        <w:t>f</w:t>
      </w:r>
      <w:r w:rsidR="007A4508" w:rsidRPr="00D56730">
        <w:t>ollowing milestone structure</w:t>
      </w:r>
      <w:r w:rsidR="004D3734" w:rsidRPr="00D56730">
        <w:t xml:space="preserve"> is proposed</w:t>
      </w:r>
      <w:r w:rsidR="0053224D" w:rsidRPr="00D56730">
        <w:t xml:space="preserve"> as a standard approach</w:t>
      </w:r>
      <w:r w:rsidR="007A4508" w:rsidRPr="00D56730">
        <w:t>:</w:t>
      </w:r>
    </w:p>
    <w:p w14:paraId="210EBC60" w14:textId="50974BD0" w:rsidR="00622B57" w:rsidRPr="00D56730" w:rsidRDefault="007A4508" w:rsidP="00197F47">
      <w:pPr>
        <w:pStyle w:val="ListParagraph"/>
        <w:numPr>
          <w:ilvl w:val="0"/>
          <w:numId w:val="81"/>
        </w:numPr>
        <w:rPr>
          <w:rFonts w:cs="Arial"/>
        </w:rPr>
      </w:pPr>
      <w:r w:rsidRPr="00D56730">
        <w:rPr>
          <w:rFonts w:cs="Arial"/>
        </w:rPr>
        <w:t xml:space="preserve">Signing of a Grant Agreement – 20% initial payment </w:t>
      </w:r>
    </w:p>
    <w:p w14:paraId="4D5D6AAB" w14:textId="77777777" w:rsidR="00622B57" w:rsidRPr="00D56730" w:rsidRDefault="00622B57" w:rsidP="00197F47">
      <w:pPr>
        <w:pStyle w:val="ListParagraph"/>
        <w:numPr>
          <w:ilvl w:val="0"/>
          <w:numId w:val="81"/>
        </w:numPr>
        <w:rPr>
          <w:rFonts w:cs="Arial"/>
        </w:rPr>
      </w:pPr>
      <w:r w:rsidRPr="00D56730">
        <w:rPr>
          <w:rFonts w:cs="Arial"/>
        </w:rPr>
        <w:t>Base and Frame – 50% payment</w:t>
      </w:r>
    </w:p>
    <w:p w14:paraId="13D1FA04" w14:textId="77777777" w:rsidR="00622B57" w:rsidRPr="00D56730" w:rsidRDefault="007A4508" w:rsidP="00197F47">
      <w:pPr>
        <w:pStyle w:val="ListParagraph"/>
        <w:numPr>
          <w:ilvl w:val="0"/>
          <w:numId w:val="81"/>
        </w:numPr>
        <w:rPr>
          <w:rFonts w:cs="Arial"/>
        </w:rPr>
      </w:pPr>
      <w:r w:rsidRPr="00D56730">
        <w:rPr>
          <w:rFonts w:cs="Arial"/>
        </w:rPr>
        <w:t>Lock-up – 20% payment</w:t>
      </w:r>
    </w:p>
    <w:p w14:paraId="79712166" w14:textId="77777777" w:rsidR="007A4508" w:rsidRPr="00D56730" w:rsidRDefault="007A4508" w:rsidP="00197F47">
      <w:pPr>
        <w:pStyle w:val="ListParagraph"/>
        <w:numPr>
          <w:ilvl w:val="0"/>
          <w:numId w:val="81"/>
        </w:numPr>
        <w:rPr>
          <w:rFonts w:cs="Arial"/>
        </w:rPr>
      </w:pPr>
      <w:r w:rsidRPr="00D56730">
        <w:rPr>
          <w:rFonts w:cs="Arial"/>
        </w:rPr>
        <w:t>Occupancy Permit</w:t>
      </w:r>
      <w:r w:rsidR="00622B57" w:rsidRPr="00D56730">
        <w:rPr>
          <w:rFonts w:cs="Arial"/>
        </w:rPr>
        <w:t xml:space="preserve"> and confirmation of FDV wrap-around service access</w:t>
      </w:r>
      <w:r w:rsidR="00827A94" w:rsidRPr="00D56730">
        <w:rPr>
          <w:rFonts w:cs="Arial"/>
        </w:rPr>
        <w:t xml:space="preserve"> for clients</w:t>
      </w:r>
      <w:r w:rsidRPr="00D56730">
        <w:rPr>
          <w:rFonts w:cs="Arial"/>
        </w:rPr>
        <w:t xml:space="preserve"> – final 10% payment</w:t>
      </w:r>
    </w:p>
    <w:p w14:paraId="288FFCD0" w14:textId="23843C78" w:rsidR="00077F44" w:rsidRPr="00A44CED" w:rsidRDefault="0053224D" w:rsidP="00D9061A">
      <w:pPr>
        <w:ind w:right="-46"/>
        <w:rPr>
          <w:rFonts w:cs="Arial"/>
        </w:rPr>
      </w:pPr>
      <w:r w:rsidRPr="00D56730">
        <w:rPr>
          <w:rFonts w:cs="Arial"/>
        </w:rPr>
        <w:t>The Government is open to</w:t>
      </w:r>
      <w:r w:rsidR="00EF6937" w:rsidRPr="00D56730">
        <w:rPr>
          <w:rFonts w:cs="Arial"/>
        </w:rPr>
        <w:t xml:space="preserve"> </w:t>
      </w:r>
      <w:r w:rsidR="00077F44" w:rsidRPr="00D56730">
        <w:rPr>
          <w:rFonts w:cs="Arial"/>
        </w:rPr>
        <w:t>tailored funding agreements</w:t>
      </w:r>
      <w:r w:rsidRPr="00D56730">
        <w:rPr>
          <w:rFonts w:cs="Arial"/>
        </w:rPr>
        <w:t xml:space="preserve"> where projects require more flexibility</w:t>
      </w:r>
      <w:r w:rsidR="00077F44" w:rsidRPr="00D56730">
        <w:rPr>
          <w:rFonts w:cs="Arial"/>
        </w:rPr>
        <w:t>.</w:t>
      </w:r>
    </w:p>
    <w:p w14:paraId="48D696E9" w14:textId="712B8B63" w:rsidR="004B6EA1" w:rsidRPr="00A44CED" w:rsidRDefault="004B6EA1" w:rsidP="00EC4525">
      <w:pPr>
        <w:pStyle w:val="Heading4"/>
        <w:ind w:left="851" w:hanging="851"/>
      </w:pPr>
      <w:r w:rsidRPr="00A44CED">
        <w:t xml:space="preserve">Development </w:t>
      </w:r>
      <w:r w:rsidR="00D77F48">
        <w:t>Period</w:t>
      </w:r>
      <w:r w:rsidR="000A0C64">
        <w:t>s</w:t>
      </w:r>
      <w:r w:rsidR="00D77F48">
        <w:t xml:space="preserve"> </w:t>
      </w:r>
    </w:p>
    <w:p w14:paraId="62C0CA02" w14:textId="35F02F9E" w:rsidR="005C0BA4" w:rsidRDefault="00D77F48" w:rsidP="006F4A14">
      <w:r>
        <w:t xml:space="preserve">The Government recognises some organisations </w:t>
      </w:r>
      <w:r w:rsidR="001B04AF">
        <w:t>have viable proposals</w:t>
      </w:r>
      <w:r w:rsidR="002F45AB">
        <w:t xml:space="preserve"> </w:t>
      </w:r>
      <w:r w:rsidR="003656A6">
        <w:t>but</w:t>
      </w:r>
      <w:r w:rsidR="006F4A14" w:rsidRPr="002E3734">
        <w:rPr>
          <w:rFonts w:cs="Arial"/>
        </w:rPr>
        <w:t xml:space="preserve"> may require additional </w:t>
      </w:r>
      <w:r w:rsidR="00663372">
        <w:rPr>
          <w:rFonts w:cs="Arial"/>
        </w:rPr>
        <w:t>time</w:t>
      </w:r>
      <w:r w:rsidR="00663372" w:rsidRPr="002E3734">
        <w:rPr>
          <w:rFonts w:cs="Arial"/>
        </w:rPr>
        <w:t xml:space="preserve"> </w:t>
      </w:r>
      <w:r w:rsidR="006F4A14" w:rsidRPr="002E3734">
        <w:rPr>
          <w:rFonts w:cs="Arial"/>
        </w:rPr>
        <w:t>to</w:t>
      </w:r>
      <w:r w:rsidR="006F4A14">
        <w:t xml:space="preserve"> </w:t>
      </w:r>
      <w:r w:rsidR="006F4A14" w:rsidRPr="00EE290E">
        <w:rPr>
          <w:rFonts w:cs="Arial"/>
        </w:rPr>
        <w:t>develop a high-quality and competitive proposal</w:t>
      </w:r>
      <w:r>
        <w:t xml:space="preserve">. </w:t>
      </w:r>
    </w:p>
    <w:p w14:paraId="6314126D" w14:textId="7EC0C97D" w:rsidR="004B6EA1" w:rsidRDefault="00FD5010" w:rsidP="006F4A14">
      <w:r>
        <w:t>S</w:t>
      </w:r>
      <w:r w:rsidRPr="00D77F48">
        <w:t>ubject to funding availability</w:t>
      </w:r>
      <w:r>
        <w:t>,</w:t>
      </w:r>
      <w:r w:rsidR="00D60DBF">
        <w:t xml:space="preserve"> </w:t>
      </w:r>
      <w:r w:rsidR="00D872D5">
        <w:t>i.e.</w:t>
      </w:r>
      <w:r w:rsidR="00D60DBF">
        <w:t xml:space="preserve"> </w:t>
      </w:r>
      <w:r w:rsidR="00D60DBF">
        <w:rPr>
          <w:rFonts w:cs="Times New Roman"/>
        </w:rPr>
        <w:t>should there be funding remaining after fully developed grant proposals are assessed,</w:t>
      </w:r>
      <w:r>
        <w:t xml:space="preserve"> </w:t>
      </w:r>
      <w:r w:rsidR="000E7486">
        <w:t>organisations</w:t>
      </w:r>
      <w:r w:rsidR="005C0BA4">
        <w:t xml:space="preserve"> may be awarded </w:t>
      </w:r>
      <w:r w:rsidR="000E7486">
        <w:t>a</w:t>
      </w:r>
      <w:r w:rsidR="00D77F48">
        <w:t xml:space="preserve">dditional </w:t>
      </w:r>
      <w:r w:rsidR="00AB0922">
        <w:t xml:space="preserve">time </w:t>
      </w:r>
      <w:r w:rsidR="00332036">
        <w:t xml:space="preserve">to </w:t>
      </w:r>
      <w:r w:rsidR="00332036">
        <w:rPr>
          <w:rFonts w:cs="Arial"/>
        </w:rPr>
        <w:t>finalise their proposal</w:t>
      </w:r>
      <w:r w:rsidR="00332036" w:rsidRPr="005C0BA4">
        <w:t xml:space="preserve"> </w:t>
      </w:r>
      <w:r w:rsidR="00332036">
        <w:t xml:space="preserve">to be competitive for a full grant </w:t>
      </w:r>
      <w:r w:rsidR="006F4A14">
        <w:t xml:space="preserve">through a </w:t>
      </w:r>
      <w:r w:rsidR="001B04AF" w:rsidRPr="00A44CED">
        <w:t xml:space="preserve">Development </w:t>
      </w:r>
      <w:r w:rsidR="006F4A14">
        <w:t>Period</w:t>
      </w:r>
      <w:r w:rsidR="001B04AF">
        <w:t xml:space="preserve"> </w:t>
      </w:r>
      <w:r w:rsidR="00AB0922">
        <w:t xml:space="preserve">of up to </w:t>
      </w:r>
      <w:r w:rsidR="003D261D">
        <w:t>6</w:t>
      </w:r>
      <w:r w:rsidR="00AB0922">
        <w:t xml:space="preserve"> months</w:t>
      </w:r>
      <w:r w:rsidR="00D77F48">
        <w:t>.</w:t>
      </w:r>
      <w:r w:rsidR="004D7BFA">
        <w:t xml:space="preserve"> </w:t>
      </w:r>
      <w:r w:rsidR="005C0BA4">
        <w:rPr>
          <w:rFonts w:cs="Arial"/>
        </w:rPr>
        <w:t>This</w:t>
      </w:r>
      <w:r w:rsidR="00332036">
        <w:rPr>
          <w:rFonts w:cs="Arial"/>
        </w:rPr>
        <w:t xml:space="preserve"> would provide additional time for organisations to obtain planning and development approvals and</w:t>
      </w:r>
      <w:r w:rsidR="005C0BA4">
        <w:rPr>
          <w:rFonts w:cs="Arial"/>
        </w:rPr>
        <w:t> </w:t>
      </w:r>
      <w:r w:rsidR="003656A6">
        <w:rPr>
          <w:rFonts w:cs="Arial"/>
        </w:rPr>
        <w:t>aims to</w:t>
      </w:r>
      <w:r w:rsidR="006F4A14" w:rsidRPr="006F4A14">
        <w:rPr>
          <w:rFonts w:cs="Arial"/>
        </w:rPr>
        <w:t xml:space="preserve"> </w:t>
      </w:r>
      <w:r w:rsidR="006F4A14" w:rsidRPr="00A44CED">
        <w:rPr>
          <w:rFonts w:cs="Arial"/>
        </w:rPr>
        <w:t xml:space="preserve">mitigate implementation risks </w:t>
      </w:r>
      <w:r w:rsidR="003656A6">
        <w:rPr>
          <w:rFonts w:cs="Arial"/>
        </w:rPr>
        <w:t>for</w:t>
      </w:r>
      <w:r w:rsidR="006F4A14" w:rsidRPr="00A44CED">
        <w:rPr>
          <w:rFonts w:cs="Arial"/>
        </w:rPr>
        <w:t xml:space="preserve"> delivery timeframes and budgets</w:t>
      </w:r>
      <w:r w:rsidR="006F4A14">
        <w:t>.</w:t>
      </w:r>
    </w:p>
    <w:p w14:paraId="1D2C0661" w14:textId="2251EC01" w:rsidR="004D764F" w:rsidRDefault="00AF6EBF" w:rsidP="00862ACC">
      <w:pPr>
        <w:rPr>
          <w:rFonts w:cs="Arial"/>
        </w:rPr>
      </w:pPr>
      <w:r>
        <w:t>If award</w:t>
      </w:r>
      <w:r w:rsidR="00BF3C24">
        <w:t>ed,</w:t>
      </w:r>
      <w:r>
        <w:t xml:space="preserve"> </w:t>
      </w:r>
      <w:r w:rsidR="001B04AF" w:rsidRPr="00A44CED">
        <w:t xml:space="preserve">Development </w:t>
      </w:r>
      <w:r w:rsidR="001B04AF">
        <w:t>Period r</w:t>
      </w:r>
      <w:r w:rsidR="001B04AF">
        <w:rPr>
          <w:rFonts w:cs="Arial"/>
        </w:rPr>
        <w:t xml:space="preserve">ecipients </w:t>
      </w:r>
      <w:r w:rsidR="00D60DBF">
        <w:rPr>
          <w:rFonts w:cs="Arial"/>
        </w:rPr>
        <w:t>would</w:t>
      </w:r>
      <w:r w:rsidR="00D60DBF" w:rsidRPr="00A44CED">
        <w:rPr>
          <w:rFonts w:cs="Arial"/>
        </w:rPr>
        <w:t xml:space="preserve"> </w:t>
      </w:r>
      <w:r w:rsidR="00E06DAA" w:rsidRPr="00A44CED">
        <w:rPr>
          <w:rFonts w:cs="Arial"/>
        </w:rPr>
        <w:t xml:space="preserve">be invited to apply for a full grant under a targeted competitive capital grant opportunity where their proposal </w:t>
      </w:r>
      <w:r w:rsidR="00D60DBF">
        <w:rPr>
          <w:rFonts w:cs="Arial"/>
        </w:rPr>
        <w:t>would</w:t>
      </w:r>
      <w:r w:rsidR="00D60DBF" w:rsidRPr="00A44CED">
        <w:rPr>
          <w:rFonts w:cs="Arial"/>
        </w:rPr>
        <w:t xml:space="preserve"> </w:t>
      </w:r>
      <w:r w:rsidR="00E06DAA" w:rsidRPr="00A44CED">
        <w:rPr>
          <w:rFonts w:cs="Arial"/>
        </w:rPr>
        <w:t xml:space="preserve">be assessed as suitable or not suitable. </w:t>
      </w:r>
    </w:p>
    <w:p w14:paraId="5817BB49" w14:textId="0A2FFA95" w:rsidR="00A16479" w:rsidRDefault="00D60DBF" w:rsidP="00862ACC">
      <w:pPr>
        <w:rPr>
          <w:rFonts w:cs="Arial"/>
        </w:rPr>
      </w:pPr>
      <w:r>
        <w:rPr>
          <w:rFonts w:cs="Arial"/>
        </w:rPr>
        <w:t xml:space="preserve">Any </w:t>
      </w:r>
      <w:r w:rsidR="004D764F" w:rsidRPr="00A44CED">
        <w:t xml:space="preserve">Development </w:t>
      </w:r>
      <w:r w:rsidR="004D764F">
        <w:t>Period</w:t>
      </w:r>
      <w:r w:rsidR="00C470C0">
        <w:t xml:space="preserve"> </w:t>
      </w:r>
      <w:r w:rsidR="004D764F">
        <w:t>r</w:t>
      </w:r>
      <w:r w:rsidR="004D764F">
        <w:rPr>
          <w:rFonts w:cs="Arial"/>
        </w:rPr>
        <w:t xml:space="preserve">ecipients </w:t>
      </w:r>
      <w:r>
        <w:rPr>
          <w:rFonts w:cs="Arial"/>
        </w:rPr>
        <w:t>would</w:t>
      </w:r>
      <w:r w:rsidRPr="00A44CED">
        <w:rPr>
          <w:rFonts w:cs="Arial"/>
        </w:rPr>
        <w:t xml:space="preserve"> </w:t>
      </w:r>
      <w:r w:rsidR="004B6EA1" w:rsidRPr="00A44CED">
        <w:rPr>
          <w:rFonts w:cs="Arial"/>
        </w:rPr>
        <w:t>not</w:t>
      </w:r>
      <w:r>
        <w:rPr>
          <w:rFonts w:cs="Arial"/>
        </w:rPr>
        <w:t xml:space="preserve"> be</w:t>
      </w:r>
      <w:r w:rsidR="004B6EA1" w:rsidRPr="00A44CED">
        <w:rPr>
          <w:rFonts w:cs="Arial"/>
        </w:rPr>
        <w:t xml:space="preserve"> guaranteed full grant funding to deliver their proposal</w:t>
      </w:r>
      <w:r w:rsidR="00663372">
        <w:rPr>
          <w:rFonts w:cs="Arial"/>
        </w:rPr>
        <w:t>, prior to their full grant being assessed</w:t>
      </w:r>
      <w:r w:rsidR="00C470C0">
        <w:rPr>
          <w:rFonts w:cs="Arial"/>
        </w:rPr>
        <w:t xml:space="preserve">. </w:t>
      </w:r>
    </w:p>
    <w:p w14:paraId="68A4847D" w14:textId="336B9639" w:rsidR="00276F61" w:rsidRPr="00675404" w:rsidRDefault="00276F61" w:rsidP="00167BF7">
      <w:pPr>
        <w:pStyle w:val="Heading5"/>
        <w:rPr>
          <w:color w:val="215868" w:themeColor="accent5" w:themeShade="80"/>
        </w:rPr>
      </w:pPr>
      <w:r w:rsidRPr="00675404">
        <w:rPr>
          <w:color w:val="215868" w:themeColor="accent5" w:themeShade="80"/>
        </w:rPr>
        <w:t>Questions:</w:t>
      </w:r>
    </w:p>
    <w:p w14:paraId="0A7BADE5" w14:textId="6ECDD9F7" w:rsidR="00276F61" w:rsidRPr="00675404" w:rsidRDefault="00276F61" w:rsidP="00276F61">
      <w:pPr>
        <w:pStyle w:val="BodyText"/>
        <w:numPr>
          <w:ilvl w:val="0"/>
          <w:numId w:val="18"/>
        </w:numPr>
        <w:ind w:left="463" w:hanging="415"/>
        <w:rPr>
          <w:rFonts w:cs="Arial"/>
          <w:b/>
          <w:color w:val="215868" w:themeColor="accent5" w:themeShade="80"/>
          <w:lang w:eastAsia="en-US"/>
        </w:rPr>
      </w:pPr>
      <w:r w:rsidRPr="00675404">
        <w:rPr>
          <w:rFonts w:cs="Arial"/>
          <w:b/>
          <w:color w:val="215868" w:themeColor="accent5" w:themeShade="80"/>
          <w:lang w:eastAsia="en-US"/>
        </w:rPr>
        <w:t xml:space="preserve">Are </w:t>
      </w:r>
      <w:r w:rsidR="000052F9">
        <w:rPr>
          <w:rFonts w:cs="Arial"/>
          <w:b/>
          <w:color w:val="215868" w:themeColor="accent5" w:themeShade="80"/>
          <w:lang w:eastAsia="en-US"/>
        </w:rPr>
        <w:t xml:space="preserve">the proposed </w:t>
      </w:r>
      <w:r w:rsidRPr="00675404">
        <w:rPr>
          <w:rFonts w:cs="Arial"/>
          <w:b/>
          <w:color w:val="215868" w:themeColor="accent5" w:themeShade="80"/>
          <w:lang w:eastAsia="en-US"/>
        </w:rPr>
        <w:t>funding amounts</w:t>
      </w:r>
      <w:r w:rsidR="00B439E9">
        <w:rPr>
          <w:rFonts w:cs="Arial"/>
          <w:b/>
          <w:color w:val="215868" w:themeColor="accent5" w:themeShade="80"/>
          <w:lang w:eastAsia="en-US"/>
        </w:rPr>
        <w:t xml:space="preserve"> of between $500,000 and $8 million per project appropriate</w:t>
      </w:r>
      <w:r w:rsidRPr="00675404">
        <w:rPr>
          <w:rFonts w:cs="Arial"/>
          <w:b/>
          <w:color w:val="215868" w:themeColor="accent5" w:themeShade="80"/>
          <w:lang w:eastAsia="en-US"/>
        </w:rPr>
        <w:t xml:space="preserve"> for </w:t>
      </w:r>
      <w:r w:rsidR="00284009">
        <w:rPr>
          <w:rFonts w:cs="Arial"/>
          <w:b/>
          <w:color w:val="215868" w:themeColor="accent5" w:themeShade="80"/>
          <w:lang w:eastAsia="en-US"/>
        </w:rPr>
        <w:t>Inclusion</w:t>
      </w:r>
      <w:r w:rsidRPr="00675404">
        <w:rPr>
          <w:rFonts w:cs="Arial"/>
          <w:b/>
          <w:color w:val="215868" w:themeColor="accent5" w:themeShade="80"/>
          <w:lang w:eastAsia="en-US"/>
        </w:rPr>
        <w:t xml:space="preserve"> Round</w:t>
      </w:r>
      <w:r w:rsidRPr="00675404">
        <w:rPr>
          <w:rFonts w:cs="Arial"/>
          <w:b/>
          <w:color w:val="215868" w:themeColor="accent5" w:themeShade="80"/>
        </w:rPr>
        <w:t xml:space="preserve"> </w:t>
      </w:r>
      <w:r w:rsidRPr="00675404">
        <w:rPr>
          <w:rFonts w:cs="Arial"/>
          <w:b/>
          <w:color w:val="215868" w:themeColor="accent5" w:themeShade="80"/>
          <w:lang w:eastAsia="en-US"/>
        </w:rPr>
        <w:t>grants</w:t>
      </w:r>
      <w:r w:rsidR="00B439E9">
        <w:rPr>
          <w:rFonts w:cs="Arial"/>
          <w:b/>
          <w:color w:val="215868" w:themeColor="accent5" w:themeShade="80"/>
          <w:lang w:eastAsia="en-US"/>
        </w:rPr>
        <w:t>?</w:t>
      </w:r>
    </w:p>
    <w:p w14:paraId="45CACEAE" w14:textId="3AC1C3D2" w:rsidR="00276F61" w:rsidRPr="00675404" w:rsidRDefault="00276F61" w:rsidP="00276F61">
      <w:pPr>
        <w:pStyle w:val="BodyText"/>
        <w:numPr>
          <w:ilvl w:val="0"/>
          <w:numId w:val="18"/>
        </w:numPr>
        <w:ind w:left="463" w:hanging="415"/>
        <w:rPr>
          <w:rFonts w:cs="Arial"/>
          <w:b/>
          <w:color w:val="215868" w:themeColor="accent5" w:themeShade="80"/>
        </w:rPr>
      </w:pPr>
      <w:r w:rsidRPr="00675404">
        <w:rPr>
          <w:rFonts w:cs="Arial"/>
          <w:b/>
          <w:color w:val="215868" w:themeColor="accent5" w:themeShade="80"/>
          <w:lang w:eastAsia="en-US"/>
        </w:rPr>
        <w:t>Should applications for mixed-use type proposals secure funding (e.g. loans, state funding, philanthropy) for the long</w:t>
      </w:r>
      <w:r w:rsidRPr="00675404">
        <w:rPr>
          <w:rFonts w:cs="Arial"/>
          <w:b/>
          <w:color w:val="215868" w:themeColor="accent5" w:themeShade="80"/>
          <w:lang w:eastAsia="en-US"/>
        </w:rPr>
        <w:noBreakHyphen/>
        <w:t xml:space="preserve">term housing aspects of their proposal prior to seeking </w:t>
      </w:r>
      <w:r w:rsidR="00284009">
        <w:rPr>
          <w:rFonts w:cs="Arial"/>
          <w:b/>
          <w:color w:val="215868" w:themeColor="accent5" w:themeShade="80"/>
          <w:lang w:eastAsia="en-US"/>
        </w:rPr>
        <w:t>Inclusion</w:t>
      </w:r>
      <w:r w:rsidRPr="00675404">
        <w:rPr>
          <w:rFonts w:cs="Arial"/>
          <w:b/>
          <w:color w:val="215868" w:themeColor="accent5" w:themeShade="80"/>
          <w:lang w:eastAsia="en-US"/>
        </w:rPr>
        <w:t xml:space="preserve"> Round</w:t>
      </w:r>
      <w:r w:rsidRPr="00675404">
        <w:rPr>
          <w:rFonts w:cs="Arial"/>
          <w:b/>
          <w:color w:val="215868" w:themeColor="accent5" w:themeShade="80"/>
        </w:rPr>
        <w:t xml:space="preserve"> </w:t>
      </w:r>
      <w:r w:rsidRPr="00675404">
        <w:rPr>
          <w:rFonts w:cs="Arial"/>
          <w:b/>
          <w:color w:val="215868" w:themeColor="accent5" w:themeShade="80"/>
          <w:lang w:eastAsia="en-US"/>
        </w:rPr>
        <w:t xml:space="preserve">funding? </w:t>
      </w:r>
    </w:p>
    <w:p w14:paraId="1067D4A9" w14:textId="3682211D" w:rsidR="00276F61" w:rsidRPr="00675404" w:rsidRDefault="00276F61" w:rsidP="00276F61">
      <w:pPr>
        <w:pStyle w:val="BodyText"/>
        <w:numPr>
          <w:ilvl w:val="0"/>
          <w:numId w:val="18"/>
        </w:numPr>
        <w:ind w:left="463" w:hanging="415"/>
        <w:rPr>
          <w:rFonts w:cs="Arial"/>
          <w:b/>
          <w:color w:val="215868" w:themeColor="accent5" w:themeShade="80"/>
        </w:rPr>
      </w:pPr>
      <w:r w:rsidRPr="00675404">
        <w:rPr>
          <w:rFonts w:cs="Arial"/>
          <w:b/>
          <w:color w:val="215868" w:themeColor="accent5" w:themeShade="80"/>
          <w:lang w:eastAsia="en-US"/>
        </w:rPr>
        <w:t xml:space="preserve">Is the proposed milestone schedule the best model for delivering capital grants under the </w:t>
      </w:r>
      <w:r w:rsidR="00284009">
        <w:rPr>
          <w:rFonts w:cs="Arial"/>
          <w:b/>
          <w:color w:val="215868" w:themeColor="accent5" w:themeShade="80"/>
          <w:lang w:eastAsia="en-US"/>
        </w:rPr>
        <w:t>Inclusion</w:t>
      </w:r>
      <w:r w:rsidRPr="00675404">
        <w:rPr>
          <w:rFonts w:cs="Arial"/>
          <w:b/>
          <w:color w:val="215868" w:themeColor="accent5" w:themeShade="80"/>
          <w:lang w:eastAsia="en-US"/>
        </w:rPr>
        <w:t xml:space="preserve"> Round?</w:t>
      </w:r>
    </w:p>
    <w:p w14:paraId="7A561D00" w14:textId="54A18946" w:rsidR="00276F61" w:rsidRPr="00675404" w:rsidRDefault="00276F61" w:rsidP="00276F61">
      <w:pPr>
        <w:pStyle w:val="BodyText"/>
        <w:numPr>
          <w:ilvl w:val="0"/>
          <w:numId w:val="18"/>
        </w:numPr>
        <w:spacing w:after="240"/>
        <w:ind w:left="459" w:hanging="414"/>
        <w:rPr>
          <w:rFonts w:cs="Arial"/>
          <w:b/>
          <w:color w:val="215868" w:themeColor="accent5" w:themeShade="80"/>
        </w:rPr>
      </w:pPr>
      <w:r w:rsidRPr="00675404">
        <w:rPr>
          <w:rFonts w:cs="Arial"/>
          <w:b/>
          <w:color w:val="215868" w:themeColor="accent5" w:themeShade="80"/>
          <w:lang w:eastAsia="en-US"/>
        </w:rPr>
        <w:lastRenderedPageBreak/>
        <w:t>Will Development Periods</w:t>
      </w:r>
      <w:r w:rsidR="00C470C0">
        <w:rPr>
          <w:rFonts w:cs="Arial"/>
          <w:b/>
          <w:color w:val="215868" w:themeColor="accent5" w:themeShade="80"/>
          <w:lang w:eastAsia="en-US"/>
        </w:rPr>
        <w:t xml:space="preserve"> </w:t>
      </w:r>
      <w:r w:rsidRPr="00675404">
        <w:rPr>
          <w:rFonts w:cs="Arial"/>
          <w:b/>
          <w:color w:val="215868" w:themeColor="accent5" w:themeShade="80"/>
          <w:lang w:eastAsia="en-US"/>
        </w:rPr>
        <w:t xml:space="preserve">encourage community-based FDV service organisations to apply for funding? </w:t>
      </w:r>
    </w:p>
    <w:p w14:paraId="33CC4F04" w14:textId="080E37A7" w:rsidR="00276F61" w:rsidRDefault="00276F61" w:rsidP="00276F61">
      <w:pPr>
        <w:pStyle w:val="BodyText"/>
        <w:numPr>
          <w:ilvl w:val="1"/>
          <w:numId w:val="18"/>
        </w:numPr>
        <w:spacing w:after="240"/>
        <w:rPr>
          <w:rFonts w:cs="Arial"/>
          <w:b/>
          <w:color w:val="215868" w:themeColor="accent5" w:themeShade="80"/>
        </w:rPr>
      </w:pPr>
      <w:r w:rsidRPr="00675404">
        <w:rPr>
          <w:rFonts w:cs="Arial"/>
          <w:b/>
          <w:color w:val="215868" w:themeColor="accent5" w:themeShade="80"/>
          <w:lang w:eastAsia="en-US"/>
        </w:rPr>
        <w:t xml:space="preserve">Is 6 months an appropriate timeframe for the Development Period? </w:t>
      </w:r>
    </w:p>
    <w:p w14:paraId="3515914B" w14:textId="4BD2ED0F" w:rsidR="00276F61" w:rsidRPr="00675404" w:rsidRDefault="00276F61" w:rsidP="00276F61">
      <w:pPr>
        <w:pStyle w:val="BodyText"/>
        <w:numPr>
          <w:ilvl w:val="0"/>
          <w:numId w:val="18"/>
        </w:numPr>
        <w:spacing w:after="240"/>
        <w:ind w:left="459" w:hanging="414"/>
        <w:rPr>
          <w:rFonts w:cs="Arial"/>
          <w:b/>
          <w:color w:val="215868" w:themeColor="accent5" w:themeShade="80"/>
        </w:rPr>
      </w:pPr>
      <w:r w:rsidRPr="00675404">
        <w:rPr>
          <w:rFonts w:cs="Arial"/>
          <w:b/>
          <w:color w:val="215868" w:themeColor="accent5" w:themeShade="80"/>
        </w:rPr>
        <w:t>Are there other ways to support applicants to develop high quality proposals?</w:t>
      </w:r>
    </w:p>
    <w:p w14:paraId="354FF7F8" w14:textId="0D1AF07B" w:rsidR="00E4584E" w:rsidRPr="00A44CED" w:rsidRDefault="00884334" w:rsidP="002F58D6">
      <w:pPr>
        <w:pStyle w:val="Heading2"/>
        <w:spacing w:before="240" w:after="240"/>
        <w:ind w:left="357" w:hanging="357"/>
        <w:rPr>
          <w:rFonts w:cs="Arial"/>
        </w:rPr>
      </w:pPr>
      <w:r w:rsidRPr="00A44CED">
        <w:rPr>
          <w:rFonts w:cs="Arial"/>
        </w:rPr>
        <w:t>Eligibility and a</w:t>
      </w:r>
      <w:r w:rsidR="00E4584E" w:rsidRPr="00A44CED">
        <w:rPr>
          <w:rFonts w:cs="Arial"/>
        </w:rPr>
        <w:t>ssessment process</w:t>
      </w:r>
    </w:p>
    <w:p w14:paraId="2ECFFCFA" w14:textId="7801AA9E" w:rsidR="00FE13A5" w:rsidRPr="00A44CED" w:rsidRDefault="00051260" w:rsidP="00051260">
      <w:pPr>
        <w:rPr>
          <w:rFonts w:cs="Arial"/>
        </w:rPr>
      </w:pPr>
      <w:r w:rsidRPr="00A44CED">
        <w:rPr>
          <w:rFonts w:cs="Arial"/>
        </w:rPr>
        <w:t xml:space="preserve">The </w:t>
      </w:r>
      <w:r w:rsidR="00274EDE">
        <w:rPr>
          <w:rFonts w:cs="Arial"/>
        </w:rPr>
        <w:t>d</w:t>
      </w:r>
      <w:r w:rsidR="008E353F" w:rsidRPr="00A44CED">
        <w:rPr>
          <w:rFonts w:cs="Arial"/>
        </w:rPr>
        <w:t xml:space="preserve">epartment </w:t>
      </w:r>
      <w:r w:rsidRPr="00A44CED">
        <w:rPr>
          <w:rFonts w:cs="Arial"/>
        </w:rPr>
        <w:t>will assess proposals against eligibility and selection criteria</w:t>
      </w:r>
      <w:r w:rsidR="00FD1B35" w:rsidRPr="00A44CED">
        <w:rPr>
          <w:rFonts w:cs="Arial"/>
        </w:rPr>
        <w:t>.</w:t>
      </w:r>
      <w:r w:rsidRPr="00A44CED">
        <w:rPr>
          <w:rFonts w:cs="Arial"/>
        </w:rPr>
        <w:t xml:space="preserve"> </w:t>
      </w:r>
      <w:r w:rsidR="00FD1B35" w:rsidRPr="00A44CED">
        <w:rPr>
          <w:rFonts w:cs="Arial"/>
        </w:rPr>
        <w:t>A</w:t>
      </w:r>
      <w:r w:rsidRPr="00A44CED">
        <w:rPr>
          <w:rFonts w:cs="Arial"/>
        </w:rPr>
        <w:t xml:space="preserve"> Selection A</w:t>
      </w:r>
      <w:r w:rsidR="00866B8B" w:rsidRPr="00A44CED">
        <w:rPr>
          <w:rFonts w:cs="Arial"/>
        </w:rPr>
        <w:t>dvisory</w:t>
      </w:r>
      <w:r w:rsidRPr="00A44CED">
        <w:rPr>
          <w:rFonts w:cs="Arial"/>
        </w:rPr>
        <w:t xml:space="preserve"> Panel will provide the decision</w:t>
      </w:r>
      <w:r w:rsidR="0068224D" w:rsidRPr="00A44CED">
        <w:rPr>
          <w:rFonts w:cs="Arial"/>
        </w:rPr>
        <w:t xml:space="preserve"> </w:t>
      </w:r>
      <w:r w:rsidRPr="00A44CED">
        <w:rPr>
          <w:rFonts w:cs="Arial"/>
        </w:rPr>
        <w:t xml:space="preserve">maker (the Minister) with recommendations on the merits of each proposal. Applications assessed as suitable for funding and approved by the Minister will be offered a funding agreement with the </w:t>
      </w:r>
      <w:r w:rsidR="00274EDE">
        <w:rPr>
          <w:rFonts w:cs="Arial"/>
        </w:rPr>
        <w:t>d</w:t>
      </w:r>
      <w:r w:rsidR="008E353F" w:rsidRPr="00A44CED">
        <w:rPr>
          <w:rFonts w:cs="Arial"/>
        </w:rPr>
        <w:t>epartment</w:t>
      </w:r>
      <w:r w:rsidRPr="00A44CED">
        <w:rPr>
          <w:rFonts w:cs="Arial"/>
        </w:rPr>
        <w:t>.</w:t>
      </w:r>
      <w:r w:rsidR="00FE13A5">
        <w:rPr>
          <w:rFonts w:cs="Arial"/>
        </w:rPr>
        <w:t xml:space="preserve"> </w:t>
      </w:r>
    </w:p>
    <w:p w14:paraId="12CCF838" w14:textId="7A88B88D" w:rsidR="001A0C8F" w:rsidRPr="00A44CED" w:rsidRDefault="00E4584E" w:rsidP="00E4584E">
      <w:pPr>
        <w:rPr>
          <w:rFonts w:cs="Arial"/>
        </w:rPr>
      </w:pPr>
      <w:r w:rsidRPr="00A44CED">
        <w:rPr>
          <w:rFonts w:cs="Arial"/>
        </w:rPr>
        <w:t xml:space="preserve">The assessment of proposals will be undertaken </w:t>
      </w:r>
      <w:r w:rsidR="005E5754" w:rsidRPr="00A44CED">
        <w:rPr>
          <w:rFonts w:cs="Arial"/>
        </w:rPr>
        <w:t>with regard to loca</w:t>
      </w:r>
      <w:r w:rsidR="009F1BD5" w:rsidRPr="00A44CED">
        <w:rPr>
          <w:rFonts w:cs="Arial"/>
        </w:rPr>
        <w:t>l</w:t>
      </w:r>
      <w:r w:rsidR="005E5754" w:rsidRPr="00A44CED">
        <w:rPr>
          <w:rFonts w:cs="Arial"/>
        </w:rPr>
        <w:t xml:space="preserve"> construction and real estate costs,</w:t>
      </w:r>
      <w:r w:rsidR="009F1BD5" w:rsidRPr="00A44CED">
        <w:rPr>
          <w:rFonts w:cs="Arial"/>
        </w:rPr>
        <w:t xml:space="preserve"> dwelling types, and building design that meets </w:t>
      </w:r>
      <w:r w:rsidR="005E5754" w:rsidRPr="00A44CED">
        <w:rPr>
          <w:rFonts w:cs="Arial"/>
        </w:rPr>
        <w:t>the needs of specific cohorts</w:t>
      </w:r>
      <w:r w:rsidR="009F1BD5" w:rsidRPr="00A44CED">
        <w:rPr>
          <w:rFonts w:cs="Arial"/>
        </w:rPr>
        <w:t xml:space="preserve">. </w:t>
      </w:r>
    </w:p>
    <w:p w14:paraId="0A94AAA9" w14:textId="231828F4" w:rsidR="006B6259" w:rsidRPr="00A44CED" w:rsidRDefault="00A16479" w:rsidP="00692916">
      <w:pPr>
        <w:pStyle w:val="Heading3"/>
        <w:ind w:left="567" w:hanging="567"/>
        <w:rPr>
          <w:rFonts w:cs="Arial"/>
        </w:rPr>
      </w:pPr>
      <w:r w:rsidRPr="00A44CED">
        <w:rPr>
          <w:rFonts w:cs="Arial"/>
        </w:rPr>
        <w:t xml:space="preserve">Potential </w:t>
      </w:r>
      <w:r w:rsidR="00E4584E" w:rsidRPr="00A44CED">
        <w:rPr>
          <w:rFonts w:cs="Arial"/>
        </w:rPr>
        <w:t>eligibility criteria</w:t>
      </w:r>
    </w:p>
    <w:p w14:paraId="0E64D639" w14:textId="7794F27B" w:rsidR="006B6259" w:rsidRPr="00A44CED" w:rsidRDefault="006B6259" w:rsidP="00156197">
      <w:pPr>
        <w:pStyle w:val="TableContent"/>
      </w:pPr>
      <w:r w:rsidRPr="00A44CED">
        <w:t xml:space="preserve">Potential eligibility criteria for </w:t>
      </w:r>
      <w:r w:rsidR="00C85D92" w:rsidRPr="00A44CED">
        <w:t xml:space="preserve">the </w:t>
      </w:r>
      <w:r w:rsidR="00284009">
        <w:t>Inclusion</w:t>
      </w:r>
      <w:r w:rsidR="00C85D92" w:rsidRPr="00A44CED">
        <w:t xml:space="preserve"> Round</w:t>
      </w:r>
      <w:r w:rsidRPr="00A44CED">
        <w:t xml:space="preserve"> may include the following:</w:t>
      </w:r>
    </w:p>
    <w:p w14:paraId="39B3E9A9" w14:textId="77777777" w:rsidR="00A16479" w:rsidRPr="00A44CED" w:rsidRDefault="00110445" w:rsidP="00197F47">
      <w:pPr>
        <w:pStyle w:val="ListParagraph"/>
        <w:numPr>
          <w:ilvl w:val="0"/>
          <w:numId w:val="81"/>
        </w:numPr>
        <w:rPr>
          <w:rFonts w:cs="Arial"/>
        </w:rPr>
      </w:pPr>
      <w:r w:rsidRPr="00A44CED">
        <w:rPr>
          <w:rFonts w:cs="Arial"/>
        </w:rPr>
        <w:t>Eligible entity types</w:t>
      </w:r>
    </w:p>
    <w:p w14:paraId="4617CBCA" w14:textId="77777777" w:rsidR="00827A94" w:rsidRPr="00A44CED" w:rsidRDefault="00827A94" w:rsidP="00E31DFE">
      <w:pPr>
        <w:pStyle w:val="ListParagraph"/>
        <w:numPr>
          <w:ilvl w:val="1"/>
          <w:numId w:val="16"/>
        </w:numPr>
        <w:rPr>
          <w:rFonts w:cs="Arial"/>
        </w:rPr>
      </w:pPr>
      <w:r w:rsidRPr="00A44CED">
        <w:rPr>
          <w:rFonts w:cs="Arial"/>
        </w:rPr>
        <w:t>Company</w:t>
      </w:r>
    </w:p>
    <w:p w14:paraId="19F1E498" w14:textId="77777777" w:rsidR="00827A94" w:rsidRPr="00A44CED" w:rsidRDefault="00827A94" w:rsidP="00E31DFE">
      <w:pPr>
        <w:pStyle w:val="ListParagraph"/>
        <w:numPr>
          <w:ilvl w:val="1"/>
          <w:numId w:val="16"/>
        </w:numPr>
        <w:rPr>
          <w:rFonts w:cs="Arial"/>
        </w:rPr>
      </w:pPr>
      <w:r w:rsidRPr="00A44CED">
        <w:rPr>
          <w:rFonts w:cs="Arial"/>
        </w:rPr>
        <w:t>Cooperative</w:t>
      </w:r>
    </w:p>
    <w:p w14:paraId="6FDB5762" w14:textId="77777777" w:rsidR="00827A94" w:rsidRPr="00A44CED" w:rsidRDefault="00827A94" w:rsidP="00E31DFE">
      <w:pPr>
        <w:pStyle w:val="ListParagraph"/>
        <w:numPr>
          <w:ilvl w:val="1"/>
          <w:numId w:val="16"/>
        </w:numPr>
        <w:rPr>
          <w:rFonts w:cs="Arial"/>
        </w:rPr>
      </w:pPr>
      <w:r w:rsidRPr="00A44CED">
        <w:rPr>
          <w:rFonts w:cs="Arial"/>
        </w:rPr>
        <w:t>Corporate State or Territory Entity</w:t>
      </w:r>
    </w:p>
    <w:p w14:paraId="4CB44555" w14:textId="77777777" w:rsidR="00827A94" w:rsidRPr="00A44CED" w:rsidRDefault="00827A94" w:rsidP="00E31DFE">
      <w:pPr>
        <w:pStyle w:val="ListParagraph"/>
        <w:numPr>
          <w:ilvl w:val="1"/>
          <w:numId w:val="16"/>
        </w:numPr>
        <w:rPr>
          <w:rFonts w:cs="Arial"/>
        </w:rPr>
      </w:pPr>
      <w:r w:rsidRPr="00A44CED">
        <w:rPr>
          <w:rFonts w:cs="Arial"/>
        </w:rPr>
        <w:t>Incorporated Association</w:t>
      </w:r>
    </w:p>
    <w:p w14:paraId="3AD4BC19" w14:textId="77777777" w:rsidR="00827A94" w:rsidRPr="00A44CED" w:rsidRDefault="00827A94" w:rsidP="00E31DFE">
      <w:pPr>
        <w:pStyle w:val="ListParagraph"/>
        <w:numPr>
          <w:ilvl w:val="1"/>
          <w:numId w:val="16"/>
        </w:numPr>
        <w:rPr>
          <w:rFonts w:cs="Arial"/>
        </w:rPr>
      </w:pPr>
      <w:r w:rsidRPr="00A44CED">
        <w:rPr>
          <w:rFonts w:cs="Arial"/>
        </w:rPr>
        <w:t>Indigenous Corporation</w:t>
      </w:r>
    </w:p>
    <w:p w14:paraId="0E40EC58" w14:textId="77777777" w:rsidR="00827A94" w:rsidRPr="00A44CED" w:rsidRDefault="00827A94" w:rsidP="00E31DFE">
      <w:pPr>
        <w:pStyle w:val="ListParagraph"/>
        <w:numPr>
          <w:ilvl w:val="1"/>
          <w:numId w:val="16"/>
        </w:numPr>
        <w:rPr>
          <w:rFonts w:cs="Arial"/>
        </w:rPr>
      </w:pPr>
      <w:r w:rsidRPr="00A44CED">
        <w:rPr>
          <w:rFonts w:cs="Arial"/>
        </w:rPr>
        <w:t>Local Government</w:t>
      </w:r>
    </w:p>
    <w:p w14:paraId="6BB7969A" w14:textId="77777777" w:rsidR="00827A94" w:rsidRPr="00A44CED" w:rsidRDefault="00827A94" w:rsidP="00E31DFE">
      <w:pPr>
        <w:pStyle w:val="ListParagraph"/>
        <w:numPr>
          <w:ilvl w:val="1"/>
          <w:numId w:val="16"/>
        </w:numPr>
        <w:rPr>
          <w:rFonts w:cs="Arial"/>
        </w:rPr>
      </w:pPr>
      <w:r w:rsidRPr="00A44CED">
        <w:rPr>
          <w:rFonts w:cs="Arial"/>
        </w:rPr>
        <w:t>Statutory Entity</w:t>
      </w:r>
    </w:p>
    <w:p w14:paraId="231D70FA" w14:textId="77777777" w:rsidR="00D20E34" w:rsidRPr="00A44CED" w:rsidRDefault="00D20E34" w:rsidP="00E31DFE">
      <w:pPr>
        <w:pStyle w:val="ListParagraph"/>
        <w:numPr>
          <w:ilvl w:val="0"/>
          <w:numId w:val="41"/>
        </w:numPr>
        <w:ind w:right="-46"/>
        <w:rPr>
          <w:rFonts w:cs="Arial"/>
        </w:rPr>
      </w:pPr>
      <w:r w:rsidRPr="00A44CED">
        <w:rPr>
          <w:rFonts w:cs="Arial"/>
        </w:rPr>
        <w:t>Ineligible entities include:</w:t>
      </w:r>
    </w:p>
    <w:p w14:paraId="3B83F319" w14:textId="77777777" w:rsidR="00D20E34" w:rsidRPr="00A44CED" w:rsidRDefault="00D20E34" w:rsidP="00EE65F2">
      <w:pPr>
        <w:pStyle w:val="ListParagraph"/>
        <w:numPr>
          <w:ilvl w:val="1"/>
          <w:numId w:val="16"/>
        </w:numPr>
        <w:rPr>
          <w:rFonts w:cs="Arial"/>
        </w:rPr>
      </w:pPr>
      <w:r w:rsidRPr="00A44CED">
        <w:rPr>
          <w:rFonts w:cs="Arial"/>
        </w:rPr>
        <w:t>an organisation, or your project partner is an organisation, included on the National Redress Scheme’s website on the list of ‘Institutions that have not joined or signified their intent to join the Scheme’ (</w:t>
      </w:r>
      <w:r w:rsidRPr="00A44CED">
        <w:rPr>
          <w:rFonts w:cs="Arial"/>
          <w:u w:val="single"/>
        </w:rPr>
        <w:t>www.nationalredress.gov.au</w:t>
      </w:r>
      <w:r w:rsidRPr="00A44CED">
        <w:rPr>
          <w:rFonts w:cs="Arial"/>
        </w:rPr>
        <w:t>).</w:t>
      </w:r>
    </w:p>
    <w:p w14:paraId="5011DC79" w14:textId="3763B0F3" w:rsidR="00D20E34" w:rsidRPr="00A44CED" w:rsidRDefault="00D20E34" w:rsidP="00856D11">
      <w:pPr>
        <w:pStyle w:val="ListParagraph"/>
        <w:numPr>
          <w:ilvl w:val="1"/>
          <w:numId w:val="16"/>
        </w:numPr>
        <w:rPr>
          <w:rFonts w:cs="Arial"/>
        </w:rPr>
      </w:pPr>
      <w:r w:rsidRPr="00A44CED">
        <w:rPr>
          <w:rFonts w:cs="Arial"/>
        </w:rPr>
        <w:t>an organisation, or your project partner is an organisation, included on the Workplace Gender Equality Agency non</w:t>
      </w:r>
      <w:r w:rsidR="00856D11" w:rsidRPr="00A44CED">
        <w:rPr>
          <w:rFonts w:cs="Arial"/>
        </w:rPr>
        <w:noBreakHyphen/>
      </w:r>
      <w:r w:rsidRPr="00A44CED">
        <w:rPr>
          <w:rFonts w:cs="Arial"/>
        </w:rPr>
        <w:t>compliant organisations list</w:t>
      </w:r>
      <w:r w:rsidR="00856D11" w:rsidRPr="00A44CED">
        <w:rPr>
          <w:rFonts w:cs="Arial"/>
        </w:rPr>
        <w:t xml:space="preserve"> (</w:t>
      </w:r>
      <w:r w:rsidR="00856D11" w:rsidRPr="00EC4525">
        <w:rPr>
          <w:rFonts w:cs="Arial"/>
          <w:u w:val="single"/>
        </w:rPr>
        <w:t>www.wgea.gov.au</w:t>
      </w:r>
      <w:r w:rsidR="00856D11" w:rsidRPr="00A44CED">
        <w:rPr>
          <w:rFonts w:cs="Arial"/>
        </w:rPr>
        <w:t>)</w:t>
      </w:r>
      <w:r w:rsidRPr="00A44CED">
        <w:rPr>
          <w:rFonts w:cs="Arial"/>
        </w:rPr>
        <w:t>.</w:t>
      </w:r>
    </w:p>
    <w:p w14:paraId="5843F85B" w14:textId="4F71597F" w:rsidR="00110445" w:rsidRPr="00B26A74" w:rsidRDefault="00110445" w:rsidP="00E31DFE">
      <w:pPr>
        <w:pStyle w:val="ListParagraph"/>
        <w:numPr>
          <w:ilvl w:val="0"/>
          <w:numId w:val="41"/>
        </w:numPr>
        <w:ind w:right="-46"/>
        <w:rPr>
          <w:rFonts w:cs="Arial"/>
        </w:rPr>
      </w:pPr>
      <w:r w:rsidRPr="00A44CED">
        <w:rPr>
          <w:rFonts w:cs="Arial"/>
        </w:rPr>
        <w:t>Proposal provides new</w:t>
      </w:r>
      <w:r w:rsidR="00AA1341" w:rsidRPr="00A44CED">
        <w:rPr>
          <w:rFonts w:cs="Arial"/>
        </w:rPr>
        <w:t xml:space="preserve"> (additional)</w:t>
      </w:r>
      <w:r w:rsidRPr="00A44CED">
        <w:rPr>
          <w:rFonts w:cs="Arial"/>
        </w:rPr>
        <w:t xml:space="preserve"> safe places </w:t>
      </w:r>
      <w:r w:rsidR="00581FBD" w:rsidRPr="00A44CED">
        <w:rPr>
          <w:rFonts w:cs="Arial"/>
        </w:rPr>
        <w:t>for FDV emergency accommodation</w:t>
      </w:r>
      <w:r w:rsidR="00192520" w:rsidRPr="00A44CED">
        <w:rPr>
          <w:rFonts w:cs="Arial"/>
        </w:rPr>
        <w:t xml:space="preserve">, </w:t>
      </w:r>
      <w:r w:rsidR="00192520" w:rsidRPr="00B26A74">
        <w:rPr>
          <w:rFonts w:cs="Arial"/>
        </w:rPr>
        <w:t xml:space="preserve">with a “safe place” as defined in </w:t>
      </w:r>
      <w:r w:rsidR="00D72748" w:rsidRPr="00B26A74">
        <w:rPr>
          <w:rFonts w:cs="Arial"/>
        </w:rPr>
        <w:t>section 4.3.2</w:t>
      </w:r>
      <w:r w:rsidR="00192520" w:rsidRPr="00B26A74">
        <w:rPr>
          <w:rFonts w:cs="Arial"/>
        </w:rPr>
        <w:t>.</w:t>
      </w:r>
    </w:p>
    <w:p w14:paraId="429B9233" w14:textId="7FF7E438" w:rsidR="00007EB6" w:rsidRPr="000B45F2" w:rsidRDefault="00C55267" w:rsidP="00FA21BB">
      <w:pPr>
        <w:pStyle w:val="ListParagraph"/>
        <w:numPr>
          <w:ilvl w:val="0"/>
          <w:numId w:val="41"/>
        </w:numPr>
        <w:ind w:right="-46"/>
        <w:rPr>
          <w:rFonts w:cs="Arial"/>
        </w:rPr>
      </w:pPr>
      <w:r w:rsidRPr="000B45F2">
        <w:rPr>
          <w:rFonts w:cs="Arial"/>
        </w:rPr>
        <w:t>T</w:t>
      </w:r>
      <w:r w:rsidR="00EB4BD8" w:rsidRPr="000B45F2">
        <w:rPr>
          <w:rFonts w:cs="Arial"/>
        </w:rPr>
        <w:t xml:space="preserve">he </w:t>
      </w:r>
      <w:r w:rsidR="00A55F50" w:rsidRPr="000B45F2">
        <w:rPr>
          <w:rFonts w:cs="Arial"/>
        </w:rPr>
        <w:t xml:space="preserve">applicant or partnering services provider </w:t>
      </w:r>
      <w:r w:rsidR="00A55F50">
        <w:rPr>
          <w:rFonts w:cs="Arial"/>
        </w:rPr>
        <w:t>is a</w:t>
      </w:r>
      <w:r w:rsidR="007D0876">
        <w:rPr>
          <w:rFonts w:cs="Arial"/>
        </w:rPr>
        <w:t xml:space="preserve"> suitable</w:t>
      </w:r>
      <w:r w:rsidR="00A55F50">
        <w:rPr>
          <w:rFonts w:cs="Arial"/>
        </w:rPr>
        <w:t xml:space="preserve"> </w:t>
      </w:r>
      <w:r w:rsidR="00EB4BD8" w:rsidRPr="000B45F2">
        <w:rPr>
          <w:rFonts w:cs="Arial"/>
        </w:rPr>
        <w:t xml:space="preserve">FDV </w:t>
      </w:r>
      <w:r w:rsidR="00007EB6" w:rsidRPr="000B45F2">
        <w:rPr>
          <w:rFonts w:cs="Arial"/>
        </w:rPr>
        <w:t xml:space="preserve">specialist </w:t>
      </w:r>
      <w:r w:rsidR="00EB4BD8" w:rsidRPr="000B45F2">
        <w:rPr>
          <w:rFonts w:cs="Arial"/>
        </w:rPr>
        <w:t>service</w:t>
      </w:r>
      <w:r w:rsidRPr="000B45F2">
        <w:rPr>
          <w:rFonts w:cs="Arial"/>
        </w:rPr>
        <w:t xml:space="preserve">s </w:t>
      </w:r>
      <w:r w:rsidR="00F3173B">
        <w:rPr>
          <w:rFonts w:cs="Arial"/>
        </w:rPr>
        <w:t xml:space="preserve">provider </w:t>
      </w:r>
      <w:r w:rsidR="00DA3284">
        <w:rPr>
          <w:rFonts w:cs="Arial"/>
        </w:rPr>
        <w:t>capable of delivering appropriate FDV specialist services in</w:t>
      </w:r>
      <w:r w:rsidR="008A5F40">
        <w:rPr>
          <w:rFonts w:cs="Arial"/>
        </w:rPr>
        <w:t xml:space="preserve"> the state where the project is located.</w:t>
      </w:r>
      <w:r w:rsidR="00DA3284">
        <w:rPr>
          <w:rFonts w:cs="Arial"/>
        </w:rPr>
        <w:t xml:space="preserve"> </w:t>
      </w:r>
    </w:p>
    <w:p w14:paraId="240A4242" w14:textId="324FA67E" w:rsidR="00B67C35" w:rsidRDefault="00B67C35" w:rsidP="00FA21BB">
      <w:pPr>
        <w:pStyle w:val="ListParagraph"/>
        <w:numPr>
          <w:ilvl w:val="1"/>
          <w:numId w:val="16"/>
        </w:numPr>
        <w:rPr>
          <w:rFonts w:cs="Arial"/>
        </w:rPr>
      </w:pPr>
      <w:r>
        <w:rPr>
          <w:rFonts w:cs="Arial"/>
        </w:rPr>
        <w:t>Evidence of capability to deliver appropriate FDV specialist services may be required, such as</w:t>
      </w:r>
      <w:r w:rsidR="00DA3284">
        <w:rPr>
          <w:rFonts w:cs="Arial"/>
        </w:rPr>
        <w:t xml:space="preserve"> </w:t>
      </w:r>
      <w:r w:rsidR="00E0344F">
        <w:rPr>
          <w:rFonts w:cs="Arial"/>
        </w:rPr>
        <w:t>suppor</w:t>
      </w:r>
      <w:r w:rsidR="00DA3284">
        <w:rPr>
          <w:rFonts w:cs="Arial"/>
        </w:rPr>
        <w:t>t</w:t>
      </w:r>
      <w:r w:rsidR="00332036">
        <w:rPr>
          <w:rFonts w:cs="Arial"/>
        </w:rPr>
        <w:t xml:space="preserve"> from the relevant state government or documentation demonstrating the specialist service</w:t>
      </w:r>
      <w:r w:rsidR="00D872D5">
        <w:rPr>
          <w:rFonts w:cs="Arial"/>
        </w:rPr>
        <w:t>s</w:t>
      </w:r>
      <w:r w:rsidR="00332036">
        <w:rPr>
          <w:rFonts w:cs="Arial"/>
        </w:rPr>
        <w:t xml:space="preserve"> provider’s service delivery model is consistent with the standards and requirements in the relevant state.</w:t>
      </w:r>
      <w:r w:rsidRPr="00B67C35">
        <w:rPr>
          <w:rFonts w:cs="Arial"/>
        </w:rPr>
        <w:t xml:space="preserve"> </w:t>
      </w:r>
    </w:p>
    <w:p w14:paraId="654491E1" w14:textId="5FB90A40" w:rsidR="00007EB6" w:rsidRPr="00E0344F" w:rsidRDefault="00B67C35" w:rsidP="00E0344F">
      <w:pPr>
        <w:pStyle w:val="ListParagraph"/>
        <w:numPr>
          <w:ilvl w:val="1"/>
          <w:numId w:val="16"/>
        </w:numPr>
        <w:rPr>
          <w:rFonts w:cs="Arial"/>
        </w:rPr>
      </w:pPr>
      <w:r>
        <w:rPr>
          <w:rFonts w:cs="Arial"/>
        </w:rPr>
        <w:t>W</w:t>
      </w:r>
      <w:r w:rsidRPr="00A44CED">
        <w:rPr>
          <w:rFonts w:cs="Arial"/>
        </w:rPr>
        <w:t>here relevant,</w:t>
      </w:r>
      <w:r>
        <w:rPr>
          <w:rFonts w:cs="Arial"/>
        </w:rPr>
        <w:t xml:space="preserve"> this would include</w:t>
      </w:r>
      <w:r w:rsidRPr="00A44CED">
        <w:rPr>
          <w:rFonts w:cs="Arial"/>
        </w:rPr>
        <w:t xml:space="preserve"> </w:t>
      </w:r>
      <w:r>
        <w:rPr>
          <w:rFonts w:cs="Arial"/>
        </w:rPr>
        <w:t xml:space="preserve">evidence of </w:t>
      </w:r>
      <w:r w:rsidRPr="00A44CED">
        <w:rPr>
          <w:rFonts w:cs="Arial"/>
        </w:rPr>
        <w:t>specialist service</w:t>
      </w:r>
      <w:r>
        <w:rPr>
          <w:rFonts w:cs="Arial"/>
        </w:rPr>
        <w:t>s</w:t>
      </w:r>
      <w:r w:rsidRPr="00A44CED">
        <w:rPr>
          <w:rFonts w:cs="Arial"/>
        </w:rPr>
        <w:t xml:space="preserve"> providers</w:t>
      </w:r>
      <w:r>
        <w:rPr>
          <w:rFonts w:cs="Arial"/>
        </w:rPr>
        <w:t xml:space="preserve">’ capability to support </w:t>
      </w:r>
      <w:r w:rsidR="00D93157">
        <w:rPr>
          <w:rFonts w:cs="Arial"/>
        </w:rPr>
        <w:t xml:space="preserve">First Nations women and children, women and children from a CALD background and women and children with disability </w:t>
      </w:r>
      <w:r w:rsidRPr="00A44CED">
        <w:rPr>
          <w:rFonts w:cs="Arial"/>
        </w:rPr>
        <w:t>or other cohorts.</w:t>
      </w:r>
    </w:p>
    <w:p w14:paraId="3AE3911D" w14:textId="72FB60D6" w:rsidR="00AC7B85" w:rsidRPr="00A44CED" w:rsidRDefault="00AC7B85" w:rsidP="00AC7B85">
      <w:pPr>
        <w:pStyle w:val="ListParagraph"/>
        <w:numPr>
          <w:ilvl w:val="0"/>
          <w:numId w:val="41"/>
        </w:numPr>
        <w:ind w:right="-46"/>
        <w:rPr>
          <w:rFonts w:cs="Arial"/>
        </w:rPr>
      </w:pPr>
      <w:r w:rsidRPr="00A44CED">
        <w:rPr>
          <w:rFonts w:cs="Arial"/>
        </w:rPr>
        <w:t xml:space="preserve">Confirmation the applicant and </w:t>
      </w:r>
      <w:r w:rsidR="00AB0922">
        <w:rPr>
          <w:rFonts w:cs="Arial"/>
        </w:rPr>
        <w:t>partnering service</w:t>
      </w:r>
      <w:r w:rsidR="00946DE9">
        <w:rPr>
          <w:rFonts w:cs="Arial"/>
        </w:rPr>
        <w:t>s</w:t>
      </w:r>
      <w:r w:rsidRPr="00A44CED">
        <w:rPr>
          <w:rFonts w:cs="Arial"/>
        </w:rPr>
        <w:t xml:space="preserve"> provider</w:t>
      </w:r>
      <w:r w:rsidR="00AB0922">
        <w:rPr>
          <w:rFonts w:cs="Arial"/>
        </w:rPr>
        <w:t>s</w:t>
      </w:r>
      <w:r w:rsidRPr="00A44CED">
        <w:rPr>
          <w:rFonts w:cs="Arial"/>
        </w:rPr>
        <w:t xml:space="preserve"> will agree to reporting and evaluation requirements of the </w:t>
      </w:r>
      <w:r w:rsidR="00274EDE">
        <w:rPr>
          <w:rFonts w:cs="Arial"/>
        </w:rPr>
        <w:t>d</w:t>
      </w:r>
      <w:r w:rsidRPr="00A44CED">
        <w:rPr>
          <w:rFonts w:cs="Arial"/>
        </w:rPr>
        <w:t>epartment.</w:t>
      </w:r>
    </w:p>
    <w:p w14:paraId="24E57A6A" w14:textId="03D12780" w:rsidR="00D4423D" w:rsidRPr="00A80A06" w:rsidRDefault="002B3A01" w:rsidP="00A80A06">
      <w:pPr>
        <w:pStyle w:val="ListParagraph"/>
        <w:numPr>
          <w:ilvl w:val="0"/>
          <w:numId w:val="41"/>
        </w:numPr>
        <w:ind w:right="-46"/>
        <w:rPr>
          <w:rFonts w:cs="Arial"/>
        </w:rPr>
      </w:pPr>
      <w:r w:rsidRPr="00A44CED">
        <w:rPr>
          <w:rFonts w:cs="Arial"/>
        </w:rPr>
        <w:lastRenderedPageBreak/>
        <w:t>Confirmation of compliance with all relevant Australian Government, state, and local government regulations</w:t>
      </w:r>
      <w:r w:rsidR="002879C1" w:rsidRPr="00A44CED">
        <w:rPr>
          <w:rFonts w:cs="Arial"/>
        </w:rPr>
        <w:t xml:space="preserve">, including implementation and compliance with the </w:t>
      </w:r>
      <w:r w:rsidR="002879C1" w:rsidRPr="00A44CED">
        <w:rPr>
          <w:rFonts w:cs="Arial"/>
          <w:i/>
        </w:rPr>
        <w:t>National Principles for Child Safe Organisations</w:t>
      </w:r>
      <w:r w:rsidRPr="00A44CED">
        <w:rPr>
          <w:rFonts w:cs="Arial"/>
        </w:rPr>
        <w:t xml:space="preserve">. Compliance will need to be evidenced on an annual basis </w:t>
      </w:r>
      <w:r w:rsidR="005E5754" w:rsidRPr="00A44CED">
        <w:rPr>
          <w:rFonts w:cs="Arial"/>
        </w:rPr>
        <w:t xml:space="preserve">through the designated use period </w:t>
      </w:r>
      <w:r w:rsidR="0066425D" w:rsidRPr="00A44CED">
        <w:rPr>
          <w:rFonts w:cs="Arial"/>
        </w:rPr>
        <w:t xml:space="preserve">for successful </w:t>
      </w:r>
      <w:r w:rsidRPr="00A44CED">
        <w:rPr>
          <w:rFonts w:cs="Arial"/>
        </w:rPr>
        <w:t>grant</w:t>
      </w:r>
      <w:r w:rsidR="0066425D" w:rsidRPr="00A44CED">
        <w:rPr>
          <w:rFonts w:cs="Arial"/>
        </w:rPr>
        <w:t>ees</w:t>
      </w:r>
      <w:r w:rsidRPr="00A44CED">
        <w:rPr>
          <w:rFonts w:cs="Arial"/>
        </w:rPr>
        <w:t>.</w:t>
      </w:r>
    </w:p>
    <w:p w14:paraId="34FB627F" w14:textId="2C3CBD5E" w:rsidR="00A16479" w:rsidRDefault="00A16479" w:rsidP="00757A07">
      <w:pPr>
        <w:pStyle w:val="Heading3"/>
        <w:ind w:left="567" w:hanging="567"/>
        <w:rPr>
          <w:rFonts w:cs="Arial"/>
        </w:rPr>
      </w:pPr>
      <w:r w:rsidRPr="00A44CED">
        <w:rPr>
          <w:rFonts w:cs="Arial"/>
        </w:rPr>
        <w:t xml:space="preserve">Potential </w:t>
      </w:r>
      <w:r w:rsidR="008A616E" w:rsidRPr="00A44CED">
        <w:rPr>
          <w:rFonts w:cs="Arial"/>
        </w:rPr>
        <w:t xml:space="preserve">assessment </w:t>
      </w:r>
      <w:r w:rsidR="00E4584E" w:rsidRPr="00A44CED">
        <w:rPr>
          <w:rFonts w:cs="Arial"/>
        </w:rPr>
        <w:t>criteria</w:t>
      </w:r>
    </w:p>
    <w:p w14:paraId="4FEB3689" w14:textId="77777777" w:rsidR="004F63C9" w:rsidRDefault="00D4423D" w:rsidP="00BF38C2">
      <w:r>
        <w:t>Consultation with specialist sector stakeholders will support the development of the assessment criteria to</w:t>
      </w:r>
      <w:r w:rsidR="007E3C67">
        <w:t xml:space="preserve"> encourage applications that will deliver appropriate and accessible emergency accommodation for First Nations women and children, women and children from CALD backgrounds, and women and children with disability. </w:t>
      </w:r>
    </w:p>
    <w:p w14:paraId="31399B63" w14:textId="5742CD8A" w:rsidR="00D4423D" w:rsidRPr="00801B79" w:rsidRDefault="00BF5682" w:rsidP="00BF38C2">
      <w:r>
        <w:t xml:space="preserve">This engagement will invite expert views on </w:t>
      </w:r>
      <w:r w:rsidR="004F63C9">
        <w:t xml:space="preserve">embedding </w:t>
      </w:r>
      <w:r w:rsidR="00C245AC">
        <w:t xml:space="preserve">accessibility, </w:t>
      </w:r>
      <w:r w:rsidR="003F0E61">
        <w:t>cultural safety</w:t>
      </w:r>
      <w:r w:rsidR="00C245AC">
        <w:t xml:space="preserve"> and appropriateness </w:t>
      </w:r>
      <w:r w:rsidR="004F63C9">
        <w:t xml:space="preserve">across </w:t>
      </w:r>
      <w:r w:rsidR="0096369C">
        <w:t>the</w:t>
      </w:r>
      <w:r w:rsidR="004F63C9">
        <w:t xml:space="preserve"> assessment criteria, </w:t>
      </w:r>
      <w:r w:rsidR="000352D8">
        <w:t>including</w:t>
      </w:r>
      <w:r w:rsidR="004F63C9">
        <w:t xml:space="preserve"> </w:t>
      </w:r>
      <w:r>
        <w:t xml:space="preserve">the information applicants should </w:t>
      </w:r>
      <w:r w:rsidR="00E25777">
        <w:t xml:space="preserve">be required to </w:t>
      </w:r>
      <w:r>
        <w:t>provide to demonstrate how the location, design features, services and amenities of the proposed emergency accommodation are accessible and appropriate</w:t>
      </w:r>
      <w:r w:rsidR="000352D8">
        <w:t>.</w:t>
      </w:r>
    </w:p>
    <w:p w14:paraId="10CD45E2" w14:textId="1DACCED6" w:rsidR="005F49C1" w:rsidRPr="00A44CED" w:rsidRDefault="00951B3A" w:rsidP="00996258">
      <w:pPr>
        <w:pStyle w:val="Heading4"/>
        <w:ind w:left="851" w:hanging="851"/>
      </w:pPr>
      <w:r w:rsidRPr="00A44CED">
        <w:t xml:space="preserve">Criterion 1: </w:t>
      </w:r>
      <w:r w:rsidR="00D726C6" w:rsidRPr="00A44CED">
        <w:t>Demand and location</w:t>
      </w:r>
    </w:p>
    <w:p w14:paraId="2DFE977D" w14:textId="14F15C3D" w:rsidR="00D726C6" w:rsidRPr="00A44CED" w:rsidRDefault="000E3D3A" w:rsidP="00D9061A">
      <w:pPr>
        <w:rPr>
          <w:rFonts w:cs="Arial"/>
          <w:b/>
        </w:rPr>
      </w:pPr>
      <w:r>
        <w:rPr>
          <w:b/>
        </w:rPr>
        <w:t>Applications will be assessed o</w:t>
      </w:r>
      <w:r w:rsidR="00783BB7">
        <w:rPr>
          <w:b/>
        </w:rPr>
        <w:t>n</w:t>
      </w:r>
      <w:r>
        <w:rPr>
          <w:b/>
        </w:rPr>
        <w:t xml:space="preserve"> the</w:t>
      </w:r>
      <w:r w:rsidR="00D726C6" w:rsidRPr="00A44CED">
        <w:rPr>
          <w:rFonts w:cs="Arial"/>
          <w:b/>
        </w:rPr>
        <w:t xml:space="preserve"> extent to which the build is in an appropriate </w:t>
      </w:r>
      <w:r w:rsidR="00CE1ED8" w:rsidRPr="00A44CED">
        <w:rPr>
          <w:rFonts w:cs="Arial"/>
          <w:b/>
        </w:rPr>
        <w:t>location</w:t>
      </w:r>
      <w:r w:rsidR="00757A07">
        <w:rPr>
          <w:rFonts w:cs="Arial"/>
          <w:b/>
        </w:rPr>
        <w:t xml:space="preserve"> to</w:t>
      </w:r>
      <w:r w:rsidR="00757A07" w:rsidRPr="00A44CED">
        <w:rPr>
          <w:rFonts w:cs="Arial"/>
          <w:b/>
        </w:rPr>
        <w:t xml:space="preserve"> </w:t>
      </w:r>
      <w:r w:rsidR="00D726C6" w:rsidRPr="00A44CED">
        <w:rPr>
          <w:rFonts w:cs="Arial"/>
          <w:b/>
        </w:rPr>
        <w:t xml:space="preserve">meet </w:t>
      </w:r>
      <w:r w:rsidR="006E3372" w:rsidRPr="00A44CED">
        <w:rPr>
          <w:rFonts w:cs="Arial"/>
          <w:b/>
        </w:rPr>
        <w:t xml:space="preserve">emergency </w:t>
      </w:r>
      <w:r w:rsidR="00D726C6" w:rsidRPr="00A44CED">
        <w:rPr>
          <w:rFonts w:cs="Arial"/>
          <w:b/>
        </w:rPr>
        <w:t>housing demand and</w:t>
      </w:r>
      <w:r w:rsidR="00E12617" w:rsidRPr="00A44CED">
        <w:rPr>
          <w:rFonts w:cs="Arial"/>
          <w:b/>
        </w:rPr>
        <w:t xml:space="preserve"> provide</w:t>
      </w:r>
      <w:r w:rsidR="00D726C6" w:rsidRPr="00A44CED">
        <w:rPr>
          <w:rFonts w:cs="Arial"/>
          <w:b/>
        </w:rPr>
        <w:t xml:space="preserve"> access to services and amenities.</w:t>
      </w:r>
    </w:p>
    <w:p w14:paraId="1B066C95" w14:textId="77D005D9" w:rsidR="00AF50BE" w:rsidRPr="00A44CED" w:rsidRDefault="00AF50BE" w:rsidP="00156197">
      <w:pPr>
        <w:pStyle w:val="TableContent"/>
      </w:pPr>
      <w:r w:rsidRPr="00A44CED">
        <w:t xml:space="preserve">Evidence of </w:t>
      </w:r>
      <w:r w:rsidR="00757A07">
        <w:t>emergency housing demand</w:t>
      </w:r>
      <w:r w:rsidR="001D5E10" w:rsidRPr="00A44CED">
        <w:t xml:space="preserve"> that may be considered includes:</w:t>
      </w:r>
    </w:p>
    <w:p w14:paraId="1770F697" w14:textId="027D494D" w:rsidR="00946F33" w:rsidRPr="00A44CED" w:rsidRDefault="006F1F56" w:rsidP="00E31DFE">
      <w:pPr>
        <w:pStyle w:val="ListParagraph"/>
        <w:numPr>
          <w:ilvl w:val="0"/>
          <w:numId w:val="41"/>
        </w:numPr>
        <w:ind w:right="-46"/>
        <w:rPr>
          <w:rFonts w:cs="Arial"/>
        </w:rPr>
      </w:pPr>
      <w:r w:rsidRPr="00A44CED">
        <w:rPr>
          <w:rFonts w:cs="Arial"/>
        </w:rPr>
        <w:t>Area</w:t>
      </w:r>
      <w:r w:rsidR="001D5E10" w:rsidRPr="00A44CED">
        <w:rPr>
          <w:rFonts w:cs="Arial"/>
        </w:rPr>
        <w:t>s</w:t>
      </w:r>
      <w:r w:rsidRPr="00A44CED">
        <w:rPr>
          <w:rFonts w:cs="Arial"/>
        </w:rPr>
        <w:t xml:space="preserve"> </w:t>
      </w:r>
      <w:r w:rsidR="002147DC" w:rsidRPr="00A44CED">
        <w:rPr>
          <w:rFonts w:cs="Arial"/>
        </w:rPr>
        <w:t xml:space="preserve">identified with </w:t>
      </w:r>
      <w:r w:rsidRPr="00A44CED">
        <w:rPr>
          <w:rFonts w:cs="Arial"/>
        </w:rPr>
        <w:t>high unmet demand</w:t>
      </w:r>
      <w:r w:rsidR="002147DC" w:rsidRPr="00A44CED">
        <w:rPr>
          <w:rFonts w:cs="Arial"/>
        </w:rPr>
        <w:t xml:space="preserve"> for emergency accommodation for women and children </w:t>
      </w:r>
      <w:r w:rsidR="00C2282C" w:rsidRPr="00A44CED">
        <w:rPr>
          <w:rFonts w:cs="Arial"/>
        </w:rPr>
        <w:t>leaving</w:t>
      </w:r>
      <w:r w:rsidR="002147DC" w:rsidRPr="00A44CED">
        <w:rPr>
          <w:rFonts w:cs="Arial"/>
        </w:rPr>
        <w:t xml:space="preserve"> </w:t>
      </w:r>
      <w:r w:rsidR="004035B4" w:rsidRPr="00A44CED">
        <w:rPr>
          <w:rFonts w:cs="Arial"/>
        </w:rPr>
        <w:t>FDV</w:t>
      </w:r>
      <w:r w:rsidR="00E12617" w:rsidRPr="00A44CED">
        <w:rPr>
          <w:rFonts w:cs="Arial"/>
        </w:rPr>
        <w:t>:</w:t>
      </w:r>
      <w:r w:rsidR="00946F33" w:rsidRPr="00A44CED">
        <w:rPr>
          <w:rFonts w:cs="Arial"/>
        </w:rPr>
        <w:t xml:space="preserve"> </w:t>
      </w:r>
    </w:p>
    <w:p w14:paraId="5DF686B2" w14:textId="67394FBD" w:rsidR="00946F33" w:rsidRPr="00A44CED" w:rsidRDefault="00E12617" w:rsidP="00E31DFE">
      <w:pPr>
        <w:pStyle w:val="ListParagraph"/>
        <w:numPr>
          <w:ilvl w:val="1"/>
          <w:numId w:val="16"/>
        </w:numPr>
        <w:rPr>
          <w:rFonts w:cs="Arial"/>
        </w:rPr>
      </w:pPr>
      <w:r w:rsidRPr="00A44CED">
        <w:rPr>
          <w:rFonts w:cs="Arial"/>
        </w:rPr>
        <w:t>The Government will determine priority locations through consultation with the states</w:t>
      </w:r>
      <w:r w:rsidR="007E27B7">
        <w:rPr>
          <w:rFonts w:cs="Arial"/>
        </w:rPr>
        <w:t xml:space="preserve"> and other stakeholders</w:t>
      </w:r>
      <w:r w:rsidR="00951B3A" w:rsidRPr="00A44CED">
        <w:rPr>
          <w:rFonts w:cs="Arial"/>
        </w:rPr>
        <w:t>,</w:t>
      </w:r>
      <w:r w:rsidRPr="00A44CED">
        <w:rPr>
          <w:rFonts w:cs="Arial"/>
        </w:rPr>
        <w:t xml:space="preserve"> and a quantitative analysis of unmet </w:t>
      </w:r>
      <w:r w:rsidR="00F200E4">
        <w:rPr>
          <w:rFonts w:cs="Arial"/>
        </w:rPr>
        <w:t>demand</w:t>
      </w:r>
      <w:r w:rsidR="00F200E4" w:rsidRPr="00A44CED">
        <w:rPr>
          <w:rFonts w:cs="Arial"/>
        </w:rPr>
        <w:t xml:space="preserve"> </w:t>
      </w:r>
      <w:r w:rsidRPr="00A44CED">
        <w:rPr>
          <w:rFonts w:cs="Arial"/>
        </w:rPr>
        <w:t xml:space="preserve">for emergency accommodation for women and children </w:t>
      </w:r>
      <w:r w:rsidR="00C2282C" w:rsidRPr="00A44CED">
        <w:rPr>
          <w:rFonts w:cs="Arial"/>
        </w:rPr>
        <w:t>leaving</w:t>
      </w:r>
      <w:r w:rsidRPr="00A44CED">
        <w:rPr>
          <w:rFonts w:cs="Arial"/>
        </w:rPr>
        <w:t xml:space="preserve"> </w:t>
      </w:r>
      <w:r w:rsidR="004035B4" w:rsidRPr="00A44CED">
        <w:rPr>
          <w:rFonts w:cs="Arial"/>
        </w:rPr>
        <w:t>FDV</w:t>
      </w:r>
      <w:r w:rsidRPr="00A44CED">
        <w:rPr>
          <w:rFonts w:cs="Arial"/>
        </w:rPr>
        <w:t xml:space="preserve">. The </w:t>
      </w:r>
      <w:r w:rsidR="00274EDE">
        <w:rPr>
          <w:rFonts w:cs="Arial"/>
        </w:rPr>
        <w:t>d</w:t>
      </w:r>
      <w:r w:rsidRPr="00A44CED">
        <w:rPr>
          <w:rFonts w:cs="Arial"/>
        </w:rPr>
        <w:t>epartment will consult with AIHW and states to determine the best sources of data (for example, Specialist Homelessness Service</w:t>
      </w:r>
      <w:r w:rsidR="00951B3A" w:rsidRPr="00A44CED">
        <w:rPr>
          <w:rFonts w:cs="Arial"/>
        </w:rPr>
        <w:t>s</w:t>
      </w:r>
      <w:r w:rsidRPr="00A44CED">
        <w:rPr>
          <w:rFonts w:cs="Arial"/>
        </w:rPr>
        <w:t xml:space="preserve"> data and priority housing waiting lists).</w:t>
      </w:r>
      <w:r w:rsidR="00904FE1" w:rsidRPr="00A44CED">
        <w:rPr>
          <w:rFonts w:cs="Arial"/>
        </w:rPr>
        <w:t xml:space="preserve"> </w:t>
      </w:r>
    </w:p>
    <w:p w14:paraId="1CF91C87" w14:textId="1BC83592" w:rsidR="00946F33" w:rsidRPr="00A44CED" w:rsidRDefault="00E12617" w:rsidP="00E31DFE">
      <w:pPr>
        <w:pStyle w:val="ListParagraph"/>
        <w:numPr>
          <w:ilvl w:val="1"/>
          <w:numId w:val="16"/>
        </w:numPr>
        <w:rPr>
          <w:rFonts w:cs="Arial"/>
        </w:rPr>
      </w:pPr>
      <w:r w:rsidRPr="00A44CED">
        <w:rPr>
          <w:rFonts w:cs="Arial"/>
        </w:rPr>
        <w:t>Priority locations will be published as part of the grant opportunity guidelines.</w:t>
      </w:r>
      <w:r w:rsidR="00946F33" w:rsidRPr="00A44CED">
        <w:rPr>
          <w:rFonts w:cs="Arial"/>
        </w:rPr>
        <w:t xml:space="preserve"> </w:t>
      </w:r>
    </w:p>
    <w:p w14:paraId="2BB730C9" w14:textId="0B0AB552" w:rsidR="00946F33" w:rsidRPr="00A44CED" w:rsidRDefault="00E12617" w:rsidP="00E31DFE">
      <w:pPr>
        <w:pStyle w:val="ListParagraph"/>
        <w:numPr>
          <w:ilvl w:val="0"/>
          <w:numId w:val="41"/>
        </w:numPr>
        <w:ind w:right="-46"/>
        <w:rPr>
          <w:rFonts w:cs="Arial"/>
        </w:rPr>
      </w:pPr>
      <w:r w:rsidRPr="00A44CED">
        <w:rPr>
          <w:rFonts w:cs="Arial"/>
        </w:rPr>
        <w:t xml:space="preserve">Projects outside </w:t>
      </w:r>
      <w:r w:rsidR="00951B3A" w:rsidRPr="00A44CED">
        <w:rPr>
          <w:rFonts w:cs="Arial"/>
        </w:rPr>
        <w:t xml:space="preserve">the </w:t>
      </w:r>
      <w:r w:rsidRPr="00A44CED">
        <w:rPr>
          <w:rFonts w:cs="Arial"/>
        </w:rPr>
        <w:t xml:space="preserve">priority locations may be considered where evidence of high unmet </w:t>
      </w:r>
      <w:r w:rsidR="00F200E4">
        <w:rPr>
          <w:rFonts w:cs="Arial"/>
        </w:rPr>
        <w:t>deman</w:t>
      </w:r>
      <w:r w:rsidR="00F200E4" w:rsidRPr="00A44CED">
        <w:rPr>
          <w:rFonts w:cs="Arial"/>
        </w:rPr>
        <w:t xml:space="preserve">d </w:t>
      </w:r>
      <w:r w:rsidRPr="00A44CED">
        <w:rPr>
          <w:rFonts w:cs="Arial"/>
        </w:rPr>
        <w:t>can be demonstrated.</w:t>
      </w:r>
    </w:p>
    <w:p w14:paraId="4CEF36ED" w14:textId="07CA4EB3" w:rsidR="001D5E10" w:rsidRPr="00A44CED" w:rsidRDefault="00904FE1" w:rsidP="00BF38C2">
      <w:r w:rsidRPr="00B41A75">
        <w:rPr>
          <w:rFonts w:cs="Arial"/>
        </w:rPr>
        <w:t xml:space="preserve">This could include the applicant’s own data on waiting lists and </w:t>
      </w:r>
      <w:r w:rsidR="00D93157" w:rsidRPr="00B41A75">
        <w:rPr>
          <w:rFonts w:cs="Arial"/>
        </w:rPr>
        <w:t>First Nations women and children, women and children from a CALD background and women and children with disability,</w:t>
      </w:r>
      <w:r w:rsidR="00D86DB3" w:rsidRPr="00B41A75">
        <w:rPr>
          <w:rFonts w:cs="Arial"/>
        </w:rPr>
        <w:t xml:space="preserve"> </w:t>
      </w:r>
      <w:r w:rsidRPr="00B41A75">
        <w:rPr>
          <w:rFonts w:cs="Arial"/>
        </w:rPr>
        <w:t>supported in the location.</w:t>
      </w:r>
      <w:r w:rsidR="00946F33" w:rsidRPr="00B41A75">
        <w:rPr>
          <w:rFonts w:cs="Arial"/>
        </w:rPr>
        <w:t xml:space="preserve"> </w:t>
      </w:r>
      <w:r w:rsidR="001D5E10" w:rsidRPr="00A44CED">
        <w:t>Close proximity to the following infrastructure and services will be favourably considered:</w:t>
      </w:r>
    </w:p>
    <w:p w14:paraId="189700A2" w14:textId="77777777" w:rsidR="001D5E10" w:rsidRPr="00A44CED" w:rsidRDefault="001D5E10" w:rsidP="00E31DFE">
      <w:pPr>
        <w:pStyle w:val="ListParagraph"/>
        <w:numPr>
          <w:ilvl w:val="0"/>
          <w:numId w:val="41"/>
        </w:numPr>
        <w:ind w:right="-46"/>
        <w:rPr>
          <w:rFonts w:cs="Arial"/>
        </w:rPr>
      </w:pPr>
      <w:bookmarkStart w:id="1" w:name="_Toc71878073"/>
      <w:bookmarkStart w:id="2" w:name="_Toc71878200"/>
      <w:bookmarkStart w:id="3" w:name="_Toc71881517"/>
      <w:bookmarkStart w:id="4" w:name="_Toc71898170"/>
      <w:bookmarkEnd w:id="1"/>
      <w:bookmarkEnd w:id="2"/>
      <w:bookmarkEnd w:id="3"/>
      <w:bookmarkEnd w:id="4"/>
      <w:r w:rsidRPr="00A44CED">
        <w:rPr>
          <w:rFonts w:cs="Arial"/>
        </w:rPr>
        <w:t xml:space="preserve">existing public transport networks </w:t>
      </w:r>
    </w:p>
    <w:p w14:paraId="74000BDC" w14:textId="77777777" w:rsidR="001D5E10" w:rsidRPr="00A44CED" w:rsidRDefault="001D5E10" w:rsidP="00E31DFE">
      <w:pPr>
        <w:pStyle w:val="ListParagraph"/>
        <w:numPr>
          <w:ilvl w:val="0"/>
          <w:numId w:val="41"/>
        </w:numPr>
        <w:ind w:right="-46"/>
        <w:rPr>
          <w:rFonts w:cs="Arial"/>
        </w:rPr>
      </w:pPr>
      <w:r w:rsidRPr="00A44CED">
        <w:rPr>
          <w:rFonts w:cs="Arial"/>
        </w:rPr>
        <w:t>other forms of established infrastructure including educational and leisure facilities</w:t>
      </w:r>
    </w:p>
    <w:p w14:paraId="40D3DBED" w14:textId="77777777" w:rsidR="001D5E10" w:rsidRPr="00A44CED" w:rsidRDefault="001D5E10" w:rsidP="00E31DFE">
      <w:pPr>
        <w:pStyle w:val="ListParagraph"/>
        <w:numPr>
          <w:ilvl w:val="0"/>
          <w:numId w:val="41"/>
        </w:numPr>
        <w:ind w:right="-46"/>
        <w:rPr>
          <w:rFonts w:cs="Arial"/>
        </w:rPr>
      </w:pPr>
      <w:r w:rsidRPr="00A44CED">
        <w:rPr>
          <w:rFonts w:cs="Arial"/>
        </w:rPr>
        <w:t>daily needs and activity centres</w:t>
      </w:r>
    </w:p>
    <w:p w14:paraId="6D3442D7" w14:textId="74F28DE2" w:rsidR="00564B5D" w:rsidRPr="00A44CED" w:rsidRDefault="001D5E10" w:rsidP="00E31DFE">
      <w:pPr>
        <w:pStyle w:val="ListParagraph"/>
        <w:numPr>
          <w:ilvl w:val="0"/>
          <w:numId w:val="41"/>
        </w:numPr>
        <w:ind w:right="-46"/>
        <w:rPr>
          <w:rFonts w:cs="Arial"/>
        </w:rPr>
      </w:pPr>
      <w:r w:rsidRPr="00A44CED">
        <w:rPr>
          <w:rFonts w:cs="Arial"/>
        </w:rPr>
        <w:t>medical services</w:t>
      </w:r>
    </w:p>
    <w:p w14:paraId="16E84D77" w14:textId="095D270A" w:rsidR="00FB1AB6" w:rsidRPr="00A171F6" w:rsidRDefault="00564B5D" w:rsidP="00692916">
      <w:pPr>
        <w:pStyle w:val="ListParagraph"/>
        <w:numPr>
          <w:ilvl w:val="0"/>
          <w:numId w:val="41"/>
        </w:numPr>
        <w:ind w:right="-46"/>
        <w:rPr>
          <w:rFonts w:cs="Arial"/>
        </w:rPr>
      </w:pPr>
      <w:r w:rsidRPr="00A171F6">
        <w:rPr>
          <w:rFonts w:cs="Arial"/>
        </w:rPr>
        <w:t>services and amenities meet</w:t>
      </w:r>
      <w:r w:rsidR="00951B3A" w:rsidRPr="00A171F6">
        <w:rPr>
          <w:rFonts w:cs="Arial"/>
        </w:rPr>
        <w:t>ing</w:t>
      </w:r>
      <w:r w:rsidRPr="00A171F6">
        <w:rPr>
          <w:rFonts w:cs="Arial"/>
        </w:rPr>
        <w:t xml:space="preserve"> the needs of</w:t>
      </w:r>
      <w:r w:rsidR="00820160">
        <w:rPr>
          <w:rFonts w:cs="Arial"/>
        </w:rPr>
        <w:t xml:space="preserve"> First Nations women and children, women and children from CALD backgrounds and women and children with disability.</w:t>
      </w:r>
      <w:r w:rsidRPr="00A171F6">
        <w:rPr>
          <w:rFonts w:cs="Arial"/>
        </w:rPr>
        <w:t xml:space="preserve"> </w:t>
      </w:r>
    </w:p>
    <w:p w14:paraId="314DA2DA" w14:textId="4E0256C2" w:rsidR="00951B3A" w:rsidRPr="00A44CED" w:rsidRDefault="00951B3A" w:rsidP="00996258">
      <w:pPr>
        <w:pStyle w:val="Heading4"/>
        <w:ind w:left="851" w:hanging="851"/>
      </w:pPr>
      <w:r w:rsidRPr="00A44CED">
        <w:t xml:space="preserve">Criterion 2: </w:t>
      </w:r>
      <w:r w:rsidR="000E3D3A">
        <w:t>Specialist services and appropriate support</w:t>
      </w:r>
    </w:p>
    <w:p w14:paraId="46932267" w14:textId="7D9FC147" w:rsidR="00951B3A" w:rsidRPr="00A44CED" w:rsidRDefault="000E3D3A" w:rsidP="00951B3A">
      <w:pPr>
        <w:pStyle w:val="TableContent"/>
        <w:rPr>
          <w:b/>
        </w:rPr>
      </w:pPr>
      <w:r>
        <w:rPr>
          <w:b/>
        </w:rPr>
        <w:t>Applications will be assessed o</w:t>
      </w:r>
      <w:r w:rsidR="00783BB7">
        <w:rPr>
          <w:b/>
        </w:rPr>
        <w:t>n</w:t>
      </w:r>
      <w:r>
        <w:rPr>
          <w:b/>
        </w:rPr>
        <w:t xml:space="preserve"> the extent to which they provide </w:t>
      </w:r>
      <w:r w:rsidRPr="000E3D3A">
        <w:rPr>
          <w:b/>
        </w:rPr>
        <w:t>security</w:t>
      </w:r>
      <w:r w:rsidR="008E75B7">
        <w:rPr>
          <w:b/>
        </w:rPr>
        <w:t>,</w:t>
      </w:r>
      <w:r>
        <w:rPr>
          <w:b/>
        </w:rPr>
        <w:t xml:space="preserve"> </w:t>
      </w:r>
      <w:r w:rsidRPr="000E3D3A">
        <w:rPr>
          <w:b/>
        </w:rPr>
        <w:t>safety</w:t>
      </w:r>
      <w:r w:rsidR="008E75B7">
        <w:rPr>
          <w:b/>
        </w:rPr>
        <w:t>, privacy and dignity</w:t>
      </w:r>
      <w:r w:rsidR="00951B3A" w:rsidRPr="00A44CED">
        <w:rPr>
          <w:b/>
        </w:rPr>
        <w:t>.</w:t>
      </w:r>
    </w:p>
    <w:p w14:paraId="159BB65E" w14:textId="74C6B0A8" w:rsidR="00951B3A" w:rsidRPr="00A44CED" w:rsidRDefault="00951B3A" w:rsidP="00951B3A">
      <w:pPr>
        <w:pStyle w:val="TableContent"/>
      </w:pPr>
      <w:r w:rsidRPr="00A44CED">
        <w:t>The</w:t>
      </w:r>
      <w:r w:rsidRPr="00A44CED">
        <w:rPr>
          <w:b/>
        </w:rPr>
        <w:t xml:space="preserve"> </w:t>
      </w:r>
      <w:r w:rsidRPr="00F7457D">
        <w:t>criteri</w:t>
      </w:r>
      <w:r w:rsidR="00730DC9" w:rsidRPr="00F7457D">
        <w:t>on</w:t>
      </w:r>
      <w:r w:rsidRPr="00A44CED">
        <w:rPr>
          <w:b/>
        </w:rPr>
        <w:t xml:space="preserve"> </w:t>
      </w:r>
      <w:r w:rsidRPr="00A44CED">
        <w:t xml:space="preserve">may consider: </w:t>
      </w:r>
    </w:p>
    <w:p w14:paraId="5EA88600" w14:textId="6DC7172C" w:rsidR="008E75B7" w:rsidRPr="001A7723" w:rsidRDefault="001A7723" w:rsidP="00E31DFE">
      <w:pPr>
        <w:pStyle w:val="ListParagraph"/>
        <w:numPr>
          <w:ilvl w:val="0"/>
          <w:numId w:val="41"/>
        </w:numPr>
        <w:ind w:right="-46"/>
        <w:rPr>
          <w:rFonts w:cs="Arial"/>
        </w:rPr>
      </w:pPr>
      <w:r w:rsidRPr="00493EAD">
        <w:rPr>
          <w:rFonts w:cs="Arial"/>
        </w:rPr>
        <w:lastRenderedPageBreak/>
        <w:t>suitability</w:t>
      </w:r>
      <w:r w:rsidR="008E75B7" w:rsidRPr="00493EAD">
        <w:rPr>
          <w:rFonts w:cs="Arial"/>
        </w:rPr>
        <w:t xml:space="preserve"> of the</w:t>
      </w:r>
      <w:r w:rsidR="000E3D3A" w:rsidRPr="001A7723">
        <w:rPr>
          <w:rFonts w:cs="Arial"/>
        </w:rPr>
        <w:t xml:space="preserve"> </w:t>
      </w:r>
      <w:r w:rsidR="00757A07" w:rsidRPr="001A7723">
        <w:rPr>
          <w:rFonts w:cs="Arial"/>
        </w:rPr>
        <w:t xml:space="preserve">provider of </w:t>
      </w:r>
      <w:r w:rsidR="000E3D3A" w:rsidRPr="001A7723">
        <w:rPr>
          <w:rFonts w:cs="Arial"/>
        </w:rPr>
        <w:t>specialist service</w:t>
      </w:r>
      <w:r w:rsidR="00222ED7" w:rsidRPr="001A7723">
        <w:rPr>
          <w:rFonts w:cs="Arial"/>
        </w:rPr>
        <w:t>s</w:t>
      </w:r>
      <w:r w:rsidR="000E3D3A" w:rsidRPr="001A7723">
        <w:rPr>
          <w:rFonts w:cs="Arial"/>
        </w:rPr>
        <w:t xml:space="preserve"> </w:t>
      </w:r>
      <w:r w:rsidR="00222ED7" w:rsidRPr="001A7723">
        <w:rPr>
          <w:rFonts w:cs="Arial"/>
        </w:rPr>
        <w:t>for</w:t>
      </w:r>
      <w:r w:rsidR="008E75B7" w:rsidRPr="001A7723">
        <w:rPr>
          <w:rFonts w:cs="Arial"/>
        </w:rPr>
        <w:t xml:space="preserve"> women and children leaving FDV</w:t>
      </w:r>
    </w:p>
    <w:p w14:paraId="690EF56B" w14:textId="11838677" w:rsidR="000E3D3A" w:rsidRPr="000E3D3A" w:rsidRDefault="008E75B7" w:rsidP="00E31DFE">
      <w:pPr>
        <w:pStyle w:val="ListParagraph"/>
        <w:numPr>
          <w:ilvl w:val="0"/>
          <w:numId w:val="41"/>
        </w:numPr>
        <w:ind w:right="-46"/>
        <w:rPr>
          <w:rFonts w:cs="Arial"/>
        </w:rPr>
      </w:pPr>
      <w:r>
        <w:rPr>
          <w:rFonts w:cs="Arial"/>
        </w:rPr>
        <w:t xml:space="preserve">evidence the </w:t>
      </w:r>
      <w:r w:rsidRPr="000E3D3A">
        <w:rPr>
          <w:rFonts w:cs="Arial"/>
        </w:rPr>
        <w:t>specialist service</w:t>
      </w:r>
      <w:r>
        <w:rPr>
          <w:rFonts w:cs="Arial"/>
        </w:rPr>
        <w:t>s</w:t>
      </w:r>
      <w:r w:rsidRPr="000E3D3A">
        <w:rPr>
          <w:rFonts w:cs="Arial"/>
        </w:rPr>
        <w:t xml:space="preserve"> </w:t>
      </w:r>
      <w:r>
        <w:rPr>
          <w:rFonts w:cs="Arial"/>
        </w:rPr>
        <w:t>provided are</w:t>
      </w:r>
      <w:r w:rsidR="000E3D3A" w:rsidRPr="000E3D3A">
        <w:rPr>
          <w:rFonts w:cs="Arial"/>
        </w:rPr>
        <w:t xml:space="preserve"> client-centred, trauma informed, culturally appropriate, rights based, age </w:t>
      </w:r>
      <w:r>
        <w:rPr>
          <w:rFonts w:cs="Arial"/>
        </w:rPr>
        <w:t xml:space="preserve">and gender </w:t>
      </w:r>
      <w:r w:rsidR="000E3D3A" w:rsidRPr="000E3D3A">
        <w:rPr>
          <w:rFonts w:cs="Arial"/>
        </w:rPr>
        <w:t>appropriate</w:t>
      </w:r>
      <w:r w:rsidR="009A3DE6">
        <w:rPr>
          <w:rFonts w:cs="Arial"/>
        </w:rPr>
        <w:t xml:space="preserve">, and support </w:t>
      </w:r>
      <w:r w:rsidR="00BC010F">
        <w:rPr>
          <w:rFonts w:cs="Arial"/>
        </w:rPr>
        <w:br/>
      </w:r>
      <w:r w:rsidR="009A3DE6">
        <w:rPr>
          <w:rFonts w:cs="Arial"/>
        </w:rPr>
        <w:t>victim-survivors so they can recover and heal</w:t>
      </w:r>
      <w:r w:rsidR="000E3D3A" w:rsidRPr="000E3D3A">
        <w:rPr>
          <w:rFonts w:cs="Arial"/>
        </w:rPr>
        <w:t xml:space="preserve"> </w:t>
      </w:r>
    </w:p>
    <w:p w14:paraId="1175750F" w14:textId="1A7922BB" w:rsidR="000E3D3A" w:rsidRPr="000E3D3A" w:rsidRDefault="000E3D3A" w:rsidP="00E31DFE">
      <w:pPr>
        <w:pStyle w:val="ListParagraph"/>
        <w:numPr>
          <w:ilvl w:val="0"/>
          <w:numId w:val="41"/>
        </w:numPr>
        <w:ind w:right="-46"/>
        <w:rPr>
          <w:rFonts w:cs="Arial"/>
        </w:rPr>
      </w:pPr>
      <w:r w:rsidRPr="000E3D3A">
        <w:rPr>
          <w:rFonts w:cs="Arial"/>
        </w:rPr>
        <w:t xml:space="preserve">evidence </w:t>
      </w:r>
      <w:r w:rsidR="008E75B7">
        <w:rPr>
          <w:rFonts w:cs="Arial"/>
        </w:rPr>
        <w:t>victim-survivors</w:t>
      </w:r>
      <w:r w:rsidRPr="000E3D3A">
        <w:rPr>
          <w:rFonts w:cs="Arial"/>
        </w:rPr>
        <w:t xml:space="preserve"> will have access to social, legal and government services to support them to </w:t>
      </w:r>
      <w:r w:rsidR="00783BB7">
        <w:rPr>
          <w:rFonts w:cs="Arial"/>
        </w:rPr>
        <w:t xml:space="preserve">heal and </w:t>
      </w:r>
      <w:r w:rsidRPr="000E3D3A">
        <w:rPr>
          <w:rFonts w:cs="Arial"/>
        </w:rPr>
        <w:t>hold perpetrators to account</w:t>
      </w:r>
    </w:p>
    <w:p w14:paraId="11AFEBAC" w14:textId="27855BAE" w:rsidR="00951B3A" w:rsidRDefault="00317655" w:rsidP="00E31DFE">
      <w:pPr>
        <w:pStyle w:val="ListParagraph"/>
        <w:numPr>
          <w:ilvl w:val="0"/>
          <w:numId w:val="41"/>
        </w:numPr>
        <w:ind w:right="-46"/>
        <w:rPr>
          <w:rFonts w:cs="Arial"/>
        </w:rPr>
      </w:pPr>
      <w:r>
        <w:rPr>
          <w:rFonts w:cs="Arial"/>
        </w:rPr>
        <w:t xml:space="preserve">evidence </w:t>
      </w:r>
      <w:r w:rsidR="000E3D3A" w:rsidRPr="000E3D3A">
        <w:rPr>
          <w:rFonts w:cs="Arial"/>
        </w:rPr>
        <w:t xml:space="preserve">appropriate policies </w:t>
      </w:r>
      <w:r w:rsidR="008E75B7">
        <w:rPr>
          <w:rFonts w:cs="Arial"/>
        </w:rPr>
        <w:t xml:space="preserve">are in place, and can be enforced, </w:t>
      </w:r>
      <w:r w:rsidR="000E3D3A" w:rsidRPr="000E3D3A">
        <w:rPr>
          <w:rFonts w:cs="Arial"/>
        </w:rPr>
        <w:t>to protect vulner</w:t>
      </w:r>
      <w:r w:rsidR="000E3D3A">
        <w:rPr>
          <w:rFonts w:cs="Arial"/>
        </w:rPr>
        <w:t>able people including children</w:t>
      </w:r>
      <w:r w:rsidR="00951B3A" w:rsidRPr="000E3D3A">
        <w:rPr>
          <w:rFonts w:cs="Arial"/>
        </w:rPr>
        <w:t>.</w:t>
      </w:r>
    </w:p>
    <w:p w14:paraId="68632444" w14:textId="6AA1E375" w:rsidR="009C55E6" w:rsidRPr="00A80A06" w:rsidRDefault="00317655" w:rsidP="00801B79">
      <w:pPr>
        <w:pStyle w:val="ListParagraph"/>
        <w:numPr>
          <w:ilvl w:val="0"/>
          <w:numId w:val="41"/>
        </w:numPr>
        <w:ind w:right="-46"/>
        <w:rPr>
          <w:rFonts w:cs="Arial"/>
        </w:rPr>
      </w:pPr>
      <w:r>
        <w:rPr>
          <w:rFonts w:cs="Arial"/>
        </w:rPr>
        <w:t xml:space="preserve">evidence the </w:t>
      </w:r>
      <w:r w:rsidR="009C55E6" w:rsidRPr="00A44CED">
        <w:t xml:space="preserve">emergency accommodation </w:t>
      </w:r>
      <w:r>
        <w:t xml:space="preserve">will provide </w:t>
      </w:r>
      <w:r w:rsidR="009C55E6" w:rsidRPr="00801B79">
        <w:rPr>
          <w:rFonts w:cs="Arial"/>
        </w:rPr>
        <w:t xml:space="preserve">privacy for individuals/family units consistent with the definitions of emergency </w:t>
      </w:r>
      <w:r w:rsidR="009C55E6" w:rsidRPr="009D497C">
        <w:rPr>
          <w:rFonts w:cs="Arial"/>
        </w:rPr>
        <w:t>accommodation and a ‘safe place’ (outlined in section</w:t>
      </w:r>
      <w:r w:rsidR="00275C66" w:rsidRPr="009D497C">
        <w:rPr>
          <w:rFonts w:cs="Arial"/>
        </w:rPr>
        <w:t>s</w:t>
      </w:r>
      <w:r w:rsidR="009C55E6" w:rsidRPr="009D497C">
        <w:rPr>
          <w:rFonts w:cs="Arial"/>
        </w:rPr>
        <w:t xml:space="preserve"> </w:t>
      </w:r>
      <w:r w:rsidR="00D72748" w:rsidRPr="00A80A06">
        <w:rPr>
          <w:rFonts w:cs="Arial"/>
        </w:rPr>
        <w:t>4.3.1-2</w:t>
      </w:r>
      <w:r w:rsidR="009C55E6" w:rsidRPr="00A80A06">
        <w:rPr>
          <w:rFonts w:cs="Arial"/>
        </w:rPr>
        <w:t>)</w:t>
      </w:r>
    </w:p>
    <w:p w14:paraId="3E7332B3" w14:textId="00204700" w:rsidR="009C55E6" w:rsidRDefault="00317655" w:rsidP="00E31DFE">
      <w:pPr>
        <w:pStyle w:val="ListParagraph"/>
        <w:numPr>
          <w:ilvl w:val="0"/>
          <w:numId w:val="41"/>
        </w:numPr>
        <w:ind w:right="-46"/>
        <w:rPr>
          <w:rFonts w:cs="Arial"/>
        </w:rPr>
      </w:pPr>
      <w:r>
        <w:rPr>
          <w:rFonts w:cs="Arial"/>
        </w:rPr>
        <w:t xml:space="preserve">evidence the emergency accommodation will provide </w:t>
      </w:r>
      <w:r w:rsidR="009C55E6" w:rsidRPr="00A44CED">
        <w:rPr>
          <w:rFonts w:cs="Arial"/>
        </w:rPr>
        <w:t>high levels of physical security consistent with the needs of the client cohort</w:t>
      </w:r>
    </w:p>
    <w:p w14:paraId="260AB2DC" w14:textId="057D1360" w:rsidR="009C55E6" w:rsidRPr="00A44CED" w:rsidRDefault="009C55E6" w:rsidP="00E31DFE">
      <w:pPr>
        <w:pStyle w:val="ListParagraph"/>
        <w:numPr>
          <w:ilvl w:val="0"/>
          <w:numId w:val="41"/>
        </w:numPr>
        <w:ind w:right="-46"/>
        <w:rPr>
          <w:rFonts w:cs="Arial"/>
        </w:rPr>
      </w:pPr>
      <w:r w:rsidRPr="00A44CED">
        <w:rPr>
          <w:rFonts w:cs="Arial"/>
        </w:rPr>
        <w:t xml:space="preserve">any additional features that meet the needs of </w:t>
      </w:r>
      <w:r w:rsidR="00F574A4">
        <w:rPr>
          <w:rFonts w:cs="Arial"/>
        </w:rPr>
        <w:t>First Nations women and children, women and children from CALD backgrounds and women and children with disability</w:t>
      </w:r>
      <w:r w:rsidRPr="00A44CED">
        <w:rPr>
          <w:rFonts w:cs="Arial"/>
        </w:rPr>
        <w:t xml:space="preserve">. </w:t>
      </w:r>
    </w:p>
    <w:p w14:paraId="5CBC0EB0" w14:textId="1662A810" w:rsidR="00F23F8B" w:rsidRPr="00A44CED" w:rsidRDefault="00951B3A" w:rsidP="00996258">
      <w:pPr>
        <w:pStyle w:val="Heading4"/>
        <w:ind w:left="851" w:hanging="851"/>
      </w:pPr>
      <w:r w:rsidRPr="00A44CED">
        <w:t xml:space="preserve">Criterion 3: </w:t>
      </w:r>
      <w:r w:rsidR="00F23F8B" w:rsidRPr="00A44CED">
        <w:t>Value for Money</w:t>
      </w:r>
    </w:p>
    <w:p w14:paraId="41B30DDD" w14:textId="096E54D4" w:rsidR="0098015E" w:rsidRPr="00A44CED" w:rsidRDefault="0098015E" w:rsidP="00D9061A">
      <w:pPr>
        <w:pStyle w:val="TableContent"/>
        <w:rPr>
          <w:b/>
        </w:rPr>
      </w:pPr>
      <w:r w:rsidRPr="00A44CED">
        <w:rPr>
          <w:b/>
        </w:rPr>
        <w:t xml:space="preserve">Applications will be assessed </w:t>
      </w:r>
      <w:r w:rsidR="00D24B97">
        <w:rPr>
          <w:b/>
        </w:rPr>
        <w:t>on</w:t>
      </w:r>
      <w:r w:rsidR="00D24B97" w:rsidRPr="00A44CED">
        <w:rPr>
          <w:b/>
        </w:rPr>
        <w:t xml:space="preserve"> </w:t>
      </w:r>
      <w:r w:rsidRPr="00A44CED">
        <w:rPr>
          <w:b/>
        </w:rPr>
        <w:t xml:space="preserve">the extent to which they represent value for money </w:t>
      </w:r>
      <w:r w:rsidR="00420EF4">
        <w:rPr>
          <w:b/>
        </w:rPr>
        <w:t xml:space="preserve">for the Commonwealth investment </w:t>
      </w:r>
      <w:r w:rsidRPr="00A44CED">
        <w:rPr>
          <w:b/>
        </w:rPr>
        <w:t xml:space="preserve">under </w:t>
      </w:r>
      <w:r w:rsidR="00BC010F">
        <w:rPr>
          <w:b/>
        </w:rPr>
        <w:t>2</w:t>
      </w:r>
      <w:r w:rsidRPr="00A44CED">
        <w:rPr>
          <w:b/>
        </w:rPr>
        <w:t xml:space="preserve"> main elements: project cost and project quality.</w:t>
      </w:r>
    </w:p>
    <w:p w14:paraId="5C5399B6" w14:textId="78F4F266" w:rsidR="005B6C32" w:rsidRPr="00A44CED" w:rsidRDefault="0098015E" w:rsidP="00057918">
      <w:pPr>
        <w:pStyle w:val="TableContent"/>
      </w:pPr>
      <w:r w:rsidRPr="00A44CED">
        <w:t>The</w:t>
      </w:r>
      <w:r w:rsidRPr="00A44CED">
        <w:rPr>
          <w:b/>
        </w:rPr>
        <w:t xml:space="preserve"> project cost </w:t>
      </w:r>
      <w:r w:rsidRPr="00692916">
        <w:t>criteria</w:t>
      </w:r>
      <w:r w:rsidRPr="00A44CED">
        <w:rPr>
          <w:b/>
        </w:rPr>
        <w:t xml:space="preserve"> </w:t>
      </w:r>
      <w:r w:rsidR="005B6C32" w:rsidRPr="00A44CED">
        <w:t xml:space="preserve">may </w:t>
      </w:r>
      <w:r w:rsidR="00823AF8" w:rsidRPr="00A44CED">
        <w:t>consider</w:t>
      </w:r>
      <w:r w:rsidR="005B6C32" w:rsidRPr="00A44CED">
        <w:t>:</w:t>
      </w:r>
      <w:r w:rsidR="00823AF8" w:rsidRPr="00A44CED">
        <w:t xml:space="preserve"> </w:t>
      </w:r>
    </w:p>
    <w:p w14:paraId="0CAF718B" w14:textId="6804282A" w:rsidR="005B6C32" w:rsidRPr="00A44CED" w:rsidRDefault="00823AF8" w:rsidP="00E31DFE">
      <w:pPr>
        <w:pStyle w:val="ListParagraph"/>
        <w:numPr>
          <w:ilvl w:val="0"/>
          <w:numId w:val="41"/>
        </w:numPr>
        <w:ind w:right="-46"/>
        <w:rPr>
          <w:rFonts w:cs="Arial"/>
        </w:rPr>
      </w:pPr>
      <w:r w:rsidRPr="00A44CED">
        <w:rPr>
          <w:rFonts w:cs="Arial"/>
        </w:rPr>
        <w:t xml:space="preserve">local </w:t>
      </w:r>
      <w:r w:rsidR="00015C74" w:rsidRPr="00A44CED">
        <w:rPr>
          <w:rFonts w:cs="Arial"/>
        </w:rPr>
        <w:t>construction/real estate</w:t>
      </w:r>
      <w:r w:rsidRPr="00A44CED">
        <w:rPr>
          <w:rFonts w:cs="Arial"/>
        </w:rPr>
        <w:t xml:space="preserve"> </w:t>
      </w:r>
      <w:r w:rsidR="001D5E10" w:rsidRPr="00A44CED">
        <w:rPr>
          <w:rFonts w:cs="Arial"/>
        </w:rPr>
        <w:t xml:space="preserve">costs </w:t>
      </w:r>
      <w:r w:rsidRPr="00A44CED">
        <w:rPr>
          <w:rFonts w:cs="Arial"/>
        </w:rPr>
        <w:t>to ensure high cost locations will not be disadvantaged in the assessment process</w:t>
      </w:r>
    </w:p>
    <w:p w14:paraId="63BD8CE0" w14:textId="4C56B608" w:rsidR="00823AF8" w:rsidRPr="00A44CED" w:rsidRDefault="00981904" w:rsidP="00E31DFE">
      <w:pPr>
        <w:pStyle w:val="ListParagraph"/>
        <w:numPr>
          <w:ilvl w:val="0"/>
          <w:numId w:val="41"/>
        </w:numPr>
        <w:ind w:right="-46"/>
        <w:rPr>
          <w:rFonts w:cs="Arial"/>
        </w:rPr>
      </w:pPr>
      <w:r w:rsidRPr="00A44CED">
        <w:rPr>
          <w:rFonts w:cs="Arial"/>
        </w:rPr>
        <w:t xml:space="preserve">costs associated with higher </w:t>
      </w:r>
      <w:r w:rsidR="005B6C32" w:rsidRPr="00A44CED">
        <w:rPr>
          <w:rFonts w:cs="Arial"/>
        </w:rPr>
        <w:t xml:space="preserve">build quality, </w:t>
      </w:r>
      <w:r w:rsidR="00F7457D">
        <w:rPr>
          <w:rFonts w:cs="Arial"/>
        </w:rPr>
        <w:t>to ensure</w:t>
      </w:r>
      <w:r w:rsidR="005B6C32" w:rsidRPr="00A44CED">
        <w:rPr>
          <w:rFonts w:cs="Arial"/>
        </w:rPr>
        <w:t xml:space="preserve"> dwellings </w:t>
      </w:r>
      <w:r w:rsidR="007E27B7">
        <w:rPr>
          <w:rFonts w:cs="Arial"/>
        </w:rPr>
        <w:t xml:space="preserve">proposed to be </w:t>
      </w:r>
      <w:r w:rsidR="005B6C32" w:rsidRPr="00A44CED">
        <w:rPr>
          <w:rFonts w:cs="Arial"/>
        </w:rPr>
        <w:t xml:space="preserve">built to gold or platinum </w:t>
      </w:r>
      <w:r w:rsidR="0098015E" w:rsidRPr="00A44CED">
        <w:rPr>
          <w:rFonts w:cs="Arial"/>
        </w:rPr>
        <w:t xml:space="preserve">Livable Housing Australia </w:t>
      </w:r>
      <w:r w:rsidR="005B6C32" w:rsidRPr="00A44CED">
        <w:rPr>
          <w:rFonts w:cs="Arial"/>
        </w:rPr>
        <w:t xml:space="preserve">standard to accommodate women and </w:t>
      </w:r>
      <w:r w:rsidRPr="00A44CED">
        <w:rPr>
          <w:rFonts w:cs="Arial"/>
        </w:rPr>
        <w:t>c</w:t>
      </w:r>
      <w:r w:rsidR="005B6C32" w:rsidRPr="00A44CED">
        <w:rPr>
          <w:rFonts w:cs="Arial"/>
        </w:rPr>
        <w:t>hildren with disability</w:t>
      </w:r>
      <w:r w:rsidR="00F7457D">
        <w:rPr>
          <w:rFonts w:cs="Arial"/>
        </w:rPr>
        <w:t xml:space="preserve"> will not be disadvantaged in the assessment process</w:t>
      </w:r>
    </w:p>
    <w:p w14:paraId="1683B24E" w14:textId="7C7E212D" w:rsidR="005C15F3" w:rsidRDefault="00981904" w:rsidP="00E31DFE">
      <w:pPr>
        <w:pStyle w:val="ListParagraph"/>
        <w:numPr>
          <w:ilvl w:val="0"/>
          <w:numId w:val="41"/>
        </w:numPr>
        <w:ind w:right="-46"/>
        <w:rPr>
          <w:rFonts w:cs="Arial"/>
        </w:rPr>
      </w:pPr>
      <w:r w:rsidRPr="00A44CED">
        <w:rPr>
          <w:rFonts w:cs="Arial"/>
        </w:rPr>
        <w:t>c</w:t>
      </w:r>
      <w:r w:rsidR="005C15F3" w:rsidRPr="00A44CED">
        <w:rPr>
          <w:rFonts w:cs="Arial"/>
        </w:rPr>
        <w:t xml:space="preserve">o-contributions from the applicant, </w:t>
      </w:r>
      <w:r w:rsidR="00C94AD2" w:rsidRPr="00A44CED">
        <w:rPr>
          <w:rFonts w:cs="Arial"/>
        </w:rPr>
        <w:t xml:space="preserve">private and </w:t>
      </w:r>
      <w:r w:rsidR="005C15F3" w:rsidRPr="00A44CED">
        <w:rPr>
          <w:rFonts w:cs="Arial"/>
        </w:rPr>
        <w:t>philanthrop</w:t>
      </w:r>
      <w:r w:rsidR="00013C28" w:rsidRPr="00A44CED">
        <w:rPr>
          <w:rFonts w:cs="Arial"/>
        </w:rPr>
        <w:t>ic</w:t>
      </w:r>
      <w:r w:rsidR="00D726C6" w:rsidRPr="00A44CED">
        <w:rPr>
          <w:rFonts w:cs="Arial"/>
        </w:rPr>
        <w:t xml:space="preserve"> so</w:t>
      </w:r>
      <w:r w:rsidR="001D5E10" w:rsidRPr="00A44CED">
        <w:rPr>
          <w:rFonts w:cs="Arial"/>
        </w:rPr>
        <w:t xml:space="preserve">urces, </w:t>
      </w:r>
      <w:r w:rsidR="00D726C6" w:rsidRPr="00A44CED">
        <w:rPr>
          <w:rFonts w:cs="Arial"/>
        </w:rPr>
        <w:t>state and</w:t>
      </w:r>
      <w:r w:rsidR="001D5E10" w:rsidRPr="00A44CED">
        <w:rPr>
          <w:rFonts w:cs="Arial"/>
        </w:rPr>
        <w:t>/or</w:t>
      </w:r>
      <w:r w:rsidR="00D726C6" w:rsidRPr="00A44CED">
        <w:rPr>
          <w:rFonts w:cs="Arial"/>
        </w:rPr>
        <w:t xml:space="preserve"> local governments</w:t>
      </w:r>
    </w:p>
    <w:p w14:paraId="0DCBB542" w14:textId="2DEDDE30" w:rsidR="00115193" w:rsidRPr="00A44CED" w:rsidRDefault="00115193" w:rsidP="00E31DFE">
      <w:pPr>
        <w:pStyle w:val="ListParagraph"/>
        <w:numPr>
          <w:ilvl w:val="0"/>
          <w:numId w:val="41"/>
        </w:numPr>
        <w:ind w:right="-46"/>
        <w:rPr>
          <w:rFonts w:cs="Arial"/>
        </w:rPr>
      </w:pPr>
      <w:r>
        <w:rPr>
          <w:rFonts w:cs="Arial"/>
        </w:rPr>
        <w:t>the cost to the Commonwealth per dwelling and per safe place delivered</w:t>
      </w:r>
      <w:r w:rsidR="00930092">
        <w:rPr>
          <w:rFonts w:cs="Arial"/>
        </w:rPr>
        <w:t>.</w:t>
      </w:r>
    </w:p>
    <w:p w14:paraId="32F07224" w14:textId="512D3441" w:rsidR="001A0C8F" w:rsidRPr="00A44CED" w:rsidRDefault="002E2A21" w:rsidP="004774E1">
      <w:pPr>
        <w:rPr>
          <w:rFonts w:cs="Arial"/>
        </w:rPr>
      </w:pPr>
      <w:r w:rsidRPr="00A44CED">
        <w:rPr>
          <w:rFonts w:cs="Arial"/>
        </w:rPr>
        <w:t xml:space="preserve">High quality applications </w:t>
      </w:r>
      <w:r w:rsidR="00981904" w:rsidRPr="00A44CED">
        <w:rPr>
          <w:rFonts w:cs="Arial"/>
        </w:rPr>
        <w:t>may</w:t>
      </w:r>
      <w:r w:rsidRPr="00A44CED">
        <w:rPr>
          <w:rFonts w:cs="Arial"/>
        </w:rPr>
        <w:t xml:space="preserve"> include</w:t>
      </w:r>
      <w:r w:rsidR="00AD17A6" w:rsidRPr="00A44CED">
        <w:rPr>
          <w:rFonts w:cs="Arial"/>
        </w:rPr>
        <w:t xml:space="preserve"> </w:t>
      </w:r>
      <w:r w:rsidRPr="00A44CED">
        <w:rPr>
          <w:rFonts w:cs="Arial"/>
        </w:rPr>
        <w:t xml:space="preserve">supporting costing information including </w:t>
      </w:r>
      <w:r w:rsidR="009C4BE2" w:rsidRPr="00A44CED">
        <w:rPr>
          <w:rFonts w:cs="Arial"/>
        </w:rPr>
        <w:t>cost contingency and escalation</w:t>
      </w:r>
      <w:r w:rsidR="009C4BE2">
        <w:rPr>
          <w:rFonts w:cs="Arial"/>
        </w:rPr>
        <w:t>,</w:t>
      </w:r>
      <w:r w:rsidR="009C4BE2" w:rsidRPr="00A44CED">
        <w:rPr>
          <w:rFonts w:cs="Arial"/>
        </w:rPr>
        <w:t xml:space="preserve"> </w:t>
      </w:r>
      <w:r w:rsidRPr="00A44CED">
        <w:rPr>
          <w:rFonts w:cs="Arial"/>
        </w:rPr>
        <w:t>a quantity surveyor report</w:t>
      </w:r>
      <w:r w:rsidR="009C4BE2">
        <w:rPr>
          <w:rFonts w:cs="Arial"/>
        </w:rPr>
        <w:t>,</w:t>
      </w:r>
      <w:r w:rsidRPr="00A44CED">
        <w:rPr>
          <w:rFonts w:cs="Arial"/>
        </w:rPr>
        <w:t xml:space="preserve"> building quotes</w:t>
      </w:r>
      <w:r w:rsidR="009C4BE2">
        <w:rPr>
          <w:rFonts w:cs="Arial"/>
        </w:rPr>
        <w:t>,</w:t>
      </w:r>
      <w:r w:rsidR="00981904" w:rsidRPr="00A44CED">
        <w:rPr>
          <w:rFonts w:cs="Arial"/>
        </w:rPr>
        <w:t xml:space="preserve"> and confirmation of secured funding sources</w:t>
      </w:r>
      <w:r w:rsidR="004035B4" w:rsidRPr="00A44CED">
        <w:rPr>
          <w:rFonts w:cs="Arial"/>
        </w:rPr>
        <w:t>.</w:t>
      </w:r>
    </w:p>
    <w:p w14:paraId="2720AD93" w14:textId="5B6D9FBF" w:rsidR="00981904" w:rsidRPr="00A44CED" w:rsidRDefault="00981904" w:rsidP="00156197">
      <w:pPr>
        <w:pStyle w:val="TableContent"/>
      </w:pPr>
      <w:r w:rsidRPr="00A44CED">
        <w:t xml:space="preserve">The </w:t>
      </w:r>
      <w:r w:rsidRPr="00A44CED">
        <w:rPr>
          <w:b/>
        </w:rPr>
        <w:t>project quality</w:t>
      </w:r>
      <w:r w:rsidRPr="00A44CED">
        <w:t xml:space="preserve"> criteria may consider the extent to which the application provides certainty that:</w:t>
      </w:r>
    </w:p>
    <w:p w14:paraId="2FBF7CA2" w14:textId="322C3F6F" w:rsidR="00981904" w:rsidRDefault="00981904" w:rsidP="00E31DFE">
      <w:pPr>
        <w:pStyle w:val="ListParagraph"/>
        <w:numPr>
          <w:ilvl w:val="0"/>
          <w:numId w:val="41"/>
        </w:numPr>
        <w:ind w:right="-46"/>
        <w:rPr>
          <w:rFonts w:cs="Arial"/>
        </w:rPr>
      </w:pPr>
      <w:r w:rsidRPr="00A44CED">
        <w:rPr>
          <w:rFonts w:cs="Arial"/>
        </w:rPr>
        <w:t>the design of the dwelling/s is appropriate to the client cohort and location</w:t>
      </w:r>
    </w:p>
    <w:p w14:paraId="1EE396CD" w14:textId="31DA4184" w:rsidR="00C07A3B" w:rsidRDefault="00C07A3B" w:rsidP="00C07A3B">
      <w:pPr>
        <w:pStyle w:val="ListParagraph"/>
        <w:numPr>
          <w:ilvl w:val="0"/>
          <w:numId w:val="41"/>
        </w:numPr>
        <w:ind w:right="-46"/>
        <w:rPr>
          <w:rFonts w:cs="Arial"/>
        </w:rPr>
      </w:pPr>
      <w:r>
        <w:rPr>
          <w:rFonts w:cs="Arial"/>
        </w:rPr>
        <w:t xml:space="preserve">the emergency accommodation meets </w:t>
      </w:r>
      <w:r w:rsidRPr="00A44CED">
        <w:rPr>
          <w:rFonts w:cs="Arial"/>
        </w:rPr>
        <w:t xml:space="preserve">at least silver standard of the </w:t>
      </w:r>
      <w:r w:rsidR="00BC010F" w:rsidRPr="00BC010F">
        <w:rPr>
          <w:rFonts w:cs="Arial"/>
        </w:rPr>
        <w:t xml:space="preserve">Livable Housing Australia </w:t>
      </w:r>
      <w:r w:rsidRPr="00A44CED">
        <w:rPr>
          <w:rFonts w:cs="Arial"/>
        </w:rPr>
        <w:t xml:space="preserve">design guidelines </w:t>
      </w:r>
      <w:r w:rsidR="001B21CF">
        <w:rPr>
          <w:rFonts w:cs="Arial"/>
        </w:rPr>
        <w:t>in</w:t>
      </w:r>
      <w:r w:rsidR="00F200E4">
        <w:rPr>
          <w:rFonts w:cs="Arial"/>
        </w:rPr>
        <w:t xml:space="preserve"> the National Construction Code</w:t>
      </w:r>
      <w:r>
        <w:rPr>
          <w:rFonts w:cs="Arial"/>
        </w:rPr>
        <w:t xml:space="preserve"> </w:t>
      </w:r>
    </w:p>
    <w:p w14:paraId="668A654E" w14:textId="0E550F1E" w:rsidR="00BC010F" w:rsidRPr="003A1629" w:rsidRDefault="00C07A3B" w:rsidP="007D0876">
      <w:pPr>
        <w:pStyle w:val="ListParagraph"/>
        <w:numPr>
          <w:ilvl w:val="1"/>
          <w:numId w:val="16"/>
        </w:numPr>
        <w:rPr>
          <w:rFonts w:cs="Arial"/>
        </w:rPr>
      </w:pPr>
      <w:r w:rsidRPr="00A44CED">
        <w:rPr>
          <w:rFonts w:cs="Arial"/>
        </w:rPr>
        <w:t xml:space="preserve">projects that meet gold or platinum standards in order </w:t>
      </w:r>
      <w:r w:rsidR="00BC010F" w:rsidRPr="00BC010F">
        <w:rPr>
          <w:rFonts w:cs="Arial"/>
        </w:rPr>
        <w:t>to accommodate women and children with disability</w:t>
      </w:r>
      <w:r w:rsidRPr="00A44CED">
        <w:rPr>
          <w:rFonts w:cs="Arial"/>
        </w:rPr>
        <w:t xml:space="preserve"> will be considered favourably</w:t>
      </w:r>
    </w:p>
    <w:p w14:paraId="601D1D41" w14:textId="77777777" w:rsidR="00981904" w:rsidRPr="00A44CED" w:rsidRDefault="00981904" w:rsidP="00E31DFE">
      <w:pPr>
        <w:pStyle w:val="ListParagraph"/>
        <w:numPr>
          <w:ilvl w:val="0"/>
          <w:numId w:val="41"/>
        </w:numPr>
        <w:ind w:right="-46"/>
        <w:rPr>
          <w:rFonts w:cs="Arial"/>
        </w:rPr>
      </w:pPr>
      <w:r w:rsidRPr="00A44CED">
        <w:rPr>
          <w:rFonts w:cs="Arial"/>
        </w:rPr>
        <w:t>a technically compliant project will be delivered</w:t>
      </w:r>
    </w:p>
    <w:p w14:paraId="57F82E9D" w14:textId="75DB2AE1" w:rsidR="00981904" w:rsidRPr="00A44CED" w:rsidRDefault="00981904" w:rsidP="00E31DFE">
      <w:pPr>
        <w:pStyle w:val="ListParagraph"/>
        <w:numPr>
          <w:ilvl w:val="0"/>
          <w:numId w:val="41"/>
        </w:numPr>
        <w:ind w:right="-46"/>
        <w:rPr>
          <w:rFonts w:cs="Arial"/>
        </w:rPr>
      </w:pPr>
      <w:r w:rsidRPr="00A44CED">
        <w:rPr>
          <w:rFonts w:cs="Arial"/>
        </w:rPr>
        <w:t>the project will be delivered on time</w:t>
      </w:r>
      <w:r w:rsidR="00C94AD2" w:rsidRPr="00A44CED">
        <w:rPr>
          <w:rFonts w:cs="Arial"/>
        </w:rPr>
        <w:t xml:space="preserve"> and to budget</w:t>
      </w:r>
    </w:p>
    <w:p w14:paraId="7CAA9148" w14:textId="0CE853CD" w:rsidR="00981904" w:rsidRPr="00A44CED" w:rsidRDefault="00981904" w:rsidP="00E31DFE">
      <w:pPr>
        <w:pStyle w:val="ListParagraph"/>
        <w:numPr>
          <w:ilvl w:val="0"/>
          <w:numId w:val="41"/>
        </w:numPr>
        <w:ind w:right="-46"/>
        <w:rPr>
          <w:rFonts w:cs="Arial"/>
        </w:rPr>
      </w:pPr>
      <w:r w:rsidRPr="00A44CED">
        <w:rPr>
          <w:rFonts w:cs="Arial"/>
        </w:rPr>
        <w:t>construction risks have been adequately addressed</w:t>
      </w:r>
      <w:r w:rsidR="00C94AD2" w:rsidRPr="00A44CED">
        <w:rPr>
          <w:rFonts w:cs="Arial"/>
        </w:rPr>
        <w:t>.</w:t>
      </w:r>
    </w:p>
    <w:p w14:paraId="79BECEE1" w14:textId="7FC32A8A" w:rsidR="001E4F0B" w:rsidRPr="00A44CED" w:rsidRDefault="005F1C61" w:rsidP="009C4BE2">
      <w:pPr>
        <w:pStyle w:val="TableContent"/>
        <w:keepNext/>
      </w:pPr>
      <w:r w:rsidRPr="00A44CED">
        <w:t xml:space="preserve">High quality applications </w:t>
      </w:r>
      <w:r w:rsidR="00B95D8C" w:rsidRPr="00A44CED">
        <w:t>may</w:t>
      </w:r>
      <w:r w:rsidRPr="00A44CED">
        <w:t xml:space="preserve"> include:</w:t>
      </w:r>
    </w:p>
    <w:p w14:paraId="2DA0D242" w14:textId="77777777" w:rsidR="005F1C61" w:rsidRPr="00E31DFE" w:rsidRDefault="005F1C61" w:rsidP="00E31DFE">
      <w:pPr>
        <w:pStyle w:val="ListParagraph"/>
        <w:numPr>
          <w:ilvl w:val="0"/>
          <w:numId w:val="41"/>
        </w:numPr>
        <w:ind w:right="-46"/>
        <w:rPr>
          <w:rFonts w:cs="Arial"/>
        </w:rPr>
      </w:pPr>
      <w:r w:rsidRPr="00E31DFE">
        <w:rPr>
          <w:rFonts w:cs="Arial"/>
        </w:rPr>
        <w:t>plans, designs, number, size and configuration of the dwelling</w:t>
      </w:r>
    </w:p>
    <w:p w14:paraId="0DAEFD7B" w14:textId="77777777" w:rsidR="005F1C61" w:rsidRPr="00E31DFE" w:rsidRDefault="005F1C61" w:rsidP="00E31DFE">
      <w:pPr>
        <w:pStyle w:val="ListParagraph"/>
        <w:numPr>
          <w:ilvl w:val="0"/>
          <w:numId w:val="41"/>
        </w:numPr>
        <w:ind w:right="-46"/>
        <w:rPr>
          <w:rFonts w:cs="Arial"/>
        </w:rPr>
      </w:pPr>
      <w:r w:rsidRPr="00E31DFE">
        <w:rPr>
          <w:rFonts w:cs="Arial"/>
        </w:rPr>
        <w:t>stage and evidence of approvals</w:t>
      </w:r>
    </w:p>
    <w:p w14:paraId="0D3F0073" w14:textId="77777777" w:rsidR="005F1C61" w:rsidRPr="00E31DFE" w:rsidRDefault="005F1C61" w:rsidP="00E31DFE">
      <w:pPr>
        <w:pStyle w:val="ListParagraph"/>
        <w:numPr>
          <w:ilvl w:val="0"/>
          <w:numId w:val="41"/>
        </w:numPr>
        <w:ind w:right="-46"/>
        <w:rPr>
          <w:rFonts w:cs="Arial"/>
        </w:rPr>
      </w:pPr>
      <w:r w:rsidRPr="00E31DFE">
        <w:rPr>
          <w:rFonts w:cs="Arial"/>
        </w:rPr>
        <w:lastRenderedPageBreak/>
        <w:t>evidence of land ownership or intent to acquire land</w:t>
      </w:r>
    </w:p>
    <w:p w14:paraId="4500E80F" w14:textId="6879B9E0" w:rsidR="005F1C61" w:rsidRPr="00E31DFE" w:rsidRDefault="005F1C61" w:rsidP="00E31DFE">
      <w:pPr>
        <w:pStyle w:val="ListParagraph"/>
        <w:numPr>
          <w:ilvl w:val="0"/>
          <w:numId w:val="41"/>
        </w:numPr>
        <w:ind w:right="-46"/>
        <w:rPr>
          <w:rFonts w:cs="Arial"/>
        </w:rPr>
      </w:pPr>
      <w:r w:rsidRPr="00E31DFE">
        <w:rPr>
          <w:rFonts w:cs="Arial"/>
        </w:rPr>
        <w:t>if land is leased, evidence of approval to build and who will own the asset post-build</w:t>
      </w:r>
      <w:r w:rsidR="000A431B" w:rsidRPr="00E31DFE">
        <w:rPr>
          <w:rFonts w:cs="Arial"/>
        </w:rPr>
        <w:t>.</w:t>
      </w:r>
    </w:p>
    <w:p w14:paraId="204AAE68" w14:textId="5F8C8E80" w:rsidR="00F23F8B" w:rsidRPr="00A44CED" w:rsidRDefault="00BF463B" w:rsidP="00996258">
      <w:pPr>
        <w:pStyle w:val="Heading4"/>
        <w:ind w:left="851" w:hanging="851"/>
      </w:pPr>
      <w:r w:rsidRPr="00A44CED">
        <w:t xml:space="preserve">Criterion 4: </w:t>
      </w:r>
      <w:r w:rsidR="00F23F8B" w:rsidRPr="00A44CED">
        <w:t>Capacity and capability</w:t>
      </w:r>
    </w:p>
    <w:p w14:paraId="6C119C67" w14:textId="6A87DFD2" w:rsidR="00D726C6" w:rsidRPr="00A44CED" w:rsidRDefault="00D726C6" w:rsidP="00D9061A">
      <w:pPr>
        <w:rPr>
          <w:rFonts w:cs="Arial"/>
          <w:b/>
          <w:lang w:val="en-US"/>
        </w:rPr>
      </w:pPr>
      <w:r w:rsidRPr="00A44CED">
        <w:rPr>
          <w:rFonts w:cs="Arial"/>
          <w:b/>
          <w:lang w:val="en-US"/>
        </w:rPr>
        <w:t xml:space="preserve">The extent to which the applicant demonstrates </w:t>
      </w:r>
      <w:r w:rsidR="00BF548D">
        <w:rPr>
          <w:rFonts w:cs="Arial"/>
          <w:b/>
          <w:lang w:val="en-US"/>
        </w:rPr>
        <w:t xml:space="preserve">capacity and </w:t>
      </w:r>
      <w:r w:rsidRPr="00A44CED">
        <w:rPr>
          <w:rFonts w:cs="Arial"/>
          <w:b/>
          <w:lang w:val="en-US"/>
        </w:rPr>
        <w:t xml:space="preserve">capability </w:t>
      </w:r>
      <w:r w:rsidR="006C3AD3" w:rsidRPr="006C3AD3">
        <w:rPr>
          <w:rFonts w:cs="Arial"/>
          <w:b/>
        </w:rPr>
        <w:t>to deliver the accommodation and provide support for clients using the dwellings</w:t>
      </w:r>
      <w:r w:rsidRPr="00A44CED">
        <w:rPr>
          <w:rFonts w:cs="Arial"/>
          <w:b/>
          <w:lang w:val="en-US"/>
        </w:rPr>
        <w:t>.</w:t>
      </w:r>
    </w:p>
    <w:p w14:paraId="7AAA0656" w14:textId="10649452" w:rsidR="00932A99" w:rsidRPr="00A44CED" w:rsidRDefault="00932A99" w:rsidP="00156197">
      <w:pPr>
        <w:pStyle w:val="TableContent"/>
      </w:pPr>
      <w:r w:rsidRPr="00A44CED">
        <w:t xml:space="preserve">High quality applications </w:t>
      </w:r>
      <w:r w:rsidR="006B6259" w:rsidRPr="00A44CED">
        <w:t>may</w:t>
      </w:r>
      <w:r w:rsidRPr="00A44CED">
        <w:t xml:space="preserve"> include:</w:t>
      </w:r>
    </w:p>
    <w:p w14:paraId="67C2193C" w14:textId="54E009EB" w:rsidR="00932A99" w:rsidRPr="00A44CED" w:rsidRDefault="00932A99" w:rsidP="00E31DFE">
      <w:pPr>
        <w:pStyle w:val="ListParagraph"/>
        <w:numPr>
          <w:ilvl w:val="0"/>
          <w:numId w:val="41"/>
        </w:numPr>
        <w:ind w:right="-46"/>
        <w:rPr>
          <w:rFonts w:cs="Arial"/>
        </w:rPr>
      </w:pPr>
      <w:r w:rsidRPr="00A44CED">
        <w:rPr>
          <w:rFonts w:cs="Arial"/>
        </w:rPr>
        <w:t xml:space="preserve">The </w:t>
      </w:r>
      <w:r w:rsidR="00E31DFE">
        <w:rPr>
          <w:rFonts w:cs="Arial"/>
        </w:rPr>
        <w:t xml:space="preserve">funded </w:t>
      </w:r>
      <w:r w:rsidRPr="00A44CED">
        <w:rPr>
          <w:rFonts w:cs="Arial"/>
        </w:rPr>
        <w:t>organisation’s 2021-22 financials and strategic plan</w:t>
      </w:r>
    </w:p>
    <w:p w14:paraId="1C4F06B7" w14:textId="2652E216" w:rsidR="00932A99" w:rsidRPr="00E31DFE" w:rsidRDefault="00932A99" w:rsidP="00E31DFE">
      <w:pPr>
        <w:pStyle w:val="ListParagraph"/>
        <w:numPr>
          <w:ilvl w:val="0"/>
          <w:numId w:val="41"/>
        </w:numPr>
        <w:ind w:right="-46"/>
        <w:rPr>
          <w:rFonts w:cs="Arial"/>
        </w:rPr>
      </w:pPr>
      <w:r w:rsidRPr="00E31DFE">
        <w:rPr>
          <w:rFonts w:cs="Arial"/>
        </w:rPr>
        <w:t>Evidence of experience delivering similar projects</w:t>
      </w:r>
      <w:r w:rsidR="00E9775A" w:rsidRPr="00E31DFE">
        <w:rPr>
          <w:rFonts w:cs="Arial"/>
        </w:rPr>
        <w:t xml:space="preserve"> or a partnership with a</w:t>
      </w:r>
      <w:r w:rsidR="00D404AB" w:rsidRPr="00E31DFE">
        <w:rPr>
          <w:rFonts w:cs="Arial"/>
        </w:rPr>
        <w:t>n organisation</w:t>
      </w:r>
      <w:r w:rsidR="00E9775A" w:rsidRPr="00E31DFE">
        <w:rPr>
          <w:rFonts w:cs="Arial"/>
        </w:rPr>
        <w:t xml:space="preserve"> involved in </w:t>
      </w:r>
      <w:r w:rsidR="006C3AD3" w:rsidRPr="00E31DFE">
        <w:rPr>
          <w:rFonts w:cs="Arial"/>
        </w:rPr>
        <w:t xml:space="preserve">the </w:t>
      </w:r>
      <w:r w:rsidR="00E9775A" w:rsidRPr="00E31DFE">
        <w:rPr>
          <w:rFonts w:cs="Arial"/>
        </w:rPr>
        <w:t xml:space="preserve">construction </w:t>
      </w:r>
      <w:r w:rsidR="001366F9" w:rsidRPr="00E31DFE">
        <w:rPr>
          <w:rFonts w:cs="Arial"/>
        </w:rPr>
        <w:t>to</w:t>
      </w:r>
      <w:r w:rsidR="00E9775A" w:rsidRPr="00E31DFE">
        <w:rPr>
          <w:rFonts w:cs="Arial"/>
        </w:rPr>
        <w:t xml:space="preserve"> manage the relationship with the builder and ensure </w:t>
      </w:r>
      <w:r w:rsidR="006C3AD3" w:rsidRPr="00E31DFE">
        <w:rPr>
          <w:rFonts w:cs="Arial"/>
        </w:rPr>
        <w:t xml:space="preserve">the project is delivered to budget, and </w:t>
      </w:r>
      <w:r w:rsidR="00D24B97" w:rsidRPr="00E31DFE">
        <w:rPr>
          <w:rFonts w:cs="Arial"/>
        </w:rPr>
        <w:t xml:space="preserve">meets </w:t>
      </w:r>
      <w:r w:rsidR="00E9775A" w:rsidRPr="00E31DFE">
        <w:rPr>
          <w:rFonts w:cs="Arial"/>
        </w:rPr>
        <w:t>all timeframes, approvals and quality standards</w:t>
      </w:r>
    </w:p>
    <w:p w14:paraId="1EC14DE2" w14:textId="77777777" w:rsidR="00932A99" w:rsidRPr="00A44CED" w:rsidRDefault="00932A99" w:rsidP="00E31DFE">
      <w:pPr>
        <w:pStyle w:val="ListParagraph"/>
        <w:numPr>
          <w:ilvl w:val="0"/>
          <w:numId w:val="41"/>
        </w:numPr>
        <w:ind w:right="-46"/>
        <w:rPr>
          <w:rFonts w:cs="Arial"/>
        </w:rPr>
      </w:pPr>
      <w:r w:rsidRPr="00A44CED">
        <w:rPr>
          <w:rFonts w:cs="Arial"/>
        </w:rPr>
        <w:t>Evidence of financial commitments/resources to fund:</w:t>
      </w:r>
    </w:p>
    <w:p w14:paraId="78D5A1CD" w14:textId="605B9FE5" w:rsidR="00932A99" w:rsidRPr="00A44CED" w:rsidRDefault="00932A99" w:rsidP="00E31DFE">
      <w:pPr>
        <w:pStyle w:val="ListParagraph"/>
        <w:numPr>
          <w:ilvl w:val="1"/>
          <w:numId w:val="16"/>
        </w:numPr>
        <w:rPr>
          <w:rFonts w:cs="Arial"/>
        </w:rPr>
      </w:pPr>
      <w:r w:rsidRPr="00A44CED">
        <w:rPr>
          <w:rFonts w:cs="Arial"/>
        </w:rPr>
        <w:t xml:space="preserve">ongoing </w:t>
      </w:r>
      <w:r w:rsidR="000A431B" w:rsidRPr="00A44CED">
        <w:rPr>
          <w:rFonts w:cs="Arial"/>
        </w:rPr>
        <w:t>FDV</w:t>
      </w:r>
      <w:r w:rsidR="00C94AD2" w:rsidRPr="00A44CED">
        <w:rPr>
          <w:rFonts w:cs="Arial"/>
        </w:rPr>
        <w:t xml:space="preserve"> </w:t>
      </w:r>
      <w:r w:rsidR="000A431B" w:rsidRPr="00A44CED">
        <w:rPr>
          <w:rFonts w:cs="Arial"/>
        </w:rPr>
        <w:t>specialist</w:t>
      </w:r>
      <w:r w:rsidRPr="00A44CED" w:rsidDel="002147DC">
        <w:rPr>
          <w:rFonts w:cs="Arial"/>
        </w:rPr>
        <w:t xml:space="preserve"> </w:t>
      </w:r>
      <w:r w:rsidR="000A431B" w:rsidRPr="00A44CED">
        <w:rPr>
          <w:rFonts w:cs="Arial"/>
        </w:rPr>
        <w:t>services</w:t>
      </w:r>
      <w:r w:rsidR="00C94AD2" w:rsidRPr="00A44CED">
        <w:rPr>
          <w:rFonts w:cs="Arial"/>
        </w:rPr>
        <w:t xml:space="preserve"> and where relevant, other specialist support services for </w:t>
      </w:r>
      <w:r w:rsidR="00D93157">
        <w:rPr>
          <w:rFonts w:cs="Arial"/>
        </w:rPr>
        <w:t>First Nations women and children, women and children from a CALD background and women and children with disability</w:t>
      </w:r>
    </w:p>
    <w:p w14:paraId="2E7DD92F" w14:textId="7FCAC6EE" w:rsidR="00932A99" w:rsidRPr="00A44CED" w:rsidRDefault="00932A99" w:rsidP="00E31DFE">
      <w:pPr>
        <w:pStyle w:val="ListParagraph"/>
        <w:numPr>
          <w:ilvl w:val="1"/>
          <w:numId w:val="16"/>
        </w:numPr>
        <w:rPr>
          <w:rFonts w:cs="Arial"/>
        </w:rPr>
      </w:pPr>
      <w:r w:rsidRPr="00A44CED">
        <w:rPr>
          <w:rFonts w:cs="Arial"/>
        </w:rPr>
        <w:t>ongoing maintenance over</w:t>
      </w:r>
      <w:r w:rsidR="00A97D19" w:rsidRPr="00A44CED">
        <w:rPr>
          <w:rFonts w:cs="Arial"/>
        </w:rPr>
        <w:t xml:space="preserve"> </w:t>
      </w:r>
      <w:r w:rsidRPr="00A44CED">
        <w:rPr>
          <w:rFonts w:cs="Arial"/>
        </w:rPr>
        <w:t xml:space="preserve">the </w:t>
      </w:r>
      <w:r w:rsidR="00420EF4" w:rsidRPr="00B26A74">
        <w:rPr>
          <w:rFonts w:cs="Arial"/>
        </w:rPr>
        <w:t xml:space="preserve">15 </w:t>
      </w:r>
      <w:r w:rsidR="00A97D19" w:rsidRPr="00B26A74">
        <w:rPr>
          <w:rFonts w:cs="Arial"/>
        </w:rPr>
        <w:t xml:space="preserve">year </w:t>
      </w:r>
      <w:r w:rsidRPr="00B26A74">
        <w:rPr>
          <w:rFonts w:cs="Arial"/>
        </w:rPr>
        <w:t>designated use period</w:t>
      </w:r>
    </w:p>
    <w:p w14:paraId="734A8094" w14:textId="77777777" w:rsidR="00932A99" w:rsidRPr="00A44CED" w:rsidRDefault="00932A99" w:rsidP="00E31DFE">
      <w:pPr>
        <w:pStyle w:val="ListParagraph"/>
        <w:numPr>
          <w:ilvl w:val="0"/>
          <w:numId w:val="41"/>
        </w:numPr>
        <w:ind w:right="-46"/>
        <w:rPr>
          <w:rFonts w:cs="Arial"/>
        </w:rPr>
      </w:pPr>
      <w:r w:rsidRPr="00A44CED">
        <w:rPr>
          <w:rFonts w:cs="Arial"/>
        </w:rPr>
        <w:t>Tenancy management and length of stay policies</w:t>
      </w:r>
    </w:p>
    <w:p w14:paraId="2A79C415" w14:textId="3B16C452" w:rsidR="007238A9" w:rsidRPr="00A44CED" w:rsidRDefault="007238A9" w:rsidP="00E31DFE">
      <w:pPr>
        <w:pStyle w:val="ListParagraph"/>
        <w:numPr>
          <w:ilvl w:val="0"/>
          <w:numId w:val="41"/>
        </w:numPr>
        <w:ind w:right="-46"/>
        <w:rPr>
          <w:rFonts w:cs="Arial"/>
        </w:rPr>
      </w:pPr>
      <w:r w:rsidRPr="00A44CED">
        <w:rPr>
          <w:rFonts w:cs="Arial"/>
        </w:rPr>
        <w:t xml:space="preserve">Confirmation </w:t>
      </w:r>
      <w:r w:rsidR="000A431B" w:rsidRPr="00A44CED">
        <w:rPr>
          <w:rFonts w:cs="Arial"/>
        </w:rPr>
        <w:t xml:space="preserve">women and children </w:t>
      </w:r>
      <w:r w:rsidR="00C2282C" w:rsidRPr="00A44CED">
        <w:rPr>
          <w:rFonts w:cs="Arial"/>
        </w:rPr>
        <w:t>leaving</w:t>
      </w:r>
      <w:r w:rsidRPr="00A44CED">
        <w:rPr>
          <w:rFonts w:cs="Arial"/>
        </w:rPr>
        <w:t xml:space="preserve"> </w:t>
      </w:r>
      <w:r w:rsidR="000A431B" w:rsidRPr="00A44CED">
        <w:rPr>
          <w:rFonts w:cs="Arial"/>
        </w:rPr>
        <w:t>FDV</w:t>
      </w:r>
      <w:r w:rsidRPr="00A44CED">
        <w:rPr>
          <w:rFonts w:cs="Arial"/>
        </w:rPr>
        <w:t xml:space="preserve"> are not turned away on a basis other than a lack of availability.</w:t>
      </w:r>
    </w:p>
    <w:p w14:paraId="481AB6AB" w14:textId="6AE5C11A" w:rsidR="00FC436E" w:rsidRDefault="00932A99" w:rsidP="00663D73">
      <w:pPr>
        <w:rPr>
          <w:rFonts w:cs="Arial"/>
        </w:rPr>
      </w:pPr>
      <w:r w:rsidRPr="00B26A74">
        <w:rPr>
          <w:rFonts w:cs="Arial"/>
        </w:rPr>
        <w:t xml:space="preserve">A financial viability check </w:t>
      </w:r>
      <w:r w:rsidR="006B6259" w:rsidRPr="00B26A74">
        <w:rPr>
          <w:rFonts w:cs="Arial"/>
        </w:rPr>
        <w:t>may</w:t>
      </w:r>
      <w:r w:rsidRPr="00B26A74">
        <w:rPr>
          <w:rFonts w:cs="Arial"/>
        </w:rPr>
        <w:t xml:space="preserve"> be undertaken on suitable applicants</w:t>
      </w:r>
      <w:r w:rsidR="00981904" w:rsidRPr="00B26A74">
        <w:rPr>
          <w:rFonts w:cs="Arial"/>
        </w:rPr>
        <w:t xml:space="preserve"> (or the project builder)</w:t>
      </w:r>
      <w:r w:rsidRPr="00B26A74">
        <w:rPr>
          <w:rFonts w:cs="Arial"/>
        </w:rPr>
        <w:t>.</w:t>
      </w:r>
    </w:p>
    <w:p w14:paraId="796E99F0" w14:textId="77777777" w:rsidR="00770C4B" w:rsidRPr="000D19F0" w:rsidRDefault="00770C4B" w:rsidP="00770C4B">
      <w:pPr>
        <w:pStyle w:val="Heading3"/>
        <w:ind w:left="567" w:hanging="567"/>
        <w:rPr>
          <w:rFonts w:cs="Arial"/>
        </w:rPr>
      </w:pPr>
      <w:r>
        <w:rPr>
          <w:rFonts w:cs="Arial"/>
        </w:rPr>
        <w:t>Proposed definitions</w:t>
      </w:r>
    </w:p>
    <w:p w14:paraId="014D2B8A" w14:textId="27775FA2" w:rsidR="0002438F" w:rsidRPr="00A44CED" w:rsidRDefault="0002438F" w:rsidP="00770C4B">
      <w:pPr>
        <w:pStyle w:val="Heading4"/>
        <w:ind w:left="851" w:hanging="851"/>
      </w:pPr>
      <w:r w:rsidRPr="00A44CED">
        <w:t>Proposed definition of ‘emergency accommodation’</w:t>
      </w:r>
    </w:p>
    <w:p w14:paraId="088C0136" w14:textId="1122E8DB" w:rsidR="0002438F" w:rsidRPr="00A44CED" w:rsidRDefault="0002438F" w:rsidP="0002438F">
      <w:pPr>
        <w:pStyle w:val="TableContent"/>
      </w:pPr>
      <w:r>
        <w:t>F</w:t>
      </w:r>
      <w:r w:rsidRPr="00A44CED">
        <w:t xml:space="preserve">or the purposes of the </w:t>
      </w:r>
      <w:r w:rsidR="00284009" w:rsidRPr="00040D25">
        <w:t>Inclusion</w:t>
      </w:r>
      <w:r w:rsidRPr="00040D25">
        <w:t xml:space="preserve"> Round, ‘emergency accommodation’ is defined as </w:t>
      </w:r>
      <w:r w:rsidR="00801B79" w:rsidRPr="00040D25">
        <w:t>short</w:t>
      </w:r>
      <w:r w:rsidR="00040D25">
        <w:noBreakHyphen/>
      </w:r>
      <w:r w:rsidR="00801B79" w:rsidRPr="00040D25">
        <w:t xml:space="preserve">term </w:t>
      </w:r>
      <w:r w:rsidRPr="00040D25">
        <w:t>accommodation for less than 12 months</w:t>
      </w:r>
      <w:r w:rsidRPr="00A44CED">
        <w:t xml:space="preserve"> and includes: </w:t>
      </w:r>
    </w:p>
    <w:p w14:paraId="7E17314F" w14:textId="77777777" w:rsidR="0002438F" w:rsidRPr="00A44CED" w:rsidRDefault="0002438F" w:rsidP="0002438F">
      <w:pPr>
        <w:pStyle w:val="ListParagraph"/>
        <w:numPr>
          <w:ilvl w:val="0"/>
          <w:numId w:val="41"/>
        </w:numPr>
        <w:ind w:right="-46"/>
        <w:rPr>
          <w:rFonts w:cs="Arial"/>
        </w:rPr>
      </w:pPr>
      <w:r w:rsidRPr="00A44CED">
        <w:rPr>
          <w:rFonts w:cs="Arial"/>
        </w:rPr>
        <w:t xml:space="preserve">refuges </w:t>
      </w:r>
    </w:p>
    <w:p w14:paraId="5ACB8DFC" w14:textId="233AD076" w:rsidR="0002438F" w:rsidRPr="00A44CED" w:rsidRDefault="0002438F" w:rsidP="0002438F">
      <w:pPr>
        <w:pStyle w:val="ListParagraph"/>
        <w:numPr>
          <w:ilvl w:val="0"/>
          <w:numId w:val="41"/>
        </w:numPr>
        <w:ind w:right="-46"/>
        <w:rPr>
          <w:rFonts w:cs="Arial"/>
        </w:rPr>
      </w:pPr>
      <w:r w:rsidRPr="00A44CED">
        <w:rPr>
          <w:rFonts w:cs="Arial"/>
        </w:rPr>
        <w:t>crisis shelters</w:t>
      </w:r>
      <w:r w:rsidR="00733246">
        <w:rPr>
          <w:rFonts w:cs="Arial"/>
        </w:rPr>
        <w:t>.</w:t>
      </w:r>
      <w:r w:rsidRPr="00A44CED">
        <w:rPr>
          <w:rFonts w:cs="Arial"/>
        </w:rPr>
        <w:t xml:space="preserve"> </w:t>
      </w:r>
    </w:p>
    <w:p w14:paraId="3AD86910" w14:textId="69E8A658" w:rsidR="00537088" w:rsidRDefault="0002438F" w:rsidP="0002438F">
      <w:pPr>
        <w:rPr>
          <w:rFonts w:cs="Arial"/>
        </w:rPr>
      </w:pPr>
      <w:r w:rsidRPr="00A44CED">
        <w:rPr>
          <w:rFonts w:cs="Arial"/>
        </w:rPr>
        <w:t>This definition incorporates emergency accommodation options (excluding hotels and boarding houses) as described by the AIHW</w:t>
      </w:r>
      <w:r w:rsidR="00056EBB">
        <w:rPr>
          <w:rFonts w:cs="Arial"/>
        </w:rPr>
        <w:t>.</w:t>
      </w:r>
      <w:r>
        <w:rPr>
          <w:rStyle w:val="FootnoteReference"/>
          <w:rFonts w:cs="Arial"/>
        </w:rPr>
        <w:footnoteReference w:id="4"/>
      </w:r>
      <w:r>
        <w:rPr>
          <w:rFonts w:cs="Arial"/>
        </w:rPr>
        <w:t xml:space="preserve"> </w:t>
      </w:r>
    </w:p>
    <w:p w14:paraId="4715D09C" w14:textId="27D8B93B" w:rsidR="00165258" w:rsidRPr="00BF38C2" w:rsidRDefault="00801B79">
      <w:pPr>
        <w:rPr>
          <w:rFonts w:cs="Arial"/>
        </w:rPr>
      </w:pPr>
      <w:r w:rsidRPr="00165258">
        <w:t>Recognising</w:t>
      </w:r>
      <w:r>
        <w:t xml:space="preserve"> </w:t>
      </w:r>
      <w:r w:rsidR="00733246">
        <w:t>client diversity and different mo</w:t>
      </w:r>
      <w:r>
        <w:t>del</w:t>
      </w:r>
      <w:r w:rsidR="00733246">
        <w:t>s</w:t>
      </w:r>
      <w:r>
        <w:t xml:space="preserve"> of emergency accommodation across jurisdictions</w:t>
      </w:r>
      <w:r w:rsidR="00733246">
        <w:t>, l</w:t>
      </w:r>
      <w:r w:rsidR="0002438F">
        <w:t>onger stays</w:t>
      </w:r>
      <w:r w:rsidR="0002438F" w:rsidRPr="00A44CED">
        <w:t xml:space="preserve"> may </w:t>
      </w:r>
      <w:r w:rsidR="0002438F">
        <w:t xml:space="preserve">also </w:t>
      </w:r>
      <w:r w:rsidR="0002438F" w:rsidRPr="00A44CED">
        <w:t xml:space="preserve">be considered where </w:t>
      </w:r>
      <w:r w:rsidR="0002438F" w:rsidRPr="00BF38C2">
        <w:rPr>
          <w:rFonts w:cs="Arial"/>
        </w:rPr>
        <w:t>supporting evidence for a custom approach is provided.</w:t>
      </w:r>
    </w:p>
    <w:p w14:paraId="4050E2A4" w14:textId="14BE3BB1" w:rsidR="0002438F" w:rsidRDefault="0002438F">
      <w:r w:rsidRPr="00BF38C2">
        <w:rPr>
          <w:rFonts w:cs="Arial"/>
        </w:rPr>
        <w:t>A key requirement of Safe Places accommodation is that providers ensure women and children leaving</w:t>
      </w:r>
      <w:r w:rsidRPr="00A44CED">
        <w:t xml:space="preserve"> FDV are not turned away on a basis other than a lack of availability.</w:t>
      </w:r>
    </w:p>
    <w:p w14:paraId="7A137428" w14:textId="7AE1804F" w:rsidR="0002438F" w:rsidRPr="00A44CED" w:rsidRDefault="0002438F" w:rsidP="0002438F">
      <w:pPr>
        <w:pStyle w:val="Heading4"/>
        <w:ind w:left="851" w:hanging="851"/>
      </w:pPr>
      <w:r w:rsidRPr="00A44CED">
        <w:t>Proposed definition of a ‘safe place’</w:t>
      </w:r>
    </w:p>
    <w:p w14:paraId="575C26C7" w14:textId="639918D0" w:rsidR="0002438F" w:rsidRPr="00A44CED" w:rsidRDefault="0002438F" w:rsidP="0002438F">
      <w:pPr>
        <w:pStyle w:val="TableContent"/>
      </w:pPr>
      <w:r w:rsidRPr="00A44CED">
        <w:t xml:space="preserve">Dwellings eligible for funding under the </w:t>
      </w:r>
      <w:r w:rsidR="00284009">
        <w:t>Inclusion</w:t>
      </w:r>
      <w:r w:rsidRPr="00A44CED">
        <w:t xml:space="preserve"> Round must</w:t>
      </w:r>
      <w:r>
        <w:t xml:space="preserve"> provide security, privacy</w:t>
      </w:r>
      <w:r w:rsidRPr="00A44CED">
        <w:t xml:space="preserve"> </w:t>
      </w:r>
      <w:r>
        <w:t xml:space="preserve">and dignity and </w:t>
      </w:r>
      <w:r w:rsidRPr="00A44CED">
        <w:t>include a self-contained living space including bedroom/s, bathroom, kitchen/kitchenette</w:t>
      </w:r>
      <w:r>
        <w:t>, and laundry,</w:t>
      </w:r>
      <w:r w:rsidRPr="00A44CED">
        <w:t xml:space="preserve"> for the sole use of one person or family group.</w:t>
      </w:r>
    </w:p>
    <w:p w14:paraId="05489110" w14:textId="361B6F98" w:rsidR="0002438F" w:rsidRPr="00A44CED" w:rsidRDefault="0002438F" w:rsidP="0002438F">
      <w:pPr>
        <w:pStyle w:val="ListParagraph"/>
        <w:numPr>
          <w:ilvl w:val="0"/>
          <w:numId w:val="41"/>
        </w:numPr>
        <w:ind w:right="-46"/>
        <w:rPr>
          <w:rFonts w:cs="Arial"/>
        </w:rPr>
      </w:pPr>
      <w:r w:rsidRPr="00A44CED">
        <w:rPr>
          <w:rFonts w:cs="Arial"/>
        </w:rPr>
        <w:t xml:space="preserve">The number of ‘safe places’ (i.e. the maximum number of women/children supported at any one time) will be calculated on the basis that there </w:t>
      </w:r>
      <w:r w:rsidR="007704BD">
        <w:rPr>
          <w:rFonts w:cs="Arial"/>
        </w:rPr>
        <w:t>are</w:t>
      </w:r>
      <w:r w:rsidRPr="00A44CED">
        <w:rPr>
          <w:rFonts w:cs="Arial"/>
        </w:rPr>
        <w:t xml:space="preserve"> </w:t>
      </w:r>
      <w:r w:rsidR="007704BD">
        <w:rPr>
          <w:rFonts w:cs="Arial"/>
        </w:rPr>
        <w:t>2</w:t>
      </w:r>
      <w:r w:rsidRPr="00A44CED">
        <w:rPr>
          <w:rFonts w:cs="Arial"/>
        </w:rPr>
        <w:t xml:space="preserve"> persons per bedroom. </w:t>
      </w:r>
      <w:r w:rsidRPr="00A44CED">
        <w:rPr>
          <w:rFonts w:cs="Arial"/>
        </w:rPr>
        <w:lastRenderedPageBreak/>
        <w:t xml:space="preserve">For example, a </w:t>
      </w:r>
      <w:r w:rsidR="007704BD">
        <w:rPr>
          <w:rFonts w:cs="Arial"/>
        </w:rPr>
        <w:t>2</w:t>
      </w:r>
      <w:r w:rsidRPr="00A44CED">
        <w:rPr>
          <w:rFonts w:cs="Arial"/>
        </w:rPr>
        <w:noBreakHyphen/>
        <w:t xml:space="preserve">bedroom house accommodating one family unit will equal </w:t>
      </w:r>
      <w:r w:rsidR="007704BD">
        <w:rPr>
          <w:rFonts w:cs="Arial"/>
        </w:rPr>
        <w:t>4</w:t>
      </w:r>
      <w:r w:rsidRPr="00A44CED">
        <w:rPr>
          <w:rFonts w:cs="Arial"/>
        </w:rPr>
        <w:t xml:space="preserve"> safe places.</w:t>
      </w:r>
    </w:p>
    <w:p w14:paraId="4BF1D473" w14:textId="77777777" w:rsidR="0002438F" w:rsidRDefault="0002438F" w:rsidP="0002438F">
      <w:pPr>
        <w:rPr>
          <w:rFonts w:cs="Arial"/>
        </w:rPr>
      </w:pPr>
      <w:r w:rsidRPr="00A44CED">
        <w:rPr>
          <w:rFonts w:cs="Arial"/>
        </w:rPr>
        <w:t>This definition is consistent with the measure of overcrowding accepted by the AIHW</w:t>
      </w:r>
      <w:r>
        <w:rPr>
          <w:rFonts w:cs="Arial"/>
        </w:rPr>
        <w:t>,</w:t>
      </w:r>
      <w:r w:rsidRPr="00A44CED">
        <w:rPr>
          <w:rStyle w:val="FootnoteReference"/>
          <w:rFonts w:cs="Arial"/>
        </w:rPr>
        <w:footnoteReference w:id="5"/>
      </w:r>
      <w:r w:rsidRPr="00A44CED">
        <w:rPr>
          <w:rFonts w:cs="Arial"/>
        </w:rPr>
        <w:t xml:space="preserve"> noting there may be individual circumstances where it is appropriate for the emergency accommodation to be provided in a way that does </w:t>
      </w:r>
      <w:r>
        <w:rPr>
          <w:rFonts w:cs="Arial"/>
        </w:rPr>
        <w:t xml:space="preserve">not </w:t>
      </w:r>
      <w:r w:rsidRPr="00A44CED">
        <w:rPr>
          <w:rFonts w:cs="Arial"/>
        </w:rPr>
        <w:t>meet the AIHW definition</w:t>
      </w:r>
      <w:r>
        <w:rPr>
          <w:rFonts w:cs="Arial"/>
        </w:rPr>
        <w:t>.</w:t>
      </w:r>
      <w:r w:rsidRPr="00A44CED">
        <w:rPr>
          <w:rStyle w:val="FootnoteReference"/>
          <w:rFonts w:cs="Arial"/>
        </w:rPr>
        <w:footnoteReference w:id="6"/>
      </w:r>
      <w:r w:rsidRPr="0002438F">
        <w:rPr>
          <w:rFonts w:cs="Arial"/>
        </w:rPr>
        <w:t xml:space="preserve"> </w:t>
      </w:r>
    </w:p>
    <w:p w14:paraId="17701E1D" w14:textId="77777777" w:rsidR="0002438F" w:rsidRDefault="0002438F" w:rsidP="0002438F">
      <w:pPr>
        <w:rPr>
          <w:rFonts w:cs="Arial"/>
        </w:rPr>
      </w:pPr>
      <w:r w:rsidRPr="00A44CED">
        <w:rPr>
          <w:rFonts w:cs="Arial"/>
        </w:rPr>
        <w:t>This definition will apply to all proposals to ensure consistency in the assessment process.</w:t>
      </w:r>
    </w:p>
    <w:p w14:paraId="43400C50" w14:textId="77777777" w:rsidR="0002438F" w:rsidRPr="00A44CED" w:rsidRDefault="0002438F" w:rsidP="0002438F">
      <w:pPr>
        <w:rPr>
          <w:rFonts w:cs="Arial"/>
        </w:rPr>
      </w:pPr>
      <w:r w:rsidRPr="00A44CED">
        <w:rPr>
          <w:rFonts w:cs="Arial"/>
        </w:rPr>
        <w:t>The cost to the Commonwealth will be measured on a per dwelling and per safe place basis.</w:t>
      </w:r>
    </w:p>
    <w:p w14:paraId="0B2E008E" w14:textId="0359C340" w:rsidR="0002438F" w:rsidRDefault="0002438F" w:rsidP="00663D73">
      <w:pPr>
        <w:rPr>
          <w:rFonts w:cs="Arial"/>
        </w:rPr>
      </w:pPr>
      <w:r w:rsidRPr="00784ADA">
        <w:rPr>
          <w:rFonts w:cs="Arial"/>
          <w:b/>
          <w:u w:val="single"/>
        </w:rPr>
        <w:t>Note:</w:t>
      </w:r>
      <w:r w:rsidRPr="00A44CED">
        <w:rPr>
          <w:rFonts w:cs="Arial"/>
        </w:rPr>
        <w:t xml:space="preserve"> Dormitory-style accommodation is not eligible under the </w:t>
      </w:r>
      <w:r w:rsidR="00284009">
        <w:rPr>
          <w:rFonts w:cs="Arial"/>
        </w:rPr>
        <w:t>Inclusion</w:t>
      </w:r>
      <w:r w:rsidRPr="00A44CED">
        <w:rPr>
          <w:rFonts w:cs="Arial"/>
        </w:rPr>
        <w:t xml:space="preserve"> Round, as it does not provide the appropriate level of privacy or dignity for victim-survivors of FDV who may be experiencing significant trauma.</w:t>
      </w:r>
    </w:p>
    <w:p w14:paraId="22D7D478" w14:textId="6E2FD27D" w:rsidR="000104EC" w:rsidRPr="00A44CED" w:rsidRDefault="000104EC" w:rsidP="000104EC">
      <w:pPr>
        <w:pStyle w:val="Heading4"/>
        <w:ind w:left="851" w:hanging="851"/>
      </w:pPr>
      <w:r w:rsidRPr="00A44CED">
        <w:t>Proposed definition of a ‘</w:t>
      </w:r>
      <w:r>
        <w:t>specialist service</w:t>
      </w:r>
      <w:r w:rsidRPr="00A44CED">
        <w:t>’</w:t>
      </w:r>
    </w:p>
    <w:p w14:paraId="30D18882" w14:textId="25A42001" w:rsidR="000104EC" w:rsidRDefault="000104EC" w:rsidP="000104EC">
      <w:pPr>
        <w:rPr>
          <w:rFonts w:cs="Arial"/>
        </w:rPr>
      </w:pPr>
      <w:r w:rsidRPr="000104EC">
        <w:rPr>
          <w:rFonts w:cs="Arial"/>
        </w:rPr>
        <w:t xml:space="preserve">It is important accommodation delivered under </w:t>
      </w:r>
      <w:r>
        <w:rPr>
          <w:rFonts w:cs="Arial"/>
        </w:rPr>
        <w:t xml:space="preserve">the </w:t>
      </w:r>
      <w:r w:rsidR="00284009">
        <w:rPr>
          <w:rFonts w:cs="Arial"/>
        </w:rPr>
        <w:t>Inclusion</w:t>
      </w:r>
      <w:r>
        <w:rPr>
          <w:rFonts w:cs="Arial"/>
        </w:rPr>
        <w:t xml:space="preserve"> Round</w:t>
      </w:r>
      <w:r w:rsidRPr="000104EC">
        <w:rPr>
          <w:rFonts w:cs="Arial"/>
        </w:rPr>
        <w:t xml:space="preserve"> provides access to appropriate and specialist support for women and children </w:t>
      </w:r>
      <w:r>
        <w:rPr>
          <w:rFonts w:cs="Arial"/>
        </w:rPr>
        <w:t>leaving FDV</w:t>
      </w:r>
      <w:r w:rsidRPr="000104EC">
        <w:rPr>
          <w:rFonts w:cs="Arial"/>
        </w:rPr>
        <w:t xml:space="preserve">. </w:t>
      </w:r>
    </w:p>
    <w:p w14:paraId="29532DE6" w14:textId="2DF1338F" w:rsidR="000104EC" w:rsidRPr="000104EC" w:rsidRDefault="000104EC" w:rsidP="000104EC">
      <w:pPr>
        <w:rPr>
          <w:rFonts w:cs="Arial"/>
        </w:rPr>
      </w:pPr>
      <w:r>
        <w:rPr>
          <w:rFonts w:cs="Arial"/>
        </w:rPr>
        <w:t xml:space="preserve">Services </w:t>
      </w:r>
      <w:r w:rsidRPr="000104EC">
        <w:rPr>
          <w:rFonts w:cs="Arial"/>
        </w:rPr>
        <w:t>should be rights-based, client</w:t>
      </w:r>
      <w:r w:rsidRPr="000104EC">
        <w:rPr>
          <w:rFonts w:cs="Arial"/>
        </w:rPr>
        <w:noBreakHyphen/>
        <w:t xml:space="preserve">centred, trauma-informed, culturally </w:t>
      </w:r>
      <w:r w:rsidR="003342FA">
        <w:rPr>
          <w:rFonts w:cs="Arial"/>
        </w:rPr>
        <w:t xml:space="preserve">appropriate </w:t>
      </w:r>
      <w:r w:rsidRPr="000104EC">
        <w:rPr>
          <w:rFonts w:cs="Arial"/>
        </w:rPr>
        <w:t xml:space="preserve">and accessible, age appropriate and have gender expertise. Services must demonstrate expertise and an understanding of </w:t>
      </w:r>
      <w:r>
        <w:rPr>
          <w:rFonts w:cs="Arial"/>
        </w:rPr>
        <w:t>FDV</w:t>
      </w:r>
      <w:r w:rsidRPr="000104EC">
        <w:rPr>
          <w:rFonts w:cs="Arial"/>
        </w:rPr>
        <w:t>, and place the safety, needs and interests of women and children at the centre of all decisions.</w:t>
      </w:r>
    </w:p>
    <w:p w14:paraId="71D8F637" w14:textId="295D51AE" w:rsidR="00276F61" w:rsidRPr="00675404" w:rsidRDefault="00276F61" w:rsidP="00167BF7">
      <w:pPr>
        <w:pStyle w:val="Heading5"/>
        <w:rPr>
          <w:color w:val="215868" w:themeColor="accent5" w:themeShade="80"/>
        </w:rPr>
      </w:pPr>
      <w:r w:rsidRPr="00675404">
        <w:rPr>
          <w:color w:val="215868" w:themeColor="accent5" w:themeShade="80"/>
        </w:rPr>
        <w:t>Questions:</w:t>
      </w:r>
    </w:p>
    <w:p w14:paraId="5D86CB03" w14:textId="5594E572" w:rsidR="00276F61" w:rsidRPr="00675404" w:rsidRDefault="00276F61" w:rsidP="00276F61">
      <w:pPr>
        <w:pStyle w:val="BodyText"/>
        <w:numPr>
          <w:ilvl w:val="0"/>
          <w:numId w:val="18"/>
        </w:numPr>
        <w:ind w:left="463" w:hanging="415"/>
        <w:rPr>
          <w:rFonts w:cs="Arial"/>
          <w:b/>
          <w:color w:val="215868" w:themeColor="accent5" w:themeShade="80"/>
          <w:lang w:eastAsia="en-US"/>
        </w:rPr>
      </w:pPr>
      <w:r w:rsidRPr="00675404">
        <w:rPr>
          <w:rFonts w:cs="Arial"/>
          <w:b/>
          <w:color w:val="215868" w:themeColor="accent5" w:themeShade="80"/>
          <w:lang w:eastAsia="en-US"/>
        </w:rPr>
        <w:t xml:space="preserve">Are the proposed eligibility and assessment criteria appropriate and able to be demonstrated? </w:t>
      </w:r>
    </w:p>
    <w:p w14:paraId="17270916" w14:textId="77777777" w:rsidR="00276F61" w:rsidRPr="00675404" w:rsidRDefault="00276F61" w:rsidP="00276F61">
      <w:pPr>
        <w:pStyle w:val="BodyText"/>
        <w:numPr>
          <w:ilvl w:val="0"/>
          <w:numId w:val="18"/>
        </w:numPr>
        <w:ind w:left="463" w:hanging="415"/>
        <w:rPr>
          <w:rFonts w:cs="Arial"/>
          <w:b/>
          <w:color w:val="215868" w:themeColor="accent5" w:themeShade="80"/>
          <w:lang w:eastAsia="en-US"/>
        </w:rPr>
      </w:pPr>
      <w:r w:rsidRPr="00675404">
        <w:rPr>
          <w:rFonts w:cs="Arial"/>
          <w:b/>
          <w:color w:val="215868" w:themeColor="accent5" w:themeShade="80"/>
          <w:lang w:eastAsia="en-US"/>
        </w:rPr>
        <w:t xml:space="preserve">Are there additional criteria that should be considered? </w:t>
      </w:r>
    </w:p>
    <w:p w14:paraId="317B9BFC" w14:textId="0CF85BC1" w:rsidR="00616F6B" w:rsidRDefault="00276F61" w:rsidP="00276F61">
      <w:pPr>
        <w:pStyle w:val="BodyText"/>
        <w:numPr>
          <w:ilvl w:val="0"/>
          <w:numId w:val="18"/>
        </w:numPr>
        <w:ind w:left="463" w:hanging="415"/>
        <w:rPr>
          <w:rFonts w:cs="Arial"/>
          <w:b/>
          <w:color w:val="215868" w:themeColor="accent5" w:themeShade="80"/>
          <w:lang w:eastAsia="en-US"/>
        </w:rPr>
      </w:pPr>
      <w:r w:rsidRPr="00675404">
        <w:rPr>
          <w:rFonts w:cs="Arial"/>
          <w:b/>
          <w:color w:val="215868" w:themeColor="accent5" w:themeShade="80"/>
          <w:lang w:eastAsia="en-US"/>
        </w:rPr>
        <w:t>What are the best measures to determine an applicant’s suitability to meet the needs of</w:t>
      </w:r>
      <w:r w:rsidR="00616F6B">
        <w:rPr>
          <w:rFonts w:cs="Arial"/>
          <w:b/>
          <w:color w:val="215868" w:themeColor="accent5" w:themeShade="80"/>
          <w:lang w:eastAsia="en-US"/>
        </w:rPr>
        <w:t xml:space="preserve"> </w:t>
      </w:r>
      <w:r w:rsidR="00284009">
        <w:rPr>
          <w:rFonts w:cs="Arial"/>
          <w:b/>
          <w:color w:val="215868" w:themeColor="accent5" w:themeShade="80"/>
          <w:lang w:eastAsia="en-US"/>
        </w:rPr>
        <w:t>First Nations women and children</w:t>
      </w:r>
      <w:r w:rsidR="00616F6B">
        <w:rPr>
          <w:rFonts w:cs="Arial"/>
          <w:b/>
          <w:color w:val="215868" w:themeColor="accent5" w:themeShade="80"/>
          <w:lang w:eastAsia="en-US"/>
        </w:rPr>
        <w:t>?</w:t>
      </w:r>
    </w:p>
    <w:p w14:paraId="41AA9BB4" w14:textId="6F2DF28C" w:rsidR="00616F6B" w:rsidRDefault="00616F6B" w:rsidP="00276F61">
      <w:pPr>
        <w:pStyle w:val="BodyText"/>
        <w:numPr>
          <w:ilvl w:val="0"/>
          <w:numId w:val="18"/>
        </w:numPr>
        <w:ind w:left="463" w:hanging="415"/>
        <w:rPr>
          <w:rFonts w:cs="Arial"/>
          <w:b/>
          <w:color w:val="215868" w:themeColor="accent5" w:themeShade="80"/>
          <w:lang w:eastAsia="en-US"/>
        </w:rPr>
      </w:pPr>
      <w:r w:rsidRPr="00675404">
        <w:rPr>
          <w:rFonts w:cs="Arial"/>
          <w:b/>
          <w:color w:val="215868" w:themeColor="accent5" w:themeShade="80"/>
          <w:lang w:eastAsia="en-US"/>
        </w:rPr>
        <w:t>What are the best measures to determine an applicant’s suitability to meet the needs of</w:t>
      </w:r>
      <w:r>
        <w:rPr>
          <w:rFonts w:cs="Arial"/>
          <w:b/>
          <w:color w:val="215868" w:themeColor="accent5" w:themeShade="80"/>
          <w:lang w:eastAsia="en-US"/>
        </w:rPr>
        <w:t xml:space="preserve"> </w:t>
      </w:r>
      <w:r w:rsidR="00284009">
        <w:rPr>
          <w:rFonts w:cs="Arial"/>
          <w:b/>
          <w:color w:val="215868" w:themeColor="accent5" w:themeShade="80"/>
          <w:lang w:eastAsia="en-US"/>
        </w:rPr>
        <w:t>women and children from CALD backgrounds</w:t>
      </w:r>
      <w:r>
        <w:rPr>
          <w:rFonts w:cs="Arial"/>
          <w:b/>
          <w:color w:val="215868" w:themeColor="accent5" w:themeShade="80"/>
          <w:lang w:eastAsia="en-US"/>
        </w:rPr>
        <w:t>?</w:t>
      </w:r>
    </w:p>
    <w:p w14:paraId="4F94400C" w14:textId="238B3635" w:rsidR="00276F61" w:rsidRPr="00675404" w:rsidRDefault="00616F6B" w:rsidP="00276F61">
      <w:pPr>
        <w:pStyle w:val="BodyText"/>
        <w:numPr>
          <w:ilvl w:val="0"/>
          <w:numId w:val="18"/>
        </w:numPr>
        <w:ind w:left="463" w:hanging="415"/>
        <w:rPr>
          <w:rFonts w:cs="Arial"/>
          <w:b/>
          <w:color w:val="215868" w:themeColor="accent5" w:themeShade="80"/>
          <w:lang w:eastAsia="en-US"/>
        </w:rPr>
      </w:pPr>
      <w:r w:rsidRPr="00675404">
        <w:rPr>
          <w:rFonts w:cs="Arial"/>
          <w:b/>
          <w:color w:val="215868" w:themeColor="accent5" w:themeShade="80"/>
          <w:lang w:eastAsia="en-US"/>
        </w:rPr>
        <w:t>What are the best measures to determine an applicant’s suitability to meet the needs of</w:t>
      </w:r>
      <w:r w:rsidR="00284009">
        <w:rPr>
          <w:rFonts w:cs="Arial"/>
          <w:b/>
          <w:color w:val="215868" w:themeColor="accent5" w:themeShade="80"/>
          <w:lang w:eastAsia="en-US"/>
        </w:rPr>
        <w:t xml:space="preserve"> women and children with disability</w:t>
      </w:r>
      <w:r w:rsidR="00276F61" w:rsidRPr="00675404">
        <w:rPr>
          <w:rFonts w:cs="Arial"/>
          <w:b/>
          <w:color w:val="215868" w:themeColor="accent5" w:themeShade="80"/>
          <w:lang w:eastAsia="en-US"/>
        </w:rPr>
        <w:t>?</w:t>
      </w:r>
    </w:p>
    <w:p w14:paraId="7D250E44" w14:textId="59CFBB9C" w:rsidR="008A476B" w:rsidRPr="00675404" w:rsidRDefault="008A476B" w:rsidP="00276F61">
      <w:pPr>
        <w:pStyle w:val="BodyText"/>
        <w:numPr>
          <w:ilvl w:val="0"/>
          <w:numId w:val="18"/>
        </w:numPr>
        <w:ind w:left="463" w:hanging="415"/>
        <w:rPr>
          <w:rFonts w:cs="Arial"/>
          <w:b/>
          <w:color w:val="215868" w:themeColor="accent5" w:themeShade="80"/>
          <w:lang w:eastAsia="en-US"/>
        </w:rPr>
      </w:pPr>
      <w:r w:rsidRPr="00675404">
        <w:rPr>
          <w:rFonts w:cs="Arial"/>
          <w:b/>
          <w:color w:val="215868" w:themeColor="accent5" w:themeShade="80"/>
          <w:lang w:eastAsia="en-US"/>
        </w:rPr>
        <w:t xml:space="preserve">What standard of the Livable Housing Australia design guidelines should emergency accommodation for </w:t>
      </w:r>
      <w:r w:rsidR="00D93157" w:rsidRPr="00D93157">
        <w:rPr>
          <w:rFonts w:cs="Arial"/>
          <w:b/>
          <w:color w:val="215868" w:themeColor="accent5" w:themeShade="80"/>
          <w:lang w:eastAsia="en-US"/>
        </w:rPr>
        <w:t xml:space="preserve">First Nations women and children, women and children from a CALD background and women and children with disability </w:t>
      </w:r>
      <w:r w:rsidRPr="00675404">
        <w:rPr>
          <w:rFonts w:cs="Arial"/>
          <w:b/>
          <w:color w:val="215868" w:themeColor="accent5" w:themeShade="80"/>
          <w:lang w:eastAsia="en-US"/>
        </w:rPr>
        <w:t>meet?</w:t>
      </w:r>
    </w:p>
    <w:p w14:paraId="0569E8E6" w14:textId="77777777" w:rsidR="00276F61" w:rsidRPr="00675404" w:rsidRDefault="00276F61" w:rsidP="00276F61">
      <w:pPr>
        <w:pStyle w:val="BodyText"/>
        <w:numPr>
          <w:ilvl w:val="0"/>
          <w:numId w:val="18"/>
        </w:numPr>
        <w:ind w:left="463" w:hanging="415"/>
        <w:rPr>
          <w:rFonts w:cs="Arial"/>
          <w:b/>
          <w:color w:val="215868" w:themeColor="accent5" w:themeShade="80"/>
          <w:lang w:eastAsia="en-US"/>
        </w:rPr>
      </w:pPr>
      <w:r w:rsidRPr="00675404">
        <w:rPr>
          <w:rFonts w:cs="Arial"/>
          <w:b/>
          <w:color w:val="215868" w:themeColor="accent5" w:themeShade="80"/>
          <w:lang w:eastAsia="en-US"/>
        </w:rPr>
        <w:t>Is the proposed designated use period of 15 years appropriate?</w:t>
      </w:r>
    </w:p>
    <w:p w14:paraId="4B187F8B" w14:textId="77777777" w:rsidR="00276F61" w:rsidRPr="00675404" w:rsidRDefault="00276F61" w:rsidP="00276F61">
      <w:pPr>
        <w:pStyle w:val="BodyText"/>
        <w:numPr>
          <w:ilvl w:val="0"/>
          <w:numId w:val="18"/>
        </w:numPr>
        <w:ind w:left="463" w:hanging="415"/>
        <w:rPr>
          <w:rFonts w:cs="Arial"/>
          <w:b/>
          <w:color w:val="215868" w:themeColor="accent5" w:themeShade="80"/>
          <w:lang w:eastAsia="en-US"/>
        </w:rPr>
      </w:pPr>
      <w:r w:rsidRPr="00675404">
        <w:rPr>
          <w:rFonts w:cs="Arial"/>
          <w:b/>
          <w:color w:val="215868" w:themeColor="accent5" w:themeShade="80"/>
          <w:lang w:eastAsia="en-US"/>
        </w:rPr>
        <w:t>What is the best measure for determining an applicant’s ability to support clients using the emergency accommodation over the designated use period?</w:t>
      </w:r>
    </w:p>
    <w:p w14:paraId="05E1D5FC" w14:textId="1458C0EE" w:rsidR="00276F61" w:rsidRDefault="00276F61" w:rsidP="00276F61">
      <w:pPr>
        <w:pStyle w:val="BodyText"/>
        <w:numPr>
          <w:ilvl w:val="0"/>
          <w:numId w:val="18"/>
        </w:numPr>
        <w:ind w:left="463" w:hanging="415"/>
        <w:rPr>
          <w:rFonts w:cs="Arial"/>
          <w:b/>
          <w:color w:val="215868" w:themeColor="accent5" w:themeShade="80"/>
          <w:lang w:eastAsia="en-US"/>
        </w:rPr>
      </w:pPr>
      <w:r w:rsidRPr="00675404">
        <w:rPr>
          <w:rFonts w:cs="Arial"/>
          <w:b/>
          <w:color w:val="215868" w:themeColor="accent5" w:themeShade="80"/>
          <w:lang w:eastAsia="en-US"/>
        </w:rPr>
        <w:t xml:space="preserve">Are the definitions for ‘emergency accommodation’, a ‘safe place’, and </w:t>
      </w:r>
      <w:r w:rsidR="006C16A1" w:rsidRPr="00675404">
        <w:rPr>
          <w:rFonts w:cs="Arial"/>
          <w:b/>
          <w:color w:val="215868" w:themeColor="accent5" w:themeShade="80"/>
          <w:lang w:eastAsia="en-US"/>
        </w:rPr>
        <w:t xml:space="preserve">a </w:t>
      </w:r>
      <w:r w:rsidRPr="00675404">
        <w:rPr>
          <w:rFonts w:cs="Arial"/>
          <w:b/>
          <w:color w:val="215868" w:themeColor="accent5" w:themeShade="80"/>
          <w:lang w:eastAsia="en-US"/>
        </w:rPr>
        <w:t>‘specialist service’ appropriate?</w:t>
      </w:r>
    </w:p>
    <w:p w14:paraId="2BEE1E76" w14:textId="3EC4F9F0" w:rsidR="00616F6B" w:rsidRPr="00675404" w:rsidRDefault="000352D8" w:rsidP="00BF38C2">
      <w:pPr>
        <w:pStyle w:val="BodyText"/>
        <w:numPr>
          <w:ilvl w:val="1"/>
          <w:numId w:val="18"/>
        </w:numPr>
        <w:rPr>
          <w:rFonts w:cs="Arial"/>
          <w:b/>
          <w:color w:val="215868" w:themeColor="accent5" w:themeShade="80"/>
          <w:lang w:eastAsia="en-US"/>
        </w:rPr>
      </w:pPr>
      <w:r>
        <w:rPr>
          <w:rFonts w:cs="Arial"/>
          <w:b/>
          <w:color w:val="215868" w:themeColor="accent5" w:themeShade="80"/>
          <w:lang w:eastAsia="en-US"/>
        </w:rPr>
        <w:lastRenderedPageBreak/>
        <w:t xml:space="preserve">Should the definition of ‘emergency accommodation’ include longer </w:t>
      </w:r>
      <w:r w:rsidR="00616F6B">
        <w:rPr>
          <w:rFonts w:cs="Arial"/>
          <w:b/>
          <w:color w:val="215868" w:themeColor="accent5" w:themeShade="80"/>
          <w:lang w:eastAsia="en-US"/>
        </w:rPr>
        <w:t>stays?</w:t>
      </w:r>
    </w:p>
    <w:p w14:paraId="4B3F1F39" w14:textId="50B25423" w:rsidR="00276F61" w:rsidRPr="00675404" w:rsidRDefault="00276F61" w:rsidP="00276F61">
      <w:pPr>
        <w:pStyle w:val="BodyText"/>
        <w:numPr>
          <w:ilvl w:val="0"/>
          <w:numId w:val="18"/>
        </w:numPr>
        <w:ind w:left="463" w:hanging="415"/>
        <w:rPr>
          <w:rFonts w:cs="Arial"/>
          <w:b/>
          <w:color w:val="215868" w:themeColor="accent5" w:themeShade="80"/>
          <w:lang w:eastAsia="en-US"/>
        </w:rPr>
      </w:pPr>
      <w:r w:rsidRPr="00675404">
        <w:rPr>
          <w:rFonts w:cs="Arial"/>
          <w:b/>
          <w:color w:val="215868" w:themeColor="accent5" w:themeShade="80"/>
          <w:lang w:eastAsia="en-US"/>
        </w:rPr>
        <w:t xml:space="preserve">Are there alternative accommodation options that should be considered as eligible </w:t>
      </w:r>
      <w:r w:rsidR="00974089" w:rsidRPr="00675404">
        <w:rPr>
          <w:rFonts w:cs="Arial"/>
          <w:b/>
          <w:color w:val="215868" w:themeColor="accent5" w:themeShade="80"/>
          <w:lang w:eastAsia="en-US"/>
        </w:rPr>
        <w:t xml:space="preserve">or </w:t>
      </w:r>
      <w:r w:rsidRPr="00675404">
        <w:rPr>
          <w:rFonts w:cs="Arial"/>
          <w:b/>
          <w:color w:val="215868" w:themeColor="accent5" w:themeShade="80"/>
          <w:lang w:eastAsia="en-US"/>
        </w:rPr>
        <w:t xml:space="preserve">not eligible for </w:t>
      </w:r>
      <w:r w:rsidR="00284009">
        <w:rPr>
          <w:rFonts w:cs="Arial"/>
          <w:b/>
          <w:color w:val="215868" w:themeColor="accent5" w:themeShade="80"/>
          <w:lang w:eastAsia="en-US"/>
        </w:rPr>
        <w:t>I</w:t>
      </w:r>
      <w:r w:rsidR="0034170F">
        <w:rPr>
          <w:rFonts w:cs="Arial"/>
          <w:b/>
          <w:color w:val="215868" w:themeColor="accent5" w:themeShade="80"/>
          <w:lang w:eastAsia="en-US"/>
        </w:rPr>
        <w:t>nclusio</w:t>
      </w:r>
      <w:r w:rsidR="00284009">
        <w:rPr>
          <w:rFonts w:cs="Arial"/>
          <w:b/>
          <w:color w:val="215868" w:themeColor="accent5" w:themeShade="80"/>
          <w:lang w:eastAsia="en-US"/>
        </w:rPr>
        <w:t>n</w:t>
      </w:r>
      <w:r w:rsidRPr="00675404">
        <w:rPr>
          <w:rFonts w:cs="Arial"/>
          <w:b/>
          <w:color w:val="215868" w:themeColor="accent5" w:themeShade="80"/>
          <w:lang w:eastAsia="en-US"/>
        </w:rPr>
        <w:t xml:space="preserve"> Round funding?</w:t>
      </w:r>
    </w:p>
    <w:p w14:paraId="17AD0CC3" w14:textId="28C1B106" w:rsidR="00957D0D" w:rsidRPr="00A44CED" w:rsidRDefault="00957D0D" w:rsidP="002F58D6">
      <w:pPr>
        <w:pStyle w:val="Heading2"/>
        <w:spacing w:before="240" w:after="240"/>
        <w:ind w:left="357" w:hanging="357"/>
        <w:rPr>
          <w:rFonts w:cs="Arial"/>
        </w:rPr>
      </w:pPr>
      <w:bookmarkStart w:id="5" w:name="_Toc4753649"/>
      <w:r>
        <w:rPr>
          <w:rFonts w:cs="Arial"/>
        </w:rPr>
        <w:t>Grant round</w:t>
      </w:r>
    </w:p>
    <w:p w14:paraId="540C3719" w14:textId="1D4271E3" w:rsidR="00957D0D" w:rsidRDefault="00957D0D" w:rsidP="00957D0D">
      <w:pPr>
        <w:rPr>
          <w:rFonts w:cs="Arial"/>
        </w:rPr>
      </w:pPr>
      <w:r w:rsidRPr="00A44CED">
        <w:rPr>
          <w:rFonts w:cs="Arial"/>
        </w:rPr>
        <w:t xml:space="preserve">The </w:t>
      </w:r>
      <w:r w:rsidR="00284009">
        <w:rPr>
          <w:rFonts w:cs="Arial"/>
        </w:rPr>
        <w:t>Inclusion</w:t>
      </w:r>
      <w:r w:rsidRPr="00A44CED">
        <w:rPr>
          <w:rFonts w:cs="Arial"/>
        </w:rPr>
        <w:t xml:space="preserve"> Round will be an open and competitive capital grant round </w:t>
      </w:r>
      <w:r w:rsidR="00257E3F" w:rsidRPr="00A44CED">
        <w:rPr>
          <w:rFonts w:cs="Arial"/>
        </w:rPr>
        <w:t xml:space="preserve">published on </w:t>
      </w:r>
      <w:r w:rsidR="00257E3F" w:rsidRPr="00EC4525">
        <w:rPr>
          <w:rFonts w:cs="Arial"/>
          <w:u w:val="single"/>
        </w:rPr>
        <w:t>GrantConnect</w:t>
      </w:r>
      <w:r w:rsidR="00257E3F" w:rsidRPr="00A44CED">
        <w:rPr>
          <w:rFonts w:cs="Arial"/>
        </w:rPr>
        <w:t xml:space="preserve"> </w:t>
      </w:r>
      <w:r w:rsidR="00257E3F">
        <w:rPr>
          <w:rFonts w:cs="Arial"/>
        </w:rPr>
        <w:t>(</w:t>
      </w:r>
      <w:r w:rsidR="00257E3F" w:rsidRPr="008A4448">
        <w:rPr>
          <w:rFonts w:cs="Arial"/>
          <w:u w:val="single"/>
        </w:rPr>
        <w:t>www.grants.gov.au</w:t>
      </w:r>
      <w:r w:rsidR="00257E3F">
        <w:rPr>
          <w:rFonts w:cs="Arial"/>
        </w:rPr>
        <w:t>).</w:t>
      </w:r>
      <w:r w:rsidR="00257E3F" w:rsidRPr="00A44CED" w:rsidDel="00257E3F">
        <w:rPr>
          <w:rFonts w:cs="Arial"/>
        </w:rPr>
        <w:t xml:space="preserve"> </w:t>
      </w:r>
      <w:r w:rsidR="00257E3F">
        <w:rPr>
          <w:rFonts w:cs="Arial"/>
        </w:rPr>
        <w:t>T</w:t>
      </w:r>
      <w:r w:rsidRPr="00A44CED">
        <w:rPr>
          <w:rFonts w:cs="Arial"/>
        </w:rPr>
        <w:t>he grant round</w:t>
      </w:r>
      <w:r w:rsidR="00257E3F">
        <w:rPr>
          <w:rFonts w:cs="Arial"/>
        </w:rPr>
        <w:t xml:space="preserve"> is</w:t>
      </w:r>
      <w:r w:rsidRPr="00A44CED">
        <w:rPr>
          <w:rFonts w:cs="Arial"/>
        </w:rPr>
        <w:t xml:space="preserve"> expected to open in </w:t>
      </w:r>
      <w:r w:rsidR="00B054C6">
        <w:rPr>
          <w:rFonts w:cs="Arial"/>
        </w:rPr>
        <w:t>mid</w:t>
      </w:r>
      <w:r w:rsidRPr="00A44CED">
        <w:rPr>
          <w:rFonts w:cs="Arial"/>
        </w:rPr>
        <w:t xml:space="preserve"> 2023</w:t>
      </w:r>
      <w:r w:rsidR="00257E3F">
        <w:rPr>
          <w:rFonts w:cs="Arial"/>
        </w:rPr>
        <w:t xml:space="preserve"> for a</w:t>
      </w:r>
      <w:r w:rsidRPr="00A44CED">
        <w:rPr>
          <w:rFonts w:cs="Arial"/>
        </w:rPr>
        <w:t xml:space="preserve"> period </w:t>
      </w:r>
      <w:r w:rsidR="00257E3F">
        <w:rPr>
          <w:rFonts w:cs="Arial"/>
        </w:rPr>
        <w:t>of</w:t>
      </w:r>
      <w:r w:rsidR="007704BD">
        <w:rPr>
          <w:rFonts w:cs="Arial"/>
        </w:rPr>
        <w:t xml:space="preserve"> 2</w:t>
      </w:r>
      <w:r w:rsidRPr="00A44CED">
        <w:rPr>
          <w:rFonts w:cs="Arial"/>
        </w:rPr>
        <w:t xml:space="preserve"> months. </w:t>
      </w:r>
    </w:p>
    <w:p w14:paraId="37ABA8DF" w14:textId="054377F9" w:rsidR="00957D0D" w:rsidRPr="00A44CED" w:rsidRDefault="00957D0D" w:rsidP="00692916">
      <w:pPr>
        <w:pStyle w:val="Heading3"/>
        <w:ind w:left="567" w:hanging="567"/>
        <w:rPr>
          <w:rFonts w:cs="Arial"/>
        </w:rPr>
      </w:pPr>
      <w:r w:rsidRPr="00A44CED">
        <w:rPr>
          <w:rFonts w:cs="Arial"/>
        </w:rPr>
        <w:t>Support for applicants</w:t>
      </w:r>
    </w:p>
    <w:p w14:paraId="62961FD5" w14:textId="2897281B" w:rsidR="00770C4B" w:rsidRDefault="00770C4B" w:rsidP="00770C4B">
      <w:pPr>
        <w:rPr>
          <w:rFonts w:cs="Arial"/>
        </w:rPr>
      </w:pPr>
      <w:r w:rsidRPr="00A44CED">
        <w:rPr>
          <w:rFonts w:cs="Arial"/>
        </w:rPr>
        <w:t xml:space="preserve">Prior to opening the round, the </w:t>
      </w:r>
      <w:r w:rsidR="00274EDE">
        <w:rPr>
          <w:rFonts w:cs="Arial"/>
        </w:rPr>
        <w:t>d</w:t>
      </w:r>
      <w:r w:rsidRPr="00A44CED">
        <w:rPr>
          <w:rFonts w:cs="Arial"/>
        </w:rPr>
        <w:t xml:space="preserve">epartment will </w:t>
      </w:r>
      <w:r>
        <w:rPr>
          <w:rFonts w:cs="Arial"/>
        </w:rPr>
        <w:t>publish a Forecast Opportunity on GrantConnect advertising the estimated opening date. Potential applicants are encouraged to register on GrantConnect to receive notifications of the upcoming grant opportunity.</w:t>
      </w:r>
    </w:p>
    <w:p w14:paraId="4B3CC792" w14:textId="2939DD10" w:rsidR="00957D0D" w:rsidRPr="00A44CED" w:rsidRDefault="00251DDC" w:rsidP="00957D0D">
      <w:pPr>
        <w:rPr>
          <w:rFonts w:cs="Arial"/>
        </w:rPr>
      </w:pPr>
      <w:r w:rsidRPr="00A44CED">
        <w:rPr>
          <w:rFonts w:cs="Arial"/>
        </w:rPr>
        <w:t xml:space="preserve">To assist applicants in developing high quality proposals, the </w:t>
      </w:r>
      <w:r w:rsidR="00274EDE">
        <w:rPr>
          <w:rFonts w:cs="Arial"/>
        </w:rPr>
        <w:t>d</w:t>
      </w:r>
      <w:r w:rsidRPr="00A44CED">
        <w:rPr>
          <w:rFonts w:cs="Arial"/>
        </w:rPr>
        <w:t>epartment will p</w:t>
      </w:r>
      <w:r w:rsidR="00930092">
        <w:rPr>
          <w:rFonts w:cs="Arial"/>
        </w:rPr>
        <w:t>ublish</w:t>
      </w:r>
      <w:r w:rsidRPr="00A44CED">
        <w:rPr>
          <w:rFonts w:cs="Arial"/>
        </w:rPr>
        <w:t xml:space="preserve"> </w:t>
      </w:r>
      <w:r w:rsidR="00930092">
        <w:rPr>
          <w:rFonts w:cs="Arial"/>
        </w:rPr>
        <w:t>an application pack on GrantConnect</w:t>
      </w:r>
      <w:r w:rsidR="006F004D">
        <w:rPr>
          <w:rFonts w:cs="Arial"/>
        </w:rPr>
        <w:t>.</w:t>
      </w:r>
      <w:r w:rsidR="00930092">
        <w:rPr>
          <w:rFonts w:cs="Arial"/>
        </w:rPr>
        <w:t xml:space="preserve"> </w:t>
      </w:r>
      <w:r w:rsidR="006F004D">
        <w:rPr>
          <w:rFonts w:cs="Arial"/>
        </w:rPr>
        <w:t>T</w:t>
      </w:r>
      <w:r w:rsidR="00930092">
        <w:rPr>
          <w:rFonts w:cs="Arial"/>
        </w:rPr>
        <w:t xml:space="preserve">his will include the grant opportunity guidelines, an applicant </w:t>
      </w:r>
      <w:r w:rsidRPr="00A44CED">
        <w:rPr>
          <w:rFonts w:cs="Arial"/>
        </w:rPr>
        <w:t>guide</w:t>
      </w:r>
      <w:r w:rsidR="006F004D">
        <w:rPr>
          <w:rFonts w:cs="Arial"/>
        </w:rPr>
        <w:t xml:space="preserve">, a </w:t>
      </w:r>
      <w:r w:rsidRPr="00A44CED">
        <w:rPr>
          <w:rFonts w:cs="Arial"/>
        </w:rPr>
        <w:t>checklist of mandatory and desirable documents for assessment purposes</w:t>
      </w:r>
      <w:r w:rsidR="006F004D">
        <w:rPr>
          <w:rFonts w:cs="Arial"/>
        </w:rPr>
        <w:t xml:space="preserve"> and</w:t>
      </w:r>
      <w:r w:rsidR="00957D0D" w:rsidRPr="00A44CED">
        <w:rPr>
          <w:rFonts w:cs="Arial"/>
        </w:rPr>
        <w:t xml:space="preserve"> templates.</w:t>
      </w:r>
      <w:r w:rsidR="00C27BFC" w:rsidRPr="00C27BFC">
        <w:rPr>
          <w:rFonts w:cs="Arial"/>
        </w:rPr>
        <w:t xml:space="preserve"> </w:t>
      </w:r>
      <w:r w:rsidR="00C27BFC">
        <w:rPr>
          <w:rFonts w:cs="Arial"/>
        </w:rPr>
        <w:t>The</w:t>
      </w:r>
      <w:r w:rsidR="00C27BFC" w:rsidRPr="00A44CED">
        <w:rPr>
          <w:rFonts w:cs="Arial"/>
        </w:rPr>
        <w:t xml:space="preserve"> checklist will </w:t>
      </w:r>
      <w:r w:rsidR="00334F64">
        <w:rPr>
          <w:rFonts w:cs="Arial"/>
        </w:rPr>
        <w:t>provide applicants with guidance on</w:t>
      </w:r>
      <w:r w:rsidR="00C27BFC" w:rsidRPr="00A44CED">
        <w:rPr>
          <w:rFonts w:cs="Arial"/>
        </w:rPr>
        <w:t xml:space="preserve"> the elements involved in capital works projects, including cost contingency and escalation calculations.</w:t>
      </w:r>
    </w:p>
    <w:p w14:paraId="59D3704B" w14:textId="2BE28116" w:rsidR="005C3CFF" w:rsidRDefault="00334F64" w:rsidP="00957D0D">
      <w:pPr>
        <w:rPr>
          <w:rFonts w:cs="Arial"/>
        </w:rPr>
      </w:pPr>
      <w:r>
        <w:rPr>
          <w:rFonts w:cs="Arial"/>
        </w:rPr>
        <w:t xml:space="preserve">The </w:t>
      </w:r>
      <w:r w:rsidR="00274EDE">
        <w:rPr>
          <w:rFonts w:cs="Arial"/>
        </w:rPr>
        <w:t>d</w:t>
      </w:r>
      <w:r>
        <w:rPr>
          <w:rFonts w:cs="Arial"/>
        </w:rPr>
        <w:t>epartment will also hold i</w:t>
      </w:r>
      <w:r w:rsidR="00957D0D" w:rsidRPr="00A44CED">
        <w:rPr>
          <w:rFonts w:cs="Arial"/>
        </w:rPr>
        <w:t xml:space="preserve">nformation sessions ahead of the grant opportunity opening to </w:t>
      </w:r>
      <w:r>
        <w:rPr>
          <w:rFonts w:cs="Arial"/>
        </w:rPr>
        <w:t>increase</w:t>
      </w:r>
      <w:r w:rsidR="00957D0D" w:rsidRPr="00A44CED">
        <w:rPr>
          <w:rFonts w:cs="Arial"/>
        </w:rPr>
        <w:t xml:space="preserve"> </w:t>
      </w:r>
      <w:r>
        <w:rPr>
          <w:rFonts w:cs="Arial"/>
        </w:rPr>
        <w:t xml:space="preserve">potential applicants’ </w:t>
      </w:r>
      <w:r w:rsidR="00957D0D" w:rsidRPr="00A44CED">
        <w:rPr>
          <w:rFonts w:cs="Arial"/>
        </w:rPr>
        <w:t xml:space="preserve">understanding </w:t>
      </w:r>
      <w:r>
        <w:rPr>
          <w:rFonts w:cs="Arial"/>
        </w:rPr>
        <w:t xml:space="preserve">of </w:t>
      </w:r>
      <w:r w:rsidR="00957D0D" w:rsidRPr="00A44CED">
        <w:rPr>
          <w:rFonts w:cs="Arial"/>
        </w:rPr>
        <w:t>the requirements of preparing a grant proposal.</w:t>
      </w:r>
      <w:r w:rsidR="005C3CFF" w:rsidRPr="005C3CFF">
        <w:rPr>
          <w:rFonts w:cs="Arial"/>
        </w:rPr>
        <w:t xml:space="preserve"> </w:t>
      </w:r>
    </w:p>
    <w:p w14:paraId="6955F701" w14:textId="77777777" w:rsidR="005C3CFF" w:rsidRPr="00675404" w:rsidRDefault="005C3CFF" w:rsidP="00167BF7">
      <w:pPr>
        <w:pStyle w:val="Heading5"/>
        <w:rPr>
          <w:color w:val="215868" w:themeColor="accent5" w:themeShade="80"/>
        </w:rPr>
      </w:pPr>
      <w:r w:rsidRPr="00675404">
        <w:rPr>
          <w:color w:val="215868" w:themeColor="accent5" w:themeShade="80"/>
        </w:rPr>
        <w:t>Questions:</w:t>
      </w:r>
    </w:p>
    <w:p w14:paraId="33B96A87" w14:textId="67198A17" w:rsidR="00957D0D" w:rsidRPr="00675404" w:rsidRDefault="005C3CFF" w:rsidP="005C3CFF">
      <w:pPr>
        <w:pStyle w:val="BodyText"/>
        <w:numPr>
          <w:ilvl w:val="0"/>
          <w:numId w:val="18"/>
        </w:numPr>
        <w:ind w:left="463" w:hanging="415"/>
        <w:rPr>
          <w:rFonts w:cs="Arial"/>
          <w:b/>
          <w:color w:val="215868" w:themeColor="accent5" w:themeShade="80"/>
          <w:lang w:eastAsia="en-US"/>
        </w:rPr>
      </w:pPr>
      <w:r w:rsidRPr="00675404">
        <w:rPr>
          <w:rFonts w:cs="Arial"/>
          <w:b/>
          <w:color w:val="215868" w:themeColor="accent5" w:themeShade="80"/>
          <w:lang w:eastAsia="en-US"/>
        </w:rPr>
        <w:t>What advice/templates/checklist items would assist applicants in developing quality proposals?</w:t>
      </w:r>
    </w:p>
    <w:p w14:paraId="497B34F0" w14:textId="2FD1FAA8" w:rsidR="00D7550A" w:rsidRPr="00A44CED" w:rsidRDefault="00D7550A" w:rsidP="002F58D6">
      <w:pPr>
        <w:pStyle w:val="Heading2"/>
        <w:spacing w:before="240" w:after="240"/>
        <w:ind w:left="357" w:hanging="357"/>
        <w:rPr>
          <w:rFonts w:cs="Arial"/>
        </w:rPr>
      </w:pPr>
      <w:r w:rsidRPr="00A44CED">
        <w:rPr>
          <w:rFonts w:cs="Arial"/>
        </w:rPr>
        <w:t>Next steps</w:t>
      </w:r>
      <w:bookmarkEnd w:id="5"/>
    </w:p>
    <w:p w14:paraId="16AAAFA2" w14:textId="77777777" w:rsidR="00D7550A" w:rsidRPr="00A44CED" w:rsidRDefault="00D7550A" w:rsidP="00692916">
      <w:pPr>
        <w:pStyle w:val="Heading3"/>
        <w:ind w:left="567" w:hanging="567"/>
        <w:rPr>
          <w:rFonts w:cs="Arial"/>
        </w:rPr>
      </w:pPr>
      <w:r w:rsidRPr="00A44CED">
        <w:rPr>
          <w:rFonts w:cs="Arial"/>
        </w:rPr>
        <w:t xml:space="preserve">Preparing </w:t>
      </w:r>
      <w:r w:rsidR="000C1345" w:rsidRPr="00A44CED">
        <w:rPr>
          <w:rFonts w:cs="Arial"/>
        </w:rPr>
        <w:t>submissions</w:t>
      </w:r>
    </w:p>
    <w:p w14:paraId="2D20A887" w14:textId="59DFD09A" w:rsidR="00D7550A" w:rsidRPr="00A44CED" w:rsidRDefault="00AF0EAB" w:rsidP="00D7550A">
      <w:pPr>
        <w:rPr>
          <w:rFonts w:cs="Arial"/>
        </w:rPr>
      </w:pPr>
      <w:r w:rsidRPr="00A44CED">
        <w:rPr>
          <w:rFonts w:cs="Arial"/>
        </w:rPr>
        <w:t>S</w:t>
      </w:r>
      <w:r w:rsidR="00D7550A" w:rsidRPr="00A44CED">
        <w:rPr>
          <w:rFonts w:cs="Arial"/>
        </w:rPr>
        <w:t xml:space="preserve">takeholders wishing to have their views considered by the Government on possible design and selection approaches to deliver </w:t>
      </w:r>
      <w:r w:rsidR="00A361B2" w:rsidRPr="00A44CED">
        <w:rPr>
          <w:rFonts w:cs="Arial"/>
        </w:rPr>
        <w:t xml:space="preserve">the </w:t>
      </w:r>
      <w:r w:rsidR="00284009">
        <w:rPr>
          <w:rFonts w:cs="Arial"/>
        </w:rPr>
        <w:t>Inclusion</w:t>
      </w:r>
      <w:r w:rsidR="00A361B2" w:rsidRPr="00A44CED">
        <w:rPr>
          <w:rFonts w:cs="Arial"/>
        </w:rPr>
        <w:t xml:space="preserve"> Round</w:t>
      </w:r>
      <w:r w:rsidR="00D7550A" w:rsidRPr="00A44CED">
        <w:rPr>
          <w:rFonts w:cs="Arial"/>
        </w:rPr>
        <w:t xml:space="preserve"> are invited to provide a submission to the </w:t>
      </w:r>
      <w:r w:rsidR="00274EDE">
        <w:rPr>
          <w:rFonts w:cs="Arial"/>
        </w:rPr>
        <w:t>d</w:t>
      </w:r>
      <w:r w:rsidR="00D7550A" w:rsidRPr="00A44CED">
        <w:rPr>
          <w:rFonts w:cs="Arial"/>
        </w:rPr>
        <w:t>epartment.</w:t>
      </w:r>
      <w:r w:rsidR="006320A1">
        <w:rPr>
          <w:rFonts w:cs="Arial"/>
        </w:rPr>
        <w:t xml:space="preserve"> You will be asked if you wish to provide personal information, such name and background, and the organisation you represent (if applicable). This information is not manadatory. </w:t>
      </w:r>
      <w:r w:rsidR="00D7550A" w:rsidRPr="00A44CED">
        <w:rPr>
          <w:rFonts w:cs="Arial"/>
        </w:rPr>
        <w:t xml:space="preserve"> </w:t>
      </w:r>
    </w:p>
    <w:p w14:paraId="1E488D73" w14:textId="4E0EABCB" w:rsidR="00FB1AB6" w:rsidRPr="00A44CED" w:rsidRDefault="00AD5329">
      <w:pPr>
        <w:rPr>
          <w:rFonts w:cs="Arial"/>
          <w:highlight w:val="yellow"/>
        </w:rPr>
      </w:pPr>
      <w:r w:rsidRPr="00A44CED">
        <w:rPr>
          <w:rFonts w:cs="Arial"/>
        </w:rPr>
        <w:t>Th</w:t>
      </w:r>
      <w:r w:rsidR="00904B88">
        <w:rPr>
          <w:rFonts w:cs="Arial"/>
        </w:rPr>
        <w:t xml:space="preserve">is </w:t>
      </w:r>
      <w:r w:rsidRPr="00A44CED">
        <w:rPr>
          <w:rFonts w:cs="Arial"/>
        </w:rPr>
        <w:t xml:space="preserve">discussion paper </w:t>
      </w:r>
      <w:r w:rsidR="00ED5B90">
        <w:rPr>
          <w:rFonts w:cs="Arial"/>
        </w:rPr>
        <w:t>is</w:t>
      </w:r>
      <w:r w:rsidRPr="00A44CED">
        <w:rPr>
          <w:rFonts w:cs="Arial"/>
        </w:rPr>
        <w:t xml:space="preserve"> complemented by </w:t>
      </w:r>
      <w:r w:rsidR="00904B88">
        <w:rPr>
          <w:rFonts w:cs="Arial"/>
        </w:rPr>
        <w:t>engagement</w:t>
      </w:r>
      <w:r w:rsidR="00904B88" w:rsidRPr="00A44CED">
        <w:rPr>
          <w:rFonts w:cs="Arial"/>
        </w:rPr>
        <w:t xml:space="preserve"> </w:t>
      </w:r>
      <w:r w:rsidRPr="00A44CED">
        <w:rPr>
          <w:rFonts w:cs="Arial"/>
        </w:rPr>
        <w:t xml:space="preserve">with stakeholders across the country. </w:t>
      </w:r>
    </w:p>
    <w:p w14:paraId="4B525E02" w14:textId="77777777" w:rsidR="00FC2734" w:rsidRDefault="00FC2734">
      <w:pPr>
        <w:rPr>
          <w:rFonts w:eastAsiaTheme="majorEastAsia" w:cs="Arial"/>
          <w:b/>
          <w:bCs/>
          <w:sz w:val="24"/>
          <w:szCs w:val="26"/>
        </w:rPr>
      </w:pPr>
      <w:r>
        <w:rPr>
          <w:rFonts w:cs="Arial"/>
        </w:rPr>
        <w:br w:type="page"/>
      </w:r>
    </w:p>
    <w:p w14:paraId="18615AD0" w14:textId="5778AB59" w:rsidR="00D7550A" w:rsidRPr="00A44CED" w:rsidRDefault="00D7550A" w:rsidP="00692916">
      <w:pPr>
        <w:pStyle w:val="Heading3"/>
        <w:ind w:left="567" w:hanging="567"/>
        <w:rPr>
          <w:rFonts w:cs="Arial"/>
        </w:rPr>
      </w:pPr>
      <w:r w:rsidRPr="00A44CED">
        <w:rPr>
          <w:rFonts w:cs="Arial"/>
        </w:rPr>
        <w:lastRenderedPageBreak/>
        <w:t xml:space="preserve">Lodging </w:t>
      </w:r>
      <w:r w:rsidR="000C1345" w:rsidRPr="00A44CED">
        <w:rPr>
          <w:rFonts w:cs="Arial"/>
        </w:rPr>
        <w:t>submissions</w:t>
      </w:r>
    </w:p>
    <w:p w14:paraId="2CDFB923" w14:textId="7C30525F" w:rsidR="00B8223D" w:rsidRDefault="00904B88" w:rsidP="00B8223D">
      <w:pPr>
        <w:rPr>
          <w:rFonts w:cs="Arial"/>
        </w:rPr>
      </w:pPr>
      <w:r>
        <w:rPr>
          <w:rFonts w:cs="Arial"/>
        </w:rPr>
        <w:t>Submissions can be provided online via DSS Engage.</w:t>
      </w:r>
      <w:r w:rsidRPr="00904B88">
        <w:rPr>
          <w:rFonts w:cs="Arial"/>
        </w:rPr>
        <w:t xml:space="preserve"> </w:t>
      </w:r>
      <w:r w:rsidR="0008785E">
        <w:rPr>
          <w:rFonts w:cs="Arial"/>
        </w:rPr>
        <w:t>Y</w:t>
      </w:r>
      <w:r w:rsidRPr="00A44CED">
        <w:rPr>
          <w:rFonts w:cs="Arial"/>
        </w:rPr>
        <w:t xml:space="preserve">ou will be asked to specify whether you would like your submission </w:t>
      </w:r>
      <w:r w:rsidR="00B8223D">
        <w:rPr>
          <w:rFonts w:cs="Arial"/>
        </w:rPr>
        <w:t>to</w:t>
      </w:r>
      <w:r w:rsidR="00B8223D" w:rsidRPr="00A44CED">
        <w:rPr>
          <w:rFonts w:cs="Arial"/>
        </w:rPr>
        <w:t xml:space="preserve"> be made public</w:t>
      </w:r>
      <w:r w:rsidR="00B8223D">
        <w:rPr>
          <w:rFonts w:cs="Arial"/>
        </w:rPr>
        <w:t>ly available, including on the d</w:t>
      </w:r>
      <w:r w:rsidR="00B8223D" w:rsidRPr="00A44CED">
        <w:rPr>
          <w:rFonts w:cs="Arial"/>
        </w:rPr>
        <w:t>epartment’s website (</w:t>
      </w:r>
      <w:r w:rsidR="00B8223D" w:rsidRPr="00B8223D">
        <w:rPr>
          <w:rFonts w:cs="Arial"/>
          <w:u w:val="single"/>
        </w:rPr>
        <w:t>www.dss.gov.au</w:t>
      </w:r>
      <w:r w:rsidR="00B8223D" w:rsidRPr="00A44CED">
        <w:rPr>
          <w:rFonts w:cs="Arial"/>
        </w:rPr>
        <w:t xml:space="preserve">). </w:t>
      </w:r>
      <w:r w:rsidR="00B8223D">
        <w:rPr>
          <w:rFonts w:cs="Arial"/>
        </w:rPr>
        <w:t>Submissions will not be published without your agreement.</w:t>
      </w:r>
    </w:p>
    <w:p w14:paraId="6E2683A9" w14:textId="6487128E" w:rsidR="00C94AD2" w:rsidRPr="00A44CED" w:rsidRDefault="0008785E" w:rsidP="00B8223D">
      <w:pPr>
        <w:rPr>
          <w:rFonts w:cs="Arial"/>
        </w:rPr>
      </w:pPr>
      <w:r>
        <w:rPr>
          <w:rFonts w:cs="Arial"/>
        </w:rPr>
        <w:t>Alternatively, you may s</w:t>
      </w:r>
      <w:r w:rsidR="00C94AD2" w:rsidRPr="00A44CED">
        <w:rPr>
          <w:rFonts w:cs="Arial"/>
        </w:rPr>
        <w:t xml:space="preserve">end us a written submission </w:t>
      </w:r>
      <w:r>
        <w:rPr>
          <w:rFonts w:cs="Arial"/>
        </w:rPr>
        <w:t>via post</w:t>
      </w:r>
      <w:r w:rsidR="00C94AD2" w:rsidRPr="00A44CED">
        <w:rPr>
          <w:rFonts w:cs="Arial"/>
        </w:rPr>
        <w:t xml:space="preserve">: </w:t>
      </w:r>
    </w:p>
    <w:p w14:paraId="5695D3AB" w14:textId="77777777" w:rsidR="00C94AD2" w:rsidRPr="00A44CED" w:rsidRDefault="00C94AD2" w:rsidP="005868EA">
      <w:pPr>
        <w:keepNext/>
        <w:keepLines/>
        <w:ind w:left="720"/>
        <w:rPr>
          <w:rFonts w:cs="Arial"/>
        </w:rPr>
      </w:pPr>
      <w:r w:rsidRPr="00A44CED">
        <w:rPr>
          <w:rFonts w:cs="Arial"/>
        </w:rPr>
        <w:t xml:space="preserve">Housing and Homelessness Program Delivery Branch </w:t>
      </w:r>
      <w:r w:rsidRPr="00A44CED">
        <w:rPr>
          <w:rFonts w:cs="Arial"/>
        </w:rPr>
        <w:br/>
        <w:t xml:space="preserve">GPO Box 9820 </w:t>
      </w:r>
      <w:r w:rsidRPr="00A44CED">
        <w:rPr>
          <w:rFonts w:cs="Arial"/>
        </w:rPr>
        <w:br/>
        <w:t xml:space="preserve">Department of Social Services </w:t>
      </w:r>
      <w:r w:rsidRPr="00A44CED">
        <w:rPr>
          <w:rFonts w:cs="Arial"/>
        </w:rPr>
        <w:br/>
        <w:t xml:space="preserve">Canberra ACT 2601 </w:t>
      </w:r>
    </w:p>
    <w:p w14:paraId="6F2529F9" w14:textId="4F87F16F" w:rsidR="0008785E" w:rsidRDefault="0008785E" w:rsidP="00C94AD2">
      <w:pPr>
        <w:rPr>
          <w:rFonts w:cs="Arial"/>
        </w:rPr>
      </w:pPr>
      <w:r w:rsidRPr="00A44CED">
        <w:rPr>
          <w:rFonts w:cs="Arial"/>
        </w:rPr>
        <w:t>If you send your su</w:t>
      </w:r>
      <w:r>
        <w:rPr>
          <w:rFonts w:cs="Arial"/>
        </w:rPr>
        <w:t>bmission via</w:t>
      </w:r>
      <w:r w:rsidRPr="00A44CED">
        <w:rPr>
          <w:rFonts w:cs="Arial"/>
        </w:rPr>
        <w:t xml:space="preserve"> post, please consider postal delivery times</w:t>
      </w:r>
      <w:r>
        <w:rPr>
          <w:rFonts w:cs="Arial"/>
        </w:rPr>
        <w:t xml:space="preserve"> and</w:t>
      </w:r>
      <w:r w:rsidRPr="00A44CED">
        <w:rPr>
          <w:rFonts w:cs="Arial"/>
        </w:rPr>
        <w:t xml:space="preserve"> specify whether you would like your submission to be published online. </w:t>
      </w:r>
    </w:p>
    <w:p w14:paraId="34BC0155" w14:textId="4CD5357B" w:rsidR="00C94AD2" w:rsidRPr="00A44CED" w:rsidRDefault="00C94AD2" w:rsidP="00C94AD2">
      <w:pPr>
        <w:rPr>
          <w:rFonts w:cs="Arial"/>
        </w:rPr>
      </w:pPr>
      <w:r w:rsidRPr="00B26A74">
        <w:rPr>
          <w:rFonts w:cs="Arial"/>
        </w:rPr>
        <w:t xml:space="preserve">The closing date for receiving submissions is 11:59pm, </w:t>
      </w:r>
      <w:r w:rsidR="00F30F9E" w:rsidRPr="008150E8">
        <w:rPr>
          <w:rFonts w:cs="Arial"/>
        </w:rPr>
        <w:t>10 March 2023</w:t>
      </w:r>
      <w:r w:rsidRPr="008150E8">
        <w:rPr>
          <w:rFonts w:cs="Arial"/>
        </w:rPr>
        <w:t>.</w:t>
      </w:r>
      <w:r w:rsidRPr="00A44CED">
        <w:rPr>
          <w:rFonts w:cs="Arial"/>
        </w:rPr>
        <w:t xml:space="preserve"> </w:t>
      </w:r>
    </w:p>
    <w:p w14:paraId="56C02542" w14:textId="4DABAC95" w:rsidR="00E44518" w:rsidRPr="00A44CED" w:rsidRDefault="00C94AD2" w:rsidP="00D9061A">
      <w:pPr>
        <w:rPr>
          <w:rFonts w:cs="Arial"/>
        </w:rPr>
      </w:pPr>
      <w:r w:rsidRPr="00A44CED">
        <w:rPr>
          <w:rFonts w:cs="Arial"/>
        </w:rPr>
        <w:t xml:space="preserve">If you have any further questions about this paper, please contact us at </w:t>
      </w:r>
      <w:r w:rsidR="001911DE" w:rsidRPr="00E31DFE">
        <w:rPr>
          <w:rFonts w:cs="Arial"/>
          <w:u w:val="single"/>
        </w:rPr>
        <w:t>SafePlaces@dss.gov.au</w:t>
      </w:r>
      <w:r w:rsidRPr="00A44CED">
        <w:rPr>
          <w:rFonts w:cs="Arial"/>
        </w:rPr>
        <w:t>.</w:t>
      </w:r>
    </w:p>
    <w:sectPr w:rsidR="00E44518" w:rsidRPr="00A44CED" w:rsidSect="002F58D6">
      <w:headerReference w:type="even" r:id="rId15"/>
      <w:headerReference w:type="default" r:id="rId16"/>
      <w:footerReference w:type="even" r:id="rId17"/>
      <w:footerReference w:type="default" r:id="rId18"/>
      <w:headerReference w:type="first" r:id="rId19"/>
      <w:footerReference w:type="first" r:id="rId20"/>
      <w:pgSz w:w="11906" w:h="16838" w:code="9"/>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29DC4" w14:textId="77777777" w:rsidR="00180AF7" w:rsidRDefault="00180AF7" w:rsidP="00B04ED8">
      <w:pPr>
        <w:spacing w:after="0" w:line="240" w:lineRule="auto"/>
      </w:pPr>
      <w:r>
        <w:separator/>
      </w:r>
    </w:p>
  </w:endnote>
  <w:endnote w:type="continuationSeparator" w:id="0">
    <w:p w14:paraId="213E9C34" w14:textId="77777777" w:rsidR="00180AF7" w:rsidRDefault="00180AF7" w:rsidP="00B04ED8">
      <w:pPr>
        <w:spacing w:after="0" w:line="240" w:lineRule="auto"/>
      </w:pPr>
      <w:r>
        <w:continuationSeparator/>
      </w:r>
    </w:p>
  </w:endnote>
  <w:endnote w:type="continuationNotice" w:id="1">
    <w:p w14:paraId="347B1F7A" w14:textId="77777777" w:rsidR="00180AF7" w:rsidRDefault="00180A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ExtraLight">
    <w:altName w:val="Nunito ExtraLight"/>
    <w:panose1 w:val="00000000000000000000"/>
    <w:charset w:val="00"/>
    <w:family w:val="swiss"/>
    <w:notTrueType/>
    <w:pitch w:val="default"/>
    <w:sig w:usb0="00000003" w:usb1="00000000" w:usb2="00000000" w:usb3="00000000" w:csb0="00000001" w:csb1="00000000"/>
  </w:font>
  <w:font w:name="Lora SemiBold">
    <w:altName w:val="Lora Semi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2A9E9" w14:textId="77777777" w:rsidR="003D6035" w:rsidRDefault="003D6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20"/>
      </w:rPr>
      <w:id w:val="-846787612"/>
      <w:docPartObj>
        <w:docPartGallery w:val="Page Numbers (Bottom of Page)"/>
        <w:docPartUnique/>
      </w:docPartObj>
    </w:sdtPr>
    <w:sdtEndPr/>
    <w:sdtContent>
      <w:sdt>
        <w:sdtPr>
          <w:rPr>
            <w:sz w:val="18"/>
            <w:szCs w:val="20"/>
          </w:rPr>
          <w:id w:val="-1769616900"/>
          <w:docPartObj>
            <w:docPartGallery w:val="Page Numbers (Top of Page)"/>
            <w:docPartUnique/>
          </w:docPartObj>
        </w:sdtPr>
        <w:sdtEndPr/>
        <w:sdtContent>
          <w:p w14:paraId="7007F08E" w14:textId="7AB95BEB" w:rsidR="003D6035" w:rsidRPr="005868EA" w:rsidRDefault="003D6035" w:rsidP="005868EA">
            <w:pPr>
              <w:pStyle w:val="Footer"/>
              <w:jc w:val="right"/>
              <w:rPr>
                <w:b/>
                <w:bCs/>
                <w:sz w:val="18"/>
                <w:szCs w:val="20"/>
              </w:rPr>
            </w:pPr>
            <w:r w:rsidRPr="00E31DFE">
              <w:rPr>
                <w:sz w:val="18"/>
                <w:szCs w:val="20"/>
              </w:rPr>
              <w:t xml:space="preserve">Page </w:t>
            </w:r>
            <w:r w:rsidRPr="00E31DFE">
              <w:rPr>
                <w:b/>
                <w:bCs/>
                <w:sz w:val="18"/>
                <w:szCs w:val="20"/>
              </w:rPr>
              <w:fldChar w:fldCharType="begin"/>
            </w:r>
            <w:r w:rsidRPr="00E31DFE">
              <w:rPr>
                <w:b/>
                <w:bCs/>
                <w:sz w:val="18"/>
                <w:szCs w:val="20"/>
              </w:rPr>
              <w:instrText xml:space="preserve"> PAGE </w:instrText>
            </w:r>
            <w:r w:rsidRPr="00E31DFE">
              <w:rPr>
                <w:b/>
                <w:bCs/>
                <w:sz w:val="18"/>
                <w:szCs w:val="20"/>
              </w:rPr>
              <w:fldChar w:fldCharType="separate"/>
            </w:r>
            <w:r w:rsidR="00C8086B">
              <w:rPr>
                <w:b/>
                <w:bCs/>
                <w:noProof/>
                <w:sz w:val="18"/>
                <w:szCs w:val="20"/>
              </w:rPr>
              <w:t>2</w:t>
            </w:r>
            <w:r w:rsidRPr="00E31DFE">
              <w:rPr>
                <w:b/>
                <w:bCs/>
                <w:sz w:val="18"/>
                <w:szCs w:val="20"/>
              </w:rPr>
              <w:fldChar w:fldCharType="end"/>
            </w:r>
            <w:r w:rsidRPr="00E31DFE">
              <w:rPr>
                <w:sz w:val="18"/>
                <w:szCs w:val="20"/>
              </w:rPr>
              <w:t xml:space="preserve"> of </w:t>
            </w:r>
            <w:r w:rsidRPr="00E31DFE">
              <w:rPr>
                <w:b/>
                <w:bCs/>
                <w:sz w:val="18"/>
                <w:szCs w:val="20"/>
              </w:rPr>
              <w:fldChar w:fldCharType="begin"/>
            </w:r>
            <w:r w:rsidRPr="00E31DFE">
              <w:rPr>
                <w:b/>
                <w:bCs/>
                <w:sz w:val="18"/>
                <w:szCs w:val="20"/>
              </w:rPr>
              <w:instrText xml:space="preserve"> NUMPAGES  </w:instrText>
            </w:r>
            <w:r w:rsidRPr="00E31DFE">
              <w:rPr>
                <w:b/>
                <w:bCs/>
                <w:sz w:val="18"/>
                <w:szCs w:val="20"/>
              </w:rPr>
              <w:fldChar w:fldCharType="separate"/>
            </w:r>
            <w:r w:rsidR="00C8086B">
              <w:rPr>
                <w:b/>
                <w:bCs/>
                <w:noProof/>
                <w:sz w:val="18"/>
                <w:szCs w:val="20"/>
              </w:rPr>
              <w:t>13</w:t>
            </w:r>
            <w:r w:rsidRPr="00E31DFE">
              <w:rPr>
                <w:b/>
                <w:bCs/>
                <w:sz w:val="18"/>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6DDD" w14:textId="77777777" w:rsidR="003D6035" w:rsidRDefault="003D6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FB92E" w14:textId="77777777" w:rsidR="00180AF7" w:rsidRDefault="00180AF7" w:rsidP="00B04ED8">
      <w:pPr>
        <w:spacing w:after="0" w:line="240" w:lineRule="auto"/>
      </w:pPr>
      <w:r>
        <w:separator/>
      </w:r>
    </w:p>
  </w:footnote>
  <w:footnote w:type="continuationSeparator" w:id="0">
    <w:p w14:paraId="0ED6496B" w14:textId="77777777" w:rsidR="00180AF7" w:rsidRDefault="00180AF7" w:rsidP="00B04ED8">
      <w:pPr>
        <w:spacing w:after="0" w:line="240" w:lineRule="auto"/>
      </w:pPr>
      <w:r>
        <w:continuationSeparator/>
      </w:r>
    </w:p>
  </w:footnote>
  <w:footnote w:type="continuationNotice" w:id="1">
    <w:p w14:paraId="08E48D07" w14:textId="77777777" w:rsidR="00180AF7" w:rsidRDefault="00180AF7">
      <w:pPr>
        <w:spacing w:after="0" w:line="240" w:lineRule="auto"/>
      </w:pPr>
    </w:p>
  </w:footnote>
  <w:footnote w:id="2">
    <w:p w14:paraId="2CE025D5" w14:textId="55757ADC" w:rsidR="003D6035" w:rsidRPr="00D56730" w:rsidRDefault="003D6035">
      <w:pPr>
        <w:pStyle w:val="FootnoteText"/>
        <w:rPr>
          <w:rFonts w:cs="Arial"/>
          <w:sz w:val="18"/>
          <w:szCs w:val="18"/>
        </w:rPr>
      </w:pPr>
      <w:r w:rsidRPr="00A44CED">
        <w:rPr>
          <w:rStyle w:val="FootnoteReference"/>
          <w:rFonts w:cs="Arial"/>
        </w:rPr>
        <w:footnoteRef/>
      </w:r>
      <w:r w:rsidRPr="00A44CED">
        <w:rPr>
          <w:rFonts w:cs="Arial"/>
        </w:rPr>
        <w:t xml:space="preserve"> </w:t>
      </w:r>
      <w:r w:rsidR="00A92E36" w:rsidRPr="00D56730">
        <w:rPr>
          <w:rFonts w:cs="Arial"/>
          <w:sz w:val="18"/>
          <w:szCs w:val="18"/>
        </w:rPr>
        <w:t>This refers to clients that did not have their need for emergency accommodation provided or referred by an SHS in 202</w:t>
      </w:r>
      <w:r w:rsidR="004935C3">
        <w:rPr>
          <w:rFonts w:cs="Arial"/>
          <w:sz w:val="18"/>
          <w:szCs w:val="18"/>
        </w:rPr>
        <w:t>1</w:t>
      </w:r>
      <w:r w:rsidR="00A92E36" w:rsidRPr="00D56730">
        <w:rPr>
          <w:rFonts w:cs="Arial"/>
          <w:sz w:val="18"/>
          <w:szCs w:val="18"/>
        </w:rPr>
        <w:t>-2</w:t>
      </w:r>
      <w:r w:rsidR="004935C3">
        <w:rPr>
          <w:rFonts w:cs="Arial"/>
          <w:sz w:val="18"/>
          <w:szCs w:val="18"/>
        </w:rPr>
        <w:t>2</w:t>
      </w:r>
      <w:r w:rsidR="00A92E36" w:rsidRPr="00D56730">
        <w:rPr>
          <w:rFonts w:cs="Arial"/>
          <w:sz w:val="18"/>
          <w:szCs w:val="18"/>
        </w:rPr>
        <w:t xml:space="preserve">. </w:t>
      </w:r>
      <w:r w:rsidRPr="00D56730">
        <w:rPr>
          <w:rFonts w:cs="Arial"/>
          <w:sz w:val="18"/>
          <w:szCs w:val="18"/>
        </w:rPr>
        <w:t>Australian Institute of Health and Welfare (AIHW</w:t>
      </w:r>
      <w:r w:rsidRPr="00D56730">
        <w:rPr>
          <w:rFonts w:cs="Arial"/>
          <w:i/>
          <w:sz w:val="18"/>
          <w:szCs w:val="18"/>
        </w:rPr>
        <w:t xml:space="preserve">), </w:t>
      </w:r>
      <w:hyperlink r:id="rId1" w:history="1">
        <w:r w:rsidR="001A29D1">
          <w:rPr>
            <w:rStyle w:val="Hyperlink"/>
            <w:rFonts w:cs="Arial"/>
            <w:i/>
            <w:sz w:val="18"/>
            <w:szCs w:val="18"/>
          </w:rPr>
          <w:t>Specialist homelessness services annual report 2021-22</w:t>
        </w:r>
      </w:hyperlink>
      <w:r w:rsidRPr="00D56730">
        <w:rPr>
          <w:rFonts w:cs="Arial"/>
          <w:sz w:val="18"/>
          <w:szCs w:val="18"/>
        </w:rPr>
        <w:t>, see Clients who have experienced family and domestic violence; Figure FDV.3: Clients who experienced family or domestic violence, by services needed and provided, 202</w:t>
      </w:r>
      <w:r w:rsidR="004935C3">
        <w:rPr>
          <w:rFonts w:cs="Arial"/>
          <w:sz w:val="18"/>
          <w:szCs w:val="18"/>
        </w:rPr>
        <w:t>1</w:t>
      </w:r>
      <w:r w:rsidRPr="00D56730">
        <w:rPr>
          <w:rFonts w:cs="Arial"/>
          <w:sz w:val="18"/>
          <w:szCs w:val="18"/>
        </w:rPr>
        <w:t>–2</w:t>
      </w:r>
      <w:r w:rsidR="004935C3">
        <w:rPr>
          <w:rFonts w:cs="Arial"/>
          <w:sz w:val="18"/>
          <w:szCs w:val="18"/>
        </w:rPr>
        <w:t>2</w:t>
      </w:r>
      <w:r w:rsidRPr="00D56730">
        <w:rPr>
          <w:rFonts w:cs="Arial"/>
          <w:sz w:val="18"/>
          <w:szCs w:val="18"/>
        </w:rPr>
        <w:t>.</w:t>
      </w:r>
    </w:p>
  </w:footnote>
  <w:footnote w:id="3">
    <w:p w14:paraId="35D82C65" w14:textId="27767BD0" w:rsidR="003D6035" w:rsidRPr="00D56730" w:rsidRDefault="003D6035">
      <w:pPr>
        <w:pStyle w:val="FootnoteText"/>
        <w:rPr>
          <w:sz w:val="18"/>
          <w:szCs w:val="18"/>
        </w:rPr>
      </w:pPr>
      <w:r w:rsidRPr="00D56730">
        <w:rPr>
          <w:rStyle w:val="FootnoteReference"/>
          <w:sz w:val="18"/>
          <w:szCs w:val="18"/>
        </w:rPr>
        <w:footnoteRef/>
      </w:r>
      <w:r w:rsidRPr="00D56730">
        <w:rPr>
          <w:sz w:val="18"/>
          <w:szCs w:val="18"/>
        </w:rPr>
        <w:t xml:space="preserve"> Monash Gender and Family Violence Prevention Centre, </w:t>
      </w:r>
      <w:hyperlink r:id="rId2" w:history="1">
        <w:r w:rsidRPr="00D56730">
          <w:rPr>
            <w:rStyle w:val="Hyperlink"/>
            <w:i/>
            <w:sz w:val="18"/>
            <w:szCs w:val="18"/>
          </w:rPr>
          <w:t>National Plan Stakeholder Consultation Final Report</w:t>
        </w:r>
      </w:hyperlink>
      <w:r w:rsidRPr="00D56730">
        <w:rPr>
          <w:i/>
          <w:sz w:val="18"/>
          <w:szCs w:val="18"/>
        </w:rPr>
        <w:t xml:space="preserve">, </w:t>
      </w:r>
      <w:r w:rsidRPr="00D56730">
        <w:rPr>
          <w:sz w:val="18"/>
          <w:szCs w:val="18"/>
        </w:rPr>
        <w:t>2022.</w:t>
      </w:r>
    </w:p>
  </w:footnote>
  <w:footnote w:id="4">
    <w:p w14:paraId="00DC0CAA" w14:textId="16F72E41" w:rsidR="003D6035" w:rsidRDefault="003D6035" w:rsidP="0002438F">
      <w:pPr>
        <w:pStyle w:val="FootnoteText"/>
      </w:pPr>
      <w:r>
        <w:rPr>
          <w:rStyle w:val="FootnoteReference"/>
        </w:rPr>
        <w:footnoteRef/>
      </w:r>
      <w:r>
        <w:t xml:space="preserve"> </w:t>
      </w:r>
      <w:r w:rsidRPr="00A44CED">
        <w:rPr>
          <w:rFonts w:cs="Arial"/>
        </w:rPr>
        <w:t>AIHW</w:t>
      </w:r>
      <w:r w:rsidRPr="00A44CED">
        <w:rPr>
          <w:rFonts w:cs="Arial"/>
          <w:i/>
        </w:rPr>
        <w:t xml:space="preserve">, </w:t>
      </w:r>
      <w:hyperlink r:id="rId3" w:history="1">
        <w:r w:rsidR="001A29D1">
          <w:rPr>
            <w:rStyle w:val="Hyperlink"/>
            <w:rFonts w:cs="Arial"/>
            <w:i/>
          </w:rPr>
          <w:t>Specialist homelessness services annual report 2021-22</w:t>
        </w:r>
      </w:hyperlink>
      <w:r w:rsidRPr="00A44CED">
        <w:rPr>
          <w:rFonts w:cs="Arial"/>
        </w:rPr>
        <w:t>, see</w:t>
      </w:r>
      <w:r>
        <w:rPr>
          <w:rFonts w:cs="Arial"/>
        </w:rPr>
        <w:t xml:space="preserve"> Technical notes; Glossary.</w:t>
      </w:r>
    </w:p>
  </w:footnote>
  <w:footnote w:id="5">
    <w:p w14:paraId="14DE935A" w14:textId="77777777" w:rsidR="003D6035" w:rsidRDefault="003D6035" w:rsidP="0002438F">
      <w:pPr>
        <w:pStyle w:val="FootnoteText"/>
      </w:pPr>
      <w:r>
        <w:rPr>
          <w:rStyle w:val="FootnoteReference"/>
        </w:rPr>
        <w:footnoteRef/>
      </w:r>
      <w:r>
        <w:t xml:space="preserve"> </w:t>
      </w:r>
      <w:hyperlink r:id="rId4" w:history="1">
        <w:r>
          <w:rPr>
            <w:rStyle w:val="Hyperlink"/>
          </w:rPr>
          <w:t>Canadian National Occupancy Standard (aihw.gov.au)</w:t>
        </w:r>
      </w:hyperlink>
    </w:p>
  </w:footnote>
  <w:footnote w:id="6">
    <w:p w14:paraId="39C7A303" w14:textId="77777777" w:rsidR="003D6035" w:rsidRDefault="003D6035" w:rsidP="0002438F">
      <w:pPr>
        <w:pStyle w:val="FootnoteText"/>
      </w:pPr>
      <w:r>
        <w:rPr>
          <w:rStyle w:val="FootnoteReference"/>
        </w:rPr>
        <w:footnoteRef/>
      </w:r>
      <w:r>
        <w:t xml:space="preserve"> This includes</w:t>
      </w:r>
      <w:r w:rsidRPr="000C546A">
        <w:t xml:space="preserve"> the more detailed </w:t>
      </w:r>
      <w:r>
        <w:t>parameters for overcrowding</w:t>
      </w:r>
      <w:r w:rsidRPr="000C546A">
        <w:t xml:space="preserve"> relating to the age and gender of children</w:t>
      </w:r>
      <w:r>
        <w:t xml:space="preserve"> for permanent housing</w:t>
      </w:r>
      <w:r w:rsidRPr="000C546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C1551" w14:textId="3A879353" w:rsidR="003D6035" w:rsidRDefault="003D6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B4EB7" w14:textId="7E2B9D48" w:rsidR="003D6035" w:rsidRPr="00E31DFE" w:rsidRDefault="003D6035">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B42B8" w14:textId="25549FEA" w:rsidR="003D6035" w:rsidRDefault="003D6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DFB"/>
    <w:multiLevelType w:val="hybridMultilevel"/>
    <w:tmpl w:val="0F9C48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1345D3"/>
    <w:multiLevelType w:val="hybridMultilevel"/>
    <w:tmpl w:val="D78EEA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3A19E0"/>
    <w:multiLevelType w:val="hybridMultilevel"/>
    <w:tmpl w:val="8DE637C2"/>
    <w:lvl w:ilvl="0" w:tplc="DCE03C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BA4560"/>
    <w:multiLevelType w:val="hybridMultilevel"/>
    <w:tmpl w:val="9138B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BB6A28"/>
    <w:multiLevelType w:val="hybridMultilevel"/>
    <w:tmpl w:val="C0086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F939AB"/>
    <w:multiLevelType w:val="hybridMultilevel"/>
    <w:tmpl w:val="1262795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7B65F6"/>
    <w:multiLevelType w:val="hybridMultilevel"/>
    <w:tmpl w:val="F6C8125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6E708D4"/>
    <w:multiLevelType w:val="hybridMultilevel"/>
    <w:tmpl w:val="CD34D5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74C2F72"/>
    <w:multiLevelType w:val="hybridMultilevel"/>
    <w:tmpl w:val="03645E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7222EC6C">
      <w:start w:val="1"/>
      <w:numFmt w:val="bullet"/>
      <w:lvlText w:val="­"/>
      <w:lvlJc w:val="left"/>
      <w:pPr>
        <w:ind w:left="2520" w:hanging="360"/>
      </w:pPr>
      <w:rPr>
        <w:rFonts w:ascii="Courier New" w:hAnsi="Courier New"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7B96CA1"/>
    <w:multiLevelType w:val="hybridMultilevel"/>
    <w:tmpl w:val="9B7AFF2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86D6BD8"/>
    <w:multiLevelType w:val="hybridMultilevel"/>
    <w:tmpl w:val="60A2A2D6"/>
    <w:lvl w:ilvl="0" w:tplc="98207218">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0D2C09DB"/>
    <w:multiLevelType w:val="hybridMultilevel"/>
    <w:tmpl w:val="6B22588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BC7FA6"/>
    <w:multiLevelType w:val="hybridMultilevel"/>
    <w:tmpl w:val="7A36C4E8"/>
    <w:lvl w:ilvl="0" w:tplc="77A8C2B4">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F11388C"/>
    <w:multiLevelType w:val="hybridMultilevel"/>
    <w:tmpl w:val="20F4AA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127662"/>
    <w:multiLevelType w:val="hybridMultilevel"/>
    <w:tmpl w:val="1422AA26"/>
    <w:lvl w:ilvl="0" w:tplc="3050C51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6E6C54"/>
    <w:multiLevelType w:val="hybridMultilevel"/>
    <w:tmpl w:val="4E06AD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188257DA"/>
    <w:multiLevelType w:val="hybridMultilevel"/>
    <w:tmpl w:val="429CB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2F4522"/>
    <w:multiLevelType w:val="hybridMultilevel"/>
    <w:tmpl w:val="F146C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C0179B0"/>
    <w:multiLevelType w:val="hybridMultilevel"/>
    <w:tmpl w:val="59FA6028"/>
    <w:lvl w:ilvl="0" w:tplc="0C09000F">
      <w:start w:val="1"/>
      <w:numFmt w:val="decimal"/>
      <w:lvlText w:val="%1."/>
      <w:lvlJc w:val="left"/>
      <w:pPr>
        <w:ind w:left="1353"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1C38507D"/>
    <w:multiLevelType w:val="hybridMultilevel"/>
    <w:tmpl w:val="B19C3CE4"/>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1CF1017A"/>
    <w:multiLevelType w:val="hybridMultilevel"/>
    <w:tmpl w:val="B66244D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207F6B5A"/>
    <w:multiLevelType w:val="hybridMultilevel"/>
    <w:tmpl w:val="74AA2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25CB2632"/>
    <w:multiLevelType w:val="hybridMultilevel"/>
    <w:tmpl w:val="19F678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91445F"/>
    <w:multiLevelType w:val="hybridMultilevel"/>
    <w:tmpl w:val="C9C4EE8C"/>
    <w:lvl w:ilvl="0" w:tplc="E048C84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2821A4"/>
    <w:multiLevelType w:val="hybridMultilevel"/>
    <w:tmpl w:val="318079B4"/>
    <w:lvl w:ilvl="0" w:tplc="13260AD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540334"/>
    <w:multiLevelType w:val="hybridMultilevel"/>
    <w:tmpl w:val="32B25C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21A510D"/>
    <w:multiLevelType w:val="hybridMultilevel"/>
    <w:tmpl w:val="27288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38A7AF6"/>
    <w:multiLevelType w:val="hybridMultilevel"/>
    <w:tmpl w:val="20BE8FA0"/>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9" w15:restartNumberingAfterBreak="0">
    <w:nsid w:val="34A55982"/>
    <w:multiLevelType w:val="hybridMultilevel"/>
    <w:tmpl w:val="1FF202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580A38"/>
    <w:multiLevelType w:val="hybridMultilevel"/>
    <w:tmpl w:val="71F6561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365D5B76"/>
    <w:multiLevelType w:val="hybridMultilevel"/>
    <w:tmpl w:val="2982C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7D518BC"/>
    <w:multiLevelType w:val="hybridMultilevel"/>
    <w:tmpl w:val="2968C3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80F68E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89D0BA2"/>
    <w:multiLevelType w:val="multilevel"/>
    <w:tmpl w:val="5E0EDD4E"/>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BB43B4D"/>
    <w:multiLevelType w:val="multilevel"/>
    <w:tmpl w:val="44A86932"/>
    <w:lvl w:ilvl="0">
      <w:start w:val="1"/>
      <w:numFmt w:val="decimal"/>
      <w:lvlText w:val="%1."/>
      <w:lvlJc w:val="left"/>
      <w:pPr>
        <w:ind w:left="454" w:hanging="454"/>
      </w:pPr>
    </w:lvl>
    <w:lvl w:ilvl="1">
      <w:start w:val="1"/>
      <w:numFmt w:val="lowerLetter"/>
      <w:lvlText w:val="%2)"/>
      <w:lvlJc w:val="left"/>
      <w:pPr>
        <w:ind w:left="908" w:hanging="454"/>
      </w:pPr>
    </w:lvl>
    <w:lvl w:ilvl="2">
      <w:start w:val="1"/>
      <w:numFmt w:val="lowerRoman"/>
      <w:lvlText w:val="%3)"/>
      <w:lvlJc w:val="right"/>
      <w:pPr>
        <w:ind w:left="1362" w:hanging="228"/>
      </w:pPr>
    </w:lvl>
    <w:lvl w:ilvl="3">
      <w:start w:val="1"/>
      <w:numFmt w:val="decimal"/>
      <w:lvlText w:val="%4."/>
      <w:lvlJc w:val="left"/>
      <w:pPr>
        <w:ind w:left="1816" w:hanging="454"/>
      </w:pPr>
    </w:lvl>
    <w:lvl w:ilvl="4">
      <w:start w:val="1"/>
      <w:numFmt w:val="lowerLetter"/>
      <w:lvlText w:val="%5."/>
      <w:lvlJc w:val="left"/>
      <w:pPr>
        <w:ind w:left="2270" w:hanging="454"/>
      </w:pPr>
    </w:lvl>
    <w:lvl w:ilvl="5">
      <w:start w:val="1"/>
      <w:numFmt w:val="lowerRoman"/>
      <w:lvlText w:val="%6."/>
      <w:lvlJc w:val="right"/>
      <w:pPr>
        <w:ind w:left="2724" w:hanging="454"/>
      </w:pPr>
    </w:lvl>
    <w:lvl w:ilvl="6">
      <w:start w:val="1"/>
      <w:numFmt w:val="decimal"/>
      <w:lvlText w:val="%7."/>
      <w:lvlJc w:val="left"/>
      <w:pPr>
        <w:ind w:left="3178" w:hanging="454"/>
      </w:pPr>
    </w:lvl>
    <w:lvl w:ilvl="7">
      <w:start w:val="1"/>
      <w:numFmt w:val="lowerLetter"/>
      <w:lvlText w:val="%8."/>
      <w:lvlJc w:val="left"/>
      <w:pPr>
        <w:ind w:left="3632" w:hanging="454"/>
      </w:pPr>
    </w:lvl>
    <w:lvl w:ilvl="8">
      <w:start w:val="1"/>
      <w:numFmt w:val="lowerRoman"/>
      <w:lvlText w:val="%9."/>
      <w:lvlJc w:val="right"/>
      <w:pPr>
        <w:ind w:left="4086" w:hanging="454"/>
      </w:pPr>
    </w:lvl>
  </w:abstractNum>
  <w:abstractNum w:abstractNumId="36" w15:restartNumberingAfterBreak="0">
    <w:nsid w:val="3CEC7CB1"/>
    <w:multiLevelType w:val="hybridMultilevel"/>
    <w:tmpl w:val="4D70109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3FE03611"/>
    <w:multiLevelType w:val="hybridMultilevel"/>
    <w:tmpl w:val="F490F2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1440DB2"/>
    <w:multiLevelType w:val="hybridMultilevel"/>
    <w:tmpl w:val="20E43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3667027"/>
    <w:multiLevelType w:val="hybridMultilevel"/>
    <w:tmpl w:val="925C6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474433D4"/>
    <w:multiLevelType w:val="hybridMultilevel"/>
    <w:tmpl w:val="1828F56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499D4C5D"/>
    <w:multiLevelType w:val="hybridMultilevel"/>
    <w:tmpl w:val="AC9C6A18"/>
    <w:lvl w:ilvl="0" w:tplc="7F78A08C">
      <w:start w:val="1"/>
      <w:numFmt w:val="decimal"/>
      <w:lvlText w:val="%1."/>
      <w:lvlJc w:val="left"/>
      <w:pPr>
        <w:ind w:left="927" w:hanging="360"/>
      </w:pPr>
      <w:rPr>
        <w:rFonts w:ascii="Arial" w:eastAsia="Times New Roman" w:hAnsi="Arial" w:cs="Arial"/>
      </w:rPr>
    </w:lvl>
    <w:lvl w:ilvl="1" w:tplc="0C090019">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42" w15:restartNumberingAfterBreak="0">
    <w:nsid w:val="4BF25A9E"/>
    <w:multiLevelType w:val="hybridMultilevel"/>
    <w:tmpl w:val="7B1EADD4"/>
    <w:lvl w:ilvl="0" w:tplc="2638A76C">
      <w:start w:val="1"/>
      <w:numFmt w:val="decimal"/>
      <w:lvlText w:val="%1."/>
      <w:lvlJc w:val="left"/>
      <w:pPr>
        <w:ind w:left="363" w:hanging="360"/>
      </w:pPr>
      <w:rPr>
        <w:rFonts w:hint="default"/>
      </w:rPr>
    </w:lvl>
    <w:lvl w:ilvl="1" w:tplc="0C090019">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43" w15:restartNumberingAfterBreak="0">
    <w:nsid w:val="509662C4"/>
    <w:multiLevelType w:val="hybridMultilevel"/>
    <w:tmpl w:val="0FD82E6E"/>
    <w:lvl w:ilvl="0" w:tplc="9668B980">
      <w:start w:val="1"/>
      <w:numFmt w:val="decimal"/>
      <w:lvlText w:val="%1."/>
      <w:lvlJc w:val="left"/>
      <w:pPr>
        <w:ind w:left="502" w:hanging="360"/>
      </w:pPr>
      <w:rPr>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1BE2D05"/>
    <w:multiLevelType w:val="hybridMultilevel"/>
    <w:tmpl w:val="B5FE6E5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5" w15:restartNumberingAfterBreak="0">
    <w:nsid w:val="534A07CA"/>
    <w:multiLevelType w:val="hybridMultilevel"/>
    <w:tmpl w:val="59FA6028"/>
    <w:lvl w:ilvl="0" w:tplc="0C09000F">
      <w:start w:val="1"/>
      <w:numFmt w:val="decimal"/>
      <w:lvlText w:val="%1."/>
      <w:lvlJc w:val="left"/>
      <w:pPr>
        <w:ind w:left="1353"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5447771E"/>
    <w:multiLevelType w:val="hybridMultilevel"/>
    <w:tmpl w:val="1AAC7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61077DF"/>
    <w:multiLevelType w:val="hybridMultilevel"/>
    <w:tmpl w:val="D0CE2E6E"/>
    <w:lvl w:ilvl="0" w:tplc="7CE02818">
      <w:start w:val="1"/>
      <w:numFmt w:val="decimal"/>
      <w:lvlText w:val="%1."/>
      <w:lvlJc w:val="left"/>
      <w:pPr>
        <w:tabs>
          <w:tab w:val="num" w:pos="720"/>
        </w:tabs>
        <w:ind w:left="720" w:hanging="360"/>
      </w:pPr>
    </w:lvl>
    <w:lvl w:ilvl="1" w:tplc="A60CA2F2" w:tentative="1">
      <w:start w:val="1"/>
      <w:numFmt w:val="decimal"/>
      <w:lvlText w:val="%2."/>
      <w:lvlJc w:val="left"/>
      <w:pPr>
        <w:tabs>
          <w:tab w:val="num" w:pos="1440"/>
        </w:tabs>
        <w:ind w:left="1440" w:hanging="360"/>
      </w:pPr>
    </w:lvl>
    <w:lvl w:ilvl="2" w:tplc="CBFAC0BE" w:tentative="1">
      <w:start w:val="1"/>
      <w:numFmt w:val="decimal"/>
      <w:lvlText w:val="%3."/>
      <w:lvlJc w:val="left"/>
      <w:pPr>
        <w:tabs>
          <w:tab w:val="num" w:pos="2160"/>
        </w:tabs>
        <w:ind w:left="2160" w:hanging="360"/>
      </w:pPr>
    </w:lvl>
    <w:lvl w:ilvl="3" w:tplc="B5D4007C" w:tentative="1">
      <w:start w:val="1"/>
      <w:numFmt w:val="decimal"/>
      <w:lvlText w:val="%4."/>
      <w:lvlJc w:val="left"/>
      <w:pPr>
        <w:tabs>
          <w:tab w:val="num" w:pos="2880"/>
        </w:tabs>
        <w:ind w:left="2880" w:hanging="360"/>
      </w:pPr>
    </w:lvl>
    <w:lvl w:ilvl="4" w:tplc="ED126E2A" w:tentative="1">
      <w:start w:val="1"/>
      <w:numFmt w:val="decimal"/>
      <w:lvlText w:val="%5."/>
      <w:lvlJc w:val="left"/>
      <w:pPr>
        <w:tabs>
          <w:tab w:val="num" w:pos="3600"/>
        </w:tabs>
        <w:ind w:left="3600" w:hanging="360"/>
      </w:pPr>
    </w:lvl>
    <w:lvl w:ilvl="5" w:tplc="D9286344" w:tentative="1">
      <w:start w:val="1"/>
      <w:numFmt w:val="decimal"/>
      <w:lvlText w:val="%6."/>
      <w:lvlJc w:val="left"/>
      <w:pPr>
        <w:tabs>
          <w:tab w:val="num" w:pos="4320"/>
        </w:tabs>
        <w:ind w:left="4320" w:hanging="360"/>
      </w:pPr>
    </w:lvl>
    <w:lvl w:ilvl="6" w:tplc="8AD8FA26" w:tentative="1">
      <w:start w:val="1"/>
      <w:numFmt w:val="decimal"/>
      <w:lvlText w:val="%7."/>
      <w:lvlJc w:val="left"/>
      <w:pPr>
        <w:tabs>
          <w:tab w:val="num" w:pos="5040"/>
        </w:tabs>
        <w:ind w:left="5040" w:hanging="360"/>
      </w:pPr>
    </w:lvl>
    <w:lvl w:ilvl="7" w:tplc="183C25EC" w:tentative="1">
      <w:start w:val="1"/>
      <w:numFmt w:val="decimal"/>
      <w:lvlText w:val="%8."/>
      <w:lvlJc w:val="left"/>
      <w:pPr>
        <w:tabs>
          <w:tab w:val="num" w:pos="5760"/>
        </w:tabs>
        <w:ind w:left="5760" w:hanging="360"/>
      </w:pPr>
    </w:lvl>
    <w:lvl w:ilvl="8" w:tplc="49246214" w:tentative="1">
      <w:start w:val="1"/>
      <w:numFmt w:val="decimal"/>
      <w:lvlText w:val="%9."/>
      <w:lvlJc w:val="left"/>
      <w:pPr>
        <w:tabs>
          <w:tab w:val="num" w:pos="6480"/>
        </w:tabs>
        <w:ind w:left="6480" w:hanging="360"/>
      </w:pPr>
    </w:lvl>
  </w:abstractNum>
  <w:abstractNum w:abstractNumId="48" w15:restartNumberingAfterBreak="0">
    <w:nsid w:val="56F008BC"/>
    <w:multiLevelType w:val="hybridMultilevel"/>
    <w:tmpl w:val="524A3CA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9" w15:restartNumberingAfterBreak="0">
    <w:nsid w:val="580449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9794F7F"/>
    <w:multiLevelType w:val="hybridMultilevel"/>
    <w:tmpl w:val="CA862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1" w15:restartNumberingAfterBreak="0">
    <w:nsid w:val="5CE46AF5"/>
    <w:multiLevelType w:val="hybridMultilevel"/>
    <w:tmpl w:val="030A1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E552B12"/>
    <w:multiLevelType w:val="hybridMultilevel"/>
    <w:tmpl w:val="0B80A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0A02DA6"/>
    <w:multiLevelType w:val="hybridMultilevel"/>
    <w:tmpl w:val="FC74A06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13627E9"/>
    <w:multiLevelType w:val="hybridMultilevel"/>
    <w:tmpl w:val="8FAAE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15428E0"/>
    <w:multiLevelType w:val="hybridMultilevel"/>
    <w:tmpl w:val="817CFE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6" w15:restartNumberingAfterBreak="0">
    <w:nsid w:val="61E97027"/>
    <w:multiLevelType w:val="hybridMultilevel"/>
    <w:tmpl w:val="C950BF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63B1493F"/>
    <w:multiLevelType w:val="multilevel"/>
    <w:tmpl w:val="5DC48CE2"/>
    <w:lvl w:ilvl="0">
      <w:start w:val="4"/>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4F26741"/>
    <w:multiLevelType w:val="hybridMultilevel"/>
    <w:tmpl w:val="91AE39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9" w15:restartNumberingAfterBreak="0">
    <w:nsid w:val="6F0F5558"/>
    <w:multiLevelType w:val="hybridMultilevel"/>
    <w:tmpl w:val="C41E4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16D3DA7"/>
    <w:multiLevelType w:val="hybridMultilevel"/>
    <w:tmpl w:val="C2082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720F6756"/>
    <w:multiLevelType w:val="hybridMultilevel"/>
    <w:tmpl w:val="3CA4BFF4"/>
    <w:lvl w:ilvl="0" w:tplc="0C090019">
      <w:start w:val="1"/>
      <w:numFmt w:val="lowerLetter"/>
      <w:lvlText w:val="%1."/>
      <w:lvlJc w:val="left"/>
      <w:pPr>
        <w:ind w:left="1179" w:hanging="360"/>
      </w:pPr>
    </w:lvl>
    <w:lvl w:ilvl="1" w:tplc="0C090019" w:tentative="1">
      <w:start w:val="1"/>
      <w:numFmt w:val="lowerLetter"/>
      <w:lvlText w:val="%2."/>
      <w:lvlJc w:val="left"/>
      <w:pPr>
        <w:ind w:left="1899" w:hanging="360"/>
      </w:pPr>
    </w:lvl>
    <w:lvl w:ilvl="2" w:tplc="0C09001B" w:tentative="1">
      <w:start w:val="1"/>
      <w:numFmt w:val="lowerRoman"/>
      <w:lvlText w:val="%3."/>
      <w:lvlJc w:val="right"/>
      <w:pPr>
        <w:ind w:left="2619" w:hanging="180"/>
      </w:pPr>
    </w:lvl>
    <w:lvl w:ilvl="3" w:tplc="0C09000F" w:tentative="1">
      <w:start w:val="1"/>
      <w:numFmt w:val="decimal"/>
      <w:lvlText w:val="%4."/>
      <w:lvlJc w:val="left"/>
      <w:pPr>
        <w:ind w:left="3339" w:hanging="360"/>
      </w:pPr>
    </w:lvl>
    <w:lvl w:ilvl="4" w:tplc="0C090019" w:tentative="1">
      <w:start w:val="1"/>
      <w:numFmt w:val="lowerLetter"/>
      <w:lvlText w:val="%5."/>
      <w:lvlJc w:val="left"/>
      <w:pPr>
        <w:ind w:left="4059" w:hanging="360"/>
      </w:pPr>
    </w:lvl>
    <w:lvl w:ilvl="5" w:tplc="0C09001B" w:tentative="1">
      <w:start w:val="1"/>
      <w:numFmt w:val="lowerRoman"/>
      <w:lvlText w:val="%6."/>
      <w:lvlJc w:val="right"/>
      <w:pPr>
        <w:ind w:left="4779" w:hanging="180"/>
      </w:pPr>
    </w:lvl>
    <w:lvl w:ilvl="6" w:tplc="0C09000F" w:tentative="1">
      <w:start w:val="1"/>
      <w:numFmt w:val="decimal"/>
      <w:lvlText w:val="%7."/>
      <w:lvlJc w:val="left"/>
      <w:pPr>
        <w:ind w:left="5499" w:hanging="360"/>
      </w:pPr>
    </w:lvl>
    <w:lvl w:ilvl="7" w:tplc="0C090019" w:tentative="1">
      <w:start w:val="1"/>
      <w:numFmt w:val="lowerLetter"/>
      <w:lvlText w:val="%8."/>
      <w:lvlJc w:val="left"/>
      <w:pPr>
        <w:ind w:left="6219" w:hanging="360"/>
      </w:pPr>
    </w:lvl>
    <w:lvl w:ilvl="8" w:tplc="0C09001B" w:tentative="1">
      <w:start w:val="1"/>
      <w:numFmt w:val="lowerRoman"/>
      <w:lvlText w:val="%9."/>
      <w:lvlJc w:val="right"/>
      <w:pPr>
        <w:ind w:left="6939" w:hanging="180"/>
      </w:pPr>
    </w:lvl>
  </w:abstractNum>
  <w:abstractNum w:abstractNumId="62" w15:restartNumberingAfterBreak="0">
    <w:nsid w:val="729D4BBD"/>
    <w:multiLevelType w:val="hybridMultilevel"/>
    <w:tmpl w:val="E02446A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83436EC"/>
    <w:multiLevelType w:val="multilevel"/>
    <w:tmpl w:val="50B23B26"/>
    <w:lvl w:ilvl="0">
      <w:start w:val="1"/>
      <w:numFmt w:val="decimal"/>
      <w:lvlText w:val="%1."/>
      <w:lvlJc w:val="left"/>
      <w:pPr>
        <w:ind w:left="680" w:hanging="340"/>
      </w:pPr>
      <w:rPr>
        <w:rFonts w:hint="default"/>
      </w:rPr>
    </w:lvl>
    <w:lvl w:ilvl="1">
      <w:start w:val="1"/>
      <w:numFmt w:val="bullet"/>
      <w:lvlText w:val=""/>
      <w:lvlJc w:val="left"/>
      <w:pPr>
        <w:ind w:left="1361" w:hanging="340"/>
      </w:pPr>
      <w:rPr>
        <w:rFonts w:ascii="Symbol" w:hAnsi="Symbol" w:hint="default"/>
      </w:rPr>
    </w:lvl>
    <w:lvl w:ilvl="2">
      <w:start w:val="1"/>
      <w:numFmt w:val="lowerRoman"/>
      <w:lvlText w:val="%3."/>
      <w:lvlJc w:val="right"/>
      <w:pPr>
        <w:ind w:left="1814"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797F442E"/>
    <w:multiLevelType w:val="hybridMultilevel"/>
    <w:tmpl w:val="BF50E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ACA6BFB"/>
    <w:multiLevelType w:val="hybridMultilevel"/>
    <w:tmpl w:val="70ACFA2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6" w15:restartNumberingAfterBreak="0">
    <w:nsid w:val="7C547761"/>
    <w:multiLevelType w:val="hybridMultilevel"/>
    <w:tmpl w:val="13005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39"/>
  </w:num>
  <w:num w:numId="3">
    <w:abstractNumId w:val="43"/>
  </w:num>
  <w:num w:numId="4">
    <w:abstractNumId w:val="40"/>
  </w:num>
  <w:num w:numId="5">
    <w:abstractNumId w:val="42"/>
  </w:num>
  <w:num w:numId="6">
    <w:abstractNumId w:val="32"/>
  </w:num>
  <w:num w:numId="7">
    <w:abstractNumId w:val="37"/>
  </w:num>
  <w:num w:numId="8">
    <w:abstractNumId w:val="56"/>
  </w:num>
  <w:num w:numId="9">
    <w:abstractNumId w:val="22"/>
  </w:num>
  <w:num w:numId="10">
    <w:abstractNumId w:val="55"/>
  </w:num>
  <w:num w:numId="11">
    <w:abstractNumId w:val="52"/>
  </w:num>
  <w:num w:numId="12">
    <w:abstractNumId w:val="46"/>
  </w:num>
  <w:num w:numId="13">
    <w:abstractNumId w:val="13"/>
  </w:num>
  <w:num w:numId="14">
    <w:abstractNumId w:val="60"/>
  </w:num>
  <w:num w:numId="15">
    <w:abstractNumId w:val="51"/>
  </w:num>
  <w:num w:numId="16">
    <w:abstractNumId w:val="8"/>
  </w:num>
  <w:num w:numId="17">
    <w:abstractNumId w:val="26"/>
  </w:num>
  <w:num w:numId="18">
    <w:abstractNumId w:val="19"/>
  </w:num>
  <w:num w:numId="19">
    <w:abstractNumId w:val="12"/>
  </w:num>
  <w:num w:numId="20">
    <w:abstractNumId w:val="12"/>
  </w:num>
  <w:num w:numId="21">
    <w:abstractNumId w:val="33"/>
  </w:num>
  <w:num w:numId="22">
    <w:abstractNumId w:val="49"/>
  </w:num>
  <w:num w:numId="23">
    <w:abstractNumId w:val="34"/>
  </w:num>
  <w:num w:numId="24">
    <w:abstractNumId w:val="34"/>
  </w:num>
  <w:num w:numId="25">
    <w:abstractNumId w:val="34"/>
  </w:num>
  <w:num w:numId="26">
    <w:abstractNumId w:val="34"/>
  </w:num>
  <w:num w:numId="27">
    <w:abstractNumId w:val="6"/>
  </w:num>
  <w:num w:numId="28">
    <w:abstractNumId w:val="34"/>
  </w:num>
  <w:num w:numId="29">
    <w:abstractNumId w:val="62"/>
  </w:num>
  <w:num w:numId="30">
    <w:abstractNumId w:val="15"/>
  </w:num>
  <w:num w:numId="31">
    <w:abstractNumId w:val="57"/>
  </w:num>
  <w:num w:numId="32">
    <w:abstractNumId w:val="27"/>
  </w:num>
  <w:num w:numId="33">
    <w:abstractNumId w:val="3"/>
  </w:num>
  <w:num w:numId="34">
    <w:abstractNumId w:val="63"/>
  </w:num>
  <w:num w:numId="35">
    <w:abstractNumId w:val="58"/>
  </w:num>
  <w:num w:numId="36">
    <w:abstractNumId w:val="50"/>
  </w:num>
  <w:num w:numId="37">
    <w:abstractNumId w:val="10"/>
  </w:num>
  <w:num w:numId="38">
    <w:abstractNumId w:val="20"/>
  </w:num>
  <w:num w:numId="39">
    <w:abstractNumId w:val="31"/>
  </w:num>
  <w:num w:numId="40">
    <w:abstractNumId w:val="18"/>
  </w:num>
  <w:num w:numId="41">
    <w:abstractNumId w:val="7"/>
  </w:num>
  <w:num w:numId="42">
    <w:abstractNumId w:val="38"/>
  </w:num>
  <w:num w:numId="43">
    <w:abstractNumId w:val="16"/>
  </w:num>
  <w:num w:numId="44">
    <w:abstractNumId w:val="44"/>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29"/>
  </w:num>
  <w:num w:numId="50">
    <w:abstractNumId w:val="5"/>
  </w:num>
  <w:num w:numId="51">
    <w:abstractNumId w:val="21"/>
  </w:num>
  <w:num w:numId="52">
    <w:abstractNumId w:val="2"/>
  </w:num>
  <w:num w:numId="53">
    <w:abstractNumId w:val="36"/>
  </w:num>
  <w:num w:numId="54">
    <w:abstractNumId w:val="4"/>
  </w:num>
  <w:num w:numId="55">
    <w:abstractNumId w:val="25"/>
  </w:num>
  <w:num w:numId="56">
    <w:abstractNumId w:val="28"/>
  </w:num>
  <w:num w:numId="57">
    <w:abstractNumId w:val="53"/>
  </w:num>
  <w:num w:numId="58">
    <w:abstractNumId w:val="0"/>
  </w:num>
  <w:num w:numId="59">
    <w:abstractNumId w:val="64"/>
  </w:num>
  <w:num w:numId="60">
    <w:abstractNumId w:val="54"/>
  </w:num>
  <w:num w:numId="61">
    <w:abstractNumId w:val="65"/>
  </w:num>
  <w:num w:numId="62">
    <w:abstractNumId w:val="59"/>
  </w:num>
  <w:num w:numId="63">
    <w:abstractNumId w:val="34"/>
  </w:num>
  <w:num w:numId="64">
    <w:abstractNumId w:val="34"/>
  </w:num>
  <w:num w:numId="65">
    <w:abstractNumId w:val="34"/>
  </w:num>
  <w:num w:numId="66">
    <w:abstractNumId w:val="34"/>
  </w:num>
  <w:num w:numId="67">
    <w:abstractNumId w:val="34"/>
  </w:num>
  <w:num w:numId="68">
    <w:abstractNumId w:val="34"/>
  </w:num>
  <w:num w:numId="69">
    <w:abstractNumId w:val="34"/>
  </w:num>
  <w:num w:numId="70">
    <w:abstractNumId w:val="47"/>
  </w:num>
  <w:num w:numId="71">
    <w:abstractNumId w:val="34"/>
  </w:num>
  <w:num w:numId="72">
    <w:abstractNumId w:val="34"/>
  </w:num>
  <w:num w:numId="73">
    <w:abstractNumId w:val="34"/>
  </w:num>
  <w:num w:numId="74">
    <w:abstractNumId w:val="34"/>
  </w:num>
  <w:num w:numId="75">
    <w:abstractNumId w:val="34"/>
  </w:num>
  <w:num w:numId="76">
    <w:abstractNumId w:val="34"/>
  </w:num>
  <w:num w:numId="77">
    <w:abstractNumId w:val="34"/>
  </w:num>
  <w:num w:numId="78">
    <w:abstractNumId w:val="34"/>
  </w:num>
  <w:num w:numId="79">
    <w:abstractNumId w:val="34"/>
  </w:num>
  <w:num w:numId="80">
    <w:abstractNumId w:val="34"/>
  </w:num>
  <w:num w:numId="81">
    <w:abstractNumId w:val="1"/>
  </w:num>
  <w:num w:numId="82">
    <w:abstractNumId w:val="24"/>
  </w:num>
  <w:num w:numId="83">
    <w:abstractNumId w:val="34"/>
  </w:num>
  <w:num w:numId="84">
    <w:abstractNumId w:val="66"/>
  </w:num>
  <w:num w:numId="85">
    <w:abstractNumId w:val="34"/>
  </w:num>
  <w:num w:numId="86">
    <w:abstractNumId w:val="34"/>
  </w:num>
  <w:num w:numId="87">
    <w:abstractNumId w:val="34"/>
  </w:num>
  <w:num w:numId="88">
    <w:abstractNumId w:val="34"/>
  </w:num>
  <w:num w:numId="89">
    <w:abstractNumId w:val="9"/>
  </w:num>
  <w:num w:numId="90">
    <w:abstractNumId w:val="34"/>
  </w:num>
  <w:num w:numId="91">
    <w:abstractNumId w:val="34"/>
  </w:num>
  <w:num w:numId="92">
    <w:abstractNumId w:val="23"/>
  </w:num>
  <w:num w:numId="93">
    <w:abstractNumId w:val="11"/>
  </w:num>
  <w:num w:numId="94">
    <w:abstractNumId w:val="61"/>
  </w:num>
  <w:num w:numId="95">
    <w:abstractNumId w:val="41"/>
  </w:num>
  <w:num w:numId="96">
    <w:abstractNumId w:val="45"/>
  </w:num>
  <w:num w:numId="97">
    <w:abstractNumId w:val="1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0A"/>
    <w:rsid w:val="00000146"/>
    <w:rsid w:val="00001934"/>
    <w:rsid w:val="000052F9"/>
    <w:rsid w:val="00005633"/>
    <w:rsid w:val="00005EEF"/>
    <w:rsid w:val="00007EB6"/>
    <w:rsid w:val="000104EC"/>
    <w:rsid w:val="00010D79"/>
    <w:rsid w:val="00011E06"/>
    <w:rsid w:val="00013430"/>
    <w:rsid w:val="00013C28"/>
    <w:rsid w:val="00015C74"/>
    <w:rsid w:val="0002438F"/>
    <w:rsid w:val="00030DC0"/>
    <w:rsid w:val="000338F7"/>
    <w:rsid w:val="000352D8"/>
    <w:rsid w:val="00037577"/>
    <w:rsid w:val="000401B8"/>
    <w:rsid w:val="0004075C"/>
    <w:rsid w:val="00040D25"/>
    <w:rsid w:val="00044DAE"/>
    <w:rsid w:val="00045834"/>
    <w:rsid w:val="00047BD1"/>
    <w:rsid w:val="000509B6"/>
    <w:rsid w:val="00051260"/>
    <w:rsid w:val="00054623"/>
    <w:rsid w:val="00056EBB"/>
    <w:rsid w:val="000578B2"/>
    <w:rsid w:val="00057918"/>
    <w:rsid w:val="00064202"/>
    <w:rsid w:val="00065586"/>
    <w:rsid w:val="00065EC1"/>
    <w:rsid w:val="00066F05"/>
    <w:rsid w:val="000673E7"/>
    <w:rsid w:val="000674D3"/>
    <w:rsid w:val="000700F7"/>
    <w:rsid w:val="00070AF4"/>
    <w:rsid w:val="00072EE2"/>
    <w:rsid w:val="00076A5D"/>
    <w:rsid w:val="00077F44"/>
    <w:rsid w:val="000826AA"/>
    <w:rsid w:val="0008785E"/>
    <w:rsid w:val="000900B0"/>
    <w:rsid w:val="00094598"/>
    <w:rsid w:val="000A0C64"/>
    <w:rsid w:val="000A431B"/>
    <w:rsid w:val="000A574A"/>
    <w:rsid w:val="000A59B7"/>
    <w:rsid w:val="000A5E77"/>
    <w:rsid w:val="000A73D2"/>
    <w:rsid w:val="000B45F2"/>
    <w:rsid w:val="000B4851"/>
    <w:rsid w:val="000B795F"/>
    <w:rsid w:val="000C1345"/>
    <w:rsid w:val="000C192D"/>
    <w:rsid w:val="000C1D85"/>
    <w:rsid w:val="000C36D2"/>
    <w:rsid w:val="000C3FE9"/>
    <w:rsid w:val="000C546A"/>
    <w:rsid w:val="000C56BA"/>
    <w:rsid w:val="000C5D0D"/>
    <w:rsid w:val="000C7232"/>
    <w:rsid w:val="000D54A0"/>
    <w:rsid w:val="000D5573"/>
    <w:rsid w:val="000D6096"/>
    <w:rsid w:val="000E05AC"/>
    <w:rsid w:val="000E3D3A"/>
    <w:rsid w:val="000E3F26"/>
    <w:rsid w:val="000E52B9"/>
    <w:rsid w:val="000E665B"/>
    <w:rsid w:val="000E71BC"/>
    <w:rsid w:val="000E7486"/>
    <w:rsid w:val="000F29F3"/>
    <w:rsid w:val="000F37CE"/>
    <w:rsid w:val="000F3C9A"/>
    <w:rsid w:val="001049D8"/>
    <w:rsid w:val="00110445"/>
    <w:rsid w:val="00114362"/>
    <w:rsid w:val="00115193"/>
    <w:rsid w:val="0011766F"/>
    <w:rsid w:val="00121AFA"/>
    <w:rsid w:val="0012267C"/>
    <w:rsid w:val="00122D2B"/>
    <w:rsid w:val="001254AF"/>
    <w:rsid w:val="00125906"/>
    <w:rsid w:val="0013013B"/>
    <w:rsid w:val="0013191A"/>
    <w:rsid w:val="001354B4"/>
    <w:rsid w:val="001358C6"/>
    <w:rsid w:val="001366F9"/>
    <w:rsid w:val="001371EF"/>
    <w:rsid w:val="001414B2"/>
    <w:rsid w:val="00141BDA"/>
    <w:rsid w:val="001448F7"/>
    <w:rsid w:val="001462F0"/>
    <w:rsid w:val="00146F85"/>
    <w:rsid w:val="0015010D"/>
    <w:rsid w:val="001512D2"/>
    <w:rsid w:val="0015427A"/>
    <w:rsid w:val="00156197"/>
    <w:rsid w:val="00156B29"/>
    <w:rsid w:val="00163840"/>
    <w:rsid w:val="00165258"/>
    <w:rsid w:val="001663D6"/>
    <w:rsid w:val="00166EC4"/>
    <w:rsid w:val="00167BF7"/>
    <w:rsid w:val="00176862"/>
    <w:rsid w:val="00180AF7"/>
    <w:rsid w:val="001831DE"/>
    <w:rsid w:val="001911DE"/>
    <w:rsid w:val="00192520"/>
    <w:rsid w:val="00197E8A"/>
    <w:rsid w:val="00197F47"/>
    <w:rsid w:val="001A0C8F"/>
    <w:rsid w:val="001A29D1"/>
    <w:rsid w:val="001A39C9"/>
    <w:rsid w:val="001A7723"/>
    <w:rsid w:val="001B01F9"/>
    <w:rsid w:val="001B04AF"/>
    <w:rsid w:val="001B0CEE"/>
    <w:rsid w:val="001B21CF"/>
    <w:rsid w:val="001B29B8"/>
    <w:rsid w:val="001B7640"/>
    <w:rsid w:val="001B7FE8"/>
    <w:rsid w:val="001D1DBD"/>
    <w:rsid w:val="001D3445"/>
    <w:rsid w:val="001D344F"/>
    <w:rsid w:val="001D5E10"/>
    <w:rsid w:val="001D7A0A"/>
    <w:rsid w:val="001E2ACB"/>
    <w:rsid w:val="001E49EB"/>
    <w:rsid w:val="001E4F0B"/>
    <w:rsid w:val="001E630D"/>
    <w:rsid w:val="001E6D17"/>
    <w:rsid w:val="001F1B3E"/>
    <w:rsid w:val="0020202B"/>
    <w:rsid w:val="00203214"/>
    <w:rsid w:val="002037DF"/>
    <w:rsid w:val="00204B18"/>
    <w:rsid w:val="00204B3A"/>
    <w:rsid w:val="0020714F"/>
    <w:rsid w:val="0020751F"/>
    <w:rsid w:val="0020775E"/>
    <w:rsid w:val="002143D6"/>
    <w:rsid w:val="002147DC"/>
    <w:rsid w:val="0021769A"/>
    <w:rsid w:val="002214CA"/>
    <w:rsid w:val="00222ED7"/>
    <w:rsid w:val="002256D3"/>
    <w:rsid w:val="00226246"/>
    <w:rsid w:val="00226A07"/>
    <w:rsid w:val="0022723C"/>
    <w:rsid w:val="00227D89"/>
    <w:rsid w:val="002320A7"/>
    <w:rsid w:val="002327A5"/>
    <w:rsid w:val="0023790F"/>
    <w:rsid w:val="0024045E"/>
    <w:rsid w:val="00241164"/>
    <w:rsid w:val="0024136A"/>
    <w:rsid w:val="002443CC"/>
    <w:rsid w:val="00251DDC"/>
    <w:rsid w:val="0025346B"/>
    <w:rsid w:val="00253AED"/>
    <w:rsid w:val="002560AF"/>
    <w:rsid w:val="00257E3F"/>
    <w:rsid w:val="00261E54"/>
    <w:rsid w:val="00263CEF"/>
    <w:rsid w:val="002726CB"/>
    <w:rsid w:val="00274EDE"/>
    <w:rsid w:val="00275C66"/>
    <w:rsid w:val="00276F61"/>
    <w:rsid w:val="00284009"/>
    <w:rsid w:val="00284DC9"/>
    <w:rsid w:val="0028791D"/>
    <w:rsid w:val="002879C1"/>
    <w:rsid w:val="002971DD"/>
    <w:rsid w:val="00297773"/>
    <w:rsid w:val="002A5E51"/>
    <w:rsid w:val="002A6B70"/>
    <w:rsid w:val="002B2204"/>
    <w:rsid w:val="002B3A01"/>
    <w:rsid w:val="002B480D"/>
    <w:rsid w:val="002B5C5E"/>
    <w:rsid w:val="002B74A7"/>
    <w:rsid w:val="002C1E62"/>
    <w:rsid w:val="002C20C2"/>
    <w:rsid w:val="002C210A"/>
    <w:rsid w:val="002C3476"/>
    <w:rsid w:val="002C4272"/>
    <w:rsid w:val="002C6C55"/>
    <w:rsid w:val="002D7D0B"/>
    <w:rsid w:val="002E0678"/>
    <w:rsid w:val="002E1441"/>
    <w:rsid w:val="002E23A3"/>
    <w:rsid w:val="002E2A21"/>
    <w:rsid w:val="002E2EAC"/>
    <w:rsid w:val="002E73C6"/>
    <w:rsid w:val="002E7D35"/>
    <w:rsid w:val="002F3FB4"/>
    <w:rsid w:val="002F45AB"/>
    <w:rsid w:val="002F54B3"/>
    <w:rsid w:val="002F58D6"/>
    <w:rsid w:val="00307889"/>
    <w:rsid w:val="00315A47"/>
    <w:rsid w:val="00315F36"/>
    <w:rsid w:val="00317655"/>
    <w:rsid w:val="00317CCC"/>
    <w:rsid w:val="0032033C"/>
    <w:rsid w:val="003232A2"/>
    <w:rsid w:val="0032501B"/>
    <w:rsid w:val="0033057B"/>
    <w:rsid w:val="00330B21"/>
    <w:rsid w:val="00332036"/>
    <w:rsid w:val="00333426"/>
    <w:rsid w:val="003342FA"/>
    <w:rsid w:val="00334F64"/>
    <w:rsid w:val="00335E20"/>
    <w:rsid w:val="00337E34"/>
    <w:rsid w:val="00340D2A"/>
    <w:rsid w:val="0034170F"/>
    <w:rsid w:val="00342726"/>
    <w:rsid w:val="00354D62"/>
    <w:rsid w:val="0036011B"/>
    <w:rsid w:val="0036103F"/>
    <w:rsid w:val="00364210"/>
    <w:rsid w:val="00364CD8"/>
    <w:rsid w:val="003656A6"/>
    <w:rsid w:val="00367ECA"/>
    <w:rsid w:val="00371DD6"/>
    <w:rsid w:val="003725FE"/>
    <w:rsid w:val="00374722"/>
    <w:rsid w:val="003755AD"/>
    <w:rsid w:val="00377270"/>
    <w:rsid w:val="00377E71"/>
    <w:rsid w:val="00380831"/>
    <w:rsid w:val="00384249"/>
    <w:rsid w:val="00385E5D"/>
    <w:rsid w:val="0039285F"/>
    <w:rsid w:val="003961F6"/>
    <w:rsid w:val="003A017F"/>
    <w:rsid w:val="003A1629"/>
    <w:rsid w:val="003A2A2F"/>
    <w:rsid w:val="003A487E"/>
    <w:rsid w:val="003A5641"/>
    <w:rsid w:val="003A7702"/>
    <w:rsid w:val="003A789A"/>
    <w:rsid w:val="003A7A63"/>
    <w:rsid w:val="003B1011"/>
    <w:rsid w:val="003B1079"/>
    <w:rsid w:val="003B1B02"/>
    <w:rsid w:val="003B1D34"/>
    <w:rsid w:val="003B2BB8"/>
    <w:rsid w:val="003B3CE9"/>
    <w:rsid w:val="003B4B9F"/>
    <w:rsid w:val="003B4FAC"/>
    <w:rsid w:val="003B6707"/>
    <w:rsid w:val="003B6A0F"/>
    <w:rsid w:val="003C30E9"/>
    <w:rsid w:val="003C3246"/>
    <w:rsid w:val="003C52CD"/>
    <w:rsid w:val="003C6432"/>
    <w:rsid w:val="003D0C27"/>
    <w:rsid w:val="003D261D"/>
    <w:rsid w:val="003D26DC"/>
    <w:rsid w:val="003D34FF"/>
    <w:rsid w:val="003D3A79"/>
    <w:rsid w:val="003D3F72"/>
    <w:rsid w:val="003D6035"/>
    <w:rsid w:val="003E0941"/>
    <w:rsid w:val="003E16A9"/>
    <w:rsid w:val="003E647F"/>
    <w:rsid w:val="003E73F8"/>
    <w:rsid w:val="003E7E9C"/>
    <w:rsid w:val="003F0E61"/>
    <w:rsid w:val="003F30CB"/>
    <w:rsid w:val="003F4D5F"/>
    <w:rsid w:val="00401839"/>
    <w:rsid w:val="004035B4"/>
    <w:rsid w:val="0040686F"/>
    <w:rsid w:val="00410B60"/>
    <w:rsid w:val="00415847"/>
    <w:rsid w:val="00416B0C"/>
    <w:rsid w:val="00420EF4"/>
    <w:rsid w:val="00422980"/>
    <w:rsid w:val="0044157A"/>
    <w:rsid w:val="004416D0"/>
    <w:rsid w:val="00443B14"/>
    <w:rsid w:val="00443D76"/>
    <w:rsid w:val="0044444A"/>
    <w:rsid w:val="00445159"/>
    <w:rsid w:val="00455655"/>
    <w:rsid w:val="0046083F"/>
    <w:rsid w:val="0046141C"/>
    <w:rsid w:val="004641A4"/>
    <w:rsid w:val="00466439"/>
    <w:rsid w:val="0047242A"/>
    <w:rsid w:val="004738AD"/>
    <w:rsid w:val="00475107"/>
    <w:rsid w:val="0047599B"/>
    <w:rsid w:val="0047709B"/>
    <w:rsid w:val="004774E1"/>
    <w:rsid w:val="00482165"/>
    <w:rsid w:val="00483440"/>
    <w:rsid w:val="004917FA"/>
    <w:rsid w:val="004935C3"/>
    <w:rsid w:val="00493EAD"/>
    <w:rsid w:val="004A3163"/>
    <w:rsid w:val="004B50D6"/>
    <w:rsid w:val="004B5243"/>
    <w:rsid w:val="004B54CA"/>
    <w:rsid w:val="004B56C7"/>
    <w:rsid w:val="004B5C18"/>
    <w:rsid w:val="004B60F5"/>
    <w:rsid w:val="004B6EA1"/>
    <w:rsid w:val="004C0C72"/>
    <w:rsid w:val="004C4A17"/>
    <w:rsid w:val="004D1465"/>
    <w:rsid w:val="004D27D1"/>
    <w:rsid w:val="004D3734"/>
    <w:rsid w:val="004D4E67"/>
    <w:rsid w:val="004D764F"/>
    <w:rsid w:val="004D7BFA"/>
    <w:rsid w:val="004E25B0"/>
    <w:rsid w:val="004E288E"/>
    <w:rsid w:val="004E5CBF"/>
    <w:rsid w:val="004E5CCA"/>
    <w:rsid w:val="004E766E"/>
    <w:rsid w:val="004F019E"/>
    <w:rsid w:val="004F2485"/>
    <w:rsid w:val="004F3F38"/>
    <w:rsid w:val="004F61E5"/>
    <w:rsid w:val="004F6229"/>
    <w:rsid w:val="004F63C9"/>
    <w:rsid w:val="004F6B44"/>
    <w:rsid w:val="005008D5"/>
    <w:rsid w:val="005009D8"/>
    <w:rsid w:val="00503333"/>
    <w:rsid w:val="00506149"/>
    <w:rsid w:val="00506C9D"/>
    <w:rsid w:val="0051089A"/>
    <w:rsid w:val="00511C2B"/>
    <w:rsid w:val="00513CA5"/>
    <w:rsid w:val="00516604"/>
    <w:rsid w:val="00520302"/>
    <w:rsid w:val="00520CCE"/>
    <w:rsid w:val="00521A02"/>
    <w:rsid w:val="005221C7"/>
    <w:rsid w:val="00524666"/>
    <w:rsid w:val="005264BF"/>
    <w:rsid w:val="0053224D"/>
    <w:rsid w:val="00536D12"/>
    <w:rsid w:val="00536DE0"/>
    <w:rsid w:val="00537088"/>
    <w:rsid w:val="005501D0"/>
    <w:rsid w:val="00553AD0"/>
    <w:rsid w:val="005552CD"/>
    <w:rsid w:val="00560A1B"/>
    <w:rsid w:val="0056307D"/>
    <w:rsid w:val="00563975"/>
    <w:rsid w:val="00564B5D"/>
    <w:rsid w:val="005650F1"/>
    <w:rsid w:val="0057004A"/>
    <w:rsid w:val="00574E93"/>
    <w:rsid w:val="00575820"/>
    <w:rsid w:val="0058111D"/>
    <w:rsid w:val="00581FBD"/>
    <w:rsid w:val="005868EA"/>
    <w:rsid w:val="0058785C"/>
    <w:rsid w:val="005940D6"/>
    <w:rsid w:val="00594EC5"/>
    <w:rsid w:val="00595039"/>
    <w:rsid w:val="00597E33"/>
    <w:rsid w:val="005A1482"/>
    <w:rsid w:val="005A5415"/>
    <w:rsid w:val="005A6316"/>
    <w:rsid w:val="005A66AE"/>
    <w:rsid w:val="005B6174"/>
    <w:rsid w:val="005B6C32"/>
    <w:rsid w:val="005C0BA4"/>
    <w:rsid w:val="005C15F3"/>
    <w:rsid w:val="005C3A34"/>
    <w:rsid w:val="005C3AA9"/>
    <w:rsid w:val="005C3CFF"/>
    <w:rsid w:val="005C4485"/>
    <w:rsid w:val="005C4784"/>
    <w:rsid w:val="005C5230"/>
    <w:rsid w:val="005C73DA"/>
    <w:rsid w:val="005D563F"/>
    <w:rsid w:val="005E5754"/>
    <w:rsid w:val="005E679D"/>
    <w:rsid w:val="005E76F7"/>
    <w:rsid w:val="005F1340"/>
    <w:rsid w:val="005F1C61"/>
    <w:rsid w:val="005F2C67"/>
    <w:rsid w:val="005F359A"/>
    <w:rsid w:val="005F49C1"/>
    <w:rsid w:val="005F64B1"/>
    <w:rsid w:val="00600BCA"/>
    <w:rsid w:val="00601EA6"/>
    <w:rsid w:val="006032CC"/>
    <w:rsid w:val="0060474B"/>
    <w:rsid w:val="00606263"/>
    <w:rsid w:val="006079FD"/>
    <w:rsid w:val="00610F29"/>
    <w:rsid w:val="00611C3B"/>
    <w:rsid w:val="0061409A"/>
    <w:rsid w:val="00616F6B"/>
    <w:rsid w:val="0062138E"/>
    <w:rsid w:val="00621FC5"/>
    <w:rsid w:val="00622B57"/>
    <w:rsid w:val="006303B2"/>
    <w:rsid w:val="006320A1"/>
    <w:rsid w:val="00637B02"/>
    <w:rsid w:val="00640AE4"/>
    <w:rsid w:val="00645766"/>
    <w:rsid w:val="00645924"/>
    <w:rsid w:val="00660882"/>
    <w:rsid w:val="00663372"/>
    <w:rsid w:val="00663A25"/>
    <w:rsid w:val="00663B1B"/>
    <w:rsid w:val="00663D73"/>
    <w:rsid w:val="0066425D"/>
    <w:rsid w:val="0066432F"/>
    <w:rsid w:val="006713D2"/>
    <w:rsid w:val="006750D0"/>
    <w:rsid w:val="00675404"/>
    <w:rsid w:val="00676286"/>
    <w:rsid w:val="00676A33"/>
    <w:rsid w:val="006774B3"/>
    <w:rsid w:val="0068224D"/>
    <w:rsid w:val="00683A84"/>
    <w:rsid w:val="00690C36"/>
    <w:rsid w:val="00691409"/>
    <w:rsid w:val="00692916"/>
    <w:rsid w:val="00692CEC"/>
    <w:rsid w:val="00693114"/>
    <w:rsid w:val="0069616C"/>
    <w:rsid w:val="00696C6E"/>
    <w:rsid w:val="006A274B"/>
    <w:rsid w:val="006A4CE7"/>
    <w:rsid w:val="006A7FAE"/>
    <w:rsid w:val="006B2FC3"/>
    <w:rsid w:val="006B4181"/>
    <w:rsid w:val="006B4D74"/>
    <w:rsid w:val="006B6259"/>
    <w:rsid w:val="006B62E6"/>
    <w:rsid w:val="006C16A1"/>
    <w:rsid w:val="006C3AD3"/>
    <w:rsid w:val="006C552F"/>
    <w:rsid w:val="006C6CC5"/>
    <w:rsid w:val="006D1AC1"/>
    <w:rsid w:val="006D5A2C"/>
    <w:rsid w:val="006E3372"/>
    <w:rsid w:val="006E40D2"/>
    <w:rsid w:val="006F004D"/>
    <w:rsid w:val="006F0ADD"/>
    <w:rsid w:val="006F0BA4"/>
    <w:rsid w:val="006F1F56"/>
    <w:rsid w:val="006F4A14"/>
    <w:rsid w:val="006F5A10"/>
    <w:rsid w:val="006F66C1"/>
    <w:rsid w:val="0070175B"/>
    <w:rsid w:val="00701E37"/>
    <w:rsid w:val="0070391D"/>
    <w:rsid w:val="0070432A"/>
    <w:rsid w:val="007049C2"/>
    <w:rsid w:val="00711A61"/>
    <w:rsid w:val="007126A0"/>
    <w:rsid w:val="00713CC7"/>
    <w:rsid w:val="00715A51"/>
    <w:rsid w:val="00717C4F"/>
    <w:rsid w:val="00717E15"/>
    <w:rsid w:val="007235E0"/>
    <w:rsid w:val="007238A9"/>
    <w:rsid w:val="00730829"/>
    <w:rsid w:val="00730DC9"/>
    <w:rsid w:val="00732DF6"/>
    <w:rsid w:val="00733246"/>
    <w:rsid w:val="00734549"/>
    <w:rsid w:val="00740F66"/>
    <w:rsid w:val="007419FB"/>
    <w:rsid w:val="0074242C"/>
    <w:rsid w:val="007448BD"/>
    <w:rsid w:val="00745E09"/>
    <w:rsid w:val="00751ACD"/>
    <w:rsid w:val="00755228"/>
    <w:rsid w:val="00755B17"/>
    <w:rsid w:val="00755B2E"/>
    <w:rsid w:val="00755C0E"/>
    <w:rsid w:val="007568C9"/>
    <w:rsid w:val="00757A07"/>
    <w:rsid w:val="00765447"/>
    <w:rsid w:val="007659F8"/>
    <w:rsid w:val="007663D7"/>
    <w:rsid w:val="00766580"/>
    <w:rsid w:val="007704BD"/>
    <w:rsid w:val="00770C4B"/>
    <w:rsid w:val="007710F7"/>
    <w:rsid w:val="00773A30"/>
    <w:rsid w:val="00775C35"/>
    <w:rsid w:val="007773E6"/>
    <w:rsid w:val="00780B8E"/>
    <w:rsid w:val="00783BB7"/>
    <w:rsid w:val="007847C8"/>
    <w:rsid w:val="00785261"/>
    <w:rsid w:val="00786AA1"/>
    <w:rsid w:val="007A0497"/>
    <w:rsid w:val="007A1290"/>
    <w:rsid w:val="007A2EE4"/>
    <w:rsid w:val="007A4508"/>
    <w:rsid w:val="007A72FC"/>
    <w:rsid w:val="007B0256"/>
    <w:rsid w:val="007B0E2B"/>
    <w:rsid w:val="007B5145"/>
    <w:rsid w:val="007B52F2"/>
    <w:rsid w:val="007B7DCD"/>
    <w:rsid w:val="007C1B05"/>
    <w:rsid w:val="007C1F83"/>
    <w:rsid w:val="007D0876"/>
    <w:rsid w:val="007D441C"/>
    <w:rsid w:val="007D5C06"/>
    <w:rsid w:val="007E27B7"/>
    <w:rsid w:val="007E3C67"/>
    <w:rsid w:val="007E5618"/>
    <w:rsid w:val="007E6F88"/>
    <w:rsid w:val="007F072A"/>
    <w:rsid w:val="007F092C"/>
    <w:rsid w:val="007F4A82"/>
    <w:rsid w:val="007F5EDC"/>
    <w:rsid w:val="00801B79"/>
    <w:rsid w:val="008022C8"/>
    <w:rsid w:val="00805719"/>
    <w:rsid w:val="00807121"/>
    <w:rsid w:val="00807521"/>
    <w:rsid w:val="00807779"/>
    <w:rsid w:val="00811B5B"/>
    <w:rsid w:val="0081206D"/>
    <w:rsid w:val="00814BD9"/>
    <w:rsid w:val="008150E8"/>
    <w:rsid w:val="008169E9"/>
    <w:rsid w:val="00820160"/>
    <w:rsid w:val="008219C6"/>
    <w:rsid w:val="00822B63"/>
    <w:rsid w:val="00823AF8"/>
    <w:rsid w:val="00825242"/>
    <w:rsid w:val="00826A3A"/>
    <w:rsid w:val="0082777D"/>
    <w:rsid w:val="00827A94"/>
    <w:rsid w:val="0083177B"/>
    <w:rsid w:val="008358E3"/>
    <w:rsid w:val="00841316"/>
    <w:rsid w:val="00843663"/>
    <w:rsid w:val="00845EA8"/>
    <w:rsid w:val="00846159"/>
    <w:rsid w:val="0084637B"/>
    <w:rsid w:val="00846DB9"/>
    <w:rsid w:val="00847A2C"/>
    <w:rsid w:val="008527AE"/>
    <w:rsid w:val="00852F71"/>
    <w:rsid w:val="00856D11"/>
    <w:rsid w:val="00856EFC"/>
    <w:rsid w:val="00857BC3"/>
    <w:rsid w:val="00861735"/>
    <w:rsid w:val="00862ACC"/>
    <w:rsid w:val="00866B8B"/>
    <w:rsid w:val="00872562"/>
    <w:rsid w:val="00874DFE"/>
    <w:rsid w:val="00874F44"/>
    <w:rsid w:val="008763B8"/>
    <w:rsid w:val="00877F2F"/>
    <w:rsid w:val="00881F68"/>
    <w:rsid w:val="0088306B"/>
    <w:rsid w:val="008830E3"/>
    <w:rsid w:val="00884334"/>
    <w:rsid w:val="00884FDF"/>
    <w:rsid w:val="00887E6D"/>
    <w:rsid w:val="008900B1"/>
    <w:rsid w:val="00892928"/>
    <w:rsid w:val="00894811"/>
    <w:rsid w:val="00895588"/>
    <w:rsid w:val="0089677E"/>
    <w:rsid w:val="008A0583"/>
    <w:rsid w:val="008A0CCF"/>
    <w:rsid w:val="008A476B"/>
    <w:rsid w:val="008A5F40"/>
    <w:rsid w:val="008A616E"/>
    <w:rsid w:val="008B0271"/>
    <w:rsid w:val="008B4EA3"/>
    <w:rsid w:val="008B5A22"/>
    <w:rsid w:val="008B6776"/>
    <w:rsid w:val="008B6AC4"/>
    <w:rsid w:val="008B7828"/>
    <w:rsid w:val="008C1997"/>
    <w:rsid w:val="008C24CD"/>
    <w:rsid w:val="008C5986"/>
    <w:rsid w:val="008C5BE2"/>
    <w:rsid w:val="008D4D46"/>
    <w:rsid w:val="008D6665"/>
    <w:rsid w:val="008D7358"/>
    <w:rsid w:val="008E1B30"/>
    <w:rsid w:val="008E1D45"/>
    <w:rsid w:val="008E2EA5"/>
    <w:rsid w:val="008E2EB8"/>
    <w:rsid w:val="008E353F"/>
    <w:rsid w:val="008E3719"/>
    <w:rsid w:val="008E3A0D"/>
    <w:rsid w:val="008E65A5"/>
    <w:rsid w:val="008E6CA2"/>
    <w:rsid w:val="008E73C9"/>
    <w:rsid w:val="008E75B7"/>
    <w:rsid w:val="008F07E6"/>
    <w:rsid w:val="008F20A7"/>
    <w:rsid w:val="008F51F2"/>
    <w:rsid w:val="008F575C"/>
    <w:rsid w:val="008F5E32"/>
    <w:rsid w:val="008F6573"/>
    <w:rsid w:val="008F7CE5"/>
    <w:rsid w:val="009023DF"/>
    <w:rsid w:val="00902613"/>
    <w:rsid w:val="00904B88"/>
    <w:rsid w:val="00904F2D"/>
    <w:rsid w:val="00904FE1"/>
    <w:rsid w:val="00907A87"/>
    <w:rsid w:val="009136B8"/>
    <w:rsid w:val="00920839"/>
    <w:rsid w:val="00921563"/>
    <w:rsid w:val="00922577"/>
    <w:rsid w:val="009225F0"/>
    <w:rsid w:val="00924C5C"/>
    <w:rsid w:val="00925F05"/>
    <w:rsid w:val="00927CE8"/>
    <w:rsid w:val="00930092"/>
    <w:rsid w:val="00930C43"/>
    <w:rsid w:val="00932A99"/>
    <w:rsid w:val="00932B6B"/>
    <w:rsid w:val="0093462C"/>
    <w:rsid w:val="00935325"/>
    <w:rsid w:val="009366C0"/>
    <w:rsid w:val="00936A9A"/>
    <w:rsid w:val="00937550"/>
    <w:rsid w:val="00941798"/>
    <w:rsid w:val="00941B4D"/>
    <w:rsid w:val="0094323E"/>
    <w:rsid w:val="009434C8"/>
    <w:rsid w:val="00944F85"/>
    <w:rsid w:val="00945EA0"/>
    <w:rsid w:val="00946DE9"/>
    <w:rsid w:val="00946F33"/>
    <w:rsid w:val="00951B3A"/>
    <w:rsid w:val="00953795"/>
    <w:rsid w:val="00956CD1"/>
    <w:rsid w:val="00957D0D"/>
    <w:rsid w:val="00962DAB"/>
    <w:rsid w:val="0096369C"/>
    <w:rsid w:val="00974089"/>
    <w:rsid w:val="00974189"/>
    <w:rsid w:val="00975627"/>
    <w:rsid w:val="009778D0"/>
    <w:rsid w:val="00980157"/>
    <w:rsid w:val="0098015E"/>
    <w:rsid w:val="0098145B"/>
    <w:rsid w:val="00981904"/>
    <w:rsid w:val="00986020"/>
    <w:rsid w:val="0098675F"/>
    <w:rsid w:val="00991272"/>
    <w:rsid w:val="0099451F"/>
    <w:rsid w:val="00995D0B"/>
    <w:rsid w:val="00995D44"/>
    <w:rsid w:val="00996258"/>
    <w:rsid w:val="009A3DE6"/>
    <w:rsid w:val="009C4BE2"/>
    <w:rsid w:val="009C55E6"/>
    <w:rsid w:val="009D0DFC"/>
    <w:rsid w:val="009D1BDB"/>
    <w:rsid w:val="009D497C"/>
    <w:rsid w:val="009D6912"/>
    <w:rsid w:val="009D69AA"/>
    <w:rsid w:val="009D6CCB"/>
    <w:rsid w:val="009D7CB4"/>
    <w:rsid w:val="009E1256"/>
    <w:rsid w:val="009E67F7"/>
    <w:rsid w:val="009E6DB8"/>
    <w:rsid w:val="009F1BD5"/>
    <w:rsid w:val="009F36DE"/>
    <w:rsid w:val="009F4470"/>
    <w:rsid w:val="009F501D"/>
    <w:rsid w:val="009F5430"/>
    <w:rsid w:val="009F5915"/>
    <w:rsid w:val="009F7968"/>
    <w:rsid w:val="00A01AF5"/>
    <w:rsid w:val="00A02E7A"/>
    <w:rsid w:val="00A04200"/>
    <w:rsid w:val="00A07134"/>
    <w:rsid w:val="00A129D0"/>
    <w:rsid w:val="00A12B67"/>
    <w:rsid w:val="00A16479"/>
    <w:rsid w:val="00A171F6"/>
    <w:rsid w:val="00A22547"/>
    <w:rsid w:val="00A235FD"/>
    <w:rsid w:val="00A23C80"/>
    <w:rsid w:val="00A24A27"/>
    <w:rsid w:val="00A24A8B"/>
    <w:rsid w:val="00A24BDA"/>
    <w:rsid w:val="00A2683C"/>
    <w:rsid w:val="00A26E91"/>
    <w:rsid w:val="00A336AD"/>
    <w:rsid w:val="00A361B2"/>
    <w:rsid w:val="00A402B3"/>
    <w:rsid w:val="00A41592"/>
    <w:rsid w:val="00A4192C"/>
    <w:rsid w:val="00A42E0E"/>
    <w:rsid w:val="00A44015"/>
    <w:rsid w:val="00A44CED"/>
    <w:rsid w:val="00A5190A"/>
    <w:rsid w:val="00A54B86"/>
    <w:rsid w:val="00A550C7"/>
    <w:rsid w:val="00A55F50"/>
    <w:rsid w:val="00A56B5C"/>
    <w:rsid w:val="00A60A6E"/>
    <w:rsid w:val="00A61985"/>
    <w:rsid w:val="00A625EB"/>
    <w:rsid w:val="00A6269B"/>
    <w:rsid w:val="00A635E7"/>
    <w:rsid w:val="00A637E2"/>
    <w:rsid w:val="00A640A7"/>
    <w:rsid w:val="00A663C3"/>
    <w:rsid w:val="00A67E97"/>
    <w:rsid w:val="00A73846"/>
    <w:rsid w:val="00A75849"/>
    <w:rsid w:val="00A75BE4"/>
    <w:rsid w:val="00A80A06"/>
    <w:rsid w:val="00A81660"/>
    <w:rsid w:val="00A83464"/>
    <w:rsid w:val="00A83541"/>
    <w:rsid w:val="00A84DD4"/>
    <w:rsid w:val="00A84F4D"/>
    <w:rsid w:val="00A86BDD"/>
    <w:rsid w:val="00A872DA"/>
    <w:rsid w:val="00A87EA5"/>
    <w:rsid w:val="00A91004"/>
    <w:rsid w:val="00A92E36"/>
    <w:rsid w:val="00A9382C"/>
    <w:rsid w:val="00A961AF"/>
    <w:rsid w:val="00A96729"/>
    <w:rsid w:val="00A97D19"/>
    <w:rsid w:val="00AA1341"/>
    <w:rsid w:val="00AA4A0F"/>
    <w:rsid w:val="00AA5E26"/>
    <w:rsid w:val="00AB0922"/>
    <w:rsid w:val="00AB210D"/>
    <w:rsid w:val="00AB24CB"/>
    <w:rsid w:val="00AB4B15"/>
    <w:rsid w:val="00AB6291"/>
    <w:rsid w:val="00AB6B64"/>
    <w:rsid w:val="00AC0B36"/>
    <w:rsid w:val="00AC538A"/>
    <w:rsid w:val="00AC78C6"/>
    <w:rsid w:val="00AC7B85"/>
    <w:rsid w:val="00AD17A6"/>
    <w:rsid w:val="00AD2B24"/>
    <w:rsid w:val="00AD5329"/>
    <w:rsid w:val="00AD70AF"/>
    <w:rsid w:val="00AE454A"/>
    <w:rsid w:val="00AE523A"/>
    <w:rsid w:val="00AF00BC"/>
    <w:rsid w:val="00AF050B"/>
    <w:rsid w:val="00AF0EAB"/>
    <w:rsid w:val="00AF50BE"/>
    <w:rsid w:val="00AF5B8D"/>
    <w:rsid w:val="00AF6EBF"/>
    <w:rsid w:val="00B04ED8"/>
    <w:rsid w:val="00B054C6"/>
    <w:rsid w:val="00B06BB7"/>
    <w:rsid w:val="00B07DB9"/>
    <w:rsid w:val="00B138F4"/>
    <w:rsid w:val="00B16B8B"/>
    <w:rsid w:val="00B24A56"/>
    <w:rsid w:val="00B25CAC"/>
    <w:rsid w:val="00B26A74"/>
    <w:rsid w:val="00B27631"/>
    <w:rsid w:val="00B323DF"/>
    <w:rsid w:val="00B34FD8"/>
    <w:rsid w:val="00B35A65"/>
    <w:rsid w:val="00B41A75"/>
    <w:rsid w:val="00B43854"/>
    <w:rsid w:val="00B439E9"/>
    <w:rsid w:val="00B455B8"/>
    <w:rsid w:val="00B50F33"/>
    <w:rsid w:val="00B5267A"/>
    <w:rsid w:val="00B532A1"/>
    <w:rsid w:val="00B53385"/>
    <w:rsid w:val="00B56034"/>
    <w:rsid w:val="00B56B5E"/>
    <w:rsid w:val="00B631F2"/>
    <w:rsid w:val="00B637D4"/>
    <w:rsid w:val="00B65792"/>
    <w:rsid w:val="00B67C35"/>
    <w:rsid w:val="00B67EC9"/>
    <w:rsid w:val="00B75B24"/>
    <w:rsid w:val="00B80A30"/>
    <w:rsid w:val="00B8223D"/>
    <w:rsid w:val="00B8377E"/>
    <w:rsid w:val="00B83EC2"/>
    <w:rsid w:val="00B864F3"/>
    <w:rsid w:val="00B87ADC"/>
    <w:rsid w:val="00B91E3E"/>
    <w:rsid w:val="00B92C7F"/>
    <w:rsid w:val="00B93BD4"/>
    <w:rsid w:val="00B93F01"/>
    <w:rsid w:val="00B940FC"/>
    <w:rsid w:val="00B95D3D"/>
    <w:rsid w:val="00B95D8C"/>
    <w:rsid w:val="00B973E3"/>
    <w:rsid w:val="00BA1E44"/>
    <w:rsid w:val="00BA2DB9"/>
    <w:rsid w:val="00BA58C1"/>
    <w:rsid w:val="00BA6113"/>
    <w:rsid w:val="00BA64DD"/>
    <w:rsid w:val="00BB0D01"/>
    <w:rsid w:val="00BB4853"/>
    <w:rsid w:val="00BC010F"/>
    <w:rsid w:val="00BC0E96"/>
    <w:rsid w:val="00BC1006"/>
    <w:rsid w:val="00BC1010"/>
    <w:rsid w:val="00BC17BD"/>
    <w:rsid w:val="00BC17EA"/>
    <w:rsid w:val="00BC1F30"/>
    <w:rsid w:val="00BC42C9"/>
    <w:rsid w:val="00BC5EC5"/>
    <w:rsid w:val="00BD3B6A"/>
    <w:rsid w:val="00BD493F"/>
    <w:rsid w:val="00BD4BD4"/>
    <w:rsid w:val="00BD546C"/>
    <w:rsid w:val="00BD561C"/>
    <w:rsid w:val="00BD655A"/>
    <w:rsid w:val="00BE1314"/>
    <w:rsid w:val="00BE2A30"/>
    <w:rsid w:val="00BE40A0"/>
    <w:rsid w:val="00BE4990"/>
    <w:rsid w:val="00BE7148"/>
    <w:rsid w:val="00BF38C2"/>
    <w:rsid w:val="00BF3C24"/>
    <w:rsid w:val="00BF3DA9"/>
    <w:rsid w:val="00BF463B"/>
    <w:rsid w:val="00BF548D"/>
    <w:rsid w:val="00BF5682"/>
    <w:rsid w:val="00BF5E01"/>
    <w:rsid w:val="00BF7A3D"/>
    <w:rsid w:val="00C01467"/>
    <w:rsid w:val="00C03189"/>
    <w:rsid w:val="00C07A3B"/>
    <w:rsid w:val="00C1087B"/>
    <w:rsid w:val="00C14EA2"/>
    <w:rsid w:val="00C156E7"/>
    <w:rsid w:val="00C21A3B"/>
    <w:rsid w:val="00C2282C"/>
    <w:rsid w:val="00C229A3"/>
    <w:rsid w:val="00C245AC"/>
    <w:rsid w:val="00C2610E"/>
    <w:rsid w:val="00C279A8"/>
    <w:rsid w:val="00C27BFC"/>
    <w:rsid w:val="00C31064"/>
    <w:rsid w:val="00C31683"/>
    <w:rsid w:val="00C32284"/>
    <w:rsid w:val="00C33135"/>
    <w:rsid w:val="00C3379A"/>
    <w:rsid w:val="00C341D2"/>
    <w:rsid w:val="00C3601D"/>
    <w:rsid w:val="00C406C8"/>
    <w:rsid w:val="00C447D8"/>
    <w:rsid w:val="00C470C0"/>
    <w:rsid w:val="00C47977"/>
    <w:rsid w:val="00C50DC0"/>
    <w:rsid w:val="00C51555"/>
    <w:rsid w:val="00C52C96"/>
    <w:rsid w:val="00C55267"/>
    <w:rsid w:val="00C56DAE"/>
    <w:rsid w:val="00C57EF8"/>
    <w:rsid w:val="00C61443"/>
    <w:rsid w:val="00C6152C"/>
    <w:rsid w:val="00C62FA0"/>
    <w:rsid w:val="00C65720"/>
    <w:rsid w:val="00C6700E"/>
    <w:rsid w:val="00C7188A"/>
    <w:rsid w:val="00C72307"/>
    <w:rsid w:val="00C75A44"/>
    <w:rsid w:val="00C75D33"/>
    <w:rsid w:val="00C80198"/>
    <w:rsid w:val="00C8086B"/>
    <w:rsid w:val="00C83805"/>
    <w:rsid w:val="00C8460E"/>
    <w:rsid w:val="00C84DD7"/>
    <w:rsid w:val="00C85D92"/>
    <w:rsid w:val="00C94604"/>
    <w:rsid w:val="00C94AD2"/>
    <w:rsid w:val="00C953FC"/>
    <w:rsid w:val="00C95709"/>
    <w:rsid w:val="00C96470"/>
    <w:rsid w:val="00CA04A2"/>
    <w:rsid w:val="00CA1E60"/>
    <w:rsid w:val="00CA212D"/>
    <w:rsid w:val="00CA3480"/>
    <w:rsid w:val="00CA381D"/>
    <w:rsid w:val="00CA463D"/>
    <w:rsid w:val="00CA5F49"/>
    <w:rsid w:val="00CB2685"/>
    <w:rsid w:val="00CB514E"/>
    <w:rsid w:val="00CB5863"/>
    <w:rsid w:val="00CC0B77"/>
    <w:rsid w:val="00CC1E0C"/>
    <w:rsid w:val="00CC616A"/>
    <w:rsid w:val="00CC6307"/>
    <w:rsid w:val="00CC6F4A"/>
    <w:rsid w:val="00CD13FB"/>
    <w:rsid w:val="00CD53FF"/>
    <w:rsid w:val="00CE0DA2"/>
    <w:rsid w:val="00CE1ED8"/>
    <w:rsid w:val="00CE2111"/>
    <w:rsid w:val="00CE4EC3"/>
    <w:rsid w:val="00CF134F"/>
    <w:rsid w:val="00D000A4"/>
    <w:rsid w:val="00D02173"/>
    <w:rsid w:val="00D02A65"/>
    <w:rsid w:val="00D03D1F"/>
    <w:rsid w:val="00D03D5E"/>
    <w:rsid w:val="00D0541A"/>
    <w:rsid w:val="00D10491"/>
    <w:rsid w:val="00D11E3E"/>
    <w:rsid w:val="00D15E34"/>
    <w:rsid w:val="00D20E34"/>
    <w:rsid w:val="00D24B97"/>
    <w:rsid w:val="00D30A90"/>
    <w:rsid w:val="00D31C76"/>
    <w:rsid w:val="00D404AB"/>
    <w:rsid w:val="00D41DE6"/>
    <w:rsid w:val="00D43B09"/>
    <w:rsid w:val="00D43C69"/>
    <w:rsid w:val="00D4423D"/>
    <w:rsid w:val="00D445E3"/>
    <w:rsid w:val="00D45E74"/>
    <w:rsid w:val="00D55F5B"/>
    <w:rsid w:val="00D56730"/>
    <w:rsid w:val="00D60DBF"/>
    <w:rsid w:val="00D65259"/>
    <w:rsid w:val="00D70A3F"/>
    <w:rsid w:val="00D71DFA"/>
    <w:rsid w:val="00D7260D"/>
    <w:rsid w:val="00D726C6"/>
    <w:rsid w:val="00D72748"/>
    <w:rsid w:val="00D7389E"/>
    <w:rsid w:val="00D73F84"/>
    <w:rsid w:val="00D7550A"/>
    <w:rsid w:val="00D77F48"/>
    <w:rsid w:val="00D8191D"/>
    <w:rsid w:val="00D81BAE"/>
    <w:rsid w:val="00D82A91"/>
    <w:rsid w:val="00D84C95"/>
    <w:rsid w:val="00D8604C"/>
    <w:rsid w:val="00D86DB3"/>
    <w:rsid w:val="00D872D5"/>
    <w:rsid w:val="00D901E2"/>
    <w:rsid w:val="00D9036F"/>
    <w:rsid w:val="00D9061A"/>
    <w:rsid w:val="00D90D09"/>
    <w:rsid w:val="00D90D29"/>
    <w:rsid w:val="00D92840"/>
    <w:rsid w:val="00D92FE5"/>
    <w:rsid w:val="00D93157"/>
    <w:rsid w:val="00D9719A"/>
    <w:rsid w:val="00D97C19"/>
    <w:rsid w:val="00DA08DF"/>
    <w:rsid w:val="00DA243A"/>
    <w:rsid w:val="00DA3284"/>
    <w:rsid w:val="00DA7E39"/>
    <w:rsid w:val="00DB2DDF"/>
    <w:rsid w:val="00DB2E20"/>
    <w:rsid w:val="00DB53E5"/>
    <w:rsid w:val="00DB7FA6"/>
    <w:rsid w:val="00DC0658"/>
    <w:rsid w:val="00DC3E14"/>
    <w:rsid w:val="00DC457F"/>
    <w:rsid w:val="00DC68FF"/>
    <w:rsid w:val="00DD078A"/>
    <w:rsid w:val="00DD5341"/>
    <w:rsid w:val="00DD757D"/>
    <w:rsid w:val="00DD78B0"/>
    <w:rsid w:val="00DE33E4"/>
    <w:rsid w:val="00DE6710"/>
    <w:rsid w:val="00DF00DA"/>
    <w:rsid w:val="00DF09F0"/>
    <w:rsid w:val="00E00018"/>
    <w:rsid w:val="00E014EF"/>
    <w:rsid w:val="00E019B4"/>
    <w:rsid w:val="00E0308B"/>
    <w:rsid w:val="00E0344F"/>
    <w:rsid w:val="00E05CDB"/>
    <w:rsid w:val="00E06DAA"/>
    <w:rsid w:val="00E12617"/>
    <w:rsid w:val="00E172FC"/>
    <w:rsid w:val="00E1791E"/>
    <w:rsid w:val="00E204AA"/>
    <w:rsid w:val="00E21D93"/>
    <w:rsid w:val="00E2271B"/>
    <w:rsid w:val="00E22762"/>
    <w:rsid w:val="00E24207"/>
    <w:rsid w:val="00E25439"/>
    <w:rsid w:val="00E25777"/>
    <w:rsid w:val="00E273E4"/>
    <w:rsid w:val="00E31DC8"/>
    <w:rsid w:val="00E31DFE"/>
    <w:rsid w:val="00E35F19"/>
    <w:rsid w:val="00E40314"/>
    <w:rsid w:val="00E415EF"/>
    <w:rsid w:val="00E416F5"/>
    <w:rsid w:val="00E41893"/>
    <w:rsid w:val="00E419D2"/>
    <w:rsid w:val="00E43B81"/>
    <w:rsid w:val="00E44518"/>
    <w:rsid w:val="00E44D40"/>
    <w:rsid w:val="00E4584E"/>
    <w:rsid w:val="00E64030"/>
    <w:rsid w:val="00E6664E"/>
    <w:rsid w:val="00E67A3E"/>
    <w:rsid w:val="00E71475"/>
    <w:rsid w:val="00E74CBF"/>
    <w:rsid w:val="00E753AC"/>
    <w:rsid w:val="00E7663F"/>
    <w:rsid w:val="00E7769C"/>
    <w:rsid w:val="00E811FE"/>
    <w:rsid w:val="00E81B03"/>
    <w:rsid w:val="00E8726D"/>
    <w:rsid w:val="00E96ECD"/>
    <w:rsid w:val="00E96F9D"/>
    <w:rsid w:val="00E974F9"/>
    <w:rsid w:val="00E9775A"/>
    <w:rsid w:val="00EA0D4B"/>
    <w:rsid w:val="00EA51A9"/>
    <w:rsid w:val="00EA5460"/>
    <w:rsid w:val="00EA5633"/>
    <w:rsid w:val="00EB4BD8"/>
    <w:rsid w:val="00EC0B76"/>
    <w:rsid w:val="00EC4525"/>
    <w:rsid w:val="00EC5A03"/>
    <w:rsid w:val="00ED0E44"/>
    <w:rsid w:val="00ED36E6"/>
    <w:rsid w:val="00ED4582"/>
    <w:rsid w:val="00ED5B90"/>
    <w:rsid w:val="00ED6D0B"/>
    <w:rsid w:val="00ED744A"/>
    <w:rsid w:val="00EE2197"/>
    <w:rsid w:val="00EE3F58"/>
    <w:rsid w:val="00EE65F2"/>
    <w:rsid w:val="00EE6EC2"/>
    <w:rsid w:val="00EF24BB"/>
    <w:rsid w:val="00EF6937"/>
    <w:rsid w:val="00EF72E6"/>
    <w:rsid w:val="00F00A65"/>
    <w:rsid w:val="00F0350F"/>
    <w:rsid w:val="00F04204"/>
    <w:rsid w:val="00F04C9B"/>
    <w:rsid w:val="00F07556"/>
    <w:rsid w:val="00F1064D"/>
    <w:rsid w:val="00F200E4"/>
    <w:rsid w:val="00F200F2"/>
    <w:rsid w:val="00F201AE"/>
    <w:rsid w:val="00F23F8B"/>
    <w:rsid w:val="00F2602C"/>
    <w:rsid w:val="00F3063F"/>
    <w:rsid w:val="00F30AFE"/>
    <w:rsid w:val="00F30F9E"/>
    <w:rsid w:val="00F3173B"/>
    <w:rsid w:val="00F34388"/>
    <w:rsid w:val="00F35993"/>
    <w:rsid w:val="00F3717F"/>
    <w:rsid w:val="00F37BDA"/>
    <w:rsid w:val="00F41CE8"/>
    <w:rsid w:val="00F43E5F"/>
    <w:rsid w:val="00F46C66"/>
    <w:rsid w:val="00F51CDD"/>
    <w:rsid w:val="00F530C9"/>
    <w:rsid w:val="00F538E2"/>
    <w:rsid w:val="00F54098"/>
    <w:rsid w:val="00F55799"/>
    <w:rsid w:val="00F574A4"/>
    <w:rsid w:val="00F61210"/>
    <w:rsid w:val="00F62330"/>
    <w:rsid w:val="00F64B58"/>
    <w:rsid w:val="00F65508"/>
    <w:rsid w:val="00F71F8B"/>
    <w:rsid w:val="00F7457D"/>
    <w:rsid w:val="00F74785"/>
    <w:rsid w:val="00F7654F"/>
    <w:rsid w:val="00F90977"/>
    <w:rsid w:val="00F91EFC"/>
    <w:rsid w:val="00F950BC"/>
    <w:rsid w:val="00FA036B"/>
    <w:rsid w:val="00FA0F6A"/>
    <w:rsid w:val="00FA171B"/>
    <w:rsid w:val="00FA21BB"/>
    <w:rsid w:val="00FA26F0"/>
    <w:rsid w:val="00FA4020"/>
    <w:rsid w:val="00FA4176"/>
    <w:rsid w:val="00FA6E57"/>
    <w:rsid w:val="00FB1AB6"/>
    <w:rsid w:val="00FB46E3"/>
    <w:rsid w:val="00FB6CD4"/>
    <w:rsid w:val="00FC2734"/>
    <w:rsid w:val="00FC436E"/>
    <w:rsid w:val="00FC5269"/>
    <w:rsid w:val="00FC5458"/>
    <w:rsid w:val="00FD099A"/>
    <w:rsid w:val="00FD174E"/>
    <w:rsid w:val="00FD17E7"/>
    <w:rsid w:val="00FD1B35"/>
    <w:rsid w:val="00FD5010"/>
    <w:rsid w:val="00FE13A5"/>
    <w:rsid w:val="00FE2831"/>
    <w:rsid w:val="00FE47C2"/>
    <w:rsid w:val="00FE521D"/>
    <w:rsid w:val="00FF08CF"/>
    <w:rsid w:val="00FF2223"/>
    <w:rsid w:val="00FF364D"/>
    <w:rsid w:val="00FF77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8960C1"/>
  <w15:chartTrackingRefBased/>
  <w15:docId w15:val="{C8311292-EFA7-4144-92A7-7410A30E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2"/>
    <w:qFormat/>
    <w:rsid w:val="007B0E2B"/>
    <w:pPr>
      <w:spacing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8C24CD"/>
    <w:pPr>
      <w:keepNext/>
      <w:numPr>
        <w:numId w:val="23"/>
      </w:numPr>
      <w:spacing w:before="200" w:after="120"/>
      <w:outlineLvl w:val="1"/>
    </w:pPr>
    <w:rPr>
      <w:rFonts w:eastAsiaTheme="majorEastAsia" w:cstheme="majorBidi"/>
      <w:b/>
      <w:bCs/>
      <w:sz w:val="26"/>
      <w:szCs w:val="26"/>
    </w:rPr>
  </w:style>
  <w:style w:type="paragraph" w:styleId="Heading3">
    <w:name w:val="heading 3"/>
    <w:basedOn w:val="Heading2"/>
    <w:next w:val="Normal"/>
    <w:link w:val="Heading3Char"/>
    <w:uiPriority w:val="9"/>
    <w:unhideWhenUsed/>
    <w:qFormat/>
    <w:rsid w:val="007B0E2B"/>
    <w:pPr>
      <w:numPr>
        <w:ilvl w:val="1"/>
      </w:numPr>
      <w:outlineLvl w:val="2"/>
    </w:pPr>
    <w:rPr>
      <w:sz w:val="24"/>
    </w:rPr>
  </w:style>
  <w:style w:type="paragraph" w:styleId="Heading4">
    <w:name w:val="heading 4"/>
    <w:basedOn w:val="Heading3"/>
    <w:next w:val="Normal"/>
    <w:link w:val="Heading4Char"/>
    <w:uiPriority w:val="9"/>
    <w:unhideWhenUsed/>
    <w:qFormat/>
    <w:rsid w:val="008B7828"/>
    <w:pPr>
      <w:numPr>
        <w:ilvl w:val="2"/>
      </w:numPr>
      <w:outlineLvl w:val="3"/>
    </w:pPr>
    <w:rPr>
      <w:rFonts w:cs="Arial"/>
      <w:sz w:val="22"/>
    </w:rPr>
  </w:style>
  <w:style w:type="paragraph" w:styleId="Heading5">
    <w:name w:val="heading 5"/>
    <w:basedOn w:val="Normal"/>
    <w:next w:val="Normal"/>
    <w:link w:val="Heading5Char"/>
    <w:uiPriority w:val="9"/>
    <w:unhideWhenUsed/>
    <w:qFormat/>
    <w:rsid w:val="00167BF7"/>
    <w:pPr>
      <w:spacing w:before="200" w:after="0"/>
      <w:outlineLvl w:val="4"/>
    </w:pPr>
    <w:rPr>
      <w:rFonts w:eastAsiaTheme="majorEastAsia" w:cstheme="majorBidi"/>
      <w:b/>
      <w:bCs/>
      <w:i/>
      <w:color w:val="005A70"/>
      <w:sz w:val="24"/>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B0E2B"/>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8C24CD"/>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7B0E2B"/>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8B7828"/>
    <w:rPr>
      <w:rFonts w:ascii="Arial" w:eastAsiaTheme="majorEastAsia" w:hAnsi="Arial" w:cs="Arial"/>
      <w:b/>
      <w:bCs/>
      <w:szCs w:val="26"/>
    </w:rPr>
  </w:style>
  <w:style w:type="character" w:customStyle="1" w:styleId="Heading5Char">
    <w:name w:val="Heading 5 Char"/>
    <w:basedOn w:val="DefaultParagraphFont"/>
    <w:link w:val="Heading5"/>
    <w:uiPriority w:val="9"/>
    <w:rsid w:val="00167BF7"/>
    <w:rPr>
      <w:rFonts w:ascii="Arial" w:eastAsiaTheme="majorEastAsia" w:hAnsi="Arial" w:cstheme="majorBidi"/>
      <w:b/>
      <w:bCs/>
      <w:i/>
      <w:color w:val="005A70"/>
      <w:sz w:val="24"/>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bullet point list,Bullet point,List Paragraph111,L,F5 List Paragraph,Dot pt,CV text,Table text,Medium Grid 1 - Accent 21,Numbered Paragraph,List Paragraph2,NFP GP Bulleted List,FooterTex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ListBullet">
    <w:name w:val="List Bullet"/>
    <w:basedOn w:val="Normal"/>
    <w:uiPriority w:val="1"/>
    <w:qFormat/>
    <w:rsid w:val="00D7550A"/>
    <w:pPr>
      <w:numPr>
        <w:numId w:val="1"/>
      </w:numPr>
      <w:tabs>
        <w:tab w:val="left" w:pos="170"/>
      </w:tabs>
      <w:spacing w:before="60" w:after="120" w:line="280" w:lineRule="atLeast"/>
    </w:pPr>
    <w:rPr>
      <w:rFonts w:eastAsia="Times New Roman" w:cs="Times New Roman"/>
      <w:spacing w:val="4"/>
      <w:sz w:val="24"/>
      <w:szCs w:val="24"/>
      <w:lang w:eastAsia="en-AU"/>
    </w:rPr>
  </w:style>
  <w:style w:type="table" w:customStyle="1" w:styleId="DSSDatatablestyle">
    <w:name w:val="DSS Data table style"/>
    <w:basedOn w:val="TableNormal"/>
    <w:uiPriority w:val="99"/>
    <w:rsid w:val="00D7550A"/>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Bodytext-Indent">
    <w:name w:val="Body text - Indent"/>
    <w:basedOn w:val="Normal"/>
    <w:next w:val="BodyText"/>
    <w:qFormat/>
    <w:rsid w:val="00D7550A"/>
    <w:pPr>
      <w:spacing w:before="240" w:after="0" w:line="240" w:lineRule="auto"/>
    </w:pPr>
    <w:rPr>
      <w:rFonts w:ascii="Calibri" w:eastAsia="Calibri" w:hAnsi="Calibri" w:cs="Calibri"/>
      <w:bCs/>
      <w:color w:val="000000"/>
      <w:sz w:val="24"/>
      <w:szCs w:val="24"/>
    </w:rPr>
  </w:style>
  <w:style w:type="paragraph" w:styleId="BodyText">
    <w:name w:val="Body Text"/>
    <w:basedOn w:val="Normal"/>
    <w:link w:val="BodyTextChar"/>
    <w:uiPriority w:val="99"/>
    <w:unhideWhenUsed/>
    <w:rsid w:val="00D7550A"/>
    <w:pPr>
      <w:spacing w:before="120" w:after="120" w:line="280" w:lineRule="atLeast"/>
    </w:pPr>
    <w:rPr>
      <w:rFonts w:eastAsia="Times New Roman" w:cs="Times New Roman"/>
      <w:spacing w:val="4"/>
      <w:sz w:val="24"/>
      <w:szCs w:val="24"/>
      <w:lang w:eastAsia="en-AU"/>
    </w:rPr>
  </w:style>
  <w:style w:type="character" w:customStyle="1" w:styleId="BodyTextChar">
    <w:name w:val="Body Text Char"/>
    <w:basedOn w:val="DefaultParagraphFont"/>
    <w:link w:val="BodyText"/>
    <w:uiPriority w:val="99"/>
    <w:rsid w:val="00D7550A"/>
    <w:rPr>
      <w:rFonts w:ascii="Arial" w:eastAsia="Times New Roman" w:hAnsi="Arial" w:cs="Times New Roman"/>
      <w:spacing w:val="4"/>
      <w:sz w:val="24"/>
      <w:szCs w:val="24"/>
      <w:lang w:eastAsia="en-AU"/>
    </w:rPr>
  </w:style>
  <w:style w:type="character" w:styleId="CommentReference">
    <w:name w:val="annotation reference"/>
    <w:basedOn w:val="DefaultParagraphFont"/>
    <w:uiPriority w:val="99"/>
    <w:unhideWhenUsed/>
    <w:rsid w:val="009D6CCB"/>
    <w:rPr>
      <w:sz w:val="16"/>
      <w:szCs w:val="16"/>
    </w:rPr>
  </w:style>
  <w:style w:type="paragraph" w:styleId="CommentText">
    <w:name w:val="annotation text"/>
    <w:basedOn w:val="Normal"/>
    <w:link w:val="CommentTextChar"/>
    <w:uiPriority w:val="99"/>
    <w:unhideWhenUsed/>
    <w:rsid w:val="009D6CCB"/>
    <w:pPr>
      <w:spacing w:line="240" w:lineRule="auto"/>
    </w:pPr>
    <w:rPr>
      <w:sz w:val="20"/>
      <w:szCs w:val="20"/>
    </w:rPr>
  </w:style>
  <w:style w:type="character" w:customStyle="1" w:styleId="CommentTextChar">
    <w:name w:val="Comment Text Char"/>
    <w:basedOn w:val="DefaultParagraphFont"/>
    <w:link w:val="CommentText"/>
    <w:uiPriority w:val="99"/>
    <w:rsid w:val="009D6CC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D6CCB"/>
    <w:rPr>
      <w:b/>
      <w:bCs/>
    </w:rPr>
  </w:style>
  <w:style w:type="character" w:customStyle="1" w:styleId="CommentSubjectChar">
    <w:name w:val="Comment Subject Char"/>
    <w:basedOn w:val="CommentTextChar"/>
    <w:link w:val="CommentSubject"/>
    <w:uiPriority w:val="99"/>
    <w:semiHidden/>
    <w:rsid w:val="009D6CCB"/>
    <w:rPr>
      <w:rFonts w:ascii="Arial" w:hAnsi="Arial"/>
      <w:b/>
      <w:bCs/>
      <w:sz w:val="20"/>
      <w:szCs w:val="20"/>
    </w:rPr>
  </w:style>
  <w:style w:type="paragraph" w:styleId="BalloonText">
    <w:name w:val="Balloon Text"/>
    <w:basedOn w:val="Normal"/>
    <w:link w:val="BalloonTextChar"/>
    <w:uiPriority w:val="99"/>
    <w:semiHidden/>
    <w:unhideWhenUsed/>
    <w:rsid w:val="009D6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CCB"/>
    <w:rPr>
      <w:rFonts w:ascii="Segoe UI" w:hAnsi="Segoe UI" w:cs="Segoe UI"/>
      <w:sz w:val="18"/>
      <w:szCs w:val="18"/>
    </w:rPr>
  </w:style>
  <w:style w:type="paragraph" w:styleId="FootnoteText">
    <w:name w:val="footnote text"/>
    <w:basedOn w:val="Normal"/>
    <w:link w:val="FootnoteTextChar"/>
    <w:uiPriority w:val="99"/>
    <w:semiHidden/>
    <w:unhideWhenUsed/>
    <w:rsid w:val="002B5C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5C5E"/>
    <w:rPr>
      <w:rFonts w:ascii="Arial" w:hAnsi="Arial"/>
      <w:sz w:val="20"/>
      <w:szCs w:val="20"/>
    </w:rPr>
  </w:style>
  <w:style w:type="character" w:styleId="FootnoteReference">
    <w:name w:val="footnote reference"/>
    <w:basedOn w:val="DefaultParagraphFont"/>
    <w:uiPriority w:val="99"/>
    <w:semiHidden/>
    <w:unhideWhenUsed/>
    <w:rsid w:val="002B5C5E"/>
    <w:rPr>
      <w:vertAlign w:val="superscript"/>
    </w:rPr>
  </w:style>
  <w:style w:type="character" w:styleId="Hyperlink">
    <w:name w:val="Hyperlink"/>
    <w:basedOn w:val="DefaultParagraphFont"/>
    <w:uiPriority w:val="99"/>
    <w:unhideWhenUsed/>
    <w:rsid w:val="002B5C5E"/>
    <w:rPr>
      <w:color w:val="0000FF" w:themeColor="hyperlink"/>
      <w:u w:val="single"/>
    </w:rPr>
  </w:style>
  <w:style w:type="paragraph" w:styleId="Revision">
    <w:name w:val="Revision"/>
    <w:hidden/>
    <w:uiPriority w:val="99"/>
    <w:semiHidden/>
    <w:rsid w:val="002971DD"/>
    <w:pPr>
      <w:spacing w:after="0" w:line="240" w:lineRule="auto"/>
    </w:pPr>
    <w:rPr>
      <w:rFonts w:ascii="Arial" w:hAnsi="Arial"/>
    </w:rPr>
  </w:style>
  <w:style w:type="character" w:styleId="FollowedHyperlink">
    <w:name w:val="FollowedHyperlink"/>
    <w:basedOn w:val="DefaultParagraphFont"/>
    <w:uiPriority w:val="99"/>
    <w:semiHidden/>
    <w:unhideWhenUsed/>
    <w:rsid w:val="00015C74"/>
    <w:rPr>
      <w:color w:val="800080" w:themeColor="followedHyperlink"/>
      <w:u w:val="single"/>
    </w:rPr>
  </w:style>
  <w:style w:type="paragraph" w:styleId="NormalWeb">
    <w:name w:val="Normal (Web)"/>
    <w:basedOn w:val="Normal"/>
    <w:uiPriority w:val="99"/>
    <w:semiHidden/>
    <w:unhideWhenUsed/>
    <w:rsid w:val="00A96729"/>
    <w:pPr>
      <w:spacing w:before="100" w:beforeAutospacing="1" w:after="100" w:afterAutospacing="1" w:line="240" w:lineRule="auto"/>
    </w:pPr>
    <w:rPr>
      <w:rFonts w:ascii="Times New Roman" w:hAnsi="Times New Roman" w:cs="Times New Roman"/>
      <w:sz w:val="24"/>
      <w:szCs w:val="24"/>
      <w:lang w:eastAsia="en-AU"/>
    </w:rPr>
  </w:style>
  <w:style w:type="table" w:customStyle="1" w:styleId="CGHTableBanded1">
    <w:name w:val="CGH Table Banded1"/>
    <w:basedOn w:val="TableNormal"/>
    <w:uiPriority w:val="99"/>
    <w:rsid w:val="00827A94"/>
    <w:pPr>
      <w:spacing w:after="0" w:line="240" w:lineRule="auto"/>
    </w:pPr>
    <w:rPr>
      <w:rFonts w:cs="Times New Roman"/>
      <w:sz w:val="20"/>
      <w:szCs w:val="20"/>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EECE1"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9BBB59" w:themeFill="accent3"/>
      </w:tcPr>
    </w:tblStylePr>
    <w:tblStylePr w:type="band1Horz">
      <w:tblPr/>
      <w:tcPr>
        <w:shd w:val="clear" w:color="auto" w:fill="1F497D" w:themeFill="text2"/>
      </w:tcPr>
    </w:tblStylePr>
  </w:style>
  <w:style w:type="character" w:customStyle="1" w:styleId="TableContentChar">
    <w:name w:val="Table Content Char"/>
    <w:basedOn w:val="DefaultParagraphFont"/>
    <w:link w:val="TableContent"/>
    <w:locked/>
    <w:rsid w:val="00D726C6"/>
    <w:rPr>
      <w:rFonts w:ascii="Arial" w:hAnsi="Arial" w:cs="Arial"/>
      <w:color w:val="000000" w:themeColor="text1"/>
    </w:rPr>
  </w:style>
  <w:style w:type="paragraph" w:customStyle="1" w:styleId="TableContent">
    <w:name w:val="Table Content"/>
    <w:basedOn w:val="Normal"/>
    <w:link w:val="TableContentChar"/>
    <w:qFormat/>
    <w:rsid w:val="00D726C6"/>
    <w:pPr>
      <w:spacing w:before="60" w:after="60" w:line="288" w:lineRule="auto"/>
    </w:pPr>
    <w:rPr>
      <w:rFonts w:cs="Arial"/>
      <w:color w:val="000000" w:themeColor="text1"/>
    </w:rPr>
  </w:style>
  <w:style w:type="table" w:customStyle="1" w:styleId="TableStyle">
    <w:name w:val="Table Style"/>
    <w:basedOn w:val="TableNormal"/>
    <w:uiPriority w:val="99"/>
    <w:rsid w:val="00D726C6"/>
    <w:pPr>
      <w:spacing w:after="0" w:line="288" w:lineRule="auto"/>
    </w:pPr>
    <w:rPr>
      <w:rFonts w:ascii="Arial" w:hAnsi="Arial" w:cs="Arial"/>
      <w:sz w:val="24"/>
      <w:szCs w:val="24"/>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blStylePr w:type="firstRow">
      <w:rPr>
        <w:b/>
      </w:rPr>
      <w:tblPr/>
      <w:tcPr>
        <w:shd w:val="clear" w:color="auto" w:fill="D9D9D9" w:themeFill="background1" w:themeFillShade="D9"/>
      </w:tcPr>
    </w:tblStylePr>
  </w:style>
  <w:style w:type="character" w:customStyle="1" w:styleId="ListParagraphChar">
    <w:name w:val="List Paragraph Char"/>
    <w:aliases w:val="Recommendation Char,List Paragraph1 Char,List Paragraph11 Char,bullet point list Char,Bullet point Char,List Paragraph111 Char,L Char,F5 List Paragraph Char,Dot pt Char,CV text Char,Table text Char,Medium Grid 1 - Accent 21 Char"/>
    <w:basedOn w:val="DefaultParagraphFont"/>
    <w:link w:val="ListParagraph"/>
    <w:uiPriority w:val="34"/>
    <w:locked/>
    <w:rsid w:val="001D5E10"/>
    <w:rPr>
      <w:rFonts w:ascii="Arial" w:hAnsi="Arial"/>
    </w:rPr>
  </w:style>
  <w:style w:type="paragraph" w:customStyle="1" w:styleId="Default">
    <w:name w:val="Default"/>
    <w:rsid w:val="003B4B9F"/>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D02173"/>
    <w:pPr>
      <w:spacing w:line="211" w:lineRule="atLeast"/>
    </w:pPr>
    <w:rPr>
      <w:rFonts w:ascii="Nunito ExtraLight" w:hAnsi="Nunito ExtraLight" w:cstheme="minorBidi"/>
      <w:color w:val="auto"/>
    </w:rPr>
  </w:style>
  <w:style w:type="character" w:customStyle="1" w:styleId="A4">
    <w:name w:val="A4"/>
    <w:uiPriority w:val="99"/>
    <w:rsid w:val="00D02173"/>
    <w:rPr>
      <w:rFonts w:cs="Nunito ExtraLight"/>
      <w:color w:val="000000"/>
      <w:sz w:val="21"/>
      <w:szCs w:val="21"/>
      <w:u w:val="single"/>
    </w:rPr>
  </w:style>
  <w:style w:type="paragraph" w:customStyle="1" w:styleId="Pa15">
    <w:name w:val="Pa15"/>
    <w:basedOn w:val="Default"/>
    <w:next w:val="Default"/>
    <w:uiPriority w:val="99"/>
    <w:rsid w:val="00D02173"/>
    <w:pPr>
      <w:spacing w:line="281" w:lineRule="atLeast"/>
    </w:pPr>
    <w:rPr>
      <w:rFonts w:ascii="Lora SemiBold" w:hAnsi="Lora SemiBol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4027">
      <w:bodyDiv w:val="1"/>
      <w:marLeft w:val="0"/>
      <w:marRight w:val="0"/>
      <w:marTop w:val="0"/>
      <w:marBottom w:val="0"/>
      <w:divBdr>
        <w:top w:val="none" w:sz="0" w:space="0" w:color="auto"/>
        <w:left w:val="none" w:sz="0" w:space="0" w:color="auto"/>
        <w:bottom w:val="none" w:sz="0" w:space="0" w:color="auto"/>
        <w:right w:val="none" w:sz="0" w:space="0" w:color="auto"/>
      </w:divBdr>
    </w:div>
    <w:div w:id="196894838">
      <w:bodyDiv w:val="1"/>
      <w:marLeft w:val="0"/>
      <w:marRight w:val="0"/>
      <w:marTop w:val="0"/>
      <w:marBottom w:val="0"/>
      <w:divBdr>
        <w:top w:val="none" w:sz="0" w:space="0" w:color="auto"/>
        <w:left w:val="none" w:sz="0" w:space="0" w:color="auto"/>
        <w:bottom w:val="none" w:sz="0" w:space="0" w:color="auto"/>
        <w:right w:val="none" w:sz="0" w:space="0" w:color="auto"/>
      </w:divBdr>
    </w:div>
    <w:div w:id="309791515">
      <w:bodyDiv w:val="1"/>
      <w:marLeft w:val="0"/>
      <w:marRight w:val="0"/>
      <w:marTop w:val="0"/>
      <w:marBottom w:val="0"/>
      <w:divBdr>
        <w:top w:val="none" w:sz="0" w:space="0" w:color="auto"/>
        <w:left w:val="none" w:sz="0" w:space="0" w:color="auto"/>
        <w:bottom w:val="none" w:sz="0" w:space="0" w:color="auto"/>
        <w:right w:val="none" w:sz="0" w:space="0" w:color="auto"/>
      </w:divBdr>
    </w:div>
    <w:div w:id="378826127">
      <w:bodyDiv w:val="1"/>
      <w:marLeft w:val="0"/>
      <w:marRight w:val="0"/>
      <w:marTop w:val="0"/>
      <w:marBottom w:val="0"/>
      <w:divBdr>
        <w:top w:val="none" w:sz="0" w:space="0" w:color="auto"/>
        <w:left w:val="none" w:sz="0" w:space="0" w:color="auto"/>
        <w:bottom w:val="none" w:sz="0" w:space="0" w:color="auto"/>
        <w:right w:val="none" w:sz="0" w:space="0" w:color="auto"/>
      </w:divBdr>
    </w:div>
    <w:div w:id="409430496">
      <w:bodyDiv w:val="1"/>
      <w:marLeft w:val="0"/>
      <w:marRight w:val="0"/>
      <w:marTop w:val="0"/>
      <w:marBottom w:val="0"/>
      <w:divBdr>
        <w:top w:val="none" w:sz="0" w:space="0" w:color="auto"/>
        <w:left w:val="none" w:sz="0" w:space="0" w:color="auto"/>
        <w:bottom w:val="none" w:sz="0" w:space="0" w:color="auto"/>
        <w:right w:val="none" w:sz="0" w:space="0" w:color="auto"/>
      </w:divBdr>
    </w:div>
    <w:div w:id="587352415">
      <w:bodyDiv w:val="1"/>
      <w:marLeft w:val="0"/>
      <w:marRight w:val="0"/>
      <w:marTop w:val="0"/>
      <w:marBottom w:val="0"/>
      <w:divBdr>
        <w:top w:val="none" w:sz="0" w:space="0" w:color="auto"/>
        <w:left w:val="none" w:sz="0" w:space="0" w:color="auto"/>
        <w:bottom w:val="none" w:sz="0" w:space="0" w:color="auto"/>
        <w:right w:val="none" w:sz="0" w:space="0" w:color="auto"/>
      </w:divBdr>
    </w:div>
    <w:div w:id="651642753">
      <w:bodyDiv w:val="1"/>
      <w:marLeft w:val="0"/>
      <w:marRight w:val="0"/>
      <w:marTop w:val="0"/>
      <w:marBottom w:val="0"/>
      <w:divBdr>
        <w:top w:val="none" w:sz="0" w:space="0" w:color="auto"/>
        <w:left w:val="none" w:sz="0" w:space="0" w:color="auto"/>
        <w:bottom w:val="none" w:sz="0" w:space="0" w:color="auto"/>
        <w:right w:val="none" w:sz="0" w:space="0" w:color="auto"/>
      </w:divBdr>
    </w:div>
    <w:div w:id="714701896">
      <w:bodyDiv w:val="1"/>
      <w:marLeft w:val="0"/>
      <w:marRight w:val="0"/>
      <w:marTop w:val="0"/>
      <w:marBottom w:val="0"/>
      <w:divBdr>
        <w:top w:val="none" w:sz="0" w:space="0" w:color="auto"/>
        <w:left w:val="none" w:sz="0" w:space="0" w:color="auto"/>
        <w:bottom w:val="none" w:sz="0" w:space="0" w:color="auto"/>
        <w:right w:val="none" w:sz="0" w:space="0" w:color="auto"/>
      </w:divBdr>
    </w:div>
    <w:div w:id="716320212">
      <w:bodyDiv w:val="1"/>
      <w:marLeft w:val="0"/>
      <w:marRight w:val="0"/>
      <w:marTop w:val="0"/>
      <w:marBottom w:val="0"/>
      <w:divBdr>
        <w:top w:val="none" w:sz="0" w:space="0" w:color="auto"/>
        <w:left w:val="none" w:sz="0" w:space="0" w:color="auto"/>
        <w:bottom w:val="none" w:sz="0" w:space="0" w:color="auto"/>
        <w:right w:val="none" w:sz="0" w:space="0" w:color="auto"/>
      </w:divBdr>
    </w:div>
    <w:div w:id="879316924">
      <w:bodyDiv w:val="1"/>
      <w:marLeft w:val="0"/>
      <w:marRight w:val="0"/>
      <w:marTop w:val="0"/>
      <w:marBottom w:val="0"/>
      <w:divBdr>
        <w:top w:val="none" w:sz="0" w:space="0" w:color="auto"/>
        <w:left w:val="none" w:sz="0" w:space="0" w:color="auto"/>
        <w:bottom w:val="none" w:sz="0" w:space="0" w:color="auto"/>
        <w:right w:val="none" w:sz="0" w:space="0" w:color="auto"/>
      </w:divBdr>
    </w:div>
    <w:div w:id="978727050">
      <w:bodyDiv w:val="1"/>
      <w:marLeft w:val="0"/>
      <w:marRight w:val="0"/>
      <w:marTop w:val="0"/>
      <w:marBottom w:val="0"/>
      <w:divBdr>
        <w:top w:val="none" w:sz="0" w:space="0" w:color="auto"/>
        <w:left w:val="none" w:sz="0" w:space="0" w:color="auto"/>
        <w:bottom w:val="none" w:sz="0" w:space="0" w:color="auto"/>
        <w:right w:val="none" w:sz="0" w:space="0" w:color="auto"/>
      </w:divBdr>
    </w:div>
    <w:div w:id="1012531698">
      <w:bodyDiv w:val="1"/>
      <w:marLeft w:val="0"/>
      <w:marRight w:val="0"/>
      <w:marTop w:val="0"/>
      <w:marBottom w:val="0"/>
      <w:divBdr>
        <w:top w:val="none" w:sz="0" w:space="0" w:color="auto"/>
        <w:left w:val="none" w:sz="0" w:space="0" w:color="auto"/>
        <w:bottom w:val="none" w:sz="0" w:space="0" w:color="auto"/>
        <w:right w:val="none" w:sz="0" w:space="0" w:color="auto"/>
      </w:divBdr>
    </w:div>
    <w:div w:id="1060446231">
      <w:bodyDiv w:val="1"/>
      <w:marLeft w:val="0"/>
      <w:marRight w:val="0"/>
      <w:marTop w:val="0"/>
      <w:marBottom w:val="0"/>
      <w:divBdr>
        <w:top w:val="none" w:sz="0" w:space="0" w:color="auto"/>
        <w:left w:val="none" w:sz="0" w:space="0" w:color="auto"/>
        <w:bottom w:val="none" w:sz="0" w:space="0" w:color="auto"/>
        <w:right w:val="none" w:sz="0" w:space="0" w:color="auto"/>
      </w:divBdr>
    </w:div>
    <w:div w:id="1080978267">
      <w:bodyDiv w:val="1"/>
      <w:marLeft w:val="0"/>
      <w:marRight w:val="0"/>
      <w:marTop w:val="0"/>
      <w:marBottom w:val="0"/>
      <w:divBdr>
        <w:top w:val="none" w:sz="0" w:space="0" w:color="auto"/>
        <w:left w:val="none" w:sz="0" w:space="0" w:color="auto"/>
        <w:bottom w:val="none" w:sz="0" w:space="0" w:color="auto"/>
        <w:right w:val="none" w:sz="0" w:space="0" w:color="auto"/>
      </w:divBdr>
    </w:div>
    <w:div w:id="1082920742">
      <w:bodyDiv w:val="1"/>
      <w:marLeft w:val="0"/>
      <w:marRight w:val="0"/>
      <w:marTop w:val="0"/>
      <w:marBottom w:val="0"/>
      <w:divBdr>
        <w:top w:val="none" w:sz="0" w:space="0" w:color="auto"/>
        <w:left w:val="none" w:sz="0" w:space="0" w:color="auto"/>
        <w:bottom w:val="none" w:sz="0" w:space="0" w:color="auto"/>
        <w:right w:val="none" w:sz="0" w:space="0" w:color="auto"/>
      </w:divBdr>
    </w:div>
    <w:div w:id="1206019707">
      <w:bodyDiv w:val="1"/>
      <w:marLeft w:val="0"/>
      <w:marRight w:val="0"/>
      <w:marTop w:val="0"/>
      <w:marBottom w:val="0"/>
      <w:divBdr>
        <w:top w:val="none" w:sz="0" w:space="0" w:color="auto"/>
        <w:left w:val="none" w:sz="0" w:space="0" w:color="auto"/>
        <w:bottom w:val="none" w:sz="0" w:space="0" w:color="auto"/>
        <w:right w:val="none" w:sz="0" w:space="0" w:color="auto"/>
      </w:divBdr>
    </w:div>
    <w:div w:id="1309898969">
      <w:bodyDiv w:val="1"/>
      <w:marLeft w:val="0"/>
      <w:marRight w:val="0"/>
      <w:marTop w:val="0"/>
      <w:marBottom w:val="0"/>
      <w:divBdr>
        <w:top w:val="none" w:sz="0" w:space="0" w:color="auto"/>
        <w:left w:val="none" w:sz="0" w:space="0" w:color="auto"/>
        <w:bottom w:val="none" w:sz="0" w:space="0" w:color="auto"/>
        <w:right w:val="none" w:sz="0" w:space="0" w:color="auto"/>
      </w:divBdr>
    </w:div>
    <w:div w:id="1343434776">
      <w:bodyDiv w:val="1"/>
      <w:marLeft w:val="0"/>
      <w:marRight w:val="0"/>
      <w:marTop w:val="0"/>
      <w:marBottom w:val="0"/>
      <w:divBdr>
        <w:top w:val="none" w:sz="0" w:space="0" w:color="auto"/>
        <w:left w:val="none" w:sz="0" w:space="0" w:color="auto"/>
        <w:bottom w:val="none" w:sz="0" w:space="0" w:color="auto"/>
        <w:right w:val="none" w:sz="0" w:space="0" w:color="auto"/>
      </w:divBdr>
    </w:div>
    <w:div w:id="1443451135">
      <w:bodyDiv w:val="1"/>
      <w:marLeft w:val="0"/>
      <w:marRight w:val="0"/>
      <w:marTop w:val="0"/>
      <w:marBottom w:val="0"/>
      <w:divBdr>
        <w:top w:val="none" w:sz="0" w:space="0" w:color="auto"/>
        <w:left w:val="none" w:sz="0" w:space="0" w:color="auto"/>
        <w:bottom w:val="none" w:sz="0" w:space="0" w:color="auto"/>
        <w:right w:val="none" w:sz="0" w:space="0" w:color="auto"/>
      </w:divBdr>
    </w:div>
    <w:div w:id="1449280317">
      <w:bodyDiv w:val="1"/>
      <w:marLeft w:val="0"/>
      <w:marRight w:val="0"/>
      <w:marTop w:val="0"/>
      <w:marBottom w:val="0"/>
      <w:divBdr>
        <w:top w:val="none" w:sz="0" w:space="0" w:color="auto"/>
        <w:left w:val="none" w:sz="0" w:space="0" w:color="auto"/>
        <w:bottom w:val="none" w:sz="0" w:space="0" w:color="auto"/>
        <w:right w:val="none" w:sz="0" w:space="0" w:color="auto"/>
      </w:divBdr>
      <w:divsChild>
        <w:div w:id="99689063">
          <w:marLeft w:val="547"/>
          <w:marRight w:val="0"/>
          <w:marTop w:val="0"/>
          <w:marBottom w:val="0"/>
          <w:divBdr>
            <w:top w:val="none" w:sz="0" w:space="0" w:color="auto"/>
            <w:left w:val="none" w:sz="0" w:space="0" w:color="auto"/>
            <w:bottom w:val="none" w:sz="0" w:space="0" w:color="auto"/>
            <w:right w:val="none" w:sz="0" w:space="0" w:color="auto"/>
          </w:divBdr>
        </w:div>
      </w:divsChild>
    </w:div>
    <w:div w:id="1464814643">
      <w:bodyDiv w:val="1"/>
      <w:marLeft w:val="0"/>
      <w:marRight w:val="0"/>
      <w:marTop w:val="0"/>
      <w:marBottom w:val="0"/>
      <w:divBdr>
        <w:top w:val="none" w:sz="0" w:space="0" w:color="auto"/>
        <w:left w:val="none" w:sz="0" w:space="0" w:color="auto"/>
        <w:bottom w:val="none" w:sz="0" w:space="0" w:color="auto"/>
        <w:right w:val="none" w:sz="0" w:space="0" w:color="auto"/>
      </w:divBdr>
    </w:div>
    <w:div w:id="1538271987">
      <w:bodyDiv w:val="1"/>
      <w:marLeft w:val="0"/>
      <w:marRight w:val="0"/>
      <w:marTop w:val="0"/>
      <w:marBottom w:val="0"/>
      <w:divBdr>
        <w:top w:val="none" w:sz="0" w:space="0" w:color="auto"/>
        <w:left w:val="none" w:sz="0" w:space="0" w:color="auto"/>
        <w:bottom w:val="none" w:sz="0" w:space="0" w:color="auto"/>
        <w:right w:val="none" w:sz="0" w:space="0" w:color="auto"/>
      </w:divBdr>
    </w:div>
    <w:div w:id="1573658532">
      <w:bodyDiv w:val="1"/>
      <w:marLeft w:val="0"/>
      <w:marRight w:val="0"/>
      <w:marTop w:val="0"/>
      <w:marBottom w:val="0"/>
      <w:divBdr>
        <w:top w:val="none" w:sz="0" w:space="0" w:color="auto"/>
        <w:left w:val="none" w:sz="0" w:space="0" w:color="auto"/>
        <w:bottom w:val="none" w:sz="0" w:space="0" w:color="auto"/>
        <w:right w:val="none" w:sz="0" w:space="0" w:color="auto"/>
      </w:divBdr>
    </w:div>
    <w:div w:id="1575579291">
      <w:bodyDiv w:val="1"/>
      <w:marLeft w:val="0"/>
      <w:marRight w:val="0"/>
      <w:marTop w:val="0"/>
      <w:marBottom w:val="0"/>
      <w:divBdr>
        <w:top w:val="none" w:sz="0" w:space="0" w:color="auto"/>
        <w:left w:val="none" w:sz="0" w:space="0" w:color="auto"/>
        <w:bottom w:val="none" w:sz="0" w:space="0" w:color="auto"/>
        <w:right w:val="none" w:sz="0" w:space="0" w:color="auto"/>
      </w:divBdr>
    </w:div>
    <w:div w:id="1722904797">
      <w:bodyDiv w:val="1"/>
      <w:marLeft w:val="0"/>
      <w:marRight w:val="0"/>
      <w:marTop w:val="0"/>
      <w:marBottom w:val="0"/>
      <w:divBdr>
        <w:top w:val="none" w:sz="0" w:space="0" w:color="auto"/>
        <w:left w:val="none" w:sz="0" w:space="0" w:color="auto"/>
        <w:bottom w:val="none" w:sz="0" w:space="0" w:color="auto"/>
        <w:right w:val="none" w:sz="0" w:space="0" w:color="auto"/>
      </w:divBdr>
    </w:div>
    <w:div w:id="1729301852">
      <w:bodyDiv w:val="1"/>
      <w:marLeft w:val="0"/>
      <w:marRight w:val="0"/>
      <w:marTop w:val="0"/>
      <w:marBottom w:val="0"/>
      <w:divBdr>
        <w:top w:val="none" w:sz="0" w:space="0" w:color="auto"/>
        <w:left w:val="none" w:sz="0" w:space="0" w:color="auto"/>
        <w:bottom w:val="none" w:sz="0" w:space="0" w:color="auto"/>
        <w:right w:val="none" w:sz="0" w:space="0" w:color="auto"/>
      </w:divBdr>
    </w:div>
    <w:div w:id="1761216150">
      <w:bodyDiv w:val="1"/>
      <w:marLeft w:val="0"/>
      <w:marRight w:val="0"/>
      <w:marTop w:val="0"/>
      <w:marBottom w:val="0"/>
      <w:divBdr>
        <w:top w:val="none" w:sz="0" w:space="0" w:color="auto"/>
        <w:left w:val="none" w:sz="0" w:space="0" w:color="auto"/>
        <w:bottom w:val="none" w:sz="0" w:space="0" w:color="auto"/>
        <w:right w:val="none" w:sz="0" w:space="0" w:color="auto"/>
      </w:divBdr>
    </w:div>
    <w:div w:id="1779327846">
      <w:bodyDiv w:val="1"/>
      <w:marLeft w:val="0"/>
      <w:marRight w:val="0"/>
      <w:marTop w:val="0"/>
      <w:marBottom w:val="0"/>
      <w:divBdr>
        <w:top w:val="none" w:sz="0" w:space="0" w:color="auto"/>
        <w:left w:val="none" w:sz="0" w:space="0" w:color="auto"/>
        <w:bottom w:val="none" w:sz="0" w:space="0" w:color="auto"/>
        <w:right w:val="none" w:sz="0" w:space="0" w:color="auto"/>
      </w:divBdr>
    </w:div>
    <w:div w:id="1790855025">
      <w:bodyDiv w:val="1"/>
      <w:marLeft w:val="0"/>
      <w:marRight w:val="0"/>
      <w:marTop w:val="0"/>
      <w:marBottom w:val="0"/>
      <w:divBdr>
        <w:top w:val="none" w:sz="0" w:space="0" w:color="auto"/>
        <w:left w:val="none" w:sz="0" w:space="0" w:color="auto"/>
        <w:bottom w:val="none" w:sz="0" w:space="0" w:color="auto"/>
        <w:right w:val="none" w:sz="0" w:space="0" w:color="auto"/>
      </w:divBdr>
    </w:div>
    <w:div w:id="1841894151">
      <w:bodyDiv w:val="1"/>
      <w:marLeft w:val="0"/>
      <w:marRight w:val="0"/>
      <w:marTop w:val="0"/>
      <w:marBottom w:val="0"/>
      <w:divBdr>
        <w:top w:val="none" w:sz="0" w:space="0" w:color="auto"/>
        <w:left w:val="none" w:sz="0" w:space="0" w:color="auto"/>
        <w:bottom w:val="none" w:sz="0" w:space="0" w:color="auto"/>
        <w:right w:val="none" w:sz="0" w:space="0" w:color="auto"/>
      </w:divBdr>
    </w:div>
    <w:div w:id="1859349800">
      <w:bodyDiv w:val="1"/>
      <w:marLeft w:val="0"/>
      <w:marRight w:val="0"/>
      <w:marTop w:val="0"/>
      <w:marBottom w:val="0"/>
      <w:divBdr>
        <w:top w:val="none" w:sz="0" w:space="0" w:color="auto"/>
        <w:left w:val="none" w:sz="0" w:space="0" w:color="auto"/>
        <w:bottom w:val="none" w:sz="0" w:space="0" w:color="auto"/>
        <w:right w:val="none" w:sz="0" w:space="0" w:color="auto"/>
      </w:divBdr>
    </w:div>
    <w:div w:id="1992640508">
      <w:bodyDiv w:val="1"/>
      <w:marLeft w:val="0"/>
      <w:marRight w:val="0"/>
      <w:marTop w:val="0"/>
      <w:marBottom w:val="0"/>
      <w:divBdr>
        <w:top w:val="none" w:sz="0" w:space="0" w:color="auto"/>
        <w:left w:val="none" w:sz="0" w:space="0" w:color="auto"/>
        <w:bottom w:val="none" w:sz="0" w:space="0" w:color="auto"/>
        <w:right w:val="none" w:sz="0" w:space="0" w:color="auto"/>
      </w:divBdr>
    </w:div>
    <w:div w:id="1999113413">
      <w:bodyDiv w:val="1"/>
      <w:marLeft w:val="0"/>
      <w:marRight w:val="0"/>
      <w:marTop w:val="0"/>
      <w:marBottom w:val="0"/>
      <w:divBdr>
        <w:top w:val="none" w:sz="0" w:space="0" w:color="auto"/>
        <w:left w:val="none" w:sz="0" w:space="0" w:color="auto"/>
        <w:bottom w:val="none" w:sz="0" w:space="0" w:color="auto"/>
        <w:right w:val="none" w:sz="0" w:space="0" w:color="auto"/>
      </w:divBdr>
    </w:div>
    <w:div w:id="2030645057">
      <w:bodyDiv w:val="1"/>
      <w:marLeft w:val="0"/>
      <w:marRight w:val="0"/>
      <w:marTop w:val="0"/>
      <w:marBottom w:val="0"/>
      <w:divBdr>
        <w:top w:val="none" w:sz="0" w:space="0" w:color="auto"/>
        <w:left w:val="none" w:sz="0" w:space="0" w:color="auto"/>
        <w:bottom w:val="none" w:sz="0" w:space="0" w:color="auto"/>
        <w:right w:val="none" w:sz="0" w:space="0" w:color="auto"/>
      </w:divBdr>
    </w:div>
    <w:div w:id="2078279814">
      <w:bodyDiv w:val="1"/>
      <w:marLeft w:val="0"/>
      <w:marRight w:val="0"/>
      <w:marTop w:val="0"/>
      <w:marBottom w:val="0"/>
      <w:divBdr>
        <w:top w:val="none" w:sz="0" w:space="0" w:color="auto"/>
        <w:left w:val="none" w:sz="0" w:space="0" w:color="auto"/>
        <w:bottom w:val="none" w:sz="0" w:space="0" w:color="auto"/>
        <w:right w:val="none" w:sz="0" w:space="0" w:color="auto"/>
      </w:divBdr>
    </w:div>
    <w:div w:id="2104836714">
      <w:bodyDiv w:val="1"/>
      <w:marLeft w:val="0"/>
      <w:marRight w:val="0"/>
      <w:marTop w:val="0"/>
      <w:marBottom w:val="0"/>
      <w:divBdr>
        <w:top w:val="none" w:sz="0" w:space="0" w:color="auto"/>
        <w:left w:val="none" w:sz="0" w:space="0" w:color="auto"/>
        <w:bottom w:val="none" w:sz="0" w:space="0" w:color="auto"/>
        <w:right w:val="none" w:sz="0" w:space="0" w:color="auto"/>
      </w:divBdr>
    </w:div>
    <w:div w:id="214291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ena@circaresearch.com.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1800respect.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gage.dss.gov.au/?page_id=19092"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ihw.gov.au/getmedia/28dcae50-7b7b-466d-bf71-476a762b5c53/Specialist-homelessness-services-annual-report-2021-22.pdf.aspx?inline=true" TargetMode="External"/><Relationship Id="rId2" Type="http://schemas.openxmlformats.org/officeDocument/2006/relationships/hyperlink" Target="https://plan4womenssafety.dss.gov.au/wp-content/uploads/2022/07/national-plan-stakeholder-consultation-report-pdf.pdf" TargetMode="External"/><Relationship Id="rId1" Type="http://schemas.openxmlformats.org/officeDocument/2006/relationships/hyperlink" Target="https://www.aihw.gov.au/getmedia/28dcae50-7b7b-466d-bf71-476a762b5c53/Specialist-homelessness-services-annual-report-2021-22.pdf.aspx?inline=true" TargetMode="External"/><Relationship Id="rId4" Type="http://schemas.openxmlformats.org/officeDocument/2006/relationships/hyperlink" Target="https://meteor.aihw.gov.au/content/3862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448144A633C940BB39A129AC7045CA" ma:contentTypeVersion="2" ma:contentTypeDescription="Create a new document." ma:contentTypeScope="" ma:versionID="b347594513771d0e102bffc12e3e8d03">
  <xsd:schema xmlns:xsd="http://www.w3.org/2001/XMLSchema" xmlns:xs="http://www.w3.org/2001/XMLSchema" xmlns:p="http://schemas.microsoft.com/office/2006/metadata/properties" xmlns:ns1="http://schemas.microsoft.com/sharepoint/v3" xmlns:ns2="da13057a-72c5-49de-bee4-ff261e81e83e" xmlns:ns3="906c5a57-8f5c-4de1-a895-399cda7859bc" targetNamespace="http://schemas.microsoft.com/office/2006/metadata/properties" ma:root="true" ma:fieldsID="b89191b118b87722a4d30ef9aa3c1c09" ns1:_="" ns2:_="" ns3:_="">
    <xsd:import namespace="http://schemas.microsoft.com/sharepoint/v3"/>
    <xsd:import namespace="da13057a-72c5-49de-bee4-ff261e81e83e"/>
    <xsd:import namespace="906c5a57-8f5c-4de1-a895-399cda7859b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13057a-72c5-49de-bee4-ff261e81e8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6c5a57-8f5c-4de1-a895-399cda7859b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87E11-4968-4EC4-8B87-F075DDCDE5F8}">
  <ds:schemaRefs>
    <ds:schemaRef ds:uri="http://schemas.microsoft.com/sharepoint/events"/>
  </ds:schemaRefs>
</ds:datastoreItem>
</file>

<file path=customXml/itemProps2.xml><?xml version="1.0" encoding="utf-8"?>
<ds:datastoreItem xmlns:ds="http://schemas.openxmlformats.org/officeDocument/2006/customXml" ds:itemID="{3F13A6BB-DB99-4644-A312-8BFEEDF153EB}">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906c5a57-8f5c-4de1-a895-399cda7859bc"/>
    <ds:schemaRef ds:uri="da13057a-72c5-49de-bee4-ff261e81e83e"/>
    <ds:schemaRef ds:uri="http://www.w3.org/XML/1998/namespace"/>
  </ds:schemaRefs>
</ds:datastoreItem>
</file>

<file path=customXml/itemProps3.xml><?xml version="1.0" encoding="utf-8"?>
<ds:datastoreItem xmlns:ds="http://schemas.openxmlformats.org/officeDocument/2006/customXml" ds:itemID="{5F6DA3A7-5492-4AC0-AC6E-F807AD412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13057a-72c5-49de-bee4-ff261e81e83e"/>
    <ds:schemaRef ds:uri="906c5a57-8f5c-4de1-a895-399cda785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806C8B-C0CB-4C18-A607-B5CCEE4631E3}">
  <ds:schemaRefs>
    <ds:schemaRef ds:uri="http://schemas.microsoft.com/sharepoint/v3/contenttype/forms"/>
  </ds:schemaRefs>
</ds:datastoreItem>
</file>

<file path=customXml/itemProps5.xml><?xml version="1.0" encoding="utf-8"?>
<ds:datastoreItem xmlns:ds="http://schemas.openxmlformats.org/officeDocument/2006/customXml" ds:itemID="{16CC90B0-115D-42EB-B97E-6DC0A920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4320</Words>
  <Characters>25331</Characters>
  <Application>Microsoft Office Word</Application>
  <DocSecurity>4</DocSecurity>
  <Lines>466</Lines>
  <Paragraphs>209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GAVRAN, Gordana</dc:creator>
  <cp:keywords>[SEC=OFFICIAL]</cp:keywords>
  <dc:description/>
  <cp:lastModifiedBy>WHITER, Shaun</cp:lastModifiedBy>
  <cp:revision>2</cp:revision>
  <cp:lastPrinted>2022-06-08T04:03:00Z</cp:lastPrinted>
  <dcterms:created xsi:type="dcterms:W3CDTF">2023-01-26T22:49:00Z</dcterms:created>
  <dcterms:modified xsi:type="dcterms:W3CDTF">2023-01-26T22:49:00Z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782F8A58964F4FCD902FAB0A113111A9</vt:lpwstr>
  </property>
  <property fmtid="{D5CDD505-2E9C-101B-9397-08002B2CF9AE}" pid="9" name="PM_ProtectiveMarkingValue_Footer">
    <vt:lpwstr>OFFICIAL</vt:lpwstr>
  </property>
  <property fmtid="{D5CDD505-2E9C-101B-9397-08002B2CF9AE}" pid="10" name="PM_OriginationTimeStamp">
    <vt:lpwstr>2023-01-26T22:49:47Z</vt:lpwstr>
  </property>
  <property fmtid="{D5CDD505-2E9C-101B-9397-08002B2CF9AE}" pid="11" name="PM_ProtectiveMarkingValue_Header">
    <vt:lpwstr>OFFICIAL</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gov.au</vt:lpwstr>
  </property>
  <property fmtid="{D5CDD505-2E9C-101B-9397-08002B2CF9AE}" pid="14" name="PM_Version">
    <vt:lpwstr>2018.4</vt:lpwstr>
  </property>
  <property fmtid="{D5CDD505-2E9C-101B-9397-08002B2CF9AE}" pid="15" name="PM_Note">
    <vt:lpwstr/>
  </property>
  <property fmtid="{D5CDD505-2E9C-101B-9397-08002B2CF9AE}" pid="16" name="PM_Markers">
    <vt:lpwstr/>
  </property>
  <property fmtid="{D5CDD505-2E9C-101B-9397-08002B2CF9AE}" pid="17" name="PM_Display">
    <vt:lpwstr>OFFICIAL</vt:lpwstr>
  </property>
  <property fmtid="{D5CDD505-2E9C-101B-9397-08002B2CF9AE}" pid="18" name="PM_Hash_Version">
    <vt:lpwstr>2018.0</vt:lpwstr>
  </property>
  <property fmtid="{D5CDD505-2E9C-101B-9397-08002B2CF9AE}" pid="19" name="PM_Hash_Salt_Prev">
    <vt:lpwstr>F07A297FDCA72598AE1772B9D78A17FA</vt:lpwstr>
  </property>
  <property fmtid="{D5CDD505-2E9C-101B-9397-08002B2CF9AE}" pid="20" name="PM_Hash_Salt">
    <vt:lpwstr>78340F246D197C960AD132C85F151C11</vt:lpwstr>
  </property>
  <property fmtid="{D5CDD505-2E9C-101B-9397-08002B2CF9AE}" pid="21" name="PM_Hash_SHA1">
    <vt:lpwstr>55FF1274B92BF5BD0C839773D06279E0A7C0415B</vt:lpwstr>
  </property>
  <property fmtid="{D5CDD505-2E9C-101B-9397-08002B2CF9AE}" pid="22" name="PM_OriginatorDomainName_SHA256">
    <vt:lpwstr>E83A2A66C4061446A7E3732E8D44762184B6B377D962B96C83DC624302585857</vt:lpwstr>
  </property>
  <property fmtid="{D5CDD505-2E9C-101B-9397-08002B2CF9AE}" pid="23" name="PM_MinimumSecurityClassification">
    <vt:lpwstr/>
  </property>
  <property fmtid="{D5CDD505-2E9C-101B-9397-08002B2CF9AE}" pid="24" name="PM_SecurityClassification_Prev">
    <vt:lpwstr>OFFICIAL</vt:lpwstr>
  </property>
  <property fmtid="{D5CDD505-2E9C-101B-9397-08002B2CF9AE}" pid="25" name="PM_Qualifier_Prev">
    <vt:lpwstr/>
  </property>
  <property fmtid="{D5CDD505-2E9C-101B-9397-08002B2CF9AE}" pid="26" name="ContentTypeId">
    <vt:lpwstr>0x0101000C448144A633C940BB39A129AC7045CA</vt:lpwstr>
  </property>
  <property fmtid="{D5CDD505-2E9C-101B-9397-08002B2CF9AE}" pid="27" name="PM_Originator_Hash_SHA1">
    <vt:lpwstr>F2B1A0DBBCFE88AA5B1F312AB77B9B9984DBCA1F</vt:lpwstr>
  </property>
  <property fmtid="{D5CDD505-2E9C-101B-9397-08002B2CF9AE}" pid="28" name="PM_OriginatorUserAccountName_SHA256">
    <vt:lpwstr>52B97822998D45A5FE76FBF575035034760AD13EE13D3825DB38D567D3AEDC5E</vt:lpwstr>
  </property>
</Properties>
</file>